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72016dposam.htm"/>
        <w:bookmarkStart w:id="1" w:name="ksd472016dposam"/>
        <w:bookmarkEnd w:id="0"/>
        <w:bookmarkEnd w:id="1"/>
        <w:r>
          <w:rPr>
            <w:rStyle w:val="InternetLink"/>
          </w:rPr>
          <w:t>Table of Contents</w:t>
        </w:r>
      </w:hyperlink>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As filed with the U.S. Securities and Exchange Commission on April 21, 2023 </w:t>
      </w:r>
    </w:p>
    <w:p>
      <w:pPr>
        <w:pStyle w:val="TextBody"/>
        <w:spacing w:before="0" w:after="0"/>
        <w:ind w:left="0" w:right="0" w:hanging="0"/>
        <w:jc w:val="right"/>
        <w:rPr>
          <w:rFonts w:ascii="Times New Roman" w:hAnsi="Times New Roman"/>
          <w:b/>
          <w:spacing w:val="0"/>
          <w:sz w:val="18"/>
        </w:rPr>
      </w:pPr>
      <w:r>
        <w:rPr>
          <w:rFonts w:ascii="Times New Roman" w:hAnsi="Times New Roman"/>
          <w:b/>
          <w:spacing w:val="0"/>
          <w:sz w:val="18"/>
        </w:rPr>
        <w:t>Registration No. 333-266101</w:t>
      </w:r>
    </w:p>
    <w:p>
      <w:pPr>
        <w:pStyle w:val="TextBody"/>
        <w:spacing w:before="0" w:after="0"/>
        <w:ind w:left="0" w:right="0" w:hanging="0"/>
        <w:jc w:val="left"/>
        <w:rPr>
          <w:spacing w:val="0"/>
        </w:rPr>
      </w:pPr>
      <w:r>
        <w:rPr>
          <w:spacing w:val="0"/>
        </w:rPr>
        <w:t> </w:t>
      </w:r>
    </w:p>
    <w:p>
      <w:pPr>
        <w:pStyle w:val="TextBody"/>
        <w:spacing w:lineRule="atLeast" w:line="141" w:before="0" w:after="0"/>
        <w:ind w:left="0" w:right="0" w:hanging="0"/>
        <w:jc w:val="left"/>
        <w:rPr>
          <w:spacing w:val="0"/>
        </w:rPr>
      </w:pPr>
      <w:r>
        <w:rPr>
          <w:spacing w:val="0"/>
        </w:rPr>
        <w:t> </w:t>
      </w:r>
    </w:p>
    <w:p>
      <w:pPr>
        <w:pStyle w:val="TextBody"/>
        <w:spacing w:lineRule="atLeast" w:line="141" w:before="0" w:after="40"/>
        <w:ind w:left="0" w:right="0" w:hanging="0"/>
        <w:jc w:val="left"/>
        <w:rPr>
          <w:spacing w:val="0"/>
        </w:rPr>
      </w:pPr>
      <w:r>
        <w:rPr>
          <w:spacing w:val="0"/>
        </w:rPr>
        <w:t> </w:t>
      </w:r>
    </w:p>
    <w:p>
      <w:pPr>
        <w:pStyle w:val="TextBody"/>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spacing w:val="0"/>
          <w:sz w:val="36"/>
        </w:rPr>
      </w:pPr>
      <w:r>
        <w:rPr>
          <w:rFonts w:ascii="Times New Roman" w:hAnsi="Times New Roman"/>
          <w:b/>
          <w:spacing w:val="0"/>
          <w:sz w:val="36"/>
        </w:rPr>
        <w:t xml:space="preserve">Post-Effective Amendment No. 2 </w:t>
      </w:r>
    </w:p>
    <w:p>
      <w:pPr>
        <w:pStyle w:val="TextBody"/>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to </w:t>
      </w:r>
    </w:p>
    <w:p>
      <w:pPr>
        <w:pStyle w:val="TextBody"/>
        <w:spacing w:before="0" w:after="0"/>
        <w:ind w:left="0" w:right="0" w:hanging="0"/>
        <w:jc w:val="center"/>
        <w:rPr>
          <w:rFonts w:ascii="Times New Roman" w:hAnsi="Times New Roman"/>
          <w:b/>
          <w:spacing w:val="0"/>
          <w:sz w:val="36"/>
        </w:rPr>
      </w:pPr>
      <w:r>
        <w:rPr>
          <w:rFonts w:ascii="Times New Roman" w:hAnsi="Times New Roman"/>
          <w:b/>
          <w:spacing w:val="0"/>
          <w:sz w:val="36"/>
        </w:rPr>
        <w:t>FORM F-1</w:t>
      </w:r>
    </w:p>
    <w:p>
      <w:pPr>
        <w:pStyle w:val="TextBody"/>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REGISTRATION STATEMENT </w:t>
      </w:r>
    </w:p>
    <w:p>
      <w:pPr>
        <w:pStyle w:val="TextBody"/>
        <w:spacing w:before="0" w:after="0"/>
        <w:ind w:left="0" w:right="0" w:hanging="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UNDER </w:t>
      </w:r>
    </w:p>
    <w:p>
      <w:pPr>
        <w:pStyle w:val="TextBody"/>
        <w:spacing w:before="0" w:after="0"/>
        <w:ind w:left="0" w:right="0" w:hanging="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spacing w:val="0"/>
          <w:sz w:val="48"/>
        </w:rPr>
      </w:pPr>
      <w:r>
        <w:rPr>
          <w:rFonts w:ascii="Times New Roman" w:hAnsi="Times New Roman"/>
          <w:b/>
          <w:spacing w:val="0"/>
          <w:sz w:val="48"/>
        </w:rPr>
        <w:t>Polestar Automotive Holding UK PLC</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(Exact name of registrant as specified in its charter)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ind w:left="0" w:right="0" w:hanging="0"/>
        <w:jc w:val="left"/>
        <w:rPr>
          <w:spacing w:val="0"/>
        </w:rPr>
      </w:pPr>
      <w:r>
        <w:rPr>
          <w:spacing w:val="0"/>
        </w:rPr>
        <w:t> </w:t>
      </w:r>
    </w:p>
    <w:tbl>
      <w:tblPr>
        <w:tblW w:w="8805" w:type="dxa"/>
        <w:jc w:val="left"/>
        <w:tblInd w:w="0" w:type="dxa"/>
        <w:tblCellMar>
          <w:top w:w="0" w:type="dxa"/>
          <w:left w:w="0" w:type="dxa"/>
          <w:bottom w:w="0" w:type="dxa"/>
          <w:right w:w="0" w:type="dxa"/>
        </w:tblCellMar>
      </w:tblPr>
      <w:tblGrid>
        <w:gridCol w:w="3275"/>
        <w:gridCol w:w="60"/>
        <w:gridCol w:w="3035"/>
        <w:gridCol w:w="60"/>
        <w:gridCol w:w="2375"/>
      </w:tblGrid>
      <w:tr>
        <w:trPr/>
        <w:tc>
          <w:tcPr>
            <w:tcW w:w="3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r>
      <w:tr>
        <w:trPr/>
        <w:tc>
          <w:tcPr>
            <w:tcW w:w="3275" w:type="dxa"/>
            <w:tcBorders/>
            <w:shd w:fill="auto" w:val="clear"/>
            <w:vAlign w:val="center"/>
          </w:tcPr>
          <w:p>
            <w:pPr>
              <w:pStyle w:val="TableContents"/>
              <w:spacing w:before="0" w:after="0"/>
              <w:jc w:val="center"/>
              <w:rPr>
                <w:b/>
                <w:spacing w:val="0"/>
              </w:rPr>
            </w:pPr>
            <w:r>
              <w:rPr>
                <w:b/>
                <w:spacing w:val="0"/>
              </w:rPr>
              <w:t>England and Wales</w:t>
            </w:r>
          </w:p>
        </w:tc>
        <w:tc>
          <w:tcPr>
            <w:tcW w:w="60" w:type="dxa"/>
            <w:tcBorders/>
            <w:shd w:fill="auto" w:val="clear"/>
            <w:vAlign w:val="center"/>
          </w:tcPr>
          <w:p>
            <w:pPr>
              <w:pStyle w:val="TableContents"/>
              <w:spacing w:before="0" w:after="0"/>
              <w:rPr/>
            </w:pPr>
            <w:r>
              <w:rPr/>
              <w:t> </w:t>
            </w:r>
          </w:p>
        </w:tc>
        <w:tc>
          <w:tcPr>
            <w:tcW w:w="3035" w:type="dxa"/>
            <w:tcBorders/>
            <w:shd w:fill="auto" w:val="clear"/>
            <w:vAlign w:val="center"/>
          </w:tcPr>
          <w:p>
            <w:pPr>
              <w:pStyle w:val="TableContents"/>
              <w:spacing w:before="0" w:after="0"/>
              <w:jc w:val="center"/>
              <w:rPr>
                <w:b/>
                <w:spacing w:val="0"/>
              </w:rPr>
            </w:pPr>
            <w:r>
              <w:rPr>
                <w:b/>
                <w:spacing w:val="0"/>
              </w:rPr>
              <w:t>3711</w:t>
            </w:r>
          </w:p>
        </w:tc>
        <w:tc>
          <w:tcPr>
            <w:tcW w:w="60" w:type="dxa"/>
            <w:tcBorders/>
            <w:shd w:fill="auto" w:val="clear"/>
            <w:vAlign w:val="center"/>
          </w:tcPr>
          <w:p>
            <w:pPr>
              <w:pStyle w:val="TableContents"/>
              <w:spacing w:before="0" w:after="0"/>
              <w:rPr/>
            </w:pPr>
            <w:r>
              <w:rPr/>
              <w:t> </w:t>
            </w:r>
          </w:p>
        </w:tc>
        <w:tc>
          <w:tcPr>
            <w:tcW w:w="2375" w:type="dxa"/>
            <w:tcBorders/>
            <w:shd w:fill="auto" w:val="clear"/>
            <w:vAlign w:val="center"/>
          </w:tcPr>
          <w:p>
            <w:pPr>
              <w:pStyle w:val="TableContents"/>
              <w:spacing w:before="0" w:after="0"/>
              <w:jc w:val="center"/>
              <w:rPr>
                <w:b/>
                <w:spacing w:val="0"/>
              </w:rPr>
            </w:pPr>
            <w:r>
              <w:rPr>
                <w:b/>
                <w:spacing w:val="0"/>
              </w:rPr>
              <w:t>Not applicable</w:t>
            </w:r>
          </w:p>
        </w:tc>
      </w:tr>
      <w:tr>
        <w:trPr/>
        <w:tc>
          <w:tcPr>
            <w:tcW w:w="3275" w:type="dxa"/>
            <w:tcBorders/>
            <w:shd w:fill="auto" w:val="clear"/>
            <w:vAlign w:val="center"/>
          </w:tcPr>
          <w:p>
            <w:pPr>
              <w:pStyle w:val="TableContents"/>
              <w:spacing w:before="0" w:after="0"/>
              <w:jc w:val="center"/>
              <w:rPr>
                <w:b/>
                <w:spacing w:val="0"/>
              </w:rPr>
            </w:pPr>
            <w:r>
              <w:rPr>
                <w:b/>
                <w:spacing w:val="0"/>
              </w:rPr>
              <w:t>(State or other Jurisdiction of</w:t>
              <w:br/>
              <w:t>Incorporation Or Organization)</w:t>
            </w:r>
          </w:p>
        </w:tc>
        <w:tc>
          <w:tcPr>
            <w:tcW w:w="60" w:type="dxa"/>
            <w:tcBorders/>
            <w:shd w:fill="auto" w:val="clear"/>
            <w:vAlign w:val="center"/>
          </w:tcPr>
          <w:p>
            <w:pPr>
              <w:pStyle w:val="TableContents"/>
              <w:spacing w:before="0" w:after="0"/>
              <w:rPr/>
            </w:pPr>
            <w:r>
              <w:rPr/>
              <w:t> </w:t>
            </w:r>
          </w:p>
        </w:tc>
        <w:tc>
          <w:tcPr>
            <w:tcW w:w="3035" w:type="dxa"/>
            <w:tcBorders/>
            <w:shd w:fill="auto" w:val="clear"/>
            <w:vAlign w:val="center"/>
          </w:tcPr>
          <w:p>
            <w:pPr>
              <w:pStyle w:val="TableContents"/>
              <w:spacing w:before="0" w:after="0"/>
              <w:jc w:val="center"/>
              <w:rPr>
                <w:b/>
                <w:spacing w:val="0"/>
              </w:rPr>
            </w:pPr>
            <w:r>
              <w:rPr>
                <w:b/>
                <w:spacing w:val="0"/>
              </w:rPr>
              <w:t>(Primary Standard Industrial</w:t>
              <w:br/>
              <w:t>Classification Code Number)</w:t>
            </w:r>
          </w:p>
        </w:tc>
        <w:tc>
          <w:tcPr>
            <w:tcW w:w="60" w:type="dxa"/>
            <w:tcBorders/>
            <w:shd w:fill="auto" w:val="clear"/>
            <w:vAlign w:val="center"/>
          </w:tcPr>
          <w:p>
            <w:pPr>
              <w:pStyle w:val="TableContents"/>
              <w:spacing w:before="0" w:after="0"/>
              <w:rPr/>
            </w:pPr>
            <w:r>
              <w:rPr/>
              <w:t> </w:t>
            </w:r>
          </w:p>
        </w:tc>
        <w:tc>
          <w:tcPr>
            <w:tcW w:w="2375" w:type="dxa"/>
            <w:tcBorders/>
            <w:shd w:fill="auto" w:val="clear"/>
            <w:vAlign w:val="center"/>
          </w:tcPr>
          <w:p>
            <w:pPr>
              <w:pStyle w:val="TableContents"/>
              <w:spacing w:before="0" w:after="0"/>
              <w:jc w:val="center"/>
              <w:rPr>
                <w:b/>
                <w:spacing w:val="0"/>
              </w:rPr>
            </w:pPr>
            <w:r>
              <w:rPr>
                <w:b/>
                <w:spacing w:val="0"/>
              </w:rPr>
              <w:t>(I.R.S. Employer</w:t>
              <w:br/>
              <w:t>Identification Number)</w:t>
            </w:r>
          </w:p>
        </w:tc>
      </w:tr>
    </w:tbl>
    <w:p>
      <w:pPr>
        <w:pStyle w:val="TextBody"/>
        <w:spacing w:before="60" w:after="0"/>
        <w:ind w:left="0" w:right="0" w:hanging="0"/>
        <w:jc w:val="center"/>
        <w:rPr>
          <w:rFonts w:ascii="Times New Roman" w:hAnsi="Times New Roman"/>
          <w:b/>
          <w:spacing w:val="0"/>
          <w:sz w:val="18"/>
        </w:rPr>
      </w:pPr>
      <w:r>
        <w:rPr>
          <w:rFonts w:ascii="Times New Roman" w:hAnsi="Times New Roman"/>
          <w:b/>
          <w:spacing w:val="0"/>
          <w:sz w:val="18"/>
        </w:rPr>
        <w:t>Thomas Ingenlath</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Assar Gabrielssons Väg 9</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405 31</w:t>
      </w:r>
    </w:p>
    <w:p>
      <w:pPr>
        <w:pStyle w:val="TextBody"/>
        <w:spacing w:before="0" w:after="0"/>
        <w:jc w:val="center"/>
        <w:rPr>
          <w:rFonts w:ascii="Times New Roman" w:hAnsi="Times New Roman"/>
          <w:b/>
          <w:spacing w:val="0"/>
          <w:sz w:val="18"/>
        </w:rPr>
      </w:pPr>
      <w:r>
        <w:rPr>
          <w:rFonts w:ascii="Times New Roman" w:hAnsi="Times New Roman"/>
          <w:b/>
          <w:spacing w:val="0"/>
          <w:sz w:val="18"/>
        </w:rPr>
        <w:t>Gothenburg</w:t>
      </w:r>
    </w:p>
    <w:p>
      <w:pPr>
        <w:pStyle w:val="TextBody"/>
        <w:spacing w:before="0" w:after="0"/>
        <w:jc w:val="center"/>
        <w:rPr>
          <w:rFonts w:ascii="Times New Roman" w:hAnsi="Times New Roman"/>
          <w:b/>
          <w:spacing w:val="0"/>
          <w:sz w:val="18"/>
        </w:rPr>
      </w:pPr>
      <w:r>
        <w:rPr>
          <w:rFonts w:ascii="Times New Roman" w:hAnsi="Times New Roman"/>
          <w:b/>
          <w:spacing w:val="0"/>
          <w:sz w:val="18"/>
        </w:rPr>
        <w:t xml:space="preserve">, Sweden </w:t>
      </w:r>
    </w:p>
    <w:p>
      <w:pPr>
        <w:pStyle w:val="TextBody"/>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(Address, including zip code, and telephone number, including area code, of registrant’s principal executive offices)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Polestar Automotive Holding USA Inc. </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777 MacArthur Blvd</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Mahwah</w:t>
      </w:r>
    </w:p>
    <w:p>
      <w:pPr>
        <w:pStyle w:val="TextBody"/>
        <w:spacing w:before="0" w:after="0"/>
        <w:jc w:val="center"/>
        <w:rPr>
          <w:rFonts w:ascii="Times New Roman" w:hAnsi="Times New Roman"/>
          <w:b/>
          <w:spacing w:val="0"/>
          <w:sz w:val="18"/>
        </w:rPr>
      </w:pPr>
      <w:r>
        <w:rPr>
          <w:rFonts w:ascii="Times New Roman" w:hAnsi="Times New Roman"/>
          <w:b/>
          <w:spacing w:val="0"/>
          <w:sz w:val="18"/>
        </w:rPr>
        <w:t xml:space="preserve">, NJ </w:t>
      </w:r>
    </w:p>
    <w:p>
      <w:pPr>
        <w:pStyle w:val="TextBody"/>
        <w:spacing w:before="0" w:after="0"/>
        <w:jc w:val="center"/>
        <w:rPr>
          <w:rFonts w:ascii="Times New Roman" w:hAnsi="Times New Roman"/>
          <w:b/>
          <w:spacing w:val="0"/>
          <w:sz w:val="18"/>
        </w:rPr>
      </w:pPr>
      <w:r>
        <w:rPr>
          <w:rFonts w:ascii="Times New Roman" w:hAnsi="Times New Roman"/>
          <w:b/>
          <w:spacing w:val="0"/>
          <w:sz w:val="18"/>
        </w:rPr>
        <w:t>07430</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w:t>
      </w:r>
    </w:p>
    <w:p>
      <w:pPr>
        <w:pStyle w:val="TextBody"/>
        <w:spacing w:before="0" w:after="0"/>
        <w:jc w:val="center"/>
        <w:rPr>
          <w:rFonts w:ascii="Times New Roman" w:hAnsi="Times New Roman"/>
          <w:b/>
          <w:spacing w:val="0"/>
          <w:sz w:val="18"/>
        </w:rPr>
      </w:pPr>
      <w:r>
        <w:rPr>
          <w:rFonts w:ascii="Times New Roman" w:hAnsi="Times New Roman"/>
          <w:b/>
          <w:spacing w:val="0"/>
          <w:sz w:val="18"/>
        </w:rPr>
        <w:t>949</w:t>
      </w:r>
    </w:p>
    <w:p>
      <w:pPr>
        <w:pStyle w:val="TextBody"/>
        <w:spacing w:before="0" w:after="0"/>
        <w:jc w:val="center"/>
        <w:rPr>
          <w:rFonts w:ascii="Times New Roman" w:hAnsi="Times New Roman"/>
          <w:b/>
          <w:spacing w:val="0"/>
          <w:sz w:val="18"/>
        </w:rPr>
      </w:pPr>
      <w:r>
        <w:rPr>
          <w:rFonts w:ascii="Times New Roman" w:hAnsi="Times New Roman"/>
          <w:b/>
          <w:spacing w:val="0"/>
          <w:sz w:val="18"/>
        </w:rPr>
        <w:t>) </w:t>
      </w:r>
    </w:p>
    <w:p>
      <w:pPr>
        <w:pStyle w:val="TextBody"/>
        <w:spacing w:before="0" w:after="0"/>
        <w:jc w:val="center"/>
        <w:rPr>
          <w:rFonts w:ascii="Times New Roman" w:hAnsi="Times New Roman"/>
          <w:b/>
          <w:spacing w:val="0"/>
          <w:sz w:val="18"/>
        </w:rPr>
      </w:pPr>
      <w:r>
        <w:rPr>
          <w:rFonts w:ascii="Times New Roman" w:hAnsi="Times New Roman"/>
          <w:b/>
          <w:spacing w:val="0"/>
          <w:sz w:val="18"/>
        </w:rPr>
        <w:t>735-1834</w:t>
      </w:r>
    </w:p>
    <w:p>
      <w:pPr>
        <w:pStyle w:val="TextBody"/>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(Name, address, including zip code, and telephone number, including area code, of agent for service)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i/>
          <w:caps w:val="false"/>
          <w:smallCaps w:val="false"/>
          <w:spacing w:val="0"/>
          <w:sz w:val="18"/>
        </w:rPr>
      </w:pPr>
      <w:r>
        <w:rPr>
          <w:rFonts w:ascii="Times New Roman" w:hAnsi="Times New Roman"/>
          <w:b/>
          <w:i/>
          <w:caps w:val="false"/>
          <w:smallCaps w:val="false"/>
          <w:spacing w:val="0"/>
          <w:sz w:val="18"/>
        </w:rPr>
        <w:t xml:space="preserve">Copies to: </w:t>
      </w:r>
    </w:p>
    <w:p>
      <w:pPr>
        <w:pStyle w:val="TextBody"/>
        <w:spacing w:before="0" w:after="0"/>
        <w:ind w:left="0" w:right="0" w:hanging="0"/>
        <w:jc w:val="left"/>
        <w:rPr>
          <w:spacing w:val="0"/>
        </w:rPr>
      </w:pPr>
      <w:r>
        <w:rPr>
          <w:spacing w:val="0"/>
        </w:rPr>
        <w:t> </w:t>
      </w:r>
    </w:p>
    <w:tbl>
      <w:tblPr>
        <w:tblW w:w="4750" w:type="dxa"/>
        <w:jc w:val="left"/>
        <w:tblInd w:w="0" w:type="dxa"/>
        <w:tblCellMar>
          <w:top w:w="0" w:type="dxa"/>
          <w:left w:w="0" w:type="dxa"/>
          <w:bottom w:w="0" w:type="dxa"/>
          <w:right w:w="0" w:type="dxa"/>
        </w:tblCellMar>
      </w:tblPr>
      <w:tblGrid>
        <w:gridCol w:w="1760"/>
        <w:gridCol w:w="60"/>
        <w:gridCol w:w="2930"/>
      </w:tblGrid>
      <w:tr>
        <w:trPr/>
        <w:tc>
          <w:tcPr>
            <w:tcW w:w="17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0"/>
              <w:jc w:val="center"/>
              <w:rPr>
                <w:rFonts w:ascii="Times New Roman" w:hAnsi="Times New Roman"/>
                <w:b/>
                <w:spacing w:val="0"/>
                <w:sz w:val="18"/>
              </w:rPr>
            </w:pPr>
            <w:r>
              <w:rPr>
                <w:rFonts w:ascii="Times New Roman" w:hAnsi="Times New Roman"/>
                <w:b/>
                <w:spacing w:val="0"/>
                <w:sz w:val="18"/>
              </w:rPr>
              <w:t>Christian O. Nagler</w:t>
            </w:r>
          </w:p>
          <w:p>
            <w:pPr>
              <w:pStyle w:val="TableContents"/>
              <w:spacing w:before="0" w:after="0"/>
              <w:jc w:val="center"/>
              <w:rPr>
                <w:rFonts w:ascii="Times New Roman" w:hAnsi="Times New Roman"/>
                <w:b/>
                <w:spacing w:val="0"/>
                <w:sz w:val="18"/>
              </w:rPr>
            </w:pPr>
            <w:r>
              <w:rPr>
                <w:rFonts w:ascii="Times New Roman" w:hAnsi="Times New Roman"/>
                <w:b/>
                <w:spacing w:val="0"/>
                <w:sz w:val="18"/>
              </w:rPr>
              <w:t>Timothy Cruickshank</w:t>
            </w:r>
          </w:p>
          <w:p>
            <w:pPr>
              <w:pStyle w:val="TableContents"/>
              <w:spacing w:before="0" w:after="0"/>
              <w:jc w:val="center"/>
              <w:rPr>
                <w:rFonts w:ascii="Times New Roman" w:hAnsi="Times New Roman"/>
                <w:b/>
                <w:spacing w:val="0"/>
                <w:sz w:val="18"/>
              </w:rPr>
            </w:pPr>
            <w:r>
              <w:rPr>
                <w:rFonts w:ascii="Times New Roman" w:hAnsi="Times New Roman"/>
                <w:b/>
                <w:spacing w:val="0"/>
                <w:sz w:val="18"/>
              </w:rPr>
              <w:t>Kirkland &amp; Ellis LLP</w:t>
            </w:r>
          </w:p>
          <w:p>
            <w:pPr>
              <w:pStyle w:val="TableContents"/>
              <w:spacing w:before="0" w:after="0"/>
              <w:jc w:val="center"/>
              <w:rPr>
                <w:rFonts w:ascii="Times New Roman" w:hAnsi="Times New Roman"/>
                <w:b/>
                <w:spacing w:val="0"/>
                <w:sz w:val="18"/>
              </w:rPr>
            </w:pPr>
            <w:r>
              <w:rPr>
                <w:rFonts w:ascii="Times New Roman" w:hAnsi="Times New Roman"/>
                <w:b/>
                <w:spacing w:val="0"/>
                <w:sz w:val="18"/>
              </w:rPr>
              <w:t>601 Lexington Avenue</w:t>
            </w:r>
          </w:p>
          <w:p>
            <w:pPr>
              <w:pStyle w:val="TableContents"/>
              <w:spacing w:before="0" w:after="0"/>
              <w:jc w:val="center"/>
              <w:rPr>
                <w:rFonts w:ascii="Times New Roman" w:hAnsi="Times New Roman"/>
                <w:b/>
                <w:spacing w:val="0"/>
                <w:sz w:val="18"/>
              </w:rPr>
            </w:pPr>
            <w:r>
              <w:rPr>
                <w:rFonts w:ascii="Times New Roman" w:hAnsi="Times New Roman"/>
                <w:b/>
                <w:spacing w:val="0"/>
                <w:sz w:val="18"/>
              </w:rPr>
              <w:t>New York, NY 10022</w:t>
            </w:r>
          </w:p>
          <w:p>
            <w:pPr>
              <w:pStyle w:val="TableContents"/>
              <w:spacing w:before="0" w:after="0"/>
              <w:jc w:val="center"/>
              <w:rPr>
                <w:rFonts w:ascii="Times New Roman" w:hAnsi="Times New Roman"/>
                <w:b/>
                <w:spacing w:val="0"/>
                <w:sz w:val="18"/>
              </w:rPr>
            </w:pPr>
            <w:r>
              <w:rPr>
                <w:rFonts w:ascii="Times New Roman" w:hAnsi="Times New Roman"/>
                <w:b/>
                <w:spacing w:val="0"/>
                <w:sz w:val="18"/>
              </w:rPr>
              <w:t>Tel: (212) 446-4800</w:t>
            </w:r>
          </w:p>
          <w:p>
            <w:pPr>
              <w:pStyle w:val="TableContents"/>
              <w:spacing w:before="0" w:after="20"/>
              <w:jc w:val="center"/>
              <w:rPr>
                <w:rFonts w:ascii="Times New Roman" w:hAnsi="Times New Roman"/>
                <w:b/>
                <w:spacing w:val="0"/>
                <w:sz w:val="18"/>
              </w:rPr>
            </w:pPr>
            <w:r>
              <w:rPr>
                <w:rFonts w:ascii="Times New Roman" w:hAnsi="Times New Roman"/>
                <w:b/>
                <w:spacing w:val="0"/>
                <w:sz w:val="18"/>
              </w:rPr>
              <w:t>Fax: (212) 446-4900</w:t>
            </w:r>
          </w:p>
        </w:tc>
        <w:tc>
          <w:tcPr>
            <w:tcW w:w="60" w:type="dxa"/>
            <w:tcBorders/>
            <w:shd w:fill="auto" w:val="clear"/>
            <w:vAlign w:val="center"/>
          </w:tcPr>
          <w:p>
            <w:pPr>
              <w:pStyle w:val="TableContents"/>
              <w:spacing w:before="0" w:after="0"/>
              <w:rPr/>
            </w:pPr>
            <w:r>
              <w:rPr/>
              <w:t> </w:t>
            </w:r>
          </w:p>
        </w:tc>
        <w:tc>
          <w:tcPr>
            <w:tcW w:w="2930" w:type="dxa"/>
            <w:tcBorders/>
            <w:shd w:fill="auto" w:val="clear"/>
            <w:vAlign w:val="center"/>
          </w:tcPr>
          <w:p>
            <w:pPr>
              <w:pStyle w:val="TableContents"/>
              <w:spacing w:before="0" w:after="0"/>
              <w:jc w:val="center"/>
              <w:rPr>
                <w:rFonts w:ascii="Times New Roman" w:hAnsi="Times New Roman"/>
                <w:b/>
                <w:spacing w:val="0"/>
                <w:sz w:val="18"/>
              </w:rPr>
            </w:pPr>
            <w:r>
              <w:rPr>
                <w:rFonts w:ascii="Times New Roman" w:hAnsi="Times New Roman"/>
                <w:b/>
                <w:spacing w:val="0"/>
                <w:sz w:val="18"/>
              </w:rPr>
              <w:t>Stuart Boyd</w:t>
            </w:r>
          </w:p>
          <w:p>
            <w:pPr>
              <w:pStyle w:val="TableContents"/>
              <w:spacing w:before="0" w:after="0"/>
              <w:jc w:val="center"/>
              <w:rPr>
                <w:rFonts w:ascii="Times New Roman" w:hAnsi="Times New Roman"/>
                <w:b/>
                <w:spacing w:val="0"/>
                <w:sz w:val="18"/>
              </w:rPr>
            </w:pPr>
            <w:r>
              <w:rPr>
                <w:rFonts w:ascii="Times New Roman" w:hAnsi="Times New Roman"/>
                <w:b/>
                <w:spacing w:val="0"/>
                <w:sz w:val="18"/>
              </w:rPr>
              <w:t>Kirkland &amp; Ellis International LLP</w:t>
            </w:r>
          </w:p>
          <w:p>
            <w:pPr>
              <w:pStyle w:val="TableContents"/>
              <w:spacing w:before="0" w:after="0"/>
              <w:jc w:val="center"/>
              <w:rPr>
                <w:rFonts w:ascii="Times New Roman" w:hAnsi="Times New Roman"/>
                <w:b/>
                <w:spacing w:val="0"/>
                <w:sz w:val="18"/>
              </w:rPr>
            </w:pPr>
            <w:r>
              <w:rPr>
                <w:rFonts w:ascii="Times New Roman" w:hAnsi="Times New Roman"/>
                <w:b/>
                <w:spacing w:val="0"/>
                <w:sz w:val="18"/>
              </w:rPr>
              <w:t>30 St Mary Axe</w:t>
            </w:r>
          </w:p>
          <w:p>
            <w:pPr>
              <w:pStyle w:val="TableContents"/>
              <w:spacing w:before="0" w:after="0"/>
              <w:jc w:val="center"/>
              <w:rPr>
                <w:rFonts w:ascii="Times New Roman" w:hAnsi="Times New Roman"/>
                <w:b/>
                <w:spacing w:val="0"/>
                <w:sz w:val="18"/>
              </w:rPr>
            </w:pPr>
            <w:r>
              <w:rPr>
                <w:rFonts w:ascii="Times New Roman" w:hAnsi="Times New Roman"/>
                <w:b/>
                <w:spacing w:val="0"/>
                <w:sz w:val="18"/>
              </w:rPr>
              <w:t>London EC3A 8AF, United Kingdom</w:t>
            </w:r>
          </w:p>
          <w:p>
            <w:pPr>
              <w:pStyle w:val="TableContents"/>
              <w:spacing w:before="0" w:after="20"/>
              <w:jc w:val="center"/>
              <w:rPr>
                <w:rFonts w:ascii="Times New Roman" w:hAnsi="Times New Roman"/>
                <w:b/>
                <w:spacing w:val="0"/>
                <w:sz w:val="18"/>
              </w:rPr>
            </w:pPr>
            <w:r>
              <w:rPr>
                <w:rFonts w:ascii="Times New Roman" w:hAnsi="Times New Roman"/>
                <w:b/>
                <w:spacing w:val="0"/>
                <w:sz w:val="18"/>
              </w:rPr>
              <w:t>Tel.: +44 20 7469 2000</w:t>
            </w:r>
          </w:p>
        </w:tc>
      </w:tr>
    </w:tbl>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jc w:val="left"/>
        <w:rPr>
          <w:rFonts w:ascii="Times New Roman" w:hAnsi="Times New Roman"/>
          <w:b/>
          <w:spacing w:val="0"/>
          <w:sz w:val="18"/>
        </w:rPr>
      </w:pPr>
      <w:r>
        <w:rPr>
          <w:rFonts w:ascii="Times New Roman" w:hAnsi="Times New Roman"/>
          <w:b/>
          <w:spacing w:val="0"/>
          <w:sz w:val="18"/>
        </w:rPr>
        <w:t>Approximate date of commencement of proposed sale to the public:</w:t>
      </w:r>
    </w:p>
    <w:p>
      <w:pPr>
        <w:pStyle w:val="TextBody"/>
        <w:spacing w:before="60" w:after="0"/>
        <w:jc w:val="left"/>
        <w:rPr/>
      </w:pPr>
      <w:r>
        <w:rPr/>
        <w:t> </w:t>
      </w:r>
      <w:r>
        <w:rPr>
          <w:rFonts w:ascii="Times New Roman" w:hAnsi="Times New Roman"/>
          <w:sz w:val="18"/>
        </w:rPr>
        <w:t xml:space="preserve">As soon as practicable after this registration statement becomes effective. </w:t>
      </w:r>
    </w:p>
    <w:p>
      <w:pPr>
        <w:pStyle w:val="TextBody"/>
        <w:spacing w:before="60" w:after="0"/>
        <w:jc w:val="left"/>
        <w:rPr>
          <w:rFonts w:ascii="Times New Roman" w:hAnsi="Times New Roman"/>
          <w:spacing w:val="0"/>
          <w:sz w:val="18"/>
        </w:rPr>
      </w:pPr>
      <w:r>
        <w:rPr>
          <w:rFonts w:ascii="Times New Roman" w:hAnsi="Times New Roman"/>
          <w:spacing w:val="0"/>
          <w:sz w:val="18"/>
        </w:rPr>
        <w:t xml:space="preserve">If any of the securities being registered on this Form are to be offered on a delayed or continuous basis pursuant to Rule 415 under the Securities Act of 1933 (as amended, the “Securities Act”), check the following box.  ☒ </w:t>
      </w:r>
    </w:p>
    <w:p>
      <w:pPr>
        <w:pStyle w:val="TextBody"/>
        <w:spacing w:before="60" w:after="0"/>
        <w:jc w:val="left"/>
        <w:rPr>
          <w:rFonts w:ascii="Times New Roman" w:hAnsi="Times New Roman"/>
          <w:spacing w:val="0"/>
          <w:sz w:val="18"/>
        </w:rPr>
      </w:pPr>
      <w:r>
        <w:rPr>
          <w:rFonts w:ascii="Times New Roman" w:hAnsi="Times New Roman"/>
          <w:spacing w:val="0"/>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before="60" w:after="0"/>
        <w:jc w:val="left"/>
        <w:rPr>
          <w:rFonts w:ascii="Times New Roman" w:hAnsi="Times New Roman"/>
          <w:spacing w:val="0"/>
          <w:sz w:val="18"/>
        </w:rPr>
      </w:pPr>
      <w:r>
        <w:rPr>
          <w:rFonts w:ascii="Times New Roman" w:hAnsi="Times New Roman"/>
          <w:spacing w:val="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60" w:after="0"/>
        <w:jc w:val="left"/>
        <w:rPr>
          <w:rFonts w:ascii="Times New Roman" w:hAnsi="Times New Roman"/>
          <w:spacing w:val="0"/>
          <w:sz w:val="18"/>
        </w:rPr>
      </w:pPr>
      <w:r>
        <w:rPr>
          <w:rFonts w:ascii="Times New Roman" w:hAnsi="Times New Roman"/>
          <w:spacing w:val="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60" w:after="0"/>
        <w:jc w:val="left"/>
        <w:rPr>
          <w:rFonts w:ascii="Times New Roman" w:hAnsi="Times New Roman"/>
          <w:spacing w:val="0"/>
          <w:sz w:val="18"/>
        </w:rPr>
      </w:pPr>
      <w:r>
        <w:rPr>
          <w:rFonts w:ascii="Times New Roman" w:hAnsi="Times New Roman"/>
          <w:spacing w:val="0"/>
          <w:sz w:val="18"/>
        </w:rPr>
        <w:t xml:space="preserve">Indicate by check mark whether the registrant is an emerging growth company as defined in Rule 405 of the Securities Act of 1933. </w:t>
      </w:r>
    </w:p>
    <w:p>
      <w:pPr>
        <w:pStyle w:val="TextBody"/>
        <w:spacing w:before="60" w:after="0"/>
        <w:jc w:val="left"/>
        <w:rPr>
          <w:rFonts w:ascii="Times New Roman" w:hAnsi="Times New Roman"/>
          <w:spacing w:val="0"/>
          <w:sz w:val="18"/>
        </w:rPr>
      </w:pPr>
      <w:r>
        <w:rPr>
          <w:rFonts w:ascii="Times New Roman" w:hAnsi="Times New Roman"/>
          <w:spacing w:val="0"/>
          <w:sz w:val="18"/>
        </w:rPr>
        <w:t>Emerging growth company  ☐</w:t>
      </w:r>
    </w:p>
    <w:p>
      <w:pPr>
        <w:pStyle w:val="TextBody"/>
        <w:spacing w:before="60" w:after="0"/>
        <w:jc w:val="left"/>
        <w:rPr>
          <w:rFonts w:ascii="Times New Roman" w:hAnsi="Times New Roman"/>
          <w:spacing w:val="0"/>
          <w:sz w:val="18"/>
        </w:rPr>
      </w:pPr>
      <w:r>
        <w:rPr>
          <w:rFonts w:ascii="Times New Roman" w:hAnsi="Times New Roman"/>
          <w:spacing w:val="0"/>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ind w:left="0" w:right="0" w:hanging="0"/>
        <w:jc w:val="left"/>
        <w:rPr>
          <w:spacing w:val="0"/>
        </w:rPr>
      </w:pPr>
      <w:r>
        <w:rPr>
          <w:spacing w:val="0"/>
        </w:rPr>
        <w:t> </w:t>
      </w:r>
    </w:p>
    <w:p>
      <w:pPr>
        <w:pStyle w:val="TextBody"/>
        <w:spacing w:lineRule="atLeast" w:line="160" w:before="0" w:after="40"/>
        <w:ind w:left="0" w:right="0" w:hanging="0"/>
        <w:jc w:val="left"/>
        <w:rPr>
          <w:spacing w:val="0"/>
        </w:rPr>
      </w:pPr>
      <w:r>
        <w:rPr>
          <w:spacing w:val="0"/>
        </w:rPr>
        <w:t>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pPr>
            <w:r>
              <w:rPr/>
              <w:t>†</w:t>
            </w:r>
          </w:p>
        </w:tc>
        <w:tc>
          <w:tcPr>
            <w:tcW w:w="10050"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 xml:space="preserve">The term “new or revised financial accounting standard” refers to any update issued by the Financial Accounting Standards Board to its Accounting Standards Codification after April 5, 2012. </w:t>
            </w:r>
          </w:p>
        </w:tc>
      </w:tr>
    </w:tbl>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left"/>
        <w:rPr>
          <w:rFonts w:ascii="Times New Roman" w:hAnsi="Times New Roman"/>
          <w:b/>
          <w:spacing w:val="0"/>
          <w:sz w:val="18"/>
        </w:rPr>
      </w:pPr>
      <w:r>
        <w:rPr>
          <w:rFonts w:ascii="Times New Roman" w:hAnsi="Times New Roman"/>
          <w:b/>
          <w:spacing w:val="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said Section 8(a), may determine. </w:t>
      </w:r>
    </w:p>
    <w:p>
      <w:pPr>
        <w:pStyle w:val="TextBody"/>
        <w:spacing w:before="0" w:after="0"/>
        <w:ind w:left="0" w:right="0" w:hanging="0"/>
        <w:jc w:val="left"/>
        <w:rPr>
          <w:spacing w:val="0"/>
        </w:rPr>
      </w:pPr>
      <w:r>
        <w:rPr>
          <w:spacing w:val="0"/>
        </w:rPr>
        <w:t> </w:t>
      </w:r>
    </w:p>
    <w:p>
      <w:pPr>
        <w:pStyle w:val="TextBody"/>
        <w:spacing w:lineRule="atLeast" w:line="141" w:before="0" w:after="0"/>
        <w:ind w:left="0" w:right="0" w:hanging="0"/>
        <w:jc w:val="left"/>
        <w:rPr>
          <w:spacing w:val="0"/>
        </w:rPr>
      </w:pPr>
      <w:r>
        <w:rPr>
          <w:spacing w:val="0"/>
        </w:rPr>
        <w:t> </w:t>
      </w:r>
    </w:p>
    <w:p>
      <w:pPr>
        <w:pStyle w:val="TextBody"/>
        <w:spacing w:lineRule="atLeast" w:line="141" w:before="0" w:after="40"/>
        <w:ind w:left="0" w:right="0" w:hanging="0"/>
        <w:jc w:val="left"/>
        <w:rPr>
          <w:spacing w:val="0"/>
        </w:rPr>
      </w:pPr>
      <w:r>
        <w:rPr>
          <w:spacing w:val="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EXPLANATORY NOTE </w:t>
      </w:r>
    </w:p>
    <w:p>
      <w:pPr>
        <w:pStyle w:val="TextBody"/>
        <w:spacing w:before="240" w:after="0"/>
        <w:jc w:val="left"/>
        <w:rPr>
          <w:rFonts w:ascii="Times New Roman" w:hAnsi="Times New Roman"/>
          <w:sz w:val="20"/>
        </w:rPr>
      </w:pPr>
      <w:r>
        <w:rPr>
          <w:rFonts w:ascii="Times New Roman" w:hAnsi="Times New Roman"/>
          <w:sz w:val="20"/>
        </w:rPr>
        <w:t xml:space="preserve">On July 12, 2022, Polestar Automotive Holding UK PLC (the “Registrant”) filed a Registration Statement on Form F-1 (File No. 333-266101), as amended by Amendment No. 1 filed on August 18, 2022 and subsequently declared effective by the U.S. Securities and Exchange Commission (the “SEC”) on August 31, 2022 (the “Initial Registration Statement”). On September 20, 2022, the Registrant filed the Post-Effective Amendment No. 1 to the Initial Registration Statement to update and supplement the information contained in the Initial Registration Statement to, among other things, include the Registrant’s consolidated financial statements and the notes thereto as of and for the six month period ended June 30, 2022 and 2021. </w:t>
      </w:r>
    </w:p>
    <w:p>
      <w:pPr>
        <w:pStyle w:val="TextBody"/>
        <w:spacing w:before="240" w:after="0"/>
        <w:jc w:val="left"/>
        <w:rPr>
          <w:rFonts w:ascii="Times New Roman" w:hAnsi="Times New Roman"/>
          <w:sz w:val="20"/>
        </w:rPr>
      </w:pPr>
      <w:r>
        <w:rPr>
          <w:rFonts w:ascii="Times New Roman" w:hAnsi="Times New Roman"/>
          <w:sz w:val="20"/>
        </w:rPr>
        <w:t xml:space="preserve">This Post-Effective Amendment No. 2 to the Initial Registration Statement on Form F-1 further amends the Initial Registration Statement, as previously amended by the Post-Effective Amendment No. 1, and the prospectus therein, and is being filed to (i) include financial information contained in the Registrant’s Annual Report on Form 20-F for the fiscal year ended December 31, 2022, filed with the SEC on April 14, 2023, and (ii) update certain other information in the Initial Registration Statement. </w:t>
      </w:r>
    </w:p>
    <w:p>
      <w:pPr>
        <w:pStyle w:val="TextBody"/>
        <w:spacing w:before="240" w:after="0"/>
        <w:jc w:val="left"/>
        <w:rPr>
          <w:rFonts w:ascii="Times New Roman" w:hAnsi="Times New Roman"/>
          <w:sz w:val="20"/>
        </w:rPr>
      </w:pPr>
      <w:r>
        <w:rPr>
          <w:rFonts w:ascii="Times New Roman" w:hAnsi="Times New Roman"/>
          <w:sz w:val="20"/>
        </w:rPr>
        <w:t xml:space="preserve">The Registration Statement, as amended by this Post-Effective Amendment No. 2, relates solely to the registration of the offer and sale from time to time by the selling securityholders named in prospectus which forms a part of the Registration Statement, as amended,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No additional securities are being registered pursuant to this Post-Effective Amendment No. 2. All applicable registration fees were paid in connection with the filing of the Initial Registration Statement.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are not soliciting an offer to buy these securities in any jurisdiction where such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21, 2023 </w:t>
      </w:r>
    </w:p>
    <w:p>
      <w:pPr>
        <w:pStyle w:val="TextBody"/>
        <w:spacing w:before="120" w:after="0"/>
        <w:jc w:val="left"/>
        <w:rPr>
          <w:rFonts w:ascii="Times New Roman" w:hAnsi="Times New Roman"/>
          <w:b/>
          <w:sz w:val="20"/>
        </w:rPr>
      </w:pPr>
      <w:r>
        <w:rPr>
          <w:rFonts w:ascii="Times New Roman" w:hAnsi="Times New Roman"/>
          <w:b/>
          <w:sz w:val="20"/>
        </w:rPr>
        <w:t xml:space="preserve">PRELIMINARY PROSPECTUS </w:t>
      </w:r>
    </w:p>
    <w:p>
      <w:pPr>
        <w:pStyle w:val="TextBody"/>
        <w:spacing w:before="120" w:after="0"/>
        <w:jc w:val="center"/>
        <w:rPr>
          <w:rFonts w:ascii="Times New Roman" w:hAnsi="Times New Roman"/>
          <w:b/>
          <w:sz w:val="48"/>
        </w:rPr>
      </w:pPr>
      <w:r>
        <w:rPr>
          <w:rFonts w:ascii="Times New Roman" w:hAnsi="Times New Roman"/>
          <w:b/>
          <w:sz w:val="48"/>
        </w:rPr>
        <w:t xml:space="preserve">Polestar Automotive Holding UK PLC </w:t>
      </w:r>
    </w:p>
    <w:p>
      <w:pPr>
        <w:pStyle w:val="TextBody"/>
        <w:spacing w:before="120" w:after="0"/>
        <w:jc w:val="center"/>
        <w:rPr>
          <w:rFonts w:ascii="Times New Roman" w:hAnsi="Times New Roman"/>
          <w:b/>
          <w:sz w:val="28"/>
        </w:rPr>
      </w:pPr>
      <w:r>
        <w:rPr>
          <w:rFonts w:ascii="Times New Roman" w:hAnsi="Times New Roman"/>
          <w:b/>
          <w:sz w:val="28"/>
        </w:rPr>
        <w:t xml:space="preserve">UP TO 2,203,977,609 CLASS A ADSs, </w:t>
      </w:r>
    </w:p>
    <w:p>
      <w:pPr>
        <w:pStyle w:val="TextBody"/>
        <w:spacing w:before="0" w:after="0"/>
        <w:jc w:val="center"/>
        <w:rPr>
          <w:rFonts w:ascii="Times New Roman" w:hAnsi="Times New Roman"/>
          <w:b/>
          <w:sz w:val="28"/>
        </w:rPr>
      </w:pPr>
      <w:r>
        <w:rPr>
          <w:rFonts w:ascii="Times New Roman" w:hAnsi="Times New Roman"/>
          <w:b/>
          <w:sz w:val="28"/>
        </w:rPr>
        <w:t xml:space="preserve">UP TO 24,999,965 CLASS A ADSs ISSUABLE UPON CONVERSION OF CLASS C ADSs AND </w:t>
      </w:r>
    </w:p>
    <w:p>
      <w:pPr>
        <w:pStyle w:val="TextBody"/>
        <w:spacing w:before="0" w:after="0"/>
        <w:jc w:val="center"/>
        <w:rPr>
          <w:rFonts w:ascii="Times New Roman" w:hAnsi="Times New Roman"/>
          <w:b/>
          <w:sz w:val="28"/>
        </w:rPr>
      </w:pPr>
      <w:r>
        <w:rPr>
          <w:rFonts w:ascii="Times New Roman" w:hAnsi="Times New Roman"/>
          <w:b/>
          <w:sz w:val="28"/>
        </w:rPr>
        <w:t xml:space="preserve">UP TO 9,000,000 Class C-2 ADSs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9"/>
        </w:rPr>
      </w:pPr>
      <w:r>
        <w:rPr>
          <w:rFonts w:ascii="Times New Roman" w:hAnsi="Times New Roman"/>
          <w:sz w:val="19"/>
        </w:rPr>
        <w:t xml:space="preserve">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This prospectus also covers any additional securities that may become issuable by reason of share splits, share dividends or similar transactions. </w:t>
      </w:r>
    </w:p>
    <w:p>
      <w:pPr>
        <w:pStyle w:val="TextBody"/>
        <w:spacing w:before="120" w:after="0"/>
        <w:jc w:val="left"/>
        <w:rPr>
          <w:rFonts w:ascii="Times New Roman" w:hAnsi="Times New Roman"/>
          <w:sz w:val="19"/>
        </w:rPr>
      </w:pPr>
      <w:r>
        <w:rPr>
          <w:rFonts w:ascii="Times New Roman" w:hAnsi="Times New Roman"/>
          <w:sz w:val="19"/>
        </w:rPr>
        <w:t xml:space="preserve">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 </w:t>
      </w:r>
    </w:p>
    <w:p>
      <w:pPr>
        <w:pStyle w:val="TextBody"/>
        <w:spacing w:before="120" w:after="0"/>
        <w:jc w:val="left"/>
        <w:rPr>
          <w:rFonts w:ascii="Times New Roman" w:hAnsi="Times New Roman"/>
          <w:sz w:val="19"/>
        </w:rPr>
      </w:pPr>
      <w:r>
        <w:rPr>
          <w:rFonts w:ascii="Times New Roman" w:hAnsi="Times New Roman"/>
          <w:sz w:val="19"/>
        </w:rPr>
        <w:t xml:space="preserve">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 </w:t>
      </w:r>
    </w:p>
    <w:p>
      <w:pPr>
        <w:pStyle w:val="TextBody"/>
        <w:spacing w:before="120" w:after="0"/>
        <w:jc w:val="left"/>
        <w:rPr>
          <w:rFonts w:ascii="Times New Roman" w:hAnsi="Times New Roman"/>
          <w:sz w:val="19"/>
        </w:rPr>
      </w:pPr>
      <w:r>
        <w:rPr>
          <w:rFonts w:ascii="Times New Roman" w:hAnsi="Times New Roman"/>
          <w:sz w:val="19"/>
        </w:rPr>
        <w:t xml:space="preserve">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19"/>
        </w:rPr>
      </w:pPr>
      <w:r>
        <w:rPr>
          <w:rFonts w:ascii="Times New Roman" w:hAnsi="Times New Roman"/>
          <w:sz w:val="19"/>
        </w:rPr>
        <w:t xml:space="preserve">exercise their Class C ADSs. We will pay certain expenses associated with the registration of the resale of the securities covered by this prospectus, as described in the section titled “Plan of Distribution.” </w:t>
      </w:r>
    </w:p>
    <w:p>
      <w:pPr>
        <w:pStyle w:val="TextBody"/>
        <w:spacing w:before="120" w:after="0"/>
        <w:jc w:val="left"/>
        <w:rPr>
          <w:rFonts w:ascii="Times New Roman" w:hAnsi="Times New Roman"/>
          <w:sz w:val="19"/>
        </w:rPr>
      </w:pPr>
      <w:r>
        <w:rPr>
          <w:rFonts w:ascii="Times New Roman" w:hAnsi="Times New Roman"/>
          <w:sz w:val="19"/>
        </w:rPr>
        <w:t xml:space="preserve">Our Class A ADSs and Class C-1 ADSs are listed on the Nasdaq Stock Market LLC (“Nasdaq”), under the trading symbols “PSNY” and “PSNYW,” respectively. On April 20, 2023, the closing price for our Class A ADSs on Nasdaq was $3.59. On April 20, 2023, the closing price for our Class C-1 ADSs on Nasdaq was $0.76. </w:t>
      </w:r>
    </w:p>
    <w:p>
      <w:pPr>
        <w:pStyle w:val="TextBody"/>
        <w:spacing w:before="120" w:after="0"/>
        <w:jc w:val="left"/>
        <w:rPr>
          <w:rFonts w:ascii="Times New Roman" w:hAnsi="Times New Roman"/>
          <w:sz w:val="19"/>
        </w:rPr>
      </w:pPr>
      <w:r>
        <w:rPr>
          <w:rFonts w:ascii="Times New Roman" w:hAnsi="Times New Roman"/>
          <w:sz w:val="19"/>
        </w:rPr>
        <w:t xml:space="preserve">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Class A ADSs and Class C ADSs being offered for resale in this prospectus (collectively, the “Resale Securities”) represent a substantial percentage of the total outstanding ADSs as of the date of this prospectus. The Class A ADSs being offered in this prospectus represent approximately 476.6% of our current outstanding Class A ADSs, assuming the Earn Out Shares issuable pursuant to the Business Combination Agreement are not outstanding, or approximately 356.1%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 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$3.59 as of April 20, 2023, upon the sale of our Class A ADSs, (a) Former Parent Shareholders may experience a potential loss of up to $6.41 per Class A ADS, (b) GGI Sponsor, the PIPE Investors and Snita may experience a potential loss of up to $5.83 per Subscription Share, (c) the GGI Sponsor may experience a potential profit of approximately $3.59 per Class A ADS issued to the GGI Sponsor upon conversion of the shares of GGI Class F Common Stock, (d) Snita may experience a potential loss of up to $6.41 per Class A ADS issued to Snita upon conversion of the Volvo Cars Preference Subscription Shares, (e) the marketing consulting service provider may experience a potential loss of up to $6.41 per Class A ADS, and (f) Former Parent Convertible Notes Holders may experience a potential loss of up to $4.59 per Class A ADS. Based on the closing price of our Class C-1 ADSs of $0.76 as of April 20, 2023, upon the sale of the Class C-2 ADSs, the GGI Sponsor may experience a potential loss of up to $1.24 per Class C-2 ADS. </w:t>
      </w:r>
    </w:p>
    <w:p>
      <w:pPr>
        <w:pStyle w:val="TextBody"/>
        <w:spacing w:before="120" w:after="0"/>
        <w:jc w:val="left"/>
        <w:rPr>
          <w:rFonts w:ascii="Times New Roman" w:hAnsi="Times New Roman"/>
          <w:sz w:val="19"/>
        </w:rPr>
      </w:pPr>
      <w:r>
        <w:rPr>
          <w:rFonts w:ascii="Times New Roman" w:hAnsi="Times New Roman"/>
          <w:sz w:val="19"/>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spacing w:before="120" w:after="0"/>
        <w:jc w:val="left"/>
        <w:rPr>
          <w:rFonts w:ascii="Times New Roman" w:hAnsi="Times New Roman"/>
          <w:sz w:val="19"/>
        </w:rPr>
      </w:pPr>
      <w:r>
        <w:rPr>
          <w:rFonts w:ascii="Times New Roman" w:hAnsi="Times New Roman"/>
          <w:sz w:val="19"/>
        </w:rPr>
        <w:t xml:space="preserve">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pPr>
      <w:r>
        <w:rPr>
          <w:rFonts w:ascii="Times New Roman" w:hAnsi="Times New Roman"/>
          <w:b/>
          <w:sz w:val="23"/>
        </w:rPr>
        <w:t>Investing in our securities involves a high degree of risk. You should carefully review the risks and uncertainties described under the heading “</w:t>
      </w:r>
      <w:hyperlink w:anchor="rom472016_10">
        <w:r>
          <w:rPr>
            <w:rStyle w:val="InternetLink"/>
            <w:rFonts w:ascii="Times New Roman" w:hAnsi="Times New Roman"/>
            <w:b/>
            <w:sz w:val="23"/>
          </w:rPr>
          <w:t>Risk Factors</w:t>
        </w:r>
      </w:hyperlink>
      <w:r>
        <w:rPr>
          <w:rFonts w:ascii="Times New Roman" w:hAnsi="Times New Roman"/>
          <w:b/>
          <w:sz w:val="23"/>
        </w:rPr>
        <w:t xml:space="preserve">” beginning on page 10 of this prospectus, as well as the other parts of this prospectus and any prospectus supplement or amendment carefully, before you make an investment in the securities.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9"/>
        </w:rPr>
      </w:pPr>
      <w:r>
        <w:rPr>
          <w:rFonts w:ascii="Times New Roman" w:hAnsi="Times New Roman"/>
          <w:sz w:val="19"/>
        </w:rPr>
        <w:t xml:space="preserve">Neither the SEC nor any state or foreign securities commission has approved or disapproved of these securities or determined if this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19"/>
        </w:rPr>
      </w:pPr>
      <w:r>
        <w:rPr>
          <w:rFonts w:ascii="Times New Roman" w:hAnsi="Times New Roman"/>
          <w:b/>
          <w:sz w:val="19"/>
        </w:rPr>
        <w:t xml:space="preserve">Prospectus dated                         , 2023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6880" w:type="dxa"/>
        <w:jc w:val="left"/>
        <w:tblInd w:w="0" w:type="dxa"/>
        <w:tblCellMar>
          <w:top w:w="0" w:type="dxa"/>
          <w:left w:w="0" w:type="dxa"/>
          <w:bottom w:w="0" w:type="dxa"/>
          <w:right w:w="0" w:type="dxa"/>
        </w:tblCellMar>
      </w:tblPr>
      <w:tblGrid>
        <w:gridCol w:w="6245"/>
        <w:gridCol w:w="120"/>
        <w:gridCol w:w="60"/>
        <w:gridCol w:w="380"/>
        <w:gridCol w:w="75"/>
      </w:tblGrid>
      <w:tr>
        <w:trPr/>
        <w:tc>
          <w:tcPr>
            <w:tcW w:w="6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245" w:type="dxa"/>
            <w:tcBorders/>
            <w:shd w:fill="auto" w:val="clear"/>
            <w:vAlign w:val="center"/>
          </w:tcPr>
          <w:p>
            <w:pPr>
              <w:pStyle w:val="TableContents"/>
              <w:spacing w:before="0" w:after="0"/>
              <w:rPr/>
            </w:pPr>
            <w:hyperlink w:anchor="rom472016_1">
              <w:r>
                <w:rPr>
                  <w:rStyle w:val="InternetLink"/>
                  <w:rFonts w:ascii="Times New Roman" w:hAnsi="Times New Roman"/>
                  <w:sz w:val="20"/>
                </w:rPr>
                <w:t>TRADEMARKS, SERVICE MARKS AND TRADE NAMES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ii</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
              <w:r>
                <w:rPr>
                  <w:rStyle w:val="InternetLink"/>
                  <w:rFonts w:ascii="Times New Roman" w:hAnsi="Times New Roman"/>
                  <w:sz w:val="20"/>
                </w:rPr>
                <w:t>CURRENCY AND EXCHANGE RATES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ii</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3">
              <w:r>
                <w:rPr>
                  <w:rStyle w:val="InternetLink"/>
                  <w:rFonts w:ascii="Times New Roman" w:hAnsi="Times New Roman"/>
                  <w:sz w:val="20"/>
                </w:rPr>
                <w:t>INDUSTRY AND MARKET DATA</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ii</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4">
              <w:r>
                <w:rPr>
                  <w:rStyle w:val="InternetLink"/>
                  <w:rFonts w:ascii="Times New Roman" w:hAnsi="Times New Roman"/>
                  <w:sz w:val="20"/>
                </w:rPr>
                <w:t>ABOUT THIS PROSPECTUS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ii</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5">
              <w:r>
                <w:rPr>
                  <w:rStyle w:val="InternetLink"/>
                  <w:rFonts w:ascii="Times New Roman" w:hAnsi="Times New Roman"/>
                  <w:sz w:val="20"/>
                </w:rPr>
                <w:t>PRESENTATION OF FINANCIAL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iii</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6">
              <w:r>
                <w:rPr>
                  <w:rStyle w:val="InternetLink"/>
                  <w:rFonts w:ascii="Times New Roman" w:hAnsi="Times New Roman"/>
                  <w:sz w:val="20"/>
                </w:rPr>
                <w:t>CERTAIN DEFINED TERMS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iv</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7">
              <w:r>
                <w:rPr>
                  <w:rStyle w:val="InternetLink"/>
                  <w:rFonts w:ascii="Times New Roman" w:hAnsi="Times New Roman"/>
                  <w:sz w:val="20"/>
                </w:rPr>
                <w:t>CAUTIONARY NOTE REGARDING FORWARD-LOOKING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xi</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8">
              <w:r>
                <w:rPr>
                  <w:rStyle w:val="InternetLink"/>
                  <w:rFonts w:ascii="Times New Roman" w:hAnsi="Times New Roman"/>
                  <w:sz w:val="20"/>
                </w:rPr>
                <w:t>PROSPECTUS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9">
              <w:r>
                <w:rPr>
                  <w:rStyle w:val="InternetLink"/>
                  <w:rFonts w:ascii="Times New Roman" w:hAnsi="Times New Roman"/>
                  <w:sz w:val="20"/>
                </w:rPr>
                <w:t>THE OFFERING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0">
              <w:r>
                <w:rPr>
                  <w:rStyle w:val="InternetLink"/>
                  <w:rFonts w:ascii="Times New Roman" w:hAnsi="Times New Roman"/>
                  <w:sz w:val="20"/>
                </w:rPr>
                <w:t>RISK FACTORS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1">
              <w:r>
                <w:rPr>
                  <w:rStyle w:val="InternetLink"/>
                  <w:rFonts w:ascii="Times New Roman" w:hAnsi="Times New Roman"/>
                  <w:sz w:val="20"/>
                </w:rPr>
                <w:t>CAPITALIZATION AND INDEBTEDNESS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75</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2">
              <w:r>
                <w:rPr>
                  <w:rStyle w:val="InternetLink"/>
                  <w:rFonts w:ascii="Times New Roman" w:hAnsi="Times New Roman"/>
                  <w:sz w:val="20"/>
                </w:rPr>
                <w:t>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76</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3">
              <w:r>
                <w:rPr>
                  <w:rStyle w:val="InternetLink"/>
                  <w:rFonts w:ascii="Times New Roman" w:hAnsi="Times New Roman"/>
                  <w:sz w:val="20"/>
                </w:rPr>
                <w:t>MARKET PRICE OF OUR SECURITIES AND DIVIDEND POLICY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77</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4">
              <w:r>
                <w:rPr>
                  <w:rStyle w:val="InternetLink"/>
                  <w:rFonts w:ascii="Times New Roman" w:hAnsi="Times New Roman"/>
                  <w:sz w:val="20"/>
                </w:rPr>
                <w:t>BUSINESS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5">
              <w:r>
                <w:rPr>
                  <w:rStyle w:val="InternetLink"/>
                  <w:rFonts w:ascii="Times New Roman" w:hAnsi="Times New Roman"/>
                  <w:sz w:val="20"/>
                </w:rPr>
                <w:t>OPERATING AND FINANCIAL REVIEW AND PROSPECTS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105</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6">
              <w:r>
                <w:rPr>
                  <w:rStyle w:val="InternetLink"/>
                  <w:rFonts w:ascii="Times New Roman" w:hAnsi="Times New Roman"/>
                  <w:sz w:val="20"/>
                </w:rPr>
                <w:t>BOARD OF DIRECTORS AND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129</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7">
              <w:r>
                <w:rPr>
                  <w:rStyle w:val="InternetLink"/>
                  <w:rFonts w:ascii="Times New Roman" w:hAnsi="Times New Roman"/>
                  <w:sz w:val="20"/>
                </w:rPr>
                <w:t>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138</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8">
              <w:r>
                <w:rPr>
                  <w:rStyle w:val="InternetLink"/>
                  <w:rFonts w:ascii="Times New Roman" w:hAnsi="Times New Roman"/>
                  <w:sz w:val="20"/>
                </w:rPr>
                <w:t>BENEFICIAL OWNERSHIP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149</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19">
              <w:r>
                <w:rPr>
                  <w:rStyle w:val="InternetLink"/>
                  <w:rFonts w:ascii="Times New Roman" w:hAnsi="Times New Roman"/>
                  <w:sz w:val="20"/>
                </w:rPr>
                <w:t>SELLING SECURITYHOLDERS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152</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0">
              <w:r>
                <w:rPr>
                  <w:rStyle w:val="InternetLink"/>
                  <w:rFonts w:ascii="Times New Roman" w:hAnsi="Times New Roman"/>
                  <w:sz w:val="20"/>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165</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1">
              <w:r>
                <w:rPr>
                  <w:rStyle w:val="InternetLink"/>
                  <w:rFonts w:ascii="Times New Roman" w:hAnsi="Times New Roman"/>
                  <w:sz w:val="20"/>
                </w:rPr>
                <w:t>DESCRIPTION OF SHARE CAPITAL AND ARTICLES OF ASSOCIATION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186</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2">
              <w:r>
                <w:rPr>
                  <w:rStyle w:val="InternetLink"/>
                  <w:rFonts w:ascii="Times New Roman" w:hAnsi="Times New Roman"/>
                  <w:sz w:val="20"/>
                </w:rPr>
                <w:t>DESCRIPTION OF AMERICAN DEPOSITARY SHARES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200</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3">
              <w:r>
                <w:rPr>
                  <w:rStyle w:val="InternetLink"/>
                  <w:rFonts w:ascii="Times New Roman" w:hAnsi="Times New Roman"/>
                  <w:sz w:val="20"/>
                </w:rPr>
                <w:t>SECURITIES ELIGIBLE FOR FUTURE SALE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215</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4">
              <w:r>
                <w:rPr>
                  <w:rStyle w:val="InternetLink"/>
                  <w:rFonts w:ascii="Times New Roman" w:hAnsi="Times New Roman"/>
                  <w:sz w:val="20"/>
                </w:rPr>
                <w:t>TAXATION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218</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5">
              <w:r>
                <w:rPr>
                  <w:rStyle w:val="InternetLink"/>
                  <w:rFonts w:ascii="Times New Roman" w:hAnsi="Times New Roman"/>
                  <w:sz w:val="20"/>
                </w:rPr>
                <w:t>PLAN OF DISTRIBUTION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228</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6">
              <w:r>
                <w:rPr>
                  <w:rStyle w:val="InternetLink"/>
                  <w:rFonts w:ascii="Times New Roman" w:hAnsi="Times New Roman"/>
                  <w:sz w:val="20"/>
                </w:rPr>
                <w:t>EXPENSES RELATED TO THE OFFERING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233</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7">
              <w:r>
                <w:rPr>
                  <w:rStyle w:val="InternetLink"/>
                  <w:rFonts w:ascii="Times New Roman" w:hAnsi="Times New Roman"/>
                  <w:sz w:val="20"/>
                </w:rPr>
                <w:t>LEGAL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234</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8">
              <w:r>
                <w:rPr>
                  <w:rStyle w:val="InternetLink"/>
                  <w:rFonts w:ascii="Times New Roman" w:hAnsi="Times New Roman"/>
                  <w:sz w:val="20"/>
                </w:rPr>
                <w:t>EXPERTS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235</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29">
              <w:r>
                <w:rPr>
                  <w:rStyle w:val="InternetLink"/>
                  <w:rFonts w:ascii="Times New Roman" w:hAnsi="Times New Roman"/>
                  <w:sz w:val="20"/>
                </w:rPr>
                <w:t>SERVICE OF PROCESS AND ENFORCEMENT OF LIABILITIES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236</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30">
              <w:r>
                <w:rPr>
                  <w:rStyle w:val="InternetLink"/>
                  <w:rFonts w:ascii="Times New Roman" w:hAnsi="Times New Roman"/>
                  <w:sz w:val="20"/>
                </w:rPr>
                <w:t>WHERE YOU CAN FIND 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238</w:t>
            </w:r>
          </w:p>
        </w:tc>
        <w:tc>
          <w:tcPr>
            <w:tcW w:w="75" w:type="dxa"/>
            <w:tcBorders/>
            <w:shd w:fill="auto" w:val="clear"/>
            <w:vAlign w:val="center"/>
          </w:tcPr>
          <w:p>
            <w:pPr>
              <w:pStyle w:val="TableContents"/>
              <w:spacing w:before="0" w:after="283"/>
              <w:rPr/>
            </w:pPr>
            <w:r>
              <w:rPr/>
              <w:t> </w:t>
            </w:r>
          </w:p>
        </w:tc>
      </w:tr>
      <w:tr>
        <w:trPr/>
        <w:tc>
          <w:tcPr>
            <w:tcW w:w="6245" w:type="dxa"/>
            <w:tcBorders/>
            <w:shd w:fill="auto" w:val="clear"/>
            <w:vAlign w:val="center"/>
          </w:tcPr>
          <w:p>
            <w:pPr>
              <w:pStyle w:val="TableContents"/>
              <w:spacing w:before="0" w:after="0"/>
              <w:rPr/>
            </w:pPr>
            <w:hyperlink w:anchor="rom472016_31">
              <w:r>
                <w:rPr>
                  <w:rStyle w:val="InternetLink"/>
                  <w:rFonts w:ascii="Times New Roman" w:hAnsi="Times New Roman"/>
                  <w:sz w:val="20"/>
                </w:rPr>
                <w:t>INDEX TO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F-1</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rom472016_1"/>
      <w:bookmarkEnd w:id="3"/>
      <w:r>
        <w:rPr>
          <w:rFonts w:ascii="Times New Roman" w:hAnsi="Times New Roman"/>
          <w:b/>
          <w:sz w:val="20"/>
        </w:rPr>
        <w:t xml:space="preserve">TRADEMARKS, SERVICE MARKS AND TRADE NAMES </w:t>
      </w:r>
    </w:p>
    <w:p>
      <w:pPr>
        <w:pStyle w:val="TextBody"/>
        <w:spacing w:before="240" w:after="0"/>
        <w:jc w:val="left"/>
        <w:rPr>
          <w:rFonts w:ascii="Times New Roman" w:hAnsi="Times New Roman"/>
          <w:sz w:val="20"/>
        </w:rPr>
      </w:pPr>
      <w:r>
        <w:rPr>
          <w:rFonts w:ascii="Times New Roman" w:hAnsi="Times New Roman"/>
          <w:sz w:val="20"/>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 </w:t>
      </w:r>
    </w:p>
    <w:p>
      <w:pPr>
        <w:pStyle w:val="TextBody"/>
        <w:spacing w:before="480" w:after="0"/>
        <w:jc w:val="center"/>
        <w:rPr>
          <w:rFonts w:ascii="Times New Roman" w:hAnsi="Times New Roman"/>
          <w:b/>
          <w:sz w:val="20"/>
        </w:rPr>
      </w:pPr>
      <w:bookmarkStart w:id="4" w:name="rom472016_2"/>
      <w:bookmarkEnd w:id="4"/>
      <w:r>
        <w:rPr>
          <w:rFonts w:ascii="Times New Roman" w:hAnsi="Times New Roman"/>
          <w:b/>
          <w:sz w:val="20"/>
        </w:rPr>
        <w:t xml:space="preserve">CURRENCY AND EXCHANGE RATES </w:t>
      </w:r>
    </w:p>
    <w:p>
      <w:pPr>
        <w:pStyle w:val="TextBody"/>
        <w:spacing w:before="240" w:after="0"/>
        <w:jc w:val="left"/>
        <w:rPr>
          <w:rFonts w:ascii="Times New Roman" w:hAnsi="Times New Roman"/>
          <w:sz w:val="20"/>
        </w:rPr>
      </w:pPr>
      <w:r>
        <w:rPr>
          <w:rFonts w:ascii="Times New Roman" w:hAnsi="Times New Roman"/>
          <w:sz w:val="20"/>
        </w:rPr>
        <w:t xml:space="preserve">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 </w:t>
      </w:r>
    </w:p>
    <w:p>
      <w:pPr>
        <w:pStyle w:val="TextBody"/>
        <w:spacing w:before="480" w:after="0"/>
        <w:jc w:val="center"/>
        <w:rPr>
          <w:rFonts w:ascii="Times New Roman" w:hAnsi="Times New Roman"/>
          <w:b/>
          <w:sz w:val="20"/>
        </w:rPr>
      </w:pPr>
      <w:bookmarkStart w:id="5" w:name="rom472016_3"/>
      <w:bookmarkEnd w:id="5"/>
      <w:r>
        <w:rPr>
          <w:rFonts w:ascii="Times New Roman" w:hAnsi="Times New Roman"/>
          <w:b/>
          <w:sz w:val="20"/>
        </w:rPr>
        <w:t xml:space="preserve">INDUSTRY AND MARKET DATA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 </w:t>
      </w:r>
    </w:p>
    <w:p>
      <w:pPr>
        <w:pStyle w:val="TextBody"/>
        <w:spacing w:before="480" w:after="0"/>
        <w:jc w:val="center"/>
        <w:rPr>
          <w:rFonts w:ascii="Times New Roman" w:hAnsi="Times New Roman"/>
          <w:b/>
          <w:sz w:val="20"/>
        </w:rPr>
      </w:pPr>
      <w:bookmarkStart w:id="6" w:name="rom472016_4"/>
      <w:bookmarkEnd w:id="6"/>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Further,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U.S. or to permit the possession or distribution of this prospectus outside the U.S. Persons outside the U.S. who come into possession of this prospectus must inform themselves about and observe any restrictions relating to the offering of these securities and the distribution of this prospectus outside the U.S.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 </w:t>
      </w:r>
    </w:p>
    <w:p>
      <w:pPr>
        <w:pStyle w:val="TextBody"/>
        <w:spacing w:before="480" w:after="0"/>
        <w:jc w:val="center"/>
        <w:rPr>
          <w:rFonts w:ascii="Times New Roman" w:hAnsi="Times New Roman"/>
          <w:b/>
          <w:sz w:val="20"/>
        </w:rPr>
      </w:pPr>
      <w:bookmarkStart w:id="7" w:name="rom472016_5"/>
      <w:bookmarkEnd w:id="7"/>
      <w:r>
        <w:rPr>
          <w:rFonts w:ascii="Times New Roman" w:hAnsi="Times New Roman"/>
          <w:b/>
          <w:sz w:val="20"/>
        </w:rPr>
        <w:t xml:space="preserve">PRESENTATION OF FINANCIAL INFORMATION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Polestar Automotive Holding UK PLC (formerly known as Polestar Automotive Holding UK Limited) as of December 31, 2022 and 2021 and for each of the three years in the period ended December 31, 2022 were prepared in accordance with International Financial Reporting Standards (“IFRS”) as issued by the International Accounting Standards Board (“IASB”) and are denominated in U.S. dollars.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rom472016_6"/>
      <w:bookmarkEnd w:id="8"/>
      <w:r>
        <w:rPr>
          <w:rFonts w:ascii="Times New Roman" w:hAnsi="Times New Roman"/>
          <w:b/>
          <w:sz w:val="20"/>
        </w:rPr>
        <w:t xml:space="preserve">CERTAIN DEFINED TERMS </w:t>
      </w:r>
    </w:p>
    <w:p>
      <w:pPr>
        <w:pStyle w:val="TextBody"/>
        <w:spacing w:before="240" w:after="0"/>
        <w:jc w:val="left"/>
        <w:rPr>
          <w:rFonts w:ascii="Times New Roman" w:hAnsi="Times New Roman"/>
          <w:sz w:val="20"/>
        </w:rPr>
      </w:pPr>
      <w:r>
        <w:rPr>
          <w:rFonts w:ascii="Times New Roman" w:hAnsi="Times New Roman"/>
          <w:sz w:val="20"/>
        </w:rPr>
        <w:t xml:space="preserve">Unless otherwise stated in this prospectus or the context otherwise requires, references to: </w:t>
      </w:r>
    </w:p>
    <w:p>
      <w:pPr>
        <w:pStyle w:val="TextBody"/>
        <w:spacing w:before="240" w:after="0"/>
        <w:jc w:val="left"/>
        <w:rPr/>
      </w:pPr>
      <w:r>
        <w:rPr/>
        <w:t>“</w:t>
      </w:r>
      <w:r>
        <w:rPr>
          <w:rFonts w:ascii="Times New Roman" w:hAnsi="Times New Roman"/>
          <w:sz w:val="20"/>
        </w:rPr>
        <w:t xml:space="preserve">AD securities” or “ADSs” means Class A ADSs and Class C ADSs. </w:t>
      </w:r>
    </w:p>
    <w:p>
      <w:pPr>
        <w:pStyle w:val="TextBody"/>
        <w:spacing w:before="240" w:after="0"/>
        <w:jc w:val="left"/>
        <w:rPr/>
      </w:pPr>
      <w:r>
        <w:rPr/>
        <w:t>“</w:t>
      </w:r>
      <w:r>
        <w:rPr>
          <w:rFonts w:ascii="Times New Roman" w:hAnsi="Times New Roman"/>
          <w:sz w:val="20"/>
        </w:rPr>
        <w:t xml:space="preserve">ADS Deposit Agreement—Class A ADSs” means the ADS Deposit Agreement, by and among the Company, Citibank, N.A., as depositary, and all holders and beneficial owners from time to time of American depositary shares issued thereunder and representing deposited Class A Shares,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ADS Deposit Agreement—Class C-1 ADSs”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ADS Deposit Agreement—Class C-2 ADSs”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Amendment No. 1 to the Business Combination Agreement” means that certain amendment to the Business Combination Agreement, dated as of December 17, 2021,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Amendment No. 2 to the Business Combination Agreement” means that certain amendment to the Business Combination Agreement, dated as of March 24, 2022,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Amendment No. 3 to the Business Combination Agreement” means that certain amendment to the Business Combination Agreement, dated as of April 21, 2022,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Board” means the board of directors of the Company. </w:t>
      </w:r>
    </w:p>
    <w:p>
      <w:pPr>
        <w:pStyle w:val="TextBody"/>
        <w:spacing w:before="240" w:after="0"/>
        <w:jc w:val="left"/>
        <w:rPr/>
      </w:pPr>
      <w:r>
        <w:rPr/>
        <w:t>“</w:t>
      </w:r>
      <w:r>
        <w:rPr>
          <w:rFonts w:ascii="Times New Roman" w:hAnsi="Times New Roman"/>
          <w:sz w:val="20"/>
        </w:rPr>
        <w:t xml:space="preserve">Business Combination” means the transactions contemplated by the Business Combination Agreement, including the Merger, and the other transactions contemplated by the other transaction documents contemplated by the Business Combination Agreement. </w:t>
      </w:r>
    </w:p>
    <w:p>
      <w:pPr>
        <w:pStyle w:val="TextBody"/>
        <w:spacing w:before="240" w:after="0"/>
        <w:jc w:val="left"/>
        <w:rPr/>
      </w:pPr>
      <w:r>
        <w:rPr/>
        <w:t>“</w:t>
      </w:r>
      <w:r>
        <w:rPr>
          <w:rFonts w:ascii="Times New Roman" w:hAnsi="Times New Roman"/>
          <w:sz w:val="20"/>
        </w:rPr>
        <w:t xml:space="preserve">Business Combination Agreement”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Business Combination Closing” means the closing of the Business Combination. </w:t>
      </w:r>
    </w:p>
    <w:p>
      <w:pPr>
        <w:pStyle w:val="TextBody"/>
        <w:spacing w:before="240" w:after="0"/>
        <w:jc w:val="left"/>
        <w:rPr/>
      </w:pPr>
      <w:r>
        <w:rPr/>
        <w:t>“</w:t>
      </w:r>
      <w:r>
        <w:rPr>
          <w:rFonts w:ascii="Times New Roman" w:hAnsi="Times New Roman"/>
          <w:sz w:val="20"/>
        </w:rPr>
        <w:t xml:space="preserve">Business Combination Closing Date” means the date of the Business Combination Closing or June 23, 2022. </w:t>
      </w:r>
    </w:p>
    <w:p>
      <w:pPr>
        <w:pStyle w:val="TextBody"/>
        <w:spacing w:before="240" w:after="0"/>
        <w:jc w:val="left"/>
        <w:rPr/>
      </w:pPr>
      <w:r>
        <w:rPr/>
        <w:t>“</w:t>
      </w:r>
      <w:r>
        <w:rPr>
          <w:rFonts w:ascii="Times New Roman" w:hAnsi="Times New Roman"/>
          <w:sz w:val="20"/>
        </w:rPr>
        <w:t xml:space="preserve">Class A ADS” means one American depositary share of the Company duly and validly issued against the deposit with the Depositary of an underlying Class A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Class A Shares” means Class A ordinary shares of the Company, entitling the holder thereof to one vote per share. </w:t>
      </w:r>
    </w:p>
    <w:p>
      <w:pPr>
        <w:pStyle w:val="TextBody"/>
        <w:spacing w:before="240" w:after="0"/>
        <w:jc w:val="left"/>
        <w:rPr/>
      </w:pPr>
      <w:r>
        <w:rPr/>
        <w:t>“</w:t>
      </w:r>
      <w:r>
        <w:rPr>
          <w:rFonts w:ascii="Times New Roman" w:hAnsi="Times New Roman"/>
          <w:sz w:val="20"/>
        </w:rPr>
        <w:t xml:space="preserve">Class B ADS” means one American depositary share of the Company duly and validly issued against the deposit with the Depositary of an underlying Class B Shares. </w:t>
      </w:r>
    </w:p>
    <w:p>
      <w:pPr>
        <w:pStyle w:val="TextBody"/>
        <w:spacing w:before="240" w:after="0"/>
        <w:jc w:val="left"/>
        <w:rPr/>
      </w:pPr>
      <w:r>
        <w:rPr/>
        <w:t>“</w:t>
      </w:r>
      <w:r>
        <w:rPr>
          <w:rFonts w:ascii="Times New Roman" w:hAnsi="Times New Roman"/>
          <w:sz w:val="20"/>
        </w:rPr>
        <w:t xml:space="preserve">Class B Shares” means Class B ordinary shares of the Company, entitling the holder thereof to 10 votes per share. </w:t>
      </w:r>
    </w:p>
    <w:p>
      <w:pPr>
        <w:pStyle w:val="TextBody"/>
        <w:spacing w:before="240" w:after="0"/>
        <w:jc w:val="left"/>
        <w:rPr/>
      </w:pPr>
      <w:r>
        <w:rPr/>
        <w:t>“</w:t>
      </w:r>
      <w:r>
        <w:rPr>
          <w:rFonts w:ascii="Times New Roman" w:hAnsi="Times New Roman"/>
          <w:sz w:val="20"/>
        </w:rPr>
        <w:t xml:space="preserve">Class C ADSs” means Class C-1 ADSs and Class C-2 ADSs. </w:t>
      </w:r>
    </w:p>
    <w:p>
      <w:pPr>
        <w:pStyle w:val="TextBody"/>
        <w:spacing w:before="240" w:after="0"/>
        <w:jc w:val="left"/>
        <w:rPr/>
      </w:pPr>
      <w:r>
        <w:rPr/>
        <w:t>“</w:t>
      </w:r>
      <w:r>
        <w:rPr>
          <w:rFonts w:ascii="Times New Roman" w:hAnsi="Times New Roman"/>
          <w:sz w:val="20"/>
        </w:rPr>
        <w:t xml:space="preserve">Class C Shares” means Class C-1 Shares and Class C-2 Shares. </w:t>
      </w:r>
    </w:p>
    <w:p>
      <w:pPr>
        <w:pStyle w:val="TextBody"/>
        <w:spacing w:before="240" w:after="0"/>
        <w:jc w:val="left"/>
        <w:rPr/>
      </w:pPr>
      <w:r>
        <w:rPr/>
        <w:t>“</w:t>
      </w:r>
      <w:r>
        <w:rPr>
          <w:rFonts w:ascii="Times New Roman" w:hAnsi="Times New Roman"/>
          <w:sz w:val="20"/>
        </w:rPr>
        <w:t xml:space="preserve">Class C Warrant Amendment”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Class C-1 ADS”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 </w:t>
      </w:r>
    </w:p>
    <w:p>
      <w:pPr>
        <w:pStyle w:val="TextBody"/>
        <w:spacing w:before="240" w:after="0"/>
        <w:jc w:val="left"/>
        <w:rPr/>
      </w:pPr>
      <w:r>
        <w:rPr/>
        <w:t>“</w:t>
      </w:r>
      <w:r>
        <w:rPr>
          <w:rFonts w:ascii="Times New Roman" w:hAnsi="Times New Roman"/>
          <w:sz w:val="20"/>
        </w:rPr>
        <w:t xml:space="preserve">Class C-1 Share” means a class C-1 ordinary share in the share capital of the Company, each of which underlies a Class C-1 ADS and is exercisable for one Class A Share. </w:t>
      </w:r>
    </w:p>
    <w:p>
      <w:pPr>
        <w:pStyle w:val="TextBody"/>
        <w:spacing w:before="240" w:after="0"/>
        <w:jc w:val="left"/>
        <w:rPr/>
      </w:pPr>
      <w:r>
        <w:rPr/>
        <w:t>“</w:t>
      </w:r>
      <w:r>
        <w:rPr>
          <w:rFonts w:ascii="Times New Roman" w:hAnsi="Times New Roman"/>
          <w:sz w:val="20"/>
        </w:rPr>
        <w:t xml:space="preserve">Class C-2 ADS”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 </w:t>
      </w:r>
    </w:p>
    <w:p>
      <w:pPr>
        <w:pStyle w:val="TextBody"/>
        <w:spacing w:before="240" w:after="0"/>
        <w:jc w:val="left"/>
        <w:rPr/>
      </w:pPr>
      <w:r>
        <w:rPr/>
        <w:t>“</w:t>
      </w:r>
      <w:r>
        <w:rPr>
          <w:rFonts w:ascii="Times New Roman" w:hAnsi="Times New Roman"/>
          <w:sz w:val="20"/>
        </w:rPr>
        <w:t xml:space="preserve">Class C-2 Share” means a class C-2 ordinary share in the share capital of the Company, each of which underlies a Class C-2 ADS and is exercisable for one Class A Share. </w:t>
      </w:r>
    </w:p>
    <w:p>
      <w:pPr>
        <w:pStyle w:val="TextBody"/>
        <w:spacing w:before="240" w:after="0"/>
        <w:jc w:val="left"/>
        <w:rPr/>
      </w:pPr>
      <w:r>
        <w:rPr/>
        <w:t>“</w:t>
      </w:r>
      <w:r>
        <w:rPr>
          <w:rFonts w:ascii="Times New Roman" w:hAnsi="Times New Roman"/>
          <w:sz w:val="20"/>
        </w:rPr>
        <w:t xml:space="preserve">Code” means the U.S. Internal Revenue Code of 1986, as amended. </w:t>
      </w:r>
    </w:p>
    <w:p>
      <w:pPr>
        <w:pStyle w:val="TextBody"/>
        <w:spacing w:before="240" w:after="0"/>
        <w:jc w:val="left"/>
        <w:rPr/>
      </w:pPr>
      <w:r>
        <w:rPr/>
        <w:t>“</w:t>
      </w:r>
      <w:r>
        <w:rPr>
          <w:rFonts w:ascii="Times New Roman" w:hAnsi="Times New Roman"/>
          <w:sz w:val="20"/>
        </w:rPr>
        <w:t xml:space="preserve">Company”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 </w:t>
      </w:r>
    </w:p>
    <w:p>
      <w:pPr>
        <w:pStyle w:val="TextBody"/>
        <w:spacing w:before="240" w:after="0"/>
        <w:jc w:val="left"/>
        <w:rPr/>
      </w:pPr>
      <w:r>
        <w:rPr/>
        <w:t>“</w:t>
      </w:r>
      <w:r>
        <w:rPr>
          <w:rFonts w:ascii="Times New Roman" w:hAnsi="Times New Roman"/>
          <w:sz w:val="20"/>
        </w:rPr>
        <w:t xml:space="preserve">Company securities” means the Shares and Class C Shares. </w:t>
      </w:r>
    </w:p>
    <w:p>
      <w:pPr>
        <w:pStyle w:val="TextBody"/>
        <w:spacing w:before="240" w:after="0"/>
        <w:jc w:val="left"/>
        <w:rPr/>
      </w:pPr>
      <w:r>
        <w:rPr/>
        <w:t>“</w:t>
      </w:r>
      <w:r>
        <w:rPr>
          <w:rFonts w:ascii="Times New Roman" w:hAnsi="Times New Roman"/>
          <w:sz w:val="20"/>
        </w:rPr>
        <w:t xml:space="preserve">Current GGI Certificate” means the Amended and Restated Certificate of Incorporation of GGI, dated March 22, 2021. </w:t>
      </w:r>
    </w:p>
    <w:p>
      <w:pPr>
        <w:pStyle w:val="TextBody"/>
        <w:spacing w:before="240" w:after="0"/>
        <w:jc w:val="left"/>
        <w:rPr/>
      </w:pPr>
      <w:r>
        <w:rPr/>
        <w:t>“</w:t>
      </w:r>
      <w:r>
        <w:rPr>
          <w:rFonts w:ascii="Times New Roman" w:hAnsi="Times New Roman"/>
          <w:sz w:val="20"/>
        </w:rPr>
        <w:t xml:space="preserve">December PIPE Investment” means the purchase of December PIPE Shares pursuant to the December PIPE Subscription Agreements. </w:t>
      </w:r>
    </w:p>
    <w:p>
      <w:pPr>
        <w:pStyle w:val="TextBody"/>
        <w:spacing w:before="240" w:after="0"/>
        <w:jc w:val="left"/>
        <w:rPr/>
      </w:pPr>
      <w:r>
        <w:rPr/>
        <w:t>“</w:t>
      </w:r>
      <w:r>
        <w:rPr>
          <w:rFonts w:ascii="Times New Roman" w:hAnsi="Times New Roman"/>
          <w:sz w:val="20"/>
        </w:rPr>
        <w:t xml:space="preserve">December PIPE Investors” means the purchasers of December PIPE Shares in the December PIPE Investment, which include certain affiliates and employees of the GGI Sponsor.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December PIPE Shares” means the Class A Shares in the form of Class A ADSs purchased by December PIPE Investors in the December PIPE Investment. </w:t>
      </w:r>
    </w:p>
    <w:p>
      <w:pPr>
        <w:pStyle w:val="TextBody"/>
        <w:spacing w:before="240" w:after="0"/>
        <w:jc w:val="left"/>
        <w:rPr/>
      </w:pPr>
      <w:r>
        <w:rPr/>
        <w:t>“</w:t>
      </w:r>
      <w:r>
        <w:rPr>
          <w:rFonts w:ascii="Times New Roman" w:hAnsi="Times New Roman"/>
          <w:sz w:val="20"/>
        </w:rPr>
        <w:t xml:space="preserve">December PIPE Subscription Agreements” means the share subscription agreements, dated December 17, 2021, by and among the Company, GGI and the December PIPE Investors pursuant to which the December PIPE Investors purchased the December PIPE Shares. </w:t>
      </w:r>
    </w:p>
    <w:p>
      <w:pPr>
        <w:pStyle w:val="TextBody"/>
        <w:spacing w:before="240" w:after="0"/>
        <w:jc w:val="left"/>
        <w:rPr/>
      </w:pPr>
      <w:r>
        <w:rPr/>
        <w:t>“</w:t>
      </w:r>
      <w:r>
        <w:rPr>
          <w:rFonts w:ascii="Times New Roman" w:hAnsi="Times New Roman"/>
          <w:sz w:val="20"/>
        </w:rPr>
        <w:t xml:space="preserve">Deferred Shares” means the deferred shares of USD 0.01 each in the capital of the Company that have no right to vote or dividend rights. </w:t>
      </w:r>
    </w:p>
    <w:p>
      <w:pPr>
        <w:pStyle w:val="TextBody"/>
        <w:spacing w:before="240" w:after="0"/>
        <w:jc w:val="left"/>
        <w:rPr/>
      </w:pPr>
      <w:r>
        <w:rPr/>
        <w:t>“</w:t>
      </w:r>
      <w:r>
        <w:rPr>
          <w:rFonts w:ascii="Times New Roman" w:hAnsi="Times New Roman"/>
          <w:sz w:val="20"/>
        </w:rPr>
        <w:t xml:space="preserve">Deloitte” means Deloitte AB, an independent registered public accounting firm. </w:t>
      </w:r>
    </w:p>
    <w:p>
      <w:pPr>
        <w:pStyle w:val="TextBody"/>
        <w:spacing w:before="240" w:after="0"/>
        <w:jc w:val="left"/>
        <w:rPr/>
      </w:pPr>
      <w:r>
        <w:rPr/>
        <w:t>“</w:t>
      </w:r>
      <w:r>
        <w:rPr>
          <w:rFonts w:ascii="Times New Roman" w:hAnsi="Times New Roman"/>
          <w:sz w:val="20"/>
        </w:rPr>
        <w:t xml:space="preserve">Deposit Agreements” means the ADS Deposit Agreement—Class A ADSs, the ADS Deposit Agreement—Class C-1 ADSs and the ADS Deposit Agreement—Class C-2 ADSs. </w:t>
      </w:r>
    </w:p>
    <w:p>
      <w:pPr>
        <w:pStyle w:val="TextBody"/>
        <w:spacing w:before="240" w:after="0"/>
        <w:jc w:val="left"/>
        <w:rPr/>
      </w:pPr>
      <w:r>
        <w:rPr/>
        <w:t>“</w:t>
      </w:r>
      <w:r>
        <w:rPr>
          <w:rFonts w:ascii="Times New Roman" w:hAnsi="Times New Roman"/>
          <w:sz w:val="20"/>
        </w:rPr>
        <w:t xml:space="preserve">Depositary” means Citibank, N.A., acting as depositary under the Deposit Agreements. </w:t>
      </w:r>
    </w:p>
    <w:p>
      <w:pPr>
        <w:pStyle w:val="TextBody"/>
        <w:spacing w:before="240" w:after="0"/>
        <w:jc w:val="left"/>
        <w:rPr/>
      </w:pPr>
      <w:r>
        <w:rPr/>
        <w:t>“</w:t>
      </w:r>
      <w:r>
        <w:rPr>
          <w:rFonts w:ascii="Times New Roman" w:hAnsi="Times New Roman"/>
          <w:sz w:val="20"/>
        </w:rPr>
        <w:t xml:space="preserve">Earn Out Class A Shares” means the earn out shares issuable by the Company in the form of Class A ADSs. </w:t>
      </w:r>
    </w:p>
    <w:p>
      <w:pPr>
        <w:pStyle w:val="TextBody"/>
        <w:spacing w:before="240" w:after="0"/>
        <w:jc w:val="left"/>
        <w:rPr/>
      </w:pPr>
      <w:r>
        <w:rPr/>
        <w:t>“</w:t>
      </w:r>
      <w:r>
        <w:rPr>
          <w:rFonts w:ascii="Times New Roman" w:hAnsi="Times New Roman"/>
          <w:sz w:val="20"/>
        </w:rPr>
        <w:t xml:space="preserve">Earn Out Class B Shares” means the earn out shares issuable by the Company in the form of Class B ADSs. </w:t>
      </w:r>
    </w:p>
    <w:p>
      <w:pPr>
        <w:pStyle w:val="TextBody"/>
        <w:spacing w:before="240" w:after="0"/>
        <w:jc w:val="left"/>
        <w:rPr/>
      </w:pPr>
      <w:r>
        <w:rPr/>
        <w:t>“</w:t>
      </w:r>
      <w:r>
        <w:rPr>
          <w:rFonts w:ascii="Times New Roman" w:hAnsi="Times New Roman"/>
          <w:sz w:val="20"/>
        </w:rPr>
        <w:t xml:space="preserve">Earn Out Shares” means earn out shares from the Company issuable in Class A ADSs and Class B ADS to certain Former Parent Shareholders depending on share price performance of Polestar. </w:t>
      </w:r>
    </w:p>
    <w:p>
      <w:pPr>
        <w:pStyle w:val="TextBody"/>
        <w:spacing w:before="240" w:after="0"/>
        <w:jc w:val="left"/>
        <w:rPr/>
      </w:pPr>
      <w:r>
        <w:rPr/>
        <w:t>“</w:t>
      </w:r>
      <w:r>
        <w:rPr>
          <w:rFonts w:ascii="Times New Roman" w:hAnsi="Times New Roman"/>
          <w:sz w:val="20"/>
        </w:rPr>
        <w:t xml:space="preserve">Employee Stock Purchase Plan” means Polestar Automotive Holding UK PLC 2022 Stock Purchase Plan. </w:t>
      </w:r>
    </w:p>
    <w:p>
      <w:pPr>
        <w:pStyle w:val="TextBody"/>
        <w:spacing w:before="240" w:after="0"/>
        <w:jc w:val="left"/>
        <w:rPr/>
      </w:pPr>
      <w:r>
        <w:rPr/>
        <w:t>“</w:t>
      </w:r>
      <w:r>
        <w:rPr>
          <w:rFonts w:ascii="Times New Roman" w:hAnsi="Times New Roman"/>
          <w:sz w:val="20"/>
        </w:rPr>
        <w:t xml:space="preserve">Equity Plan” means the Polestar Automotive Holding UK PLC 2022 Omnibus Incentive Plan. </w:t>
      </w:r>
    </w:p>
    <w:p>
      <w:pPr>
        <w:pStyle w:val="TextBody"/>
        <w:spacing w:before="240" w:after="0"/>
        <w:jc w:val="left"/>
        <w:rPr/>
      </w:pPr>
      <w:r>
        <w:rPr/>
        <w:t>“</w:t>
      </w:r>
      <w:r>
        <w:rPr>
          <w:rFonts w:ascii="Times New Roman" w:hAnsi="Times New Roman"/>
          <w:sz w:val="20"/>
        </w:rPr>
        <w:t xml:space="preserve">Exchange Act” means the Securities Exchange Act of 1934, as amended, together with the rules and regulations promulgated thereunder. </w:t>
      </w:r>
    </w:p>
    <w:p>
      <w:pPr>
        <w:pStyle w:val="TextBody"/>
        <w:spacing w:before="240" w:after="0"/>
        <w:jc w:val="left"/>
        <w:rPr/>
      </w:pPr>
      <w:r>
        <w:rPr/>
        <w:t>“</w:t>
      </w:r>
      <w:r>
        <w:rPr>
          <w:rFonts w:ascii="Times New Roman" w:hAnsi="Times New Roman"/>
          <w:sz w:val="20"/>
        </w:rPr>
        <w:t xml:space="preserve">Former Parent” means Polestar Automotive Holding Limited, a Hong Kong incorporated company, which is in the process of completing its voluntary liquidation that commenced on October 19, 2022. </w:t>
      </w:r>
    </w:p>
    <w:p>
      <w:pPr>
        <w:pStyle w:val="TextBody"/>
        <w:spacing w:before="240" w:after="0"/>
        <w:jc w:val="left"/>
        <w:rPr/>
      </w:pPr>
      <w:r>
        <w:rPr/>
        <w:t>“</w:t>
      </w:r>
      <w:r>
        <w:rPr>
          <w:rFonts w:ascii="Times New Roman" w:hAnsi="Times New Roman"/>
          <w:sz w:val="20"/>
        </w:rPr>
        <w:t xml:space="preserve">Former Parent Convertible Notes” means the convertible notes of Former Parent outstanding as of immediately prior to the Business Combination Closing. </w:t>
      </w:r>
    </w:p>
    <w:p>
      <w:pPr>
        <w:pStyle w:val="TextBody"/>
        <w:spacing w:before="240" w:after="0"/>
        <w:jc w:val="left"/>
        <w:rPr/>
      </w:pPr>
      <w:r>
        <w:rPr/>
        <w:t>“</w:t>
      </w:r>
      <w:r>
        <w:rPr>
          <w:rFonts w:ascii="Times New Roman" w:hAnsi="Times New Roman"/>
          <w:sz w:val="20"/>
        </w:rPr>
        <w:t xml:space="preserve">Former Parent Convertible Note Holders” means the holders of the Former Parent Convertible Notes. </w:t>
      </w:r>
    </w:p>
    <w:p>
      <w:pPr>
        <w:pStyle w:val="TextBody"/>
        <w:spacing w:before="240" w:after="0"/>
        <w:jc w:val="left"/>
        <w:rPr/>
      </w:pPr>
      <w:r>
        <w:rPr/>
        <w:t>“</w:t>
      </w:r>
      <w:r>
        <w:rPr>
          <w:rFonts w:ascii="Times New Roman" w:hAnsi="Times New Roman"/>
          <w:sz w:val="20"/>
        </w:rPr>
        <w:t xml:space="preserve">Former Parent Shareholders” means Snita, PSINV AB, PSD Investment Limited, GLY New Mobility 1. LP, Northpole GLY 1 LP, Chongqing Liangjiang </w:t>
      </w:r>
      <w:r>
        <w:rPr>
          <w:rFonts w:ascii="Times New Roman" w:hAnsi="Times New Roman"/>
          <w:sz w:val="20"/>
        </w:rPr>
        <w:drawing>
          <wp:inline distT="0" distB="0" distL="0" distR="0">
            <wp:extent cx="16129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290" cy="14605"/>
                    </a:xfrm>
                    <a:prstGeom prst="rect">
                      <a:avLst/>
                    </a:prstGeom>
                  </pic:spPr>
                </pic:pic>
              </a:graphicData>
            </a:graphic>
          </wp:inline>
        </w:drawing>
      </w:r>
      <w:r>
        <w:rPr>
          <w:rFonts w:ascii="Times New Roman" w:hAnsi="Times New Roman"/>
          <w:sz w:val="20"/>
        </w:rPr>
        <w:t xml:space="preserve"> , Zibo Financial Holding Group Co., Ltd. and Zibo High-Tech Industrial Investment Co., Ltd. </w:t>
      </w:r>
    </w:p>
    <w:p>
      <w:pPr>
        <w:pStyle w:val="TextBody"/>
        <w:spacing w:before="240" w:after="0"/>
        <w:jc w:val="left"/>
        <w:rPr/>
      </w:pPr>
      <w:r>
        <w:rPr/>
        <w:t>“</w:t>
      </w:r>
      <w:r>
        <w:rPr>
          <w:rFonts w:ascii="Times New Roman" w:hAnsi="Times New Roman"/>
          <w:sz w:val="20"/>
        </w:rPr>
        <w:t xml:space="preserve">GAAP” means generally accepted accounting principles in the United States. </w:t>
      </w:r>
    </w:p>
    <w:p>
      <w:pPr>
        <w:pStyle w:val="TextBody"/>
        <w:spacing w:before="240" w:after="0"/>
        <w:jc w:val="left"/>
        <w:rPr/>
      </w:pPr>
      <w:r>
        <w:rPr/>
        <w:t>“</w:t>
      </w:r>
      <w:r>
        <w:rPr>
          <w:rFonts w:ascii="Times New Roman" w:hAnsi="Times New Roman"/>
          <w:sz w:val="20"/>
        </w:rPr>
        <w:t xml:space="preserve">Geely” means Zhejiang Geely Holding Group Company Limited. </w:t>
      </w:r>
    </w:p>
    <w:p>
      <w:pPr>
        <w:pStyle w:val="TextBody"/>
        <w:spacing w:before="240" w:after="0"/>
        <w:jc w:val="left"/>
        <w:rPr/>
      </w:pPr>
      <w:r>
        <w:rPr/>
        <w:t>“</w:t>
      </w:r>
      <w:r>
        <w:rPr>
          <w:rFonts w:ascii="Times New Roman" w:hAnsi="Times New Roman"/>
          <w:sz w:val="20"/>
        </w:rPr>
        <w:t xml:space="preserve">GGI” means Gores Guggenheim, Inc. </w:t>
      </w:r>
    </w:p>
    <w:p>
      <w:pPr>
        <w:pStyle w:val="TextBody"/>
        <w:spacing w:before="240" w:after="0"/>
        <w:jc w:val="left"/>
        <w:rPr/>
      </w:pPr>
      <w:r>
        <w:rPr/>
        <w:t>“</w:t>
      </w:r>
      <w:r>
        <w:rPr>
          <w:rFonts w:ascii="Times New Roman" w:hAnsi="Times New Roman"/>
          <w:sz w:val="20"/>
        </w:rPr>
        <w:t xml:space="preserve">GGI Class A Common Stock” means the shares of Class A common stock, par value $0.0001 per share, of GGI. </w:t>
      </w:r>
    </w:p>
    <w:p>
      <w:pPr>
        <w:pStyle w:val="TextBody"/>
        <w:spacing w:before="240" w:after="0"/>
        <w:jc w:val="left"/>
        <w:rPr/>
      </w:pPr>
      <w:r>
        <w:rPr/>
        <w:t>“</w:t>
      </w:r>
      <w:r>
        <w:rPr>
          <w:rFonts w:ascii="Times New Roman" w:hAnsi="Times New Roman"/>
          <w:sz w:val="20"/>
        </w:rPr>
        <w:t xml:space="preserve">GGI Class F Common Stock” means the shares of Class F common stock, par value $0.0001 per share, of GGI.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GGI Common Stock” means the GGI Class A Common Stock and the GGI Class F Common Stock. </w:t>
      </w:r>
    </w:p>
    <w:p>
      <w:pPr>
        <w:pStyle w:val="TextBody"/>
        <w:spacing w:before="240" w:after="0"/>
        <w:jc w:val="left"/>
        <w:rPr/>
      </w:pPr>
      <w:r>
        <w:rPr/>
        <w:t>“</w:t>
      </w:r>
      <w:r>
        <w:rPr>
          <w:rFonts w:ascii="Times New Roman" w:hAnsi="Times New Roman"/>
          <w:sz w:val="20"/>
        </w:rPr>
        <w:t xml:space="preserve">GGI Initial Stockholders” means the GGI Sponsor and Randall Bort, Elizabeth Marcellino and Nancy Tellem, GGI’s independent directors. </w:t>
      </w:r>
    </w:p>
    <w:p>
      <w:pPr>
        <w:pStyle w:val="TextBody"/>
        <w:spacing w:before="240" w:after="0"/>
        <w:jc w:val="left"/>
        <w:rPr/>
      </w:pPr>
      <w:r>
        <w:rPr/>
        <w:t>“</w:t>
      </w:r>
      <w:r>
        <w:rPr>
          <w:rFonts w:ascii="Times New Roman" w:hAnsi="Times New Roman"/>
          <w:sz w:val="20"/>
        </w:rPr>
        <w:t xml:space="preserve">GGI Public Warrants” means the warrants included in the GGI public units (consisting of one share of GGI Class A Common Stock and one-fifth of one GGI Public Warrant) issued in the GGI initial public offering, consummated on March 25, 2021. </w:t>
      </w:r>
    </w:p>
    <w:p>
      <w:pPr>
        <w:pStyle w:val="TextBody"/>
        <w:spacing w:before="240" w:after="0"/>
        <w:jc w:val="left"/>
        <w:rPr/>
      </w:pPr>
      <w:r>
        <w:rPr/>
        <w:t>“</w:t>
      </w:r>
      <w:r>
        <w:rPr>
          <w:rFonts w:ascii="Times New Roman" w:hAnsi="Times New Roman"/>
          <w:sz w:val="20"/>
        </w:rPr>
        <w:t xml:space="preserve">GGI Sponsor” means Gores Guggenheim Sponsor LLC, a Delaware limited liability company and its affiliates, including The Gores Group, LLC. </w:t>
      </w:r>
    </w:p>
    <w:p>
      <w:pPr>
        <w:pStyle w:val="TextBody"/>
        <w:spacing w:before="240" w:after="0"/>
        <w:jc w:val="left"/>
        <w:rPr/>
      </w:pPr>
      <w:r>
        <w:rPr/>
        <w:t>“</w:t>
      </w:r>
      <w:r>
        <w:rPr>
          <w:rFonts w:ascii="Times New Roman" w:hAnsi="Times New Roman"/>
          <w:sz w:val="20"/>
        </w:rPr>
        <w:t xml:space="preserve">GGI Warrants” means, collectively, the GGI Private Placement Warrants and the GGI Public Warrants. </w:t>
      </w:r>
    </w:p>
    <w:p>
      <w:pPr>
        <w:pStyle w:val="TextBody"/>
        <w:spacing w:before="240" w:after="0"/>
        <w:jc w:val="left"/>
        <w:rPr/>
      </w:pPr>
      <w:r>
        <w:rPr/>
        <w:t>“</w:t>
      </w:r>
      <w:r>
        <w:rPr>
          <w:rFonts w:ascii="Times New Roman" w:hAnsi="Times New Roman"/>
          <w:sz w:val="20"/>
        </w:rPr>
        <w:t xml:space="preserve">Initial PIPE Investment” means the purchase of Initial PIPE Shares pursuant to the Initial PIPE Subscription Agreements. </w:t>
      </w:r>
    </w:p>
    <w:p>
      <w:pPr>
        <w:pStyle w:val="TextBody"/>
        <w:spacing w:before="240" w:after="0"/>
        <w:jc w:val="left"/>
        <w:rPr/>
      </w:pPr>
      <w:r>
        <w:rPr/>
        <w:t>“</w:t>
      </w:r>
      <w:r>
        <w:rPr>
          <w:rFonts w:ascii="Times New Roman" w:hAnsi="Times New Roman"/>
          <w:sz w:val="20"/>
        </w:rPr>
        <w:t xml:space="preserve">Initial PIPE Investors” means the purchasers of Initial PIPE Shares in the Initial PIPE Investment. </w:t>
      </w:r>
    </w:p>
    <w:p>
      <w:pPr>
        <w:pStyle w:val="TextBody"/>
        <w:spacing w:before="240" w:after="0"/>
        <w:jc w:val="left"/>
        <w:rPr/>
      </w:pPr>
      <w:r>
        <w:rPr/>
        <w:t>“</w:t>
      </w:r>
      <w:r>
        <w:rPr>
          <w:rFonts w:ascii="Times New Roman" w:hAnsi="Times New Roman"/>
          <w:sz w:val="20"/>
        </w:rPr>
        <w:t xml:space="preserve">Initial PIPE Shares” means the Class A Shares in the form of Class A ADSs purchased by Initial PIPE Investors in the Initial PIPE Investment. </w:t>
      </w:r>
    </w:p>
    <w:p>
      <w:pPr>
        <w:pStyle w:val="TextBody"/>
        <w:spacing w:before="240" w:after="0"/>
        <w:jc w:val="left"/>
        <w:rPr/>
      </w:pPr>
      <w:r>
        <w:rPr/>
        <w:t>“</w:t>
      </w:r>
      <w:r>
        <w:rPr>
          <w:rFonts w:ascii="Times New Roman" w:hAnsi="Times New Roman"/>
          <w:sz w:val="20"/>
        </w:rPr>
        <w:t xml:space="preserve">Initial PIPE Subscription Agreements” means the share subscription agreements, dated September 27, 2021, by and among the Company, GGI and the Initial PIPE Investors pursuant to which the Initial PIPE Investors purchased the Initial PIPE Shares. </w:t>
      </w:r>
    </w:p>
    <w:p>
      <w:pPr>
        <w:pStyle w:val="TextBody"/>
        <w:spacing w:before="240" w:after="0"/>
        <w:jc w:val="left"/>
        <w:rPr/>
      </w:pPr>
      <w:r>
        <w:rPr/>
        <w:t>“</w:t>
      </w:r>
      <w:r>
        <w:rPr>
          <w:rFonts w:ascii="Times New Roman" w:hAnsi="Times New Roman"/>
          <w:sz w:val="20"/>
        </w:rPr>
        <w:t xml:space="preserve">IRS” means the U.S. Internal Revenue Service. </w:t>
      </w:r>
    </w:p>
    <w:p>
      <w:pPr>
        <w:pStyle w:val="TextBody"/>
        <w:spacing w:before="240" w:after="0"/>
        <w:jc w:val="left"/>
        <w:rPr/>
      </w:pPr>
      <w:r>
        <w:rPr/>
        <w:t>“</w:t>
      </w:r>
      <w:r>
        <w:rPr>
          <w:rFonts w:ascii="Times New Roman" w:hAnsi="Times New Roman"/>
          <w:sz w:val="20"/>
        </w:rPr>
        <w:t xml:space="preserve">March PIPE Investors” means the purchasers of March PIPE Shares in the March PIPE Investment, which include certain affiliates and employees of the GGI Sponsor. </w:t>
      </w:r>
    </w:p>
    <w:p>
      <w:pPr>
        <w:pStyle w:val="TextBody"/>
        <w:spacing w:before="240" w:after="0"/>
        <w:jc w:val="left"/>
        <w:rPr/>
      </w:pPr>
      <w:r>
        <w:rPr/>
        <w:t>“</w:t>
      </w:r>
      <w:r>
        <w:rPr>
          <w:rFonts w:ascii="Times New Roman" w:hAnsi="Times New Roman"/>
          <w:sz w:val="20"/>
        </w:rPr>
        <w:t xml:space="preserve">March PIPE Shares” means the Class A Shares in the form of Class A ADSs purchased by March PIPE Investors in the March PIPE Investment. </w:t>
      </w:r>
    </w:p>
    <w:p>
      <w:pPr>
        <w:pStyle w:val="TextBody"/>
        <w:spacing w:before="240" w:after="0"/>
        <w:jc w:val="left"/>
        <w:rPr/>
      </w:pPr>
      <w:r>
        <w:rPr/>
        <w:t>“</w:t>
      </w:r>
      <w:r>
        <w:rPr>
          <w:rFonts w:ascii="Times New Roman" w:hAnsi="Times New Roman"/>
          <w:sz w:val="20"/>
        </w:rPr>
        <w:t xml:space="preserve">March PIPE Subscription Agreements” means the shares subscription agreements, dated March 24, 2022, by and among the Company, GGI and the March PIPE Investors pursuant to which the March PIPE Investors purchased the March PIPE Shares. </w:t>
      </w:r>
    </w:p>
    <w:p>
      <w:pPr>
        <w:pStyle w:val="TextBody"/>
        <w:spacing w:before="240" w:after="0"/>
        <w:jc w:val="left"/>
        <w:rPr/>
      </w:pPr>
      <w:r>
        <w:rPr/>
        <w:t>“</w:t>
      </w:r>
      <w:r>
        <w:rPr>
          <w:rFonts w:ascii="Times New Roman" w:hAnsi="Times New Roman"/>
          <w:sz w:val="20"/>
        </w:rPr>
        <w:t xml:space="preserve">March Sponsor Investment” means the purchase of March PIPE Shares pursuant to the March PIPE Subscription Agreements. </w:t>
      </w:r>
    </w:p>
    <w:p>
      <w:pPr>
        <w:pStyle w:val="TextBody"/>
        <w:spacing w:before="240" w:after="0"/>
        <w:jc w:val="left"/>
        <w:rPr/>
      </w:pPr>
      <w:r>
        <w:rPr/>
        <w:t>“</w:t>
      </w:r>
      <w:r>
        <w:rPr>
          <w:rFonts w:ascii="Times New Roman" w:hAnsi="Times New Roman"/>
          <w:sz w:val="20"/>
        </w:rPr>
        <w:t xml:space="preserve">Merger” means the merger between Merger Sub and GGI, with GGI surviving as a direct wholly owned subsidiary of the Company. </w:t>
      </w:r>
    </w:p>
    <w:p>
      <w:pPr>
        <w:pStyle w:val="TextBody"/>
        <w:spacing w:before="240" w:after="0"/>
        <w:jc w:val="left"/>
        <w:rPr/>
      </w:pPr>
      <w:r>
        <w:rPr/>
        <w:t>“</w:t>
      </w:r>
      <w:r>
        <w:rPr>
          <w:rFonts w:ascii="Times New Roman" w:hAnsi="Times New Roman"/>
          <w:sz w:val="20"/>
        </w:rPr>
        <w:t xml:space="preserve">Merger Sub” means PAH UK Merger Sub Inc., a Delaware corporation and a direct wholly owned subsidiary of the Company until June 23, 2022. </w:t>
      </w:r>
    </w:p>
    <w:p>
      <w:pPr>
        <w:pStyle w:val="TextBody"/>
        <w:spacing w:before="240" w:after="0"/>
        <w:jc w:val="left"/>
        <w:rPr/>
      </w:pPr>
      <w:r>
        <w:rPr/>
        <w:t>“</w:t>
      </w:r>
      <w:r>
        <w:rPr>
          <w:rFonts w:ascii="Times New Roman" w:hAnsi="Times New Roman"/>
          <w:sz w:val="20"/>
        </w:rPr>
        <w:t xml:space="preserve">Nasdaq” means the National Association of Securities Dealers Automated Quotations Global Market. </w:t>
      </w:r>
    </w:p>
    <w:p>
      <w:pPr>
        <w:pStyle w:val="TextBody"/>
        <w:spacing w:before="240" w:after="0"/>
        <w:jc w:val="left"/>
        <w:rPr/>
      </w:pPr>
      <w:r>
        <w:rPr/>
        <w:t>“</w:t>
      </w:r>
      <w:r>
        <w:rPr>
          <w:rFonts w:ascii="Times New Roman" w:hAnsi="Times New Roman"/>
          <w:sz w:val="20"/>
        </w:rPr>
        <w:t xml:space="preserve">PIPE Investment” means the purchase of PIPE Shares pursuant to the PIPE Subscription Agreements.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PIPE Investors” means the purchasers of PIPE Shares in the PIPE Investment. </w:t>
      </w:r>
    </w:p>
    <w:p>
      <w:pPr>
        <w:pStyle w:val="TextBody"/>
        <w:spacing w:before="240" w:after="0"/>
        <w:jc w:val="left"/>
        <w:rPr/>
      </w:pPr>
      <w:r>
        <w:rPr/>
        <w:t>“</w:t>
      </w:r>
      <w:r>
        <w:rPr>
          <w:rFonts w:ascii="Times New Roman" w:hAnsi="Times New Roman"/>
          <w:sz w:val="20"/>
        </w:rPr>
        <w:t xml:space="preserve">PIPE Shares” means the Class A Shares in the form of Class A ADSs purchased by PIPE Investors in the PIPE Investment. </w:t>
      </w:r>
    </w:p>
    <w:p>
      <w:pPr>
        <w:pStyle w:val="TextBody"/>
        <w:spacing w:before="240" w:after="0"/>
        <w:jc w:val="left"/>
        <w:rPr/>
      </w:pPr>
      <w:r>
        <w:rPr/>
        <w:t>“</w:t>
      </w:r>
      <w:r>
        <w:rPr>
          <w:rFonts w:ascii="Times New Roman" w:hAnsi="Times New Roman"/>
          <w:sz w:val="20"/>
        </w:rPr>
        <w:t xml:space="preserve">PIPE Subscription Agreements” means the Initial PIPE Subscription Agreements, the December PIPE Subscription Agreements and the March PIPE Subscription Agreements. </w:t>
      </w:r>
    </w:p>
    <w:p>
      <w:pPr>
        <w:pStyle w:val="TextBody"/>
        <w:spacing w:before="240" w:after="0"/>
        <w:jc w:val="left"/>
        <w:rPr/>
      </w:pPr>
      <w:r>
        <w:rPr/>
        <w:t>“</w:t>
      </w:r>
      <w:r>
        <w:rPr>
          <w:rFonts w:ascii="Times New Roman" w:hAnsi="Times New Roman"/>
          <w:sz w:val="20"/>
        </w:rPr>
        <w:t xml:space="preserve">Polestar” 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 </w:t>
      </w:r>
    </w:p>
    <w:p>
      <w:pPr>
        <w:pStyle w:val="TextBody"/>
        <w:spacing w:before="240" w:after="0"/>
        <w:jc w:val="left"/>
        <w:rPr/>
      </w:pPr>
      <w:r>
        <w:rPr/>
        <w:t>“</w:t>
      </w:r>
      <w:r>
        <w:rPr>
          <w:rFonts w:ascii="Times New Roman" w:hAnsi="Times New Roman"/>
          <w:sz w:val="20"/>
        </w:rPr>
        <w:t xml:space="preserve">Polestar Articles” means the Articles of Association of Polestar,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Polestar Group” means Former Parent, together with its subsidiaries prior to the Business Combination Closing and the Company and its subsidiaries following the Business Combination Closing. </w:t>
      </w:r>
    </w:p>
    <w:p>
      <w:pPr>
        <w:pStyle w:val="TextBody"/>
        <w:spacing w:before="240" w:after="0"/>
        <w:jc w:val="left"/>
        <w:rPr/>
      </w:pPr>
      <w:r>
        <w:rPr/>
        <w:t>“</w:t>
      </w:r>
      <w:r>
        <w:rPr>
          <w:rFonts w:ascii="Times New Roman" w:hAnsi="Times New Roman"/>
          <w:sz w:val="20"/>
        </w:rPr>
        <w:t xml:space="preserve">Polestar Singapore” means Polestar Automotive (Singapore) Pte. Ltd., a private company limited by shares in Singapore. </w:t>
      </w:r>
    </w:p>
    <w:p>
      <w:pPr>
        <w:pStyle w:val="TextBody"/>
        <w:spacing w:before="240" w:after="0"/>
        <w:jc w:val="left"/>
        <w:rPr/>
      </w:pPr>
      <w:r>
        <w:rPr/>
        <w:t>“</w:t>
      </w:r>
      <w:r>
        <w:rPr>
          <w:rFonts w:ascii="Times New Roman" w:hAnsi="Times New Roman"/>
          <w:sz w:val="20"/>
        </w:rPr>
        <w:t xml:space="preserve">Polestar Spaces” means permanent or pop up/temporary Polestar showrooms located in urban or peri-urban areas where potential customers can experience Polestar vehicles, engage with Polestar specialists and, at select locations, test-drive Polestar vehicles. </w:t>
      </w:r>
    </w:p>
    <w:p>
      <w:pPr>
        <w:pStyle w:val="TextBody"/>
        <w:spacing w:before="240" w:after="0"/>
        <w:jc w:val="left"/>
        <w:rPr/>
      </w:pPr>
      <w:r>
        <w:rPr/>
        <w:t>“</w:t>
      </w:r>
      <w:r>
        <w:rPr>
          <w:rFonts w:ascii="Times New Roman" w:hAnsi="Times New Roman"/>
          <w:sz w:val="20"/>
        </w:rPr>
        <w:t xml:space="preserve">Polestar Sweden” means Polestar Holding AB, a private limited liability company incorporated under the laws of Sweden. </w:t>
      </w:r>
    </w:p>
    <w:p>
      <w:pPr>
        <w:pStyle w:val="TextBody"/>
        <w:spacing w:before="240" w:after="0"/>
        <w:jc w:val="left"/>
        <w:rPr/>
      </w:pPr>
      <w:r>
        <w:rPr/>
        <w:t>“</w:t>
      </w:r>
      <w:r>
        <w:rPr>
          <w:rFonts w:ascii="Times New Roman" w:hAnsi="Times New Roman"/>
          <w:sz w:val="20"/>
        </w:rPr>
        <w:t xml:space="preserve">Pre-Closing Reorganization” 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 </w:t>
      </w:r>
    </w:p>
    <w:p>
      <w:pPr>
        <w:pStyle w:val="TextBody"/>
        <w:spacing w:before="240" w:after="0"/>
        <w:jc w:val="left"/>
        <w:rPr/>
      </w:pPr>
      <w:r>
        <w:rPr/>
        <w:t>“</w:t>
      </w:r>
      <w:r>
        <w:rPr>
          <w:rFonts w:ascii="Times New Roman" w:hAnsi="Times New Roman"/>
          <w:sz w:val="20"/>
        </w:rPr>
        <w:t xml:space="preserve">Pre-Closing Sweden/Singapore Share Transfer” means, collectively, the following transactions contemplated under the Business Combination Agreement: (i) the transfer by Polestar Singapore to Former Parent of all of the issued and outstanding equity securities of Polestar Sweden (the “Pre-Closing Sweden Share Transfer”) and (ii) after the Pre-Closing Sweden Share Transfer, the contribution by Former Parent to Polestar Sweden of all of the issued and outstanding equity securities of Polestar Singapore. </w:t>
      </w:r>
    </w:p>
    <w:p>
      <w:pPr>
        <w:pStyle w:val="TextBody"/>
        <w:spacing w:before="240" w:after="0"/>
        <w:jc w:val="left"/>
        <w:rPr/>
      </w:pPr>
      <w:r>
        <w:rPr/>
        <w:t>“</w:t>
      </w:r>
      <w:r>
        <w:rPr>
          <w:rFonts w:ascii="Times New Roman" w:hAnsi="Times New Roman"/>
          <w:sz w:val="20"/>
        </w:rPr>
        <w:t xml:space="preserve">Registration Rights Agreement” means the registration rights agreement, dated September 27, 2021, by and among the Company, Former Parent, the Former Parent Shareholders, the GGI Sponsor and the independent directors of GGI (such persons, together with the GGI Sponsor and the Former Parent Shareholders, the “Registration Rights Holders”), as amended by the Registration Rights Agreement Amendment No. 1 and the Registration Rights Agreement Amendment No. 2. A copy of the Registration Rights Agreement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Registration Rights Agreement Amendment No. 1” means that certain amendment to the Registration Rights Agreement, dated December 17, 2021, a copy of which is filed as an exhibit to the registration statement of which this prospectus forms a part.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Registration Rights Agreement Amendment No. 2” means that certain amendment to the Registration Rights Agreement, dated March 24, 2022,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Resale Securities” means the Class A ADSs and Class C ADSs being offered for resale in the prospectus that forms a part of the Shelf Registration Statement. </w:t>
      </w:r>
    </w:p>
    <w:p>
      <w:pPr>
        <w:pStyle w:val="TextBody"/>
        <w:spacing w:before="240" w:after="0"/>
        <w:jc w:val="left"/>
        <w:rPr/>
      </w:pPr>
      <w:r>
        <w:rPr/>
        <w:t>“</w:t>
      </w:r>
      <w:r>
        <w:rPr>
          <w:rFonts w:ascii="Times New Roman" w:hAnsi="Times New Roman"/>
          <w:sz w:val="20"/>
        </w:rPr>
        <w:t xml:space="preserve">Rule 144” means Rule 144 under the Securities Act. </w:t>
      </w:r>
    </w:p>
    <w:p>
      <w:pPr>
        <w:pStyle w:val="TextBody"/>
        <w:spacing w:before="240" w:after="0"/>
        <w:jc w:val="left"/>
        <w:rPr/>
      </w:pPr>
      <w:r>
        <w:rPr/>
        <w:t>“</w:t>
      </w:r>
      <w:r>
        <w:rPr>
          <w:rFonts w:ascii="Times New Roman" w:hAnsi="Times New Roman"/>
          <w:sz w:val="20"/>
        </w:rPr>
        <w:t xml:space="preserve">Sarbanes-Oxley Act” means the Sarbanes-Oxley Act of 2002. </w:t>
      </w:r>
    </w:p>
    <w:p>
      <w:pPr>
        <w:pStyle w:val="TextBody"/>
        <w:spacing w:before="240" w:after="0"/>
        <w:jc w:val="left"/>
        <w:rPr/>
      </w:pPr>
      <w:r>
        <w:rPr/>
        <w:t>“</w:t>
      </w:r>
      <w:r>
        <w:rPr>
          <w:rFonts w:ascii="Times New Roman" w:hAnsi="Times New Roman"/>
          <w:sz w:val="20"/>
        </w:rPr>
        <w:t xml:space="preserve">Securities Act” means the U.S. Securities Act of 1933, as amended, and the rules and regulations promulgated thereunder. </w:t>
      </w:r>
    </w:p>
    <w:p>
      <w:pPr>
        <w:pStyle w:val="TextBody"/>
        <w:spacing w:before="240" w:after="0"/>
        <w:jc w:val="left"/>
        <w:rPr/>
      </w:pPr>
      <w:r>
        <w:rPr/>
        <w:t>“</w:t>
      </w:r>
      <w:r>
        <w:rPr>
          <w:rFonts w:ascii="Times New Roman" w:hAnsi="Times New Roman"/>
          <w:sz w:val="20"/>
        </w:rPr>
        <w:t xml:space="preserve">Share Matching Plan” means the Polestar Automotive Holding UK PLC 2023 Share Matching Plan. </w:t>
      </w:r>
    </w:p>
    <w:p>
      <w:pPr>
        <w:pStyle w:val="TextBody"/>
        <w:spacing w:before="240" w:after="0"/>
        <w:jc w:val="left"/>
        <w:rPr/>
      </w:pPr>
      <w:r>
        <w:rPr/>
        <w:t>“</w:t>
      </w:r>
      <w:r>
        <w:rPr>
          <w:rFonts w:ascii="Times New Roman" w:hAnsi="Times New Roman"/>
          <w:sz w:val="20"/>
        </w:rPr>
        <w:t xml:space="preserve">Shareholder Acknowledgement Agreement” means the shareholder acknowledgement, dated September 27, 2021, by and among Former Parent, the Former Parent Shareholders, Volvo Car Corporation and the Company, as amended by the Shareholder Acknowledgement Agreement Amendment,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Shareholder Acknowledgement Agreement Amendment” means that certain amendment to the Shareholder Acknowledgement Agreement, dated March 24, 2022,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Shares” means the Class A Shares and the Class B Shares. </w:t>
      </w:r>
    </w:p>
    <w:p>
      <w:pPr>
        <w:pStyle w:val="TextBody"/>
        <w:spacing w:before="240" w:after="0"/>
        <w:jc w:val="left"/>
        <w:rPr/>
      </w:pPr>
      <w:r>
        <w:rPr/>
        <w:t>“</w:t>
      </w:r>
      <w:r>
        <w:rPr>
          <w:rFonts w:ascii="Times New Roman" w:hAnsi="Times New Roman"/>
          <w:sz w:val="20"/>
        </w:rPr>
        <w:t xml:space="preserve">Shelf Registration Statement” means the Registration Statement on Form F-1 that the Company initially filed on July 12, 2022, and subsequently updated and supplemented, including with the Post-Effective Amendment No. 1, filed with the SEC on September 20, 2022. </w:t>
      </w:r>
    </w:p>
    <w:p>
      <w:pPr>
        <w:pStyle w:val="TextBody"/>
        <w:spacing w:before="240" w:after="0"/>
        <w:jc w:val="left"/>
        <w:rPr/>
      </w:pPr>
      <w:r>
        <w:rPr/>
        <w:t>“</w:t>
      </w:r>
      <w:r>
        <w:rPr>
          <w:rFonts w:ascii="Times New Roman" w:hAnsi="Times New Roman"/>
          <w:sz w:val="20"/>
        </w:rPr>
        <w:t xml:space="preserve">Snita” means Snita Holding B.V., a corporation organized under the laws of the Netherlands and a wholly owned subsidiary of Volvo Car Corporation. </w:t>
      </w:r>
    </w:p>
    <w:p>
      <w:pPr>
        <w:pStyle w:val="TextBody"/>
        <w:spacing w:before="240" w:after="0"/>
        <w:jc w:val="left"/>
        <w:rPr/>
      </w:pPr>
      <w:r>
        <w:rPr/>
        <w:t>“</w:t>
      </w:r>
      <w:r>
        <w:rPr>
          <w:rFonts w:ascii="Times New Roman" w:hAnsi="Times New Roman"/>
          <w:sz w:val="20"/>
        </w:rPr>
        <w:t xml:space="preserve">Snita Term Loan Facility” means the Term Loan Facility, dated November 3, 2022, between the Company, as borrower, and Snita, as lender. </w:t>
      </w:r>
    </w:p>
    <w:p>
      <w:pPr>
        <w:pStyle w:val="TextBody"/>
        <w:spacing w:before="240" w:after="0"/>
        <w:jc w:val="left"/>
        <w:rPr/>
      </w:pPr>
      <w:r>
        <w:rPr/>
        <w:t>“</w:t>
      </w:r>
      <w:r>
        <w:rPr>
          <w:rFonts w:ascii="Times New Roman" w:hAnsi="Times New Roman"/>
          <w:sz w:val="20"/>
        </w:rPr>
        <w:t xml:space="preserve">SPAC Warrant Agreement”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SPAC Warrant Agreement Amendment” means that certain Amendment to the SPAC Warrant Agreement, by and between GGI and Computershare Trust Company, N.A., as warrant agent, dated as of April 7, 2022, a copy of which is filed as an exhibit to the registration statement of which this prospectus forms a part. </w:t>
      </w:r>
    </w:p>
    <w:p>
      <w:pPr>
        <w:pStyle w:val="TextBody"/>
        <w:spacing w:before="240" w:after="0"/>
        <w:jc w:val="left"/>
        <w:rPr/>
      </w:pPr>
      <w:r>
        <w:rPr/>
        <w:t>“</w:t>
      </w:r>
      <w:r>
        <w:rPr>
          <w:rFonts w:ascii="Times New Roman" w:hAnsi="Times New Roman"/>
          <w:sz w:val="20"/>
        </w:rPr>
        <w:t xml:space="preserve">Sponsor Subscription Agreement” means the subscription agreement, dated September 27, 2021, as amended and restated on December 17, 2021 and amended on March 24, 2022, by and among GGI, the Company and the GGI Sponsor. </w:t>
      </w:r>
    </w:p>
    <w:p>
      <w:pPr>
        <w:pStyle w:val="TextBody"/>
        <w:spacing w:before="240" w:after="0"/>
        <w:jc w:val="left"/>
        <w:rPr/>
      </w:pPr>
      <w:r>
        <w:rPr/>
        <w:t>“</w:t>
      </w:r>
      <w:r>
        <w:rPr>
          <w:rFonts w:ascii="Times New Roman" w:hAnsi="Times New Roman"/>
          <w:sz w:val="20"/>
        </w:rPr>
        <w:t xml:space="preserve">Sponsor Subscription Investment” means the purchase of the Sponsor Subscription Shares pursuant to the Sponsor Subscription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Sponsor Subscription Shares” means the Class A Shares in the form of Class A ADSs purchased by the GGI Sponsor in the Sponsor Subscription Investment. </w:t>
      </w:r>
    </w:p>
    <w:p>
      <w:pPr>
        <w:pStyle w:val="TextBody"/>
        <w:spacing w:before="240" w:after="0"/>
        <w:jc w:val="left"/>
        <w:rPr/>
      </w:pPr>
      <w:r>
        <w:rPr/>
        <w:t>“</w:t>
      </w:r>
      <w:r>
        <w:rPr>
          <w:rFonts w:ascii="Times New Roman" w:hAnsi="Times New Roman"/>
          <w:sz w:val="20"/>
        </w:rPr>
        <w:t xml:space="preserve">Subscription Agreements” means the PIPE Subscription Agreements, the Sponsor Subscription Agreement and the Volvo Cars PIPE Subscription Agreement. </w:t>
      </w:r>
    </w:p>
    <w:p>
      <w:pPr>
        <w:pStyle w:val="TextBody"/>
        <w:spacing w:before="240" w:after="0"/>
        <w:jc w:val="left"/>
        <w:rPr/>
      </w:pPr>
      <w:r>
        <w:rPr/>
        <w:t>“</w:t>
      </w:r>
      <w:r>
        <w:rPr>
          <w:rFonts w:ascii="Times New Roman" w:hAnsi="Times New Roman"/>
          <w:sz w:val="20"/>
        </w:rPr>
        <w:t xml:space="preserve">Subscription Investments” means the purchase of the Subscription Shares pursuant to the Subscription Agreements. </w:t>
      </w:r>
    </w:p>
    <w:p>
      <w:pPr>
        <w:pStyle w:val="TextBody"/>
        <w:spacing w:before="240" w:after="0"/>
        <w:jc w:val="left"/>
        <w:rPr/>
      </w:pPr>
      <w:r>
        <w:rPr/>
        <w:t>“</w:t>
      </w:r>
      <w:r>
        <w:rPr>
          <w:rFonts w:ascii="Times New Roman" w:hAnsi="Times New Roman"/>
          <w:sz w:val="20"/>
        </w:rPr>
        <w:t xml:space="preserve">Subscription Shares” means the Class A Shares in the form of Class A ADSs purchased by the GGI Sponsor, the PIPE Investors and Snita pursuant to the Sponsor Subscription Agreement, the PIPE Subscription Agreements and the Volvo Cars PIPE Subscription Agreement, respectively. </w:t>
      </w:r>
    </w:p>
    <w:p>
      <w:pPr>
        <w:pStyle w:val="TextBody"/>
        <w:spacing w:before="240" w:after="0"/>
        <w:jc w:val="left"/>
        <w:rPr/>
      </w:pPr>
      <w:r>
        <w:rPr/>
        <w:t>“</w:t>
      </w:r>
      <w:r>
        <w:rPr>
          <w:rFonts w:ascii="Times New Roman" w:hAnsi="Times New Roman"/>
          <w:sz w:val="20"/>
        </w:rPr>
        <w:t xml:space="preserve">The Gores Group” means The Gores Group, LLC, an affiliate of the GGI Sponsor. </w:t>
      </w:r>
    </w:p>
    <w:p>
      <w:pPr>
        <w:pStyle w:val="TextBody"/>
        <w:spacing w:before="240" w:after="0"/>
        <w:jc w:val="left"/>
        <w:rPr/>
      </w:pPr>
      <w:r>
        <w:rPr/>
        <w:t>“</w:t>
      </w:r>
      <w:r>
        <w:rPr>
          <w:rFonts w:ascii="Times New Roman" w:hAnsi="Times New Roman"/>
          <w:sz w:val="20"/>
        </w:rPr>
        <w:t xml:space="preserve">TUSD” means thousands of U.S. Dollars. </w:t>
      </w:r>
    </w:p>
    <w:p>
      <w:pPr>
        <w:pStyle w:val="TextBody"/>
        <w:spacing w:before="240" w:after="0"/>
        <w:jc w:val="left"/>
        <w:rPr/>
      </w:pPr>
      <w:r>
        <w:rPr/>
        <w:t>“</w:t>
      </w:r>
      <w:r>
        <w:rPr>
          <w:rFonts w:ascii="Times New Roman" w:hAnsi="Times New Roman"/>
          <w:sz w:val="20"/>
        </w:rPr>
        <w:t xml:space="preserve">U.S. Dollars” and “USD” and “$” means United States dollars, the legal currency of the United States. </w:t>
      </w:r>
    </w:p>
    <w:p>
      <w:pPr>
        <w:pStyle w:val="TextBody"/>
        <w:spacing w:before="240" w:after="0"/>
        <w:jc w:val="left"/>
        <w:rPr/>
      </w:pPr>
      <w:r>
        <w:rPr/>
        <w:t>“</w:t>
      </w:r>
      <w:r>
        <w:rPr>
          <w:rFonts w:ascii="Times New Roman" w:hAnsi="Times New Roman"/>
          <w:sz w:val="20"/>
        </w:rPr>
        <w:t xml:space="preserve">U.S. GAAP” means generally accepted accounting principles in the United States. </w:t>
      </w:r>
    </w:p>
    <w:p>
      <w:pPr>
        <w:pStyle w:val="TextBody"/>
        <w:spacing w:before="240" w:after="0"/>
        <w:jc w:val="left"/>
        <w:rPr/>
      </w:pPr>
      <w:r>
        <w:rPr/>
        <w:t>“</w:t>
      </w:r>
      <w:r>
        <w:rPr>
          <w:rFonts w:ascii="Times New Roman" w:hAnsi="Times New Roman"/>
          <w:sz w:val="20"/>
        </w:rPr>
        <w:t xml:space="preserve">United Kingdom” or “UK” means the United Kingdom of Great Britain and Northern Ireland and its territories and possessions. </w:t>
      </w:r>
    </w:p>
    <w:p>
      <w:pPr>
        <w:pStyle w:val="TextBody"/>
        <w:spacing w:before="240" w:after="0"/>
        <w:jc w:val="left"/>
        <w:rPr/>
      </w:pPr>
      <w:r>
        <w:rPr/>
        <w:t>“</w:t>
      </w:r>
      <w:r>
        <w:rPr>
          <w:rFonts w:ascii="Times New Roman" w:hAnsi="Times New Roman"/>
          <w:sz w:val="20"/>
        </w:rPr>
        <w:t xml:space="preserve">United States” or “US” means the United States of America and its territories and possessions. </w:t>
      </w:r>
    </w:p>
    <w:p>
      <w:pPr>
        <w:pStyle w:val="TextBody"/>
        <w:spacing w:before="240" w:after="0"/>
        <w:jc w:val="left"/>
        <w:rPr/>
      </w:pPr>
      <w:r>
        <w:rPr/>
        <w:t>“</w:t>
      </w:r>
      <w:r>
        <w:rPr>
          <w:rFonts w:ascii="Times New Roman" w:hAnsi="Times New Roman"/>
          <w:sz w:val="20"/>
        </w:rPr>
        <w:t xml:space="preserve">Volvo Cars” means Volvo Car AB (publ) and its subsidiaries. </w:t>
      </w:r>
    </w:p>
    <w:p>
      <w:pPr>
        <w:pStyle w:val="TextBody"/>
        <w:spacing w:before="240" w:after="0"/>
        <w:jc w:val="left"/>
        <w:rPr/>
      </w:pPr>
      <w:r>
        <w:rPr/>
        <w:t>“</w:t>
      </w:r>
      <w:r>
        <w:rPr>
          <w:rFonts w:ascii="Times New Roman" w:hAnsi="Times New Roman"/>
          <w:sz w:val="20"/>
        </w:rPr>
        <w:t xml:space="preserve">Volvo Cars PIPE Subscription Agreement” 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 </w:t>
      </w:r>
    </w:p>
    <w:p>
      <w:pPr>
        <w:pStyle w:val="TextBody"/>
        <w:spacing w:before="240" w:after="0"/>
        <w:jc w:val="left"/>
        <w:rPr/>
      </w:pPr>
      <w:r>
        <w:rPr/>
        <w:t>“</w:t>
      </w:r>
      <w:r>
        <w:rPr>
          <w:rFonts w:ascii="Times New Roman" w:hAnsi="Times New Roman"/>
          <w:sz w:val="20"/>
        </w:rPr>
        <w:t xml:space="preserve">Volvo Cars PIPE Subscription Investment” means the purchase of Volvo Cars PIPE Subscription Shares pursuant to the Volvo Cars PIPE Subscription Agreement. </w:t>
      </w:r>
    </w:p>
    <w:p>
      <w:pPr>
        <w:pStyle w:val="TextBody"/>
        <w:spacing w:before="240" w:after="0"/>
        <w:jc w:val="left"/>
        <w:rPr/>
      </w:pPr>
      <w:r>
        <w:rPr/>
        <w:t>“</w:t>
      </w:r>
      <w:r>
        <w:rPr>
          <w:rFonts w:ascii="Times New Roman" w:hAnsi="Times New Roman"/>
          <w:sz w:val="20"/>
        </w:rPr>
        <w:t xml:space="preserve">Volvo Cars PIPE Subscription Shares” means the Class A Shares in the form of Class A ADSs purchased by Snita in the Volvo Cars PIPE Subscription Investment. </w:t>
      </w:r>
    </w:p>
    <w:p>
      <w:pPr>
        <w:pStyle w:val="TextBody"/>
        <w:spacing w:before="240" w:after="0"/>
        <w:jc w:val="left"/>
        <w:rPr/>
      </w:pPr>
      <w:r>
        <w:rPr/>
        <w:t>“</w:t>
      </w:r>
      <w:r>
        <w:rPr>
          <w:rFonts w:ascii="Times New Roman" w:hAnsi="Times New Roman"/>
          <w:sz w:val="20"/>
        </w:rPr>
        <w:t xml:space="preserve">Volvo Cars Preference Subscription Agreement” 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TUSD588,826. </w:t>
      </w:r>
    </w:p>
    <w:p>
      <w:pPr>
        <w:pStyle w:val="TextBody"/>
        <w:spacing w:before="240" w:after="0"/>
        <w:jc w:val="left"/>
        <w:rPr/>
      </w:pPr>
      <w:r>
        <w:rPr/>
        <w:t>“</w:t>
      </w:r>
      <w:r>
        <w:rPr>
          <w:rFonts w:ascii="Times New Roman" w:hAnsi="Times New Roman"/>
          <w:sz w:val="20"/>
        </w:rPr>
        <w:t xml:space="preserve">Volvo Cars Preference Subscription Investment” means the purchase of the Volvo Cars Preference Subscription Shares pursuant to the Volvo Cars Preference Subscription Agreement. </w:t>
      </w:r>
    </w:p>
    <w:p>
      <w:pPr>
        <w:pStyle w:val="TextBody"/>
        <w:spacing w:before="240" w:after="0"/>
        <w:jc w:val="left"/>
        <w:rPr/>
      </w:pPr>
      <w:r>
        <w:rPr/>
        <w:t>“</w:t>
      </w:r>
      <w:r>
        <w:rPr>
          <w:rFonts w:ascii="Times New Roman" w:hAnsi="Times New Roman"/>
          <w:sz w:val="20"/>
        </w:rPr>
        <w:t xml:space="preserve">Volvo Cars Preference Subscription Shares” means the mandatory convertible preference shares of the Company purchased by Snita pursuant to the Volvo Cars Preference Subscription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rom472016_7"/>
      <w:bookmarkEnd w:id="9"/>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 </w:t>
      </w:r>
    </w:p>
    <w:p>
      <w:pPr>
        <w:pStyle w:val="TextBody"/>
        <w:spacing w:before="240" w:after="0"/>
        <w:jc w:val="left"/>
        <w:rPr>
          <w:rFonts w:ascii="Times New Roman" w:hAnsi="Times New Roman"/>
          <w:sz w:val="20"/>
        </w:rPr>
      </w:pPr>
      <w:r>
        <w:rPr>
          <w:rFonts w:ascii="Times New Roman" w:hAnsi="Times New Roman"/>
          <w:sz w:val="20"/>
        </w:rPr>
        <w:t xml:space="preserve">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GGI or Polestar in connection with the Business Combination; </w:t>
            </w:r>
          </w:p>
        </w:tc>
      </w:tr>
    </w:tbl>
    <w:p>
      <w:pPr>
        <w:pStyle w:val="TextBody"/>
        <w:spacing w:before="0" w:after="0"/>
        <w:jc w:val="left"/>
        <w:rPr/>
      </w:pPr>
      <w:r>
        <w:rPr/>
        <w:t> </w:t>
      </w:r>
    </w:p>
    <w:tbl>
      <w:tblPr>
        <w:tblW w:w="5530" w:type="dxa"/>
        <w:jc w:val="left"/>
        <w:tblInd w:w="0" w:type="dxa"/>
        <w:tblCellMar>
          <w:top w:w="0" w:type="dxa"/>
          <w:left w:w="0" w:type="dxa"/>
          <w:bottom w:w="0" w:type="dxa"/>
          <w:right w:w="0" w:type="dxa"/>
        </w:tblCellMar>
      </w:tblPr>
      <w:tblGrid>
        <w:gridCol w:w="75"/>
        <w:gridCol w:w="110"/>
        <w:gridCol w:w="60"/>
        <w:gridCol w:w="5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ability to continue to meet stock exchange listing standards;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securities’ potential liquidity and trading; </w:t>
            </w:r>
          </w:p>
        </w:tc>
      </w:tr>
    </w:tbl>
    <w:p>
      <w:pPr>
        <w:pStyle w:val="TextBody"/>
        <w:spacing w:before="0" w:after="0"/>
        <w:jc w:val="left"/>
        <w:rPr/>
      </w:pPr>
      <w:r>
        <w:rPr/>
        <w:t> </w:t>
      </w:r>
    </w:p>
    <w:tbl>
      <w:tblPr>
        <w:tblW w:w="7690" w:type="dxa"/>
        <w:jc w:val="left"/>
        <w:tblInd w:w="0" w:type="dxa"/>
        <w:tblCellMar>
          <w:top w:w="0" w:type="dxa"/>
          <w:left w:w="0" w:type="dxa"/>
          <w:bottom w:w="0" w:type="dxa"/>
          <w:right w:w="0" w:type="dxa"/>
        </w:tblCellMar>
      </w:tblPr>
      <w:tblGrid>
        <w:gridCol w:w="75"/>
        <w:gridCol w:w="110"/>
        <w:gridCol w:w="60"/>
        <w:gridCol w:w="7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domestic and foreign business, market, financial, political and legal conditions;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delays in the development, design, manufacture, launch and financing of Polestar’s vehicles and Polestar’s reliance on a limited number of vehicle models to generate revenues;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related to the timing of expected business milestones and commercial launches, including Polestar’s ability to mass produce its current and new vehicle models and complete the upgrade or tooling of its manufacturing facilities; </w:t>
            </w:r>
          </w:p>
        </w:tc>
      </w:tr>
    </w:tbl>
    <w:p>
      <w:pPr>
        <w:pStyle w:val="TextBody"/>
        <w:spacing w:before="0" w:after="0"/>
        <w:jc w:val="left"/>
        <w:rPr/>
      </w:pPr>
      <w:r>
        <w:rPr/>
        <w:t> </w:t>
      </w:r>
    </w:p>
    <w:tbl>
      <w:tblPr>
        <w:tblW w:w="9730" w:type="dxa"/>
        <w:jc w:val="left"/>
        <w:tblInd w:w="0" w:type="dxa"/>
        <w:tblCellMar>
          <w:top w:w="0" w:type="dxa"/>
          <w:left w:w="0" w:type="dxa"/>
          <w:bottom w:w="0" w:type="dxa"/>
          <w:right w:w="0" w:type="dxa"/>
        </w:tblCellMar>
      </w:tblPr>
      <w:tblGrid>
        <w:gridCol w:w="75"/>
        <w:gridCol w:w="110"/>
        <w:gridCol w:w="60"/>
        <w:gridCol w:w="94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increases in costs, disruption of supply or shortage of materials, in particular for lithium-ion cells or semiconductors; </w:t>
            </w:r>
          </w:p>
        </w:tc>
      </w:tr>
    </w:tbl>
    <w:p>
      <w:pPr>
        <w:pStyle w:val="TextBody"/>
        <w:spacing w:before="0" w:after="0"/>
        <w:jc w:val="left"/>
        <w:rPr/>
      </w:pPr>
      <w:r>
        <w:rPr/>
        <w:t> </w:t>
      </w:r>
    </w:p>
    <w:tbl>
      <w:tblPr>
        <w:tblW w:w="8755" w:type="dxa"/>
        <w:jc w:val="left"/>
        <w:tblInd w:w="0" w:type="dxa"/>
        <w:tblCellMar>
          <w:top w:w="0" w:type="dxa"/>
          <w:left w:w="0" w:type="dxa"/>
          <w:bottom w:w="0" w:type="dxa"/>
          <w:right w:w="0" w:type="dxa"/>
        </w:tblCellMar>
      </w:tblPr>
      <w:tblGrid>
        <w:gridCol w:w="75"/>
        <w:gridCol w:w="110"/>
        <w:gridCol w:w="60"/>
        <w:gridCol w:w="8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related to product recalls, regulatory fines and/or an unexpectedly high volume of warranty claims;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competition, the ability of Polestar to grow and manage growth profitably, maintain relationships with customers and suppliers and retain its management and key employees; </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110"/>
        <w:gridCol w:w="60"/>
        <w:gridCol w:w="9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possibility that Polestar may be adversely affected by other economic, business, and/or competitive factors; </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75"/>
        <w:gridCol w:w="110"/>
        <w:gridCol w:w="60"/>
        <w:gridCol w:w="5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related to future market adoption of Polestar’s offerings; </w:t>
            </w:r>
          </w:p>
        </w:tc>
      </w:tr>
    </w:tbl>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75"/>
        <w:gridCol w:w="110"/>
        <w:gridCol w:w="60"/>
        <w:gridCol w:w="3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related to Polestar’s distribution model;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regulatory requirements (including environmental laws and regulations), governmental incentives and fuel and energy prices; </w:t>
            </w:r>
          </w:p>
        </w:tc>
      </w:tr>
    </w:tbl>
    <w:p>
      <w:pPr>
        <w:pStyle w:val="TextBody"/>
        <w:spacing w:before="0" w:after="0"/>
        <w:jc w:val="left"/>
        <w:rPr/>
      </w:pPr>
      <w:r>
        <w:rPr/>
        <w:t> </w:t>
      </w:r>
    </w:p>
    <w:tbl>
      <w:tblPr>
        <w:tblW w:w="3355" w:type="dxa"/>
        <w:jc w:val="left"/>
        <w:tblInd w:w="0" w:type="dxa"/>
        <w:tblCellMar>
          <w:top w:w="0" w:type="dxa"/>
          <w:left w:w="0" w:type="dxa"/>
          <w:bottom w:w="0" w:type="dxa"/>
          <w:right w:w="0" w:type="dxa"/>
        </w:tblCellMar>
      </w:tblPr>
      <w:tblGrid>
        <w:gridCol w:w="75"/>
        <w:gridCol w:w="110"/>
        <w:gridCol w:w="60"/>
        <w:gridCol w:w="3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rapidly innovate; </w:t>
            </w:r>
          </w:p>
        </w:tc>
      </w:tr>
    </w:tbl>
    <w:p>
      <w:pPr>
        <w:pStyle w:val="TextBody"/>
        <w:spacing w:before="0" w:after="0"/>
        <w:jc w:val="left"/>
        <w:rPr/>
      </w:pPr>
      <w:r>
        <w:rPr/>
        <w:t> </w:t>
      </w:r>
    </w:p>
    <w:tbl>
      <w:tblPr>
        <w:tblW w:w="9010" w:type="dxa"/>
        <w:jc w:val="left"/>
        <w:tblInd w:w="0" w:type="dxa"/>
        <w:tblCellMar>
          <w:top w:w="0" w:type="dxa"/>
          <w:left w:w="0" w:type="dxa"/>
          <w:bottom w:w="0" w:type="dxa"/>
          <w:right w:w="0" w:type="dxa"/>
        </w:tblCellMar>
      </w:tblPr>
      <w:tblGrid>
        <w:gridCol w:w="75"/>
        <w:gridCol w:w="110"/>
        <w:gridCol w:w="60"/>
        <w:gridCol w:w="8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associated with changes in applicable laws or regulations and with Polestar’s international operations;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effectively manage its growth and recruit and retain key employees, including its chief executive officer and executive team;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reliance on the development of vehicle charging networks to provide charging solutions for its vehicles and its strategic partners for servicing its vehicles and their integrated software;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establish its brand and capture additional market share, and the risks associated with negative press or reputational harm, including from lithium-ion battery cells catching fire or venting smoke;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outcome of any potential litigation, government and regulatory proceedings, investigations and inquiries; </w:t>
            </w:r>
          </w:p>
        </w:tc>
      </w:tr>
    </w:tbl>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75"/>
        <w:gridCol w:w="110"/>
        <w:gridCol w:w="6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continuously and rapidly innovate, develop and market new products;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outcome of any potential litigation, government and regulatory proceedings, investigations and inquiries;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the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w:t>
            </w:r>
          </w:p>
        </w:tc>
      </w:tr>
    </w:tbl>
    <w:p>
      <w:pPr>
        <w:pStyle w:val="TextBody"/>
        <w:spacing w:before="0" w:after="0"/>
        <w:jc w:val="left"/>
        <w:rPr/>
      </w:pPr>
      <w:r>
        <w:rPr/>
        <w:t> </w:t>
      </w:r>
    </w:p>
    <w:tbl>
      <w:tblPr>
        <w:tblW w:w="5650" w:type="dxa"/>
        <w:jc w:val="left"/>
        <w:tblInd w:w="0" w:type="dxa"/>
        <w:tblCellMar>
          <w:top w:w="0" w:type="dxa"/>
          <w:left w:w="0" w:type="dxa"/>
          <w:bottom w:w="0" w:type="dxa"/>
          <w:right w:w="0" w:type="dxa"/>
        </w:tblCellMar>
      </w:tblPr>
      <w:tblGrid>
        <w:gridCol w:w="75"/>
        <w:gridCol w:w="110"/>
        <w:gridCol w:w="60"/>
        <w:gridCol w:w="5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need to raise additional funds to support business growth; and </w:t>
            </w:r>
          </w:p>
        </w:tc>
      </w:tr>
    </w:tbl>
    <w:p>
      <w:pPr>
        <w:pStyle w:val="TextBody"/>
        <w:spacing w:before="0" w:after="0"/>
        <w:jc w:val="left"/>
        <w:rPr/>
      </w:pPr>
      <w:r>
        <w:rPr/>
        <w:t> </w:t>
      </w:r>
    </w:p>
    <w:tbl>
      <w:tblPr>
        <w:tblW w:w="8230" w:type="dxa"/>
        <w:jc w:val="left"/>
        <w:tblInd w:w="0" w:type="dxa"/>
        <w:tblCellMar>
          <w:top w:w="0" w:type="dxa"/>
          <w:left w:w="0" w:type="dxa"/>
          <w:bottom w:w="0" w:type="dxa"/>
          <w:right w:w="0" w:type="dxa"/>
        </w:tblCellMar>
      </w:tblPr>
      <w:tblGrid>
        <w:gridCol w:w="75"/>
        <w:gridCol w:w="110"/>
        <w:gridCol w:w="60"/>
        <w:gridCol w:w="7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other risks and uncertainties included in this prospectus in the section entitled “Risk Factors.” </w:t>
            </w:r>
          </w:p>
        </w:tc>
      </w:tr>
    </w:tbl>
    <w:p>
      <w:pPr>
        <w:pStyle w:val="TextBody"/>
        <w:spacing w:before="240" w:after="0"/>
        <w:jc w:val="left"/>
        <w:rPr>
          <w:rFonts w:ascii="Times New Roman" w:hAnsi="Times New Roman"/>
          <w:sz w:val="20"/>
        </w:rPr>
      </w:pPr>
      <w:r>
        <w:rPr>
          <w:rFonts w:ascii="Times New Roman" w:hAnsi="Times New Roman"/>
          <w:sz w:val="20"/>
        </w:rPr>
        <w:t xml:space="preserve">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0" w:name="rom472016_8"/>
      <w:bookmarkEnd w:id="10"/>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is determined to improve society by accelerating the shift to sustainable mobility.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1, an electric performance hybrid GT, was launched to establish Polestar in the premium luxury electric vehicle market in 2017. With a carbon fiber body, Polestar 1 has a combined 609 horse power (hp) and 1,000 Newton-meter (Nm) of torque. Production of the Polestar 1 ceased at the end of 2021, making Polestar a dedicated electric vehicle manufacturer. Polestar 2, an electric performance fastback and Polestar’s first fully electric, high volume car was launched in 2019. Polestar 2 has three variants with a combination of long- and standard range batteries as large as 82 kWh, and dual- and single-motor powertrains with up to 310 kW / 421 hp and 740 Nm of torque. Polestar 3, an electric performance SUV, was launched in 2022. Polestar 3 has two dual-motor 111 kWh battery variants with powertrains up to 380 kW / 517 hp and 910 Nm of torque.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2022, Polestar’s cars are on the road in 27 markets across Europe, North America and Asia Pacific. Polestar intends to grow rapidly in its existing and new markets, which include eight new countries in 2022. Polestar also plans to introduce three new electric vehicles by 2026. Following the launch of the Polestar 3, an electric performance SUV, on October 12, 2022 where customers were able to begin placing orders, Polestar expects to launch Polestar 4, a sporty SUV coupe in 2023, Polestar 5, a luxury 4 door GT, in 2024 and Polestar 6, an electric performance roadster, in 2026. With growth in existing and new markets and broader vehicle portfolio, Polestar expects to compete in segments constituting approximately 80% of the global premium luxury vehicle market by volume of units sold by 2025. Polestar believes the premium luxury vehicle segment is one of the fastest growing vehicle segments, and expects the electric-only vehicle portion of this segment to grow at a faster rate than the overall segment.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show Polestar’s revenue by type and geographical region for the years ended December 31, 2020, 2021 and 2022: </w:t>
      </w:r>
    </w:p>
    <w:p>
      <w:pPr>
        <w:pStyle w:val="TextBody"/>
        <w:spacing w:before="0" w:after="0"/>
        <w:jc w:val="left"/>
        <w:rPr>
          <w:bdr w:val="single" w:sz="8" w:space="1" w:color="000000"/>
        </w:rPr>
      </w:pPr>
      <w:r>
        <w:rPr>
          <w:bdr w:val="single" w:sz="8" w:space="1" w:color="000000"/>
        </w:rPr>
        <w:t> </w:t>
      </w:r>
    </w:p>
    <w:tbl>
      <w:tblPr>
        <w:tblW w:w="7673" w:type="dxa"/>
        <w:jc w:val="left"/>
        <w:tblInd w:w="0" w:type="dxa"/>
        <w:tblCellMar>
          <w:top w:w="0" w:type="dxa"/>
          <w:left w:w="0" w:type="dxa"/>
          <w:bottom w:w="0" w:type="dxa"/>
          <w:right w:w="0" w:type="dxa"/>
        </w:tblCellMar>
      </w:tblPr>
      <w:tblGrid>
        <w:gridCol w:w="4070"/>
        <w:gridCol w:w="120"/>
        <w:gridCol w:w="62"/>
        <w:gridCol w:w="1012"/>
        <w:gridCol w:w="62"/>
        <w:gridCol w:w="124"/>
        <w:gridCol w:w="62"/>
        <w:gridCol w:w="1012"/>
        <w:gridCol w:w="62"/>
        <w:gridCol w:w="124"/>
        <w:gridCol w:w="62"/>
        <w:gridCol w:w="826"/>
        <w:gridCol w:w="75"/>
      </w:tblGrid>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8"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vehicles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2,404,246</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1,290,031</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542,783</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21,308</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25,881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35,434</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carbon credits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10,984</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6,299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27,141</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Vehicle leasing revenue</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16,719</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6,217</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revenue</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8,639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8,753</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4,887</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2,461,896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1,337,181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b/>
              </w:rPr>
            </w:pPr>
            <w:r>
              <w:rPr>
                <w:b/>
              </w:rPr>
              <w:t>610,245</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t> </w:t>
      </w:r>
    </w:p>
    <w:tbl>
      <w:tblPr>
        <w:tblW w:w="6533" w:type="dxa"/>
        <w:jc w:val="left"/>
        <w:tblInd w:w="0" w:type="dxa"/>
        <w:tblCellMar>
          <w:top w:w="0" w:type="dxa"/>
          <w:left w:w="0" w:type="dxa"/>
          <w:bottom w:w="0" w:type="dxa"/>
          <w:right w:w="0" w:type="dxa"/>
        </w:tblCellMar>
      </w:tblPr>
      <w:tblGrid>
        <w:gridCol w:w="2930"/>
        <w:gridCol w:w="120"/>
        <w:gridCol w:w="62"/>
        <w:gridCol w:w="1012"/>
        <w:gridCol w:w="62"/>
        <w:gridCol w:w="124"/>
        <w:gridCol w:w="62"/>
        <w:gridCol w:w="1012"/>
        <w:gridCol w:w="62"/>
        <w:gridCol w:w="124"/>
        <w:gridCol w:w="62"/>
        <w:gridCol w:w="826"/>
        <w:gridCol w:w="75"/>
      </w:tblGrid>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8"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Europe, the Middle East, and Africa</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1,619,046</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1,029,058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568,311</w:t>
            </w:r>
          </w:p>
        </w:tc>
        <w:tc>
          <w:tcPr>
            <w:tcW w:w="75"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North America</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609,058</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265,661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28,084</w:t>
            </w:r>
          </w:p>
        </w:tc>
        <w:tc>
          <w:tcPr>
            <w:tcW w:w="75"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Asia and Australia</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233,792</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42,462</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13,850</w:t>
            </w:r>
          </w:p>
        </w:tc>
        <w:tc>
          <w:tcPr>
            <w:tcW w:w="75"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2,461,896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1,337,181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b/>
              </w:rPr>
            </w:pPr>
            <w:r>
              <w:rPr>
                <w:b/>
              </w:rPr>
              <w:t>610,245</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has set itself the important goal to create a truly climate neutral production car by the end of 2030, which it refers to as the Polestar 0 project. The development of a truly climate neutral production car by the end of 2030 is a significant milestone on the path to Polestar’s goal of becoming a climate neutral company by the end of 2040.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Polestar’s ability to leverage the manufacturing footprint of both Volvo Cars and Geely provides it with access to a substantial combined installed production capacity and gives Polestar’s highly scalable business model immediate operating leverage. Polestar also plans on expanding its production capacity in Europe by leveraging plants that are owned and operated by Volvo Cars.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sales channels include both direct-to-business and direct-to-consumer models. In direct-to-business, vehicles are sold to dealerships and various fleet customers, such as rental car companies and corporate fleet managers. In direct-to-consumer, Polestar uses a digital first approach that enables its customers to browse Polestar’s products, configure their preferred vehicle and place their order on-line. Alternatively, Polestar Spaces are where customers can see, feel and test drive Polestar’s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research and development expertise is a core competence and Polestar believes it is a significant competitive advantage. With over 650 personnel located in Coventry, United Kingdom and Gothenburg, Sweden, the European research and development team focuses on areas such as bonded aluminum architectures,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high-performance electric motor and bi-directional compatible battery packs, in-car software development and advanced engineering and research. A further 30 employees in Shanghai, China are dedicated to the development of specific features for the Chinese market. The Polestar research and development team also benefits, through a variety of agreements, from having access to the substantial engineering and design teams of Volvo Cars and Geely. The strong expertise and ambition to develop and produce sustainable technology solutions and materials is also a key asset of Polestar’s research and development. All in all, Polestar’s ability to create cars with a strong Polestar product design is also widely recognized as a key differentiator.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5, 2023, Polestar announced that its vehicles will benefit from Google’s new high definition (“HD”) map, a comprehensive map that will provide highly detailed and up-to-date road information. With HD map, Polestar expects to be able to combine its vehicle sensor technology and Google’s precise lane-level and localization data to facilitate driver assistance features like Pilot Assist, as well as future autonomous driving functionality.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 2023, Polestar announced that it had signed up a further eight partners to the Polestar 0 project, the Company’s goal to create a truly climate neutral production car by 2030. The new collaborators. which include Vitesco Technologies and Stora Enso, will contribute to research in areas such as bio-based materials, chemicals, aluminum processes, electronics and interior surface materials.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 2023, Polestar and Luminar announced an expanded collaboration on the industrial design and integration of Luminar’s 3D laser scanning technology which will be featured on Polestar’s future vehicles, including Polestar 5 – the electric 4-door GT expected to be launched in 2024. Luminar is an existing supplier of light detection and ranging (“LiDAR”) technology for Polestar 3, the Company’s electric performance SUV, which was launched in October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8, 2023, Polestar and Rivian issued in collaboration a “Pathway Report” which concludes that the automotive industry is set to overshoot the IPCC’s 1.5-degree pathway by at least 75% by 2050. Issued in response to the climate crisis, the report, which uses existing, open-source data to model the current trajectory for emissions stemming from the car industry, was carried out by global management consulting firm Kearney.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22, 2023, Polestar announced a major upgrade to the Polestar 2 for model 2024. The changes feature a new high-tech front end that reflects the design language premiered by Polestar 3, substantial performance increases with all-new electric motors, even more powerful batteries, sustainability improvements and, for the first time in a Polestar, rear-wheel drive.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26, 2023, Polestar amended and restated the EUR 350,000,000 uncommitted green trade finance facility, including an accordion facility of up to EUR 250,000,000, into which it entered with Standard Chartered Bank, Nordea Bank ABP, Citibank Europe PLC and ING Belgium SA/NV on February 28, 2022. In connection with the amendment and restatement, the green trade finance facility was extended for an additional 12 months. Loans under the green trade finance facility carry interest at EURIBOR plus 2.3% per annum plus a flat arrangement fee of 0.05-0.10% to be paid on the value of a bank’s participation in the facility. The facility has a repayment period of 90 days and includes a covenant tied to Polestar’s cash and cash equivalents position and available commitments under committed credit facilities not falling below EUR 400,000,000. As of the date of this prospectus, the outstanding principal balance under the green trade finance facility was EUR 190,678,961.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 copy of the amended and restated trade finance facility agreement is filed as an exhibit to the registration statement of which this prospectus forms a part.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6, 2023, Polestar announced that it had delivered approximately 12,000 vehicles in the first quarter of 2023.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Foreign Private Issuer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 </w:t>
      </w:r>
    </w:p>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Controlled Company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By virtue of being a controlled company under Nasdaq listing rules, the Company may elect not to comply with certain Nasdaq corporate governance requirements, including that: </w:t>
      </w:r>
    </w:p>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nominating and governance committee be composed entirely of independent directors with a written charter addressing the committee’s purpose and responsibilities; and </w:t>
            </w:r>
          </w:p>
        </w:tc>
      </w:tr>
    </w:tbl>
    <w:p>
      <w:pPr>
        <w:pStyle w:val="TextBody"/>
        <w:spacing w:before="0" w:after="0"/>
        <w:jc w:val="left"/>
        <w:rPr>
          <w:bdr w:val="single" w:sz="8" w:space="1" w:color="000000"/>
        </w:rPr>
      </w:pPr>
      <w:r>
        <w:rPr>
          <w:bdr w:val="single" w:sz="8" w:space="1" w:color="000000"/>
        </w:rPr>
        <w:t> </w:t>
      </w:r>
    </w:p>
    <w:tbl>
      <w:tblPr>
        <w:tblW w:w="9160" w:type="dxa"/>
        <w:jc w:val="left"/>
        <w:tblInd w:w="0" w:type="dxa"/>
        <w:tblCellMar>
          <w:top w:w="0" w:type="dxa"/>
          <w:left w:w="0" w:type="dxa"/>
          <w:bottom w:w="0" w:type="dxa"/>
          <w:right w:w="0" w:type="dxa"/>
        </w:tblCellMar>
      </w:tblPr>
      <w:tblGrid>
        <w:gridCol w:w="75"/>
        <w:gridCol w:w="110"/>
        <w:gridCol w:w="60"/>
        <w:gridCol w:w="8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there be an annual performance evaluation of the compensation and nominating and governance committees.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 </w:t>
      </w:r>
    </w:p>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operations rely heavily on a variety of agreements with its strategic partners, Volvo Cars and Geely,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produce vehicles and its future growth also depend upon its ability to maintain relationships with its existing suppliers and strategic partners, to source new suppliers for its critical components, and to complete building out its supply chain, while effectively managing the risks due to such relationships.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is dependent on strategic partners and suppliers, some of which are single-source suppliers, and the inability of these partners and suppliers to deliver necessary components of Polestar’s products on schedule and at prices, quality levels and volumes acceptable to Polestar, or Polestar’s inability to efficiently manage these components, could have a material and adverse effect on Polestar.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may be unable to grow its global product sales, delivery capabilities and its servicing and vehicle charging partnerships, or Polestar may be unable to accurately project and effectively manage its growth.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experienced and may in the future experience significant delays in the design, development, manufacture, launch and financing of its vehicles, which could harm its business and prospects.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Increases in costs, disruption of supply or shortage of materials, in particular for lithium-ion cells or semiconductors, could harm Polestar’s business. </w:t>
            </w:r>
          </w:p>
        </w:tc>
      </w:tr>
    </w:tbl>
    <w:p>
      <w:pPr>
        <w:pStyle w:val="TextBody"/>
        <w:spacing w:before="0" w:after="0"/>
        <w:jc w:val="left"/>
        <w:rPr>
          <w:bdr w:val="single" w:sz="8" w:space="1" w:color="000000"/>
        </w:rPr>
      </w:pPr>
      <w:r>
        <w:rPr>
          <w:bdr w:val="single" w:sz="8" w:space="1" w:color="000000"/>
        </w:rPr>
        <w:t> </w:t>
      </w:r>
    </w:p>
    <w:tbl>
      <w:tblPr>
        <w:tblW w:w="7885" w:type="dxa"/>
        <w:jc w:val="left"/>
        <w:tblInd w:w="0" w:type="dxa"/>
        <w:tblCellMar>
          <w:top w:w="0" w:type="dxa"/>
          <w:left w:w="0" w:type="dxa"/>
          <w:bottom w:w="0" w:type="dxa"/>
          <w:right w:w="0" w:type="dxa"/>
        </w:tblCellMar>
      </w:tblPr>
      <w:tblGrid>
        <w:gridCol w:w="75"/>
        <w:gridCol w:w="110"/>
        <w:gridCol w:w="60"/>
        <w:gridCol w:w="7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operates in an intensely competitive market, which is generally cyclical and volatile.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incurred net losses each year since its inception and expects to incur increasing expenses and substantial losses for the foreseeable future.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independent registered public accounting firm has included an explanatory paragraph relating to Polestar’s ability to continue as a going concern in its report on Polestar’s financial statements included in this prospectus.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depends on revenue generated from a limited number of models and expects this to continue in the foreseeable future.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Delays in the timing of expected business milestones and commercial launches, including Polestar’s ability to mass produce its electric vehicles and/or complete and/or expand its manufacturing capabilities, could materially and adversely affect Polestar.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relies heavily on manufacturing facilities and suppliers, including single-source suppliers, based in China and its growth strategy will depend on growing its business in China.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Chinese policies, regulations and rules may be quick with little advance notice and the enforcement of laws of the Chinese government is uncertain and could have a significant impact upon Polestar’s and its partners’ ability to operate profitably.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w:t>
            </w:r>
          </w:p>
        </w:tc>
      </w:tr>
    </w:tbl>
    <w:p>
      <w:pPr>
        <w:pStyle w:val="TextBody"/>
        <w:spacing w:before="0" w:after="0"/>
        <w:jc w:val="left"/>
        <w:rPr>
          <w:bdr w:val="single" w:sz="8" w:space="1" w:color="000000"/>
        </w:rPr>
      </w:pPr>
      <w:r>
        <w:rPr>
          <w:bdr w:val="single" w:sz="8" w:space="1" w:color="000000"/>
        </w:rPr>
        <w:t> </w:t>
      </w:r>
    </w:p>
    <w:tbl>
      <w:tblPr>
        <w:tblW w:w="5125" w:type="dxa"/>
        <w:jc w:val="left"/>
        <w:tblInd w:w="0" w:type="dxa"/>
        <w:tblCellMar>
          <w:top w:w="0" w:type="dxa"/>
          <w:left w:w="0" w:type="dxa"/>
          <w:bottom w:w="0" w:type="dxa"/>
          <w:right w:w="0" w:type="dxa"/>
        </w:tblCellMar>
      </w:tblPr>
      <w:tblGrid>
        <w:gridCol w:w="75"/>
        <w:gridCol w:w="110"/>
        <w:gridCol w:w="60"/>
        <w:gridCol w:w="48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Investors should not rely on outdated financial projections.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main distribution approach is different from the currently predominant distribution model for automakers, and its long-term viability is unproven. </w:t>
            </w:r>
          </w:p>
        </w:tc>
      </w:tr>
    </w:tbl>
    <w:p>
      <w:pPr>
        <w:pStyle w:val="TextBody"/>
        <w:spacing w:before="0" w:after="0"/>
        <w:jc w:val="left"/>
        <w:rPr>
          <w:bdr w:val="single" w:sz="8" w:space="1" w:color="000000"/>
        </w:rPr>
      </w:pPr>
      <w:r>
        <w:rPr>
          <w:bdr w:val="single" w:sz="8" w:space="1" w:color="000000"/>
        </w:rPr>
        <w:t> </w:t>
      </w:r>
    </w:p>
    <w:tbl>
      <w:tblPr>
        <w:tblW w:w="10150" w:type="dxa"/>
        <w:jc w:val="left"/>
        <w:tblInd w:w="0" w:type="dxa"/>
        <w:tblCellMar>
          <w:top w:w="0" w:type="dxa"/>
          <w:left w:w="0" w:type="dxa"/>
          <w:bottom w:w="0" w:type="dxa"/>
          <w:right w:w="0" w:type="dxa"/>
        </w:tblCellMar>
      </w:tblPr>
      <w:tblGrid>
        <w:gridCol w:w="75"/>
        <w:gridCol w:w="110"/>
        <w:gridCol w:w="60"/>
        <w:gridCol w:w="9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vehicles make use of lithium-ion battery cells, which have been observed to catch fire or vent smoke and flame.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generate meaningful product revenue will depend on consumer adoption of electric vehicles. If the pace and depth of electric vehicle adoption develops more slowly than Polestar expects, its revenue may decline or fail to grow, and Polestar may be materially and adversely affected.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undertaken, and in the future may choose to or be compelled to undertake, product recalls or to take other actions that could result in litigation.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Much of the intellectual property pertaining to Polestar’s vehicles is owned by Volvo Cars and Geely and licensed, in some cases on a non-exclusive basis, to Polestar.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will require additional capital to support business growth, and this capital might not be available on commercially reasonable terms, or at all.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financial results may vary significantly from period to period due to fluctuations in its operating costs, product demand and other factors.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Polestar’s performance does not meet the expectations of investors, stockholders or financial analysts, the market price of the ADSs may decline.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is a foreign private issuer within the meaning of the rules under the Exchange Act and, as such, it is exempt from certain provisions applicable to United States domestic public companies.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Polestar is a foreign private issuer and follows certain home country corporate governance practices, its shareholders may not have the same protections afforded to shareholders of companies that are subject to all of Nasdaq’s corporate governance requirements.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may lose its foreign private issuer status in the future, which could result in significant additional costs and expenses. </w:t>
            </w:r>
          </w:p>
        </w:tc>
      </w:tr>
    </w:tbl>
    <w:p>
      <w:pPr>
        <w:pStyle w:val="TextBody"/>
        <w:spacing w:before="0" w:after="0"/>
        <w:jc w:val="left"/>
        <w:rPr>
          <w:bdr w:val="single" w:sz="8" w:space="1" w:color="000000"/>
        </w:rPr>
      </w:pPr>
      <w:r>
        <w:rPr>
          <w:bdr w:val="single" w:sz="8" w:space="1" w:color="000000"/>
        </w:rPr>
        <w:t> </w:t>
      </w:r>
    </w:p>
    <w:tbl>
      <w:tblPr>
        <w:tblW w:w="7570" w:type="dxa"/>
        <w:jc w:val="left"/>
        <w:tblInd w:w="0" w:type="dxa"/>
        <w:tblCellMar>
          <w:top w:w="0" w:type="dxa"/>
          <w:left w:w="0" w:type="dxa"/>
          <w:bottom w:w="0" w:type="dxa"/>
          <w:right w:w="0" w:type="dxa"/>
        </w:tblCellMar>
      </w:tblPr>
      <w:tblGrid>
        <w:gridCol w:w="75"/>
        <w:gridCol w:w="110"/>
        <w:gridCol w:w="60"/>
        <w:gridCol w:w="7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identified material weaknesses in its internal control over financial reporting.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Our agent for service of process in the United States is Polestar Automotive Holding USA Inc. at 77 MacArthur Blvd, Mahwah, NJ 07430.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1" w:name="rom472016_9"/>
      <w:bookmarkEnd w:id="11"/>
      <w:r>
        <w:rPr>
          <w:rFonts w:ascii="Times New Roman" w:hAnsi="Times New Roman"/>
          <w:b/>
          <w:sz w:val="20"/>
          <w:bdr w:val="single" w:sz="8" w:space="1" w:color="000000"/>
        </w:rPr>
        <w:t xml:space="preserve">THE OFFERING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offering. The “Description of Share Capital and Articles of Association” and “Description of American Depositary Shares” sections of this prospectus contain a more detailed description of the Company’s Class A ADSs and Class C ADSs. </w:t>
      </w:r>
    </w:p>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1520"/>
        <w:gridCol w:w="8685"/>
      </w:tblGrid>
      <w:tr>
        <w:trPr/>
        <w:tc>
          <w:tcPr>
            <w:tcW w:w="1520"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Securities being registered for resale by the Selling Securityholders:</w:t>
            </w:r>
            <w:r>
              <w:rPr>
                <w:rFonts w:ascii="Times New Roman" w:hAnsi="Times New Roman"/>
                <w:sz w:val="20"/>
              </w:rPr>
              <w:t xml:space="preserve"> </w:t>
            </w:r>
          </w:p>
        </w:tc>
        <w:tc>
          <w:tcPr>
            <w:tcW w:w="8685" w:type="dxa"/>
            <w:tcBorders/>
            <w:shd w:fill="auto" w:val="clear"/>
            <w:vAlign w:val="center"/>
          </w:tcPr>
          <w:p>
            <w:pPr>
              <w:pStyle w:val="TableContents"/>
              <w:spacing w:before="0" w:after="283"/>
              <w:rPr/>
            </w:pPr>
            <w:r>
              <w:rPr/>
              <w:t xml:space="preserve">(i)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1,776,332,546 Class A ADSs issuable upon conversion of Class B ADSs, including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and (viii) up to 500,000 Class A ADSs issuable to a service provider in exchange for the performance of marketing consulting services valued at up to $5,000,000. This prospectus also covers any additional securities that may become issuable by reason of share splits, share dividends or similar transactions.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1488"/>
        <w:gridCol w:w="8717"/>
      </w:tblGrid>
      <w:tr>
        <w:trPr/>
        <w:tc>
          <w:tcPr>
            <w:tcW w:w="1488"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Offering prices for resales:</w:t>
            </w:r>
            <w:r>
              <w:rPr>
                <w:rFonts w:ascii="Times New Roman" w:hAnsi="Times New Roman"/>
                <w:sz w:val="20"/>
              </w:rPr>
              <w:t xml:space="preserve"> </w:t>
            </w:r>
          </w:p>
        </w:tc>
        <w:tc>
          <w:tcPr>
            <w:tcW w:w="8717" w:type="dxa"/>
            <w:tcBorders/>
            <w:shd w:fill="auto" w:val="clear"/>
            <w:vAlign w:val="center"/>
          </w:tcPr>
          <w:p>
            <w:pPr>
              <w:pStyle w:val="TableContents"/>
              <w:spacing w:before="0" w:after="283"/>
              <w:rPr/>
            </w:pPr>
            <w:r>
              <w:rPr/>
              <w:t xml:space="preserve">The Selling Securityholders will determine when and how they will dispose of the Class A ADSs and Class C-2 ADSs, the resale of which is being registered under this prospectus.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1558"/>
        <w:gridCol w:w="8647"/>
      </w:tblGrid>
      <w:tr>
        <w:trPr/>
        <w:tc>
          <w:tcPr>
            <w:tcW w:w="1558"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Class A ADSs offered by us:</w:t>
            </w:r>
            <w:r>
              <w:rPr>
                <w:rFonts w:ascii="Times New Roman" w:hAnsi="Times New Roman"/>
                <w:sz w:val="20"/>
              </w:rPr>
              <w:t xml:space="preserve"> </w:t>
            </w:r>
          </w:p>
        </w:tc>
        <w:tc>
          <w:tcPr>
            <w:tcW w:w="864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Up to 24,999,965 Class A ADSs issuable upon conversion of the Class C ADSs, including up to 9,000,000 Class A ADSs issuable upon conversion of the Class C-2 ADSs initially held by the GGI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0"/>
              <w:jc w:val="left"/>
              <w:rPr>
                <w:rFonts w:ascii="Times New Roman" w:hAnsi="Times New Roman"/>
                <w:sz w:val="20"/>
              </w:rPr>
            </w:pPr>
            <w:r>
              <w:rPr>
                <w:rFonts w:ascii="Times New Roman" w:hAnsi="Times New Roman"/>
                <w:sz w:val="20"/>
              </w:rPr>
              <w:t xml:space="preserve">Sponsor in the form of Class C-2 ADSs and which may be converted into Class C-1 ADSs pursuant to the terms of the Class C-2 ADSs.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1181"/>
        <w:gridCol w:w="9024"/>
      </w:tblGrid>
      <w:tr>
        <w:trPr/>
        <w:tc>
          <w:tcPr>
            <w:tcW w:w="1181"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Terms of Class C ADSs:</w:t>
            </w:r>
            <w:r>
              <w:rPr>
                <w:rFonts w:ascii="Times New Roman" w:hAnsi="Times New Roman"/>
                <w:sz w:val="20"/>
              </w:rPr>
              <w:t xml:space="preserve"> </w:t>
            </w:r>
          </w:p>
        </w:tc>
        <w:tc>
          <w:tcPr>
            <w:tcW w:w="9024" w:type="dxa"/>
            <w:tcBorders/>
            <w:shd w:fill="auto" w:val="clear"/>
            <w:vAlign w:val="center"/>
          </w:tcPr>
          <w:p>
            <w:pPr>
              <w:pStyle w:val="TableContents"/>
              <w:spacing w:before="0" w:after="283"/>
              <w:rPr/>
            </w:pPr>
            <w:r>
              <w:rPr/>
              <w:t xml:space="preserve">Each Class C ADS entitles the holder to purchase one Class A ADS at a price of $11.50 per Class C ADS, subject to adjustments. Our Class C ADSs expire on June 23, 2027 at 5:00 p.m., New York City time, or earlier upon redemption.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3179"/>
        <w:gridCol w:w="7026"/>
      </w:tblGrid>
      <w:tr>
        <w:trPr/>
        <w:tc>
          <w:tcPr>
            <w:tcW w:w="3179"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Securities issued and outstanding prior to any exercise of Class C ADSs as of the date of this prospectus:</w:t>
            </w:r>
            <w:r>
              <w:rPr>
                <w:rFonts w:ascii="Times New Roman" w:hAnsi="Times New Roman"/>
                <w:sz w:val="20"/>
              </w:rPr>
              <w:t xml:space="preserve"> </w:t>
            </w:r>
          </w:p>
        </w:tc>
        <w:tc>
          <w:tcPr>
            <w:tcW w:w="7026" w:type="dxa"/>
            <w:tcBorders/>
            <w:shd w:fill="auto" w:val="clear"/>
            <w:vAlign w:val="center"/>
          </w:tcPr>
          <w:p>
            <w:pPr>
              <w:pStyle w:val="TableContents"/>
              <w:spacing w:before="0" w:after="283"/>
              <w:rPr/>
            </w:pPr>
            <w:r>
              <w:rPr/>
              <w:t xml:space="preserve">467,708,923 Class A ADSs, 1,642,233,575 Class B ADSs, no Volvo Cars Preference Subscription Shares, 50,000 GBP Redeemable Preferred Shares, 20,499,965 Class C-1 ADSs and 4,500,000 Class C-2 ADSs. </w:t>
            </w:r>
          </w:p>
        </w:tc>
      </w:tr>
    </w:tbl>
    <w:p>
      <w:pPr>
        <w:pStyle w:val="TextBody"/>
        <w:spacing w:before="0" w:after="0"/>
        <w:jc w:val="left"/>
        <w:rPr>
          <w:bdr w:val="single" w:sz="8" w:space="1" w:color="000000"/>
        </w:rPr>
      </w:pPr>
      <w:r>
        <w:rPr>
          <w:bdr w:val="single" w:sz="8" w:space="1" w:color="000000"/>
        </w:rPr>
        <w:t> </w:t>
      </w:r>
    </w:p>
    <w:tbl>
      <w:tblPr>
        <w:tblW w:w="8575" w:type="dxa"/>
        <w:jc w:val="left"/>
        <w:tblInd w:w="0" w:type="dxa"/>
        <w:tblCellMar>
          <w:top w:w="0" w:type="dxa"/>
          <w:left w:w="0" w:type="dxa"/>
          <w:bottom w:w="0" w:type="dxa"/>
          <w:right w:w="0" w:type="dxa"/>
        </w:tblCellMar>
      </w:tblPr>
      <w:tblGrid>
        <w:gridCol w:w="5765"/>
        <w:gridCol w:w="2810"/>
      </w:tblGrid>
      <w:tr>
        <w:trPr/>
        <w:tc>
          <w:tcPr>
            <w:tcW w:w="5765"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Class A ADSs outstanding assuming the exercise of all Class C ADSs</w:t>
            </w:r>
            <w:r>
              <w:rPr>
                <w:rFonts w:ascii="Times New Roman" w:hAnsi="Times New Roman"/>
                <w:sz w:val="20"/>
              </w:rPr>
              <w:t xml:space="preserve"> </w:t>
            </w:r>
          </w:p>
        </w:tc>
        <w:tc>
          <w:tcPr>
            <w:tcW w:w="2810" w:type="dxa"/>
            <w:tcBorders/>
            <w:shd w:fill="auto" w:val="clear"/>
            <w:vAlign w:val="center"/>
          </w:tcPr>
          <w:p>
            <w:pPr>
              <w:pStyle w:val="TableContents"/>
              <w:spacing w:before="0" w:after="283"/>
              <w:rPr/>
            </w:pPr>
            <w:r>
              <w:rPr/>
              <w:t xml:space="preserve">492,708,888 Class A ADSs.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848"/>
        <w:gridCol w:w="9357"/>
      </w:tblGrid>
      <w:tr>
        <w:trPr/>
        <w:tc>
          <w:tcPr>
            <w:tcW w:w="848"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9357" w:type="dxa"/>
            <w:tcBorders/>
            <w:shd w:fill="auto" w:val="clear"/>
            <w:vAlign w:val="center"/>
          </w:tcPr>
          <w:p>
            <w:pPr>
              <w:pStyle w:val="TableContents"/>
              <w:spacing w:before="0" w:after="283"/>
              <w:rPr/>
            </w:pPr>
            <w:r>
              <w:rPr/>
              <w:t xml:space="preserve">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922"/>
        <w:gridCol w:w="9283"/>
      </w:tblGrid>
      <w:tr>
        <w:trPr/>
        <w:tc>
          <w:tcPr>
            <w:tcW w:w="922"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Dividend Policy:</w:t>
            </w:r>
            <w:r>
              <w:rPr>
                <w:rFonts w:ascii="Times New Roman" w:hAnsi="Times New Roman"/>
                <w:sz w:val="20"/>
              </w:rPr>
              <w:t xml:space="preserve"> </w:t>
            </w:r>
          </w:p>
        </w:tc>
        <w:tc>
          <w:tcPr>
            <w:tcW w:w="9283" w:type="dxa"/>
            <w:tcBorders/>
            <w:shd w:fill="auto" w:val="clear"/>
            <w:vAlign w:val="center"/>
          </w:tcPr>
          <w:p>
            <w:pPr>
              <w:pStyle w:val="TableContents"/>
              <w:spacing w:before="0" w:after="283"/>
              <w:rPr/>
            </w:pPr>
            <w:r>
              <w:rPr/>
              <w:t xml:space="preserve">We have never declared or paid any cash dividend on our capital stock. We currently intend 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2729"/>
        <w:gridCol w:w="7476"/>
      </w:tblGrid>
      <w:tr>
        <w:trPr/>
        <w:tc>
          <w:tcPr>
            <w:tcW w:w="2729"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Market for our Class A ADSs and Class C-1 ADSs:</w:t>
            </w:r>
            <w:r>
              <w:rPr>
                <w:rFonts w:ascii="Times New Roman" w:hAnsi="Times New Roman"/>
                <w:sz w:val="20"/>
              </w:rPr>
              <w:t xml:space="preserve"> </w:t>
            </w:r>
          </w:p>
        </w:tc>
        <w:tc>
          <w:tcPr>
            <w:tcW w:w="7476" w:type="dxa"/>
            <w:tcBorders/>
            <w:shd w:fill="auto" w:val="clear"/>
            <w:vAlign w:val="center"/>
          </w:tcPr>
          <w:p>
            <w:pPr>
              <w:pStyle w:val="TableContents"/>
              <w:spacing w:before="0" w:after="283"/>
              <w:rPr/>
            </w:pPr>
            <w:r>
              <w:rPr/>
              <w:t xml:space="preserve">Our Class A ADSs and Class C-1 ADSs are listed on Nasdaq under the trading symbols “PSNY” and “PSNYW,” respectively. </w:t>
            </w:r>
          </w:p>
        </w:tc>
      </w:tr>
    </w:tbl>
    <w:p>
      <w:pPr>
        <w:pStyle w:val="TextBody"/>
        <w:spacing w:before="0" w:after="0"/>
        <w:jc w:val="left"/>
        <w:rPr>
          <w:bdr w:val="single" w:sz="8" w:space="1" w:color="000000"/>
        </w:rPr>
      </w:pPr>
      <w:r>
        <w:rPr>
          <w:bdr w:val="single" w:sz="8" w:space="1" w:color="000000"/>
        </w:rPr>
        <w:t> </w:t>
      </w:r>
    </w:p>
    <w:tbl>
      <w:tblPr>
        <w:tblW w:w="9235" w:type="dxa"/>
        <w:jc w:val="left"/>
        <w:tblInd w:w="0" w:type="dxa"/>
        <w:tblCellMar>
          <w:top w:w="0" w:type="dxa"/>
          <w:left w:w="0" w:type="dxa"/>
          <w:bottom w:w="0" w:type="dxa"/>
          <w:right w:w="0" w:type="dxa"/>
        </w:tblCellMar>
      </w:tblPr>
      <w:tblGrid>
        <w:gridCol w:w="1205"/>
        <w:gridCol w:w="8030"/>
      </w:tblGrid>
      <w:tr>
        <w:trPr/>
        <w:tc>
          <w:tcPr>
            <w:tcW w:w="1205" w:type="dxa"/>
            <w:tcBorders/>
            <w:shd w:fill="auto" w:val="clear"/>
            <w:vAlign w:val="center"/>
          </w:tcPr>
          <w:p>
            <w:pPr>
              <w:pStyle w:val="TableContents"/>
              <w:spacing w:before="0" w:after="20"/>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8030" w:type="dxa"/>
            <w:tcBorders/>
            <w:shd w:fill="auto" w:val="clear"/>
            <w:vAlign w:val="center"/>
          </w:tcPr>
          <w:p>
            <w:pPr>
              <w:pStyle w:val="TableContents"/>
              <w:spacing w:before="0" w:after="283"/>
              <w:rPr/>
            </w:pPr>
            <w:r>
              <w:rPr/>
              <w:t xml:space="preserve">You should carefully consider the information set forth herein under “Risk Factors.”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rom472016_10"/>
      <w:bookmarkEnd w:id="12"/>
      <w:r>
        <w:rPr>
          <w:rFonts w:ascii="Times New Roman" w:hAnsi="Times New Roman"/>
          <w:b/>
          <w:sz w:val="20"/>
        </w:rPr>
        <w:t xml:space="preserve">RISK FACTORS </w:t>
      </w:r>
    </w:p>
    <w:p>
      <w:pPr>
        <w:pStyle w:val="TextBody"/>
        <w:spacing w:before="240" w:after="0"/>
        <w:jc w:val="left"/>
        <w:rPr>
          <w:rFonts w:ascii="Times New Roman" w:hAnsi="Times New Roman"/>
          <w:b/>
          <w:sz w:val="20"/>
        </w:rPr>
      </w:pPr>
      <w:r>
        <w:rPr>
          <w:rFonts w:ascii="Times New Roman" w:hAnsi="Times New Roman"/>
          <w:b/>
          <w:sz w:val="20"/>
        </w:rPr>
        <w:t xml:space="preserve">Risks Related to Polestar’s Business and Industry </w:t>
      </w:r>
    </w:p>
    <w:p>
      <w:pPr>
        <w:pStyle w:val="TextBody"/>
        <w:spacing w:before="120" w:after="0"/>
        <w:jc w:val="left"/>
        <w:rPr>
          <w:rFonts w:ascii="Times New Roman" w:hAnsi="Times New Roman"/>
          <w:b/>
          <w:i/>
          <w:sz w:val="20"/>
        </w:rPr>
      </w:pPr>
      <w:r>
        <w:rPr>
          <w:rFonts w:ascii="Times New Roman" w:hAnsi="Times New Roman"/>
          <w:b/>
          <w:i/>
          <w:sz w:val="20"/>
        </w:rPr>
        <w:t xml:space="preserve">Polestar’s operations rely heavily on a variety of agreements with its strategic partners, Volvo Cars and Geely,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 The inability of Polestar to maintain agreements or partnerships with its existing partners, providers or licensors, or to enter into new agreements or partnerships could have a material and adverse effect on Polestar’s ability to operate as a standalone business, produce vehicles, reach its development and production targets or focus efforts on its core areas of differentiation. </w:t>
      </w:r>
    </w:p>
    <w:p>
      <w:pPr>
        <w:pStyle w:val="TextBody"/>
        <w:spacing w:before="120" w:after="0"/>
        <w:jc w:val="left"/>
        <w:rPr>
          <w:rFonts w:ascii="Times New Roman" w:hAnsi="Times New Roman"/>
          <w:sz w:val="20"/>
        </w:rPr>
      </w:pPr>
      <w:r>
        <w:rPr>
          <w:rFonts w:ascii="Times New Roman" w:hAnsi="Times New Roman"/>
          <w:sz w:val="20"/>
        </w:rPr>
        <w:t xml:space="preserve">Polestar’s operations rely heavily on a variety of agreements, including agreements related to research and development, intellectual property licensing,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enforce intellectual property rights or effectively defend against intellectual property infringement claims, reach its development and production targets or focus its efforts on core areas of differentiation. </w:t>
      </w:r>
    </w:p>
    <w:p>
      <w:pPr>
        <w:pStyle w:val="TextBody"/>
        <w:spacing w:before="240" w:after="0"/>
        <w:jc w:val="left"/>
        <w:rPr>
          <w:rFonts w:ascii="Times New Roman" w:hAnsi="Times New Roman"/>
          <w:sz w:val="20"/>
        </w:rPr>
      </w:pPr>
      <w:r>
        <w:rPr>
          <w:rFonts w:ascii="Times New Roman" w:hAnsi="Times New Roman"/>
          <w:sz w:val="20"/>
        </w:rPr>
        <w:t xml:space="preserve">Of particular importance for Polestar’s operations are the related party agreements with Volvo Cars and Geely. These related party agreements include research and development agreements,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current and future Polestar models. If Polestar is unable to maintain agreements or partnerships with its existing partners, providers or licensors, or to enter into new agreements or partnerships, Polestar’s ability to operate as a standalone business, produce vehicles, reach its development and production targets or focus its efforts on core areas of differentiation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 </w:t>
      </w:r>
    </w:p>
    <w:p>
      <w:pPr>
        <w:pStyle w:val="TextBody"/>
        <w:spacing w:before="120" w:after="0"/>
        <w:jc w:val="left"/>
        <w:rPr>
          <w:rFonts w:ascii="Times New Roman" w:hAnsi="Times New Roman"/>
          <w:sz w:val="20"/>
        </w:rPr>
      </w:pPr>
      <w:r>
        <w:rPr>
          <w:rFonts w:ascii="Times New Roman" w:hAnsi="Times New Roman"/>
          <w:sz w:val="20"/>
        </w:rPr>
        <w:t xml:space="preserve">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 agreements for the parts and components of its vehicles will cause significant disruption to Polestar’s operations, or such supply agreements could be at costs that make it difficult for Polestar to operate profitably. </w:t>
      </w:r>
    </w:p>
    <w:p>
      <w:pPr>
        <w:pStyle w:val="TextBody"/>
        <w:spacing w:before="240" w:after="0"/>
        <w:jc w:val="left"/>
        <w:rPr>
          <w:rFonts w:ascii="Times New Roman" w:hAnsi="Times New Roman"/>
          <w:sz w:val="20"/>
        </w:rPr>
      </w:pPr>
      <w:r>
        <w:rPr>
          <w:rFonts w:ascii="Times New Roman" w:hAnsi="Times New Roman"/>
          <w:sz w:val="20"/>
        </w:rPr>
        <w:t xml:space="preserve">If Polestar does not enter into long-term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 </w:t>
      </w:r>
    </w:p>
    <w:p>
      <w:pPr>
        <w:pStyle w:val="TextBody"/>
        <w:spacing w:before="240" w:after="0"/>
        <w:jc w:val="left"/>
        <w:rPr>
          <w:rFonts w:ascii="Times New Roman" w:hAnsi="Times New Roman"/>
          <w:sz w:val="20"/>
        </w:rPr>
      </w:pPr>
      <w:r>
        <w:rPr>
          <w:rFonts w:ascii="Times New Roman" w:hAnsi="Times New Roman"/>
          <w:sz w:val="20"/>
        </w:rPr>
        <w:t xml:space="preserve">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Polestar’s vehicles until an alternative supplier is able to supply the required material, and there can be no guarantee that Polestar or its strategic partners will be able to make up for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“—Increases in costs, disruption of supply or shortage of materials, in particular for lithium-ion cells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semiconductors, could harm Polestar’s business. Polestar will need to maintain and significantly grow its access to battery cells, including through the development and manufacture of its own cells, and control its related costs.”) </w:t>
      </w:r>
    </w:p>
    <w:p>
      <w:pPr>
        <w:pStyle w:val="TextBody"/>
        <w:spacing w:before="240" w:after="0"/>
        <w:jc w:val="left"/>
        <w:rPr>
          <w:rFonts w:ascii="Times New Roman" w:hAnsi="Times New Roman"/>
          <w:sz w:val="20"/>
        </w:rPr>
      </w:pPr>
      <w:r>
        <w:rPr>
          <w:rFonts w:ascii="Times New Roman" w:hAnsi="Times New Roman"/>
          <w:sz w:val="20"/>
        </w:rPr>
        <w:t xml:space="preserve">Furthermore, as the scale of its vehicle production increases, Polestar will need to accurately forecast, purchase, arrange for warehouse and transport of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Furthermore, unexpected changes in business conditions, materials pricing and/or availability, labor issues, wars, governmental changes, tariffs, natural disasters, health epidemics such as the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2022 due to further outbreaks of COVID-19 resulted in delays in the production and delivery of such critical components and delayed production of Polestar vehicles.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 </w:t>
      </w:r>
    </w:p>
    <w:p>
      <w:pPr>
        <w:pStyle w:val="TextBody"/>
        <w:spacing w:before="120" w:after="0"/>
        <w:jc w:val="left"/>
        <w:rPr>
          <w:rFonts w:ascii="Times New Roman" w:hAnsi="Times New Roman"/>
          <w:sz w:val="20"/>
        </w:rPr>
      </w:pPr>
      <w:r>
        <w:rPr>
          <w:rFonts w:ascii="Times New Roman" w:hAnsi="Times New Roman"/>
          <w:sz w:val="20"/>
        </w:rPr>
        <w:t xml:space="preserve">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grow its global product sales, delivery capabilities and its servicing, or Polestar may be unable to accurately project and effectively manage its growth. If Polestar is unable to expand its servicing capabilities, customers’ perceptions of Polestar could be negatively affected, which could materially and adversely affect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 </w:t>
      </w:r>
    </w:p>
    <w:p>
      <w:pPr>
        <w:pStyle w:val="TextBody"/>
        <w:spacing w:before="240" w:after="0"/>
        <w:jc w:val="left"/>
        <w:rPr>
          <w:rFonts w:ascii="Times New Roman" w:hAnsi="Times New Roman"/>
          <w:sz w:val="20"/>
        </w:rPr>
      </w:pPr>
      <w:r>
        <w:rPr>
          <w:rFonts w:ascii="Times New Roman" w:hAnsi="Times New Roman"/>
          <w:sz w:val="20"/>
        </w:rPr>
        <w:t xml:space="preserve">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 </w:t>
      </w:r>
    </w:p>
    <w:p>
      <w:pPr>
        <w:pStyle w:val="TextBody"/>
        <w:spacing w:before="360" w:after="0"/>
        <w:jc w:val="left"/>
        <w:rPr>
          <w:rFonts w:ascii="Times New Roman" w:hAnsi="Times New Roman"/>
          <w:b/>
          <w:i/>
          <w:sz w:val="20"/>
        </w:rPr>
      </w:pPr>
      <w:r>
        <w:rPr>
          <w:rFonts w:ascii="Times New Roman" w:hAnsi="Times New Roman"/>
          <w:b/>
          <w:i/>
          <w:sz w:val="20"/>
        </w:rPr>
        <w:t xml:space="preserve">Polestar has experienced and may in the future experience significant delays in the design, development, manufacture, launch and financing of its vehicles, which could harm its business and prospects. </w:t>
      </w:r>
    </w:p>
    <w:p>
      <w:pPr>
        <w:pStyle w:val="TextBody"/>
        <w:spacing w:before="120" w:after="0"/>
        <w:jc w:val="left"/>
        <w:rPr>
          <w:rFonts w:ascii="Times New Roman" w:hAnsi="Times New Roman"/>
          <w:sz w:val="20"/>
        </w:rPr>
      </w:pPr>
      <w:r>
        <w:rPr>
          <w:rFonts w:ascii="Times New Roman" w:hAnsi="Times New Roman"/>
          <w:sz w:val="20"/>
        </w:rPr>
        <w:t xml:space="preserve">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the Polestar 2’s intended start date for production was delayed by one month. Further, delays can also impact features in the vehicles, as seen with Polestar’s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 </w:t>
      </w:r>
    </w:p>
    <w:p>
      <w:pPr>
        <w:pStyle w:val="TextBody"/>
        <w:spacing w:before="240" w:after="0"/>
        <w:jc w:val="left"/>
        <w:rPr>
          <w:rFonts w:ascii="Times New Roman" w:hAnsi="Times New Roman"/>
          <w:sz w:val="20"/>
        </w:rPr>
      </w:pPr>
      <w:r>
        <w:rPr>
          <w:rFonts w:ascii="Times New Roman" w:hAnsi="Times New Roman"/>
          <w:sz w:val="20"/>
        </w:rPr>
        <w:t xml:space="preserve">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 </w:t>
      </w:r>
    </w:p>
    <w:p>
      <w:pPr>
        <w:pStyle w:val="TextBody"/>
        <w:spacing w:before="120" w:after="0"/>
        <w:jc w:val="left"/>
        <w:rPr>
          <w:rFonts w:ascii="Times New Roman" w:hAnsi="Times New Roman"/>
          <w:sz w:val="20"/>
        </w:rPr>
      </w:pPr>
      <w:r>
        <w:rPr>
          <w:rFonts w:ascii="Times New Roman" w:hAnsi="Times New Roman"/>
          <w:sz w:val="20"/>
        </w:rPr>
        <w:t xml:space="preserve">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inability or unwillingness of current battery manufacturers to build or operate battery cell manufacturing plants to supply the numbers of lithium-ion cells required to support the growth of the electric vehicle industry as demand for such cells increases; </w:t>
            </w:r>
          </w:p>
        </w:tc>
      </w:tr>
    </w:tbl>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75"/>
        <w:gridCol w:w="110"/>
        <w:gridCol w:w="60"/>
        <w:gridCol w:w="9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increase in the cost, or a decrease in the available supply, of materials, such as cobalt, used in lithium-ion cells; </w:t>
            </w:r>
          </w:p>
        </w:tc>
      </w:tr>
    </w:tbl>
    <w:p>
      <w:pPr>
        <w:pStyle w:val="TextBody"/>
        <w:spacing w:before="0" w:after="0"/>
        <w:jc w:val="left"/>
        <w:rPr/>
      </w:pPr>
      <w:r>
        <w:rPr/>
        <w:t> </w:t>
      </w:r>
    </w:p>
    <w:tbl>
      <w:tblPr>
        <w:tblW w:w="8200" w:type="dxa"/>
        <w:jc w:val="left"/>
        <w:tblInd w:w="0" w:type="dxa"/>
        <w:tblCellMar>
          <w:top w:w="0" w:type="dxa"/>
          <w:left w:w="0" w:type="dxa"/>
          <w:bottom w:w="0" w:type="dxa"/>
          <w:right w:w="0" w:type="dxa"/>
        </w:tblCellMar>
      </w:tblPr>
      <w:tblGrid>
        <w:gridCol w:w="75"/>
        <w:gridCol w:w="110"/>
        <w:gridCol w:w="60"/>
        <w:gridCol w:w="7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disruption in the supply of cells due to quality issues or recalls by battery cell manufacturers;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the value of any foreign currencies, and the Swedish Krona (“SEK”), the Chinese Yuan (“CNY”), USD or the Euro (“EUR”) in particular, in which battery cell and related raw material purchases are or may be denominated. </w:t>
            </w:r>
          </w:p>
        </w:tc>
      </w:tr>
    </w:tbl>
    <w:p>
      <w:pPr>
        <w:pStyle w:val="TextBody"/>
        <w:spacing w:before="240" w:after="0"/>
        <w:jc w:val="left"/>
        <w:rPr>
          <w:rFonts w:ascii="Times New Roman" w:hAnsi="Times New Roman"/>
          <w:sz w:val="20"/>
        </w:rPr>
      </w:pPr>
      <w:r>
        <w:rPr>
          <w:rFonts w:ascii="Times New Roman" w:hAnsi="Times New Roman"/>
          <w:sz w:val="20"/>
        </w:rPr>
        <w:t xml:space="preserve">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 </w:t>
      </w:r>
    </w:p>
    <w:p>
      <w:pPr>
        <w:pStyle w:val="TextBody"/>
        <w:spacing w:before="120" w:after="0"/>
        <w:jc w:val="left"/>
        <w:rPr>
          <w:rFonts w:ascii="Times New Roman" w:hAnsi="Times New Roman"/>
          <w:sz w:val="20"/>
        </w:rPr>
      </w:pPr>
      <w:r>
        <w:rPr>
          <w:rFonts w:ascii="Times New Roman" w:hAnsi="Times New Roman"/>
          <w:sz w:val="20"/>
        </w:rPr>
        <w:t xml:space="preserve">The success and growth of Polestar’s business depends upon its ability, working with its strategic partners,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successfully launch commercial production and sales of its vehicles on the timing and with the specifications Polestar has planned; </w:t>
            </w:r>
          </w:p>
        </w:tc>
      </w:tr>
    </w:tbl>
    <w:p>
      <w:pPr>
        <w:pStyle w:val="TextBody"/>
        <w:spacing w:before="0" w:after="0"/>
        <w:jc w:val="left"/>
        <w:rPr/>
      </w:pPr>
      <w:r>
        <w:rPr/>
        <w:t> </w:t>
      </w:r>
    </w:p>
    <w:tbl>
      <w:tblPr>
        <w:tblW w:w="8335" w:type="dxa"/>
        <w:jc w:val="left"/>
        <w:tblInd w:w="0" w:type="dxa"/>
        <w:tblCellMar>
          <w:top w:w="0" w:type="dxa"/>
          <w:left w:w="0" w:type="dxa"/>
          <w:bottom w:w="0" w:type="dxa"/>
          <w:right w:w="0" w:type="dxa"/>
        </w:tblCellMar>
      </w:tblPr>
      <w:tblGrid>
        <w:gridCol w:w="75"/>
        <w:gridCol w:w="110"/>
        <w:gridCol w:w="60"/>
        <w:gridCol w:w="8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hire, integrate and retain professional and technical talent, including key members of management; </w:t>
            </w:r>
          </w:p>
        </w:tc>
      </w:tr>
    </w:tbl>
    <w:p>
      <w:pPr>
        <w:pStyle w:val="TextBody"/>
        <w:spacing w:before="0" w:after="0"/>
        <w:jc w:val="left"/>
        <w:rPr/>
      </w:pPr>
      <w:r>
        <w:rPr/>
        <w:t> </w:t>
      </w:r>
    </w:p>
    <w:tbl>
      <w:tblPr>
        <w:tblW w:w="8770" w:type="dxa"/>
        <w:jc w:val="left"/>
        <w:tblInd w:w="0" w:type="dxa"/>
        <w:tblCellMar>
          <w:top w:w="0" w:type="dxa"/>
          <w:left w:w="0" w:type="dxa"/>
          <w:bottom w:w="0" w:type="dxa"/>
          <w:right w:w="0" w:type="dxa"/>
        </w:tblCellMar>
      </w:tblPr>
      <w:tblGrid>
        <w:gridCol w:w="75"/>
        <w:gridCol w:w="110"/>
        <w:gridCol w:w="60"/>
        <w:gridCol w:w="8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continue to make significant investments in research, development, manufacturing, marketing and sales;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successfully obtain, maintain, protect and enforce its intellectual property and defend against claims of intellectual property infringement, misappropriation or other violations; </w:t>
            </w:r>
          </w:p>
        </w:tc>
      </w:tr>
    </w:tbl>
    <w:p>
      <w:pPr>
        <w:pStyle w:val="TextBody"/>
        <w:spacing w:before="0" w:after="0"/>
        <w:jc w:val="left"/>
        <w:rPr/>
      </w:pPr>
      <w:r>
        <w:rPr/>
        <w:t> </w:t>
      </w:r>
    </w:p>
    <w:tbl>
      <w:tblPr>
        <w:tblW w:w="3970" w:type="dxa"/>
        <w:jc w:val="left"/>
        <w:tblInd w:w="0" w:type="dxa"/>
        <w:tblCellMar>
          <w:top w:w="0" w:type="dxa"/>
          <w:left w:w="0" w:type="dxa"/>
          <w:bottom w:w="0" w:type="dxa"/>
          <w:right w:w="0" w:type="dxa"/>
        </w:tblCellMar>
      </w:tblPr>
      <w:tblGrid>
        <w:gridCol w:w="75"/>
        <w:gridCol w:w="110"/>
        <w:gridCol w:w="60"/>
        <w:gridCol w:w="3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build a well-recognized and respected brand; </w:t>
            </w:r>
          </w:p>
        </w:tc>
      </w:tr>
    </w:tbl>
    <w:p>
      <w:pPr>
        <w:pStyle w:val="TextBody"/>
        <w:spacing w:before="0" w:after="0"/>
        <w:jc w:val="left"/>
        <w:rPr/>
      </w:pPr>
      <w:r>
        <w:rPr/>
        <w:t> </w:t>
      </w:r>
    </w:p>
    <w:tbl>
      <w:tblPr>
        <w:tblW w:w="7885" w:type="dxa"/>
        <w:jc w:val="left"/>
        <w:tblInd w:w="0" w:type="dxa"/>
        <w:tblCellMar>
          <w:top w:w="0" w:type="dxa"/>
          <w:left w:w="0" w:type="dxa"/>
          <w:bottom w:w="0" w:type="dxa"/>
          <w:right w:w="0" w:type="dxa"/>
        </w:tblCellMar>
      </w:tblPr>
      <w:tblGrid>
        <w:gridCol w:w="75"/>
        <w:gridCol w:w="110"/>
        <w:gridCol w:w="60"/>
        <w:gridCol w:w="7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 and refine its commercial manufacturing capabilities and distribution infrastructure; </w:t>
            </w:r>
          </w:p>
        </w:tc>
      </w:tr>
    </w:tbl>
    <w:p>
      <w:pPr>
        <w:pStyle w:val="TextBody"/>
        <w:spacing w:before="0" w:after="0"/>
        <w:jc w:val="left"/>
        <w:rPr/>
      </w:pPr>
      <w:r>
        <w:rPr/>
        <w:t> </w:t>
      </w:r>
    </w:p>
    <w:tbl>
      <w:tblPr>
        <w:tblW w:w="7510" w:type="dxa"/>
        <w:jc w:val="left"/>
        <w:tblInd w:w="0" w:type="dxa"/>
        <w:tblCellMar>
          <w:top w:w="0" w:type="dxa"/>
          <w:left w:w="0" w:type="dxa"/>
          <w:bottom w:w="0" w:type="dxa"/>
          <w:right w:w="0" w:type="dxa"/>
        </w:tblCellMar>
      </w:tblPr>
      <w:tblGrid>
        <w:gridCol w:w="75"/>
        <w:gridCol w:w="110"/>
        <w:gridCol w:w="60"/>
        <w:gridCol w:w="7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 and maintain satisfactory arrangements with its strategic partners and suppliers; </w:t>
            </w:r>
          </w:p>
        </w:tc>
      </w:tr>
    </w:tbl>
    <w:p>
      <w:pPr>
        <w:pStyle w:val="TextBody"/>
        <w:spacing w:before="0" w:after="0"/>
        <w:jc w:val="left"/>
        <w:rPr/>
      </w:pPr>
      <w:r>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 and expand a customer base; </w:t>
            </w:r>
          </w:p>
        </w:tc>
      </w:tr>
    </w:tbl>
    <w:p>
      <w:pPr>
        <w:pStyle w:val="TextBody"/>
        <w:spacing w:before="0" w:after="0"/>
        <w:jc w:val="left"/>
        <w:rPr/>
      </w:pPr>
      <w:r>
        <w:rPr/>
        <w:t> </w:t>
      </w:r>
    </w:p>
    <w:tbl>
      <w:tblPr>
        <w:tblW w:w="5170" w:type="dxa"/>
        <w:jc w:val="left"/>
        <w:tblInd w:w="0" w:type="dxa"/>
        <w:tblCellMar>
          <w:top w:w="0" w:type="dxa"/>
          <w:left w:w="0" w:type="dxa"/>
          <w:bottom w:w="0" w:type="dxa"/>
          <w:right w:w="0" w:type="dxa"/>
        </w:tblCellMar>
      </w:tblPr>
      <w:tblGrid>
        <w:gridCol w:w="75"/>
        <w:gridCol w:w="110"/>
        <w:gridCol w:w="60"/>
        <w:gridCol w:w="4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navigate an evolving and complex regulatory environment;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anticipate and adapt to changing market conditions, including consumer demand for certain vehicle types, models or trim levels, technological developments, as well as changes in competitive landscape;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successfully design, build, manufacture and market new models of electric vehicles, including in collaboration with its partners providers, or licensors, in the future. </w:t>
            </w:r>
          </w:p>
        </w:tc>
      </w:tr>
    </w:tbl>
    <w:p>
      <w:pPr>
        <w:pStyle w:val="TextBody"/>
        <w:spacing w:before="360" w:after="0"/>
        <w:jc w:val="left"/>
        <w:rPr>
          <w:rFonts w:ascii="Times New Roman" w:hAnsi="Times New Roman"/>
          <w:b/>
          <w:i/>
          <w:sz w:val="20"/>
        </w:rPr>
      </w:pPr>
      <w:r>
        <w:rPr>
          <w:rFonts w:ascii="Times New Roman" w:hAnsi="Times New Roman"/>
          <w:b/>
          <w:i/>
          <w:sz w:val="20"/>
        </w:rPr>
        <w:t xml:space="preserve">Polestar operates in an intensely competitive market, which is generally cyclical and volatile. Should Polestar not be able to compete effectively against its competitors then it is likely to lose market shares, which could have a material and adverse effect on the business, financial condition, results of operations and prospects of Polestar. </w:t>
      </w:r>
    </w:p>
    <w:p>
      <w:pPr>
        <w:pStyle w:val="TextBody"/>
        <w:spacing w:before="120" w:after="0"/>
        <w:jc w:val="left"/>
        <w:rPr>
          <w:rFonts w:ascii="Times New Roman" w:hAnsi="Times New Roman"/>
          <w:sz w:val="20"/>
        </w:rPr>
      </w:pPr>
      <w:r>
        <w:rPr>
          <w:rFonts w:ascii="Times New Roman" w:hAnsi="Times New Roman"/>
          <w:sz w:val="20"/>
        </w:rPr>
        <w:t xml:space="preserve">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 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Increases in the retail or wholesale prices of electricity from utilities or other renewable energy sources could make Polestar’s products less attractive to customers. There can be no assurance that Polestar will be able to compete successfully in its markets. </w:t>
      </w:r>
    </w:p>
    <w:p>
      <w:pPr>
        <w:pStyle w:val="TextBody"/>
        <w:spacing w:before="360" w:after="0"/>
        <w:jc w:val="left"/>
        <w:rPr>
          <w:rFonts w:ascii="Times New Roman" w:hAnsi="Times New Roman"/>
          <w:b/>
          <w:i/>
          <w:sz w:val="20"/>
        </w:rPr>
      </w:pPr>
      <w:r>
        <w:rPr>
          <w:rFonts w:ascii="Times New Roman" w:hAnsi="Times New Roman"/>
          <w:b/>
          <w:i/>
          <w:sz w:val="20"/>
        </w:rPr>
        <w:t xml:space="preserve">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 Furthermore, as Polestar launches new vehicles, particularly those based on new architectural platforms or incorporating new technologies, it may experience unusually high numbers of quality issues, customer complaints and/or warranty claims, which may cause lasting harm to the Polestar brand. </w:t>
      </w:r>
    </w:p>
    <w:p>
      <w:pPr>
        <w:pStyle w:val="TextBody"/>
        <w:spacing w:before="240" w:after="0"/>
        <w:jc w:val="left"/>
        <w:rPr>
          <w:rFonts w:ascii="Times New Roman" w:hAnsi="Times New Roman"/>
          <w:sz w:val="20"/>
        </w:rPr>
      </w:pPr>
      <w:r>
        <w:rPr>
          <w:rFonts w:ascii="Times New Roman" w:hAnsi="Times New Roman"/>
          <w:sz w:val="20"/>
        </w:rPr>
        <w:t xml:space="preserve">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Polestar’s sales depend in part on its ability to establish and maintain confidence in its business prospects among consumers, analysts and others within its industry. </w:t>
      </w:r>
    </w:p>
    <w:p>
      <w:pPr>
        <w:pStyle w:val="TextBody"/>
        <w:spacing w:before="120" w:after="0"/>
        <w:jc w:val="left"/>
        <w:rPr>
          <w:rFonts w:ascii="Times New Roman" w:hAnsi="Times New Roman"/>
          <w:sz w:val="20"/>
        </w:rPr>
      </w:pPr>
      <w:r>
        <w:rPr>
          <w:rFonts w:ascii="Times New Roman" w:hAnsi="Times New Roman"/>
          <w:sz w:val="20"/>
        </w:rPr>
        <w:t xml:space="preserve">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 </w:t>
      </w:r>
    </w:p>
    <w:p>
      <w:pPr>
        <w:pStyle w:val="TextBody"/>
        <w:spacing w:before="360" w:after="0"/>
        <w:jc w:val="left"/>
        <w:rPr>
          <w:rFonts w:ascii="Times New Roman" w:hAnsi="Times New Roman"/>
          <w:b/>
          <w:i/>
          <w:sz w:val="20"/>
        </w:rPr>
      </w:pPr>
      <w:r>
        <w:rPr>
          <w:rFonts w:ascii="Times New Roman" w:hAnsi="Times New Roman"/>
          <w:b/>
          <w:i/>
          <w:sz w:val="20"/>
        </w:rPr>
        <w:t xml:space="preserve">The automotive industry has significant barriers to entry that Polestar must overcome in order to manufacture and sell electric vehicles at scale. </w:t>
      </w:r>
    </w:p>
    <w:p>
      <w:pPr>
        <w:pStyle w:val="TextBody"/>
        <w:spacing w:before="120" w:after="0"/>
        <w:jc w:val="left"/>
        <w:rPr>
          <w:rFonts w:ascii="Times New Roman" w:hAnsi="Times New Roman"/>
          <w:sz w:val="20"/>
        </w:rPr>
      </w:pPr>
      <w:r>
        <w:rPr>
          <w:rFonts w:ascii="Times New Roman" w:hAnsi="Times New Roman"/>
          <w:sz w:val="20"/>
        </w:rPr>
        <w:t xml:space="preserve">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competition from established companies with large patent portfolios and the need to establish a brand name and image and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limited experience with servicing electric vehicles, regulations associated with the transport of batteries, the need for markets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adequately control the substantial costs associated with its operations. </w:t>
      </w:r>
    </w:p>
    <w:p>
      <w:pPr>
        <w:pStyle w:val="TextBody"/>
        <w:spacing w:before="120" w:after="0"/>
        <w:jc w:val="left"/>
        <w:rPr>
          <w:rFonts w:ascii="Times New Roman" w:hAnsi="Times New Roman"/>
          <w:sz w:val="20"/>
        </w:rPr>
      </w:pPr>
      <w:r>
        <w:rPr>
          <w:rFonts w:ascii="Times New Roman" w:hAnsi="Times New Roman"/>
          <w:sz w:val="20"/>
        </w:rPr>
        <w:t xml:space="preserve">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 </w:t>
      </w:r>
    </w:p>
    <w:p>
      <w:pPr>
        <w:pStyle w:val="TextBody"/>
        <w:spacing w:before="240" w:after="0"/>
        <w:jc w:val="left"/>
        <w:rPr>
          <w:rFonts w:ascii="Times New Roman" w:hAnsi="Times New Roman"/>
          <w:sz w:val="20"/>
        </w:rPr>
      </w:pPr>
      <w:r>
        <w:rPr>
          <w:rFonts w:ascii="Times New Roman" w:hAnsi="Times New Roman"/>
          <w:sz w:val="20"/>
        </w:rPr>
        <w:t xml:space="preserve">In the longer term, Polestar’s ability to become profitable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Polestar has incurred net losses each year since its inception and expects to incur increasing expenses and substantial losses for the foreseeable future. </w:t>
      </w:r>
    </w:p>
    <w:p>
      <w:pPr>
        <w:pStyle w:val="TextBody"/>
        <w:spacing w:before="120" w:after="0"/>
        <w:jc w:val="left"/>
        <w:rPr>
          <w:rFonts w:ascii="Times New Roman" w:hAnsi="Times New Roman"/>
          <w:sz w:val="20"/>
        </w:rPr>
      </w:pPr>
      <w:r>
        <w:rPr>
          <w:rFonts w:ascii="Times New Roman" w:hAnsi="Times New Roman"/>
          <w:sz w:val="20"/>
        </w:rPr>
        <w:t xml:space="preserve">As of December 31, 2022, Polestar’s accumulated deficit was TUSD3,726,775. Polestar expects to continue to incur substantial losses and increasing expenses in the foreseeable future as it: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75"/>
        <w:gridCol w:w="110"/>
        <w:gridCol w:w="60"/>
        <w:gridCol w:w="3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continues to design and develop its vehicles; </w:t>
            </w:r>
          </w:p>
        </w:tc>
      </w:tr>
    </w:tbl>
    <w:p>
      <w:pPr>
        <w:pStyle w:val="TextBody"/>
        <w:spacing w:before="0" w:after="0"/>
        <w:jc w:val="left"/>
        <w:rPr/>
      </w:pPr>
      <w:r>
        <w:rPr/>
        <w:t> </w:t>
      </w:r>
    </w:p>
    <w:tbl>
      <w:tblPr>
        <w:tblW w:w="5365" w:type="dxa"/>
        <w:jc w:val="left"/>
        <w:tblInd w:w="0" w:type="dxa"/>
        <w:tblCellMar>
          <w:top w:w="0" w:type="dxa"/>
          <w:left w:w="0" w:type="dxa"/>
          <w:bottom w:w="0" w:type="dxa"/>
          <w:right w:w="0" w:type="dxa"/>
        </w:tblCellMar>
      </w:tblPr>
      <w:tblGrid>
        <w:gridCol w:w="75"/>
        <w:gridCol w:w="110"/>
        <w:gridCol w:w="60"/>
        <w:gridCol w:w="5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builds up inventories of parts and components for its vehicles; </w:t>
            </w:r>
          </w:p>
        </w:tc>
      </w:tr>
    </w:tbl>
    <w:p>
      <w:pPr>
        <w:pStyle w:val="TextBody"/>
        <w:spacing w:before="0" w:after="0"/>
        <w:jc w:val="left"/>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manufactures an available inventory of its vehicles;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tbl>
      <w:tblPr>
        <w:tblW w:w="4600" w:type="dxa"/>
        <w:jc w:val="left"/>
        <w:tblInd w:w="0" w:type="dxa"/>
        <w:tblCellMar>
          <w:top w:w="0" w:type="dxa"/>
          <w:left w:w="0" w:type="dxa"/>
          <w:bottom w:w="0" w:type="dxa"/>
          <w:right w:w="0" w:type="dxa"/>
        </w:tblCellMar>
      </w:tblPr>
      <w:tblGrid>
        <w:gridCol w:w="75"/>
        <w:gridCol w:w="110"/>
        <w:gridCol w:w="60"/>
        <w:gridCol w:w="4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develops and deploys vehicle charging partnerships;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expands its design, research, development, maintenance and repair capabilities, including in partnership with its strategic partners; </w:t>
            </w:r>
          </w:p>
        </w:tc>
      </w:tr>
    </w:tbl>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75"/>
        <w:gridCol w:w="110"/>
        <w:gridCol w:w="6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increases its sales and marketing activities and develops its distribution infrastructure; and </w:t>
            </w:r>
          </w:p>
        </w:tc>
      </w:tr>
    </w:tbl>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expands its general and administrative functions to support its growing operations and status as a public company. </w:t>
            </w:r>
          </w:p>
        </w:tc>
      </w:tr>
    </w:tbl>
    <w:p>
      <w:pPr>
        <w:pStyle w:val="TextBody"/>
        <w:spacing w:before="240" w:after="0"/>
        <w:jc w:val="left"/>
        <w:rPr>
          <w:rFonts w:ascii="Times New Roman" w:hAnsi="Times New Roman"/>
          <w:sz w:val="20"/>
        </w:rPr>
      </w:pPr>
      <w:r>
        <w:rPr>
          <w:rFonts w:ascii="Times New Roman" w:hAnsi="Times New Roman"/>
          <w:sz w:val="20"/>
        </w:rPr>
        <w:t xml:space="preserve">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 </w:t>
      </w:r>
    </w:p>
    <w:p>
      <w:pPr>
        <w:pStyle w:val="TextBody"/>
        <w:spacing w:before="360" w:after="0"/>
        <w:jc w:val="left"/>
        <w:rPr>
          <w:rFonts w:ascii="Times New Roman" w:hAnsi="Times New Roman"/>
          <w:b/>
          <w:i/>
          <w:sz w:val="20"/>
        </w:rPr>
      </w:pPr>
      <w:r>
        <w:rPr>
          <w:rFonts w:ascii="Times New Roman" w:hAnsi="Times New Roman"/>
          <w:b/>
          <w:i/>
          <w:sz w:val="20"/>
        </w:rPr>
        <w:t xml:space="preserve">Polestar requires additional funding and has determined there is substantial doubt about its ability to continue as a going concern. </w:t>
      </w:r>
    </w:p>
    <w:p>
      <w:pPr>
        <w:pStyle w:val="TextBody"/>
        <w:spacing w:before="120" w:after="0"/>
        <w:jc w:val="left"/>
        <w:rPr>
          <w:rFonts w:ascii="Times New Roman" w:hAnsi="Times New Roman"/>
          <w:sz w:val="20"/>
        </w:rPr>
      </w:pPr>
      <w:r>
        <w:rPr>
          <w:rFonts w:ascii="Times New Roman" w:hAnsi="Times New Roman"/>
          <w:sz w:val="20"/>
        </w:rPr>
        <w:t xml:space="preserve">Polestar’s financial statements were prepared assuming that Polestar will continue as a going concern. However, there is substantial doubt about its ability to continue as a going concern, meaning that Polestar may not be able to continue in operation for the foreseeable future or be able to realize assets and discharge liabilities in the ordinary course of operations. Polestar needs to raise additional funds through the issuance of new debt, equity securities, or otherwise in order to support its current operations, liquidity needs, and business growth. There is no assurance that sufficient financing will be available when needed to allow Polestar to continue as a going concern. The perception that Polestar may not be able to continue as a going concern may also make it more difficult to raise additional funds or operate Polestar’s business due to concerns about its ability to meet contractual obligations. </w:t>
      </w:r>
    </w:p>
    <w:p>
      <w:pPr>
        <w:pStyle w:val="TextBody"/>
        <w:spacing w:before="240" w:after="0"/>
        <w:jc w:val="left"/>
        <w:rPr>
          <w:rFonts w:ascii="Times New Roman" w:hAnsi="Times New Roman"/>
          <w:sz w:val="20"/>
        </w:rPr>
      </w:pPr>
      <w:r>
        <w:rPr>
          <w:rFonts w:ascii="Times New Roman" w:hAnsi="Times New Roman"/>
          <w:sz w:val="20"/>
        </w:rPr>
        <w:t xml:space="preserve">Based on current operating plans, availability of short-term and long-term debt financing arrangements, and continued financial support from existing Polestar shareholders, Polestar believes that it has resources to fund its operations for at least the next twelve months. However, Polestar will require additional funds to finance its activities thereafter and expects to consider various financing alternatives with banks and other third parties. For more information, see “—Risks Related to Financing and Strategic Transactions—Polestar will require additional capital to support business growth, and this capital might not be available on commercially reasonable terms, or at all” and “Operating and Financial Review and Prospects—Liquidity and capital resources.” </w:t>
      </w:r>
    </w:p>
    <w:p>
      <w:pPr>
        <w:pStyle w:val="TextBody"/>
        <w:spacing w:before="360" w:after="0"/>
        <w:jc w:val="left"/>
        <w:rPr>
          <w:rFonts w:ascii="Times New Roman" w:hAnsi="Times New Roman"/>
          <w:b/>
          <w:i/>
          <w:sz w:val="20"/>
        </w:rPr>
      </w:pPr>
      <w:r>
        <w:rPr>
          <w:rFonts w:ascii="Times New Roman" w:hAnsi="Times New Roman"/>
          <w:b/>
          <w:i/>
          <w:sz w:val="20"/>
        </w:rPr>
        <w:t xml:space="preserve">Polestar depends on revenue generated from a limited number of models and expects this to continue in the foreseeable future. </w:t>
      </w:r>
    </w:p>
    <w:p>
      <w:pPr>
        <w:pStyle w:val="TextBody"/>
        <w:spacing w:before="120" w:after="0"/>
        <w:jc w:val="left"/>
        <w:rPr>
          <w:rFonts w:ascii="Times New Roman" w:hAnsi="Times New Roman"/>
          <w:sz w:val="20"/>
        </w:rPr>
      </w:pPr>
      <w:r>
        <w:rPr>
          <w:rFonts w:ascii="Times New Roman" w:hAnsi="Times New Roman"/>
          <w:sz w:val="20"/>
        </w:rPr>
        <w:t xml:space="preserve">Polestar currently depends on revenue from Polestar 2 and, with deliveries expected to commence in the fourth quarter of 2023, Polestar 3. For the foreseeable future Polestar will be significantly dependent on a limited number of models. Although Polestar has other vehicle models on its product pipeline, it currently does not expect to introduce another vehicle model for sale until late 2023. Polestar expects to rely on sales from Polestar 2 and Polestar 3, along with other sources of financing, for the capital that will be required to develop and commercialize those subsequent models (see “—Risks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on the development of vehicle charging networks to provide charging solutions for its vehicles. </w:t>
      </w:r>
    </w:p>
    <w:p>
      <w:pPr>
        <w:pStyle w:val="TextBody"/>
        <w:spacing w:before="120" w:after="0"/>
        <w:jc w:val="left"/>
        <w:rPr>
          <w:rFonts w:ascii="Times New Roman" w:hAnsi="Times New Roman"/>
          <w:sz w:val="20"/>
        </w:rPr>
      </w:pPr>
      <w:r>
        <w:rPr>
          <w:rFonts w:ascii="Times New Roman" w:hAnsi="Times New Roman"/>
          <w:sz w:val="20"/>
        </w:rPr>
        <w:t xml:space="preserve">Demand for Polestar’s vehicles depends in part on the availability of charging infrastructure. While the prevalence of charging stations has been increasing, charging station locations are significantly less widespread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 </w:t>
      </w:r>
    </w:p>
    <w:p>
      <w:pPr>
        <w:pStyle w:val="TextBody"/>
        <w:spacing w:before="120" w:after="0"/>
        <w:jc w:val="left"/>
        <w:rPr>
          <w:rFonts w:ascii="Times New Roman" w:hAnsi="Times New Roman"/>
          <w:sz w:val="20"/>
        </w:rPr>
      </w:pPr>
      <w:r>
        <w:rPr>
          <w:rFonts w:ascii="Times New Roman" w:hAnsi="Times New Roman"/>
          <w:sz w:val="20"/>
        </w:rPr>
        <w:t xml:space="preserve">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to establish a widespread service network that provides satisfactory customer service, its customer loyalty, brand and reputation could be adversely affected, which in turn could materially and adversely affect its sales, results of operations, prospects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Furthermore, in some jurisdictions, pursuant to applicable competition laws, Polestar may be regarded as a competitor of its strategic partners in relation to servicing vehicles.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 </w:t>
      </w:r>
    </w:p>
    <w:p>
      <w:pPr>
        <w:pStyle w:val="TextBody"/>
        <w:spacing w:before="240" w:after="0"/>
        <w:jc w:val="left"/>
        <w:rPr>
          <w:rFonts w:ascii="Times New Roman" w:hAnsi="Times New Roman"/>
          <w:sz w:val="20"/>
        </w:rPr>
      </w:pPr>
      <w:r>
        <w:rPr>
          <w:rFonts w:ascii="Times New Roman" w:hAnsi="Times New Roman"/>
          <w:sz w:val="20"/>
        </w:rPr>
        <w:t xml:space="preserve">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change the manner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If Polestar’s vehicles fail to perform as expected, its ability to develop, market and sell or lease its products could be harmed. </w:t>
      </w:r>
    </w:p>
    <w:p>
      <w:pPr>
        <w:pStyle w:val="TextBody"/>
        <w:spacing w:before="120" w:after="0"/>
        <w:jc w:val="left"/>
        <w:rPr>
          <w:rFonts w:ascii="Times New Roman" w:hAnsi="Times New Roman"/>
          <w:sz w:val="20"/>
        </w:rPr>
      </w:pPr>
      <w:r>
        <w:rPr>
          <w:rFonts w:ascii="Times New Roman" w:hAnsi="Times New Roman"/>
          <w:sz w:val="20"/>
        </w:rPr>
        <w:t xml:space="preserve">Polestar’s vehicles may contain defects in components, software, design or manufacture that may cause them not to perform as expected or that may require repairs, recalls and design changes, any of which would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require significant financial and other resources to successfully navigate and resolve. Polestar’s vehicles use a substantial amount of software code to operate, and software products are inherently complex and may contain defects and errors and subject Polestar to licensing restrictions and conditions. In addition, certain components used by Polestar were originally developed for use in vehicles with internal combustion engines, and thus may not offer a similar or satisfactory level of performance in Polestar’s electric vehicles.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 </w:t>
      </w:r>
    </w:p>
    <w:p>
      <w:pPr>
        <w:pStyle w:val="TextBody"/>
        <w:spacing w:before="240" w:after="0"/>
        <w:jc w:val="left"/>
        <w:rPr>
          <w:rFonts w:ascii="Times New Roman" w:hAnsi="Times New Roman"/>
          <w:sz w:val="20"/>
        </w:rPr>
      </w:pPr>
      <w:r>
        <w:rPr>
          <w:rFonts w:ascii="Times New Roman" w:hAnsi="Times New Roman"/>
          <w:sz w:val="20"/>
        </w:rPr>
        <w:t xml:space="preserve">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 </w:t>
      </w:r>
    </w:p>
    <w:p>
      <w:pPr>
        <w:pStyle w:val="TextBody"/>
        <w:spacing w:before="240" w:after="0"/>
        <w:jc w:val="left"/>
        <w:rPr>
          <w:rFonts w:ascii="Times New Roman" w:hAnsi="Times New Roman"/>
          <w:sz w:val="20"/>
        </w:rPr>
      </w:pPr>
      <w:r>
        <w:rPr>
          <w:rFonts w:ascii="Times New Roman" w:hAnsi="Times New Roman"/>
          <w:sz w:val="20"/>
        </w:rPr>
        <w:t xml:space="preserve">In addition, even if its vehicles function as designed, Polestar expects that the battery efficiency, and hence the range, of its electric vehicles, like other electric vehicles that use current battery technology, will decline over the time of its life.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must develop complex software and technology systems, including in coordination with its strategic partners, vendors and suppliers, in order to produce its electric vehicles, and there can be no assurance such systems will be successfully developed. </w:t>
      </w:r>
    </w:p>
    <w:p>
      <w:pPr>
        <w:pStyle w:val="TextBody"/>
        <w:spacing w:before="120" w:after="0"/>
        <w:jc w:val="left"/>
        <w:rPr>
          <w:rFonts w:ascii="Times New Roman" w:hAnsi="Times New Roman"/>
          <w:sz w:val="20"/>
        </w:rPr>
      </w:pPr>
      <w:r>
        <w:rPr>
          <w:rFonts w:ascii="Times New Roman" w:hAnsi="Times New Roman"/>
          <w:sz w:val="20"/>
        </w:rPr>
        <w:t xml:space="preserve">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develop such technologies and integrate them into its electric vehicles and ensure such technologies interoperate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 </w:t>
      </w:r>
    </w:p>
    <w:p>
      <w:pPr>
        <w:pStyle w:val="TextBody"/>
        <w:spacing w:before="0" w:after="0"/>
        <w:jc w:val="left"/>
        <w:rPr/>
      </w:pPr>
      <w:r>
        <w:rPr/>
        <w:t> </w:t>
      </w:r>
    </w:p>
    <w:tbl>
      <w:tblPr>
        <w:tblW w:w="4795" w:type="dxa"/>
        <w:jc w:val="left"/>
        <w:tblInd w:w="0" w:type="dxa"/>
        <w:tblCellMar>
          <w:top w:w="0" w:type="dxa"/>
          <w:left w:w="0" w:type="dxa"/>
          <w:bottom w:w="0" w:type="dxa"/>
          <w:right w:w="0" w:type="dxa"/>
        </w:tblCellMar>
      </w:tblPr>
      <w:tblGrid>
        <w:gridCol w:w="75"/>
        <w:gridCol w:w="110"/>
        <w:gridCol w:w="60"/>
        <w:gridCol w:w="4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delayed production and delivery of Polestar’s vehicles; </w:t>
            </w:r>
          </w:p>
        </w:tc>
      </w:tr>
    </w:tbl>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75"/>
        <w:gridCol w:w="110"/>
        <w:gridCol w:w="60"/>
        <w:gridCol w:w="4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delayed market acceptance of Polestar’s vehicles;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tbl>
      <w:tblPr>
        <w:tblW w:w="5020" w:type="dxa"/>
        <w:jc w:val="left"/>
        <w:tblInd w:w="0" w:type="dxa"/>
        <w:tblCellMar>
          <w:top w:w="0" w:type="dxa"/>
          <w:left w:w="0" w:type="dxa"/>
          <w:bottom w:w="0" w:type="dxa"/>
          <w:right w:w="0" w:type="dxa"/>
        </w:tblCellMar>
      </w:tblPr>
      <w:tblGrid>
        <w:gridCol w:w="75"/>
        <w:gridCol w:w="110"/>
        <w:gridCol w:w="60"/>
        <w:gridCol w:w="47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loss of customers or the inability to attract new customers; </w:t>
            </w:r>
          </w:p>
        </w:tc>
      </w:tr>
    </w:tbl>
    <w:p>
      <w:pPr>
        <w:pStyle w:val="TextBody"/>
        <w:spacing w:before="0" w:after="0"/>
        <w:jc w:val="left"/>
        <w:rPr/>
      </w:pPr>
      <w:r>
        <w:rPr/>
        <w:t> </w:t>
      </w:r>
    </w:p>
    <w:tbl>
      <w:tblPr>
        <w:tblW w:w="6505" w:type="dxa"/>
        <w:jc w:val="left"/>
        <w:tblInd w:w="0" w:type="dxa"/>
        <w:tblCellMar>
          <w:top w:w="0" w:type="dxa"/>
          <w:left w:w="0" w:type="dxa"/>
          <w:bottom w:w="0" w:type="dxa"/>
          <w:right w:w="0" w:type="dxa"/>
        </w:tblCellMar>
      </w:tblPr>
      <w:tblGrid>
        <w:gridCol w:w="75"/>
        <w:gridCol w:w="110"/>
        <w:gridCol w:w="60"/>
        <w:gridCol w:w="6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diversion of engineering or other resources for remedying the defect or error;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damage to Polestar’s brand or reputation; </w:t>
            </w:r>
          </w:p>
        </w:tc>
      </w:tr>
    </w:tbl>
    <w:p>
      <w:pPr>
        <w:pStyle w:val="TextBody"/>
        <w:spacing w:before="0" w:after="0"/>
        <w:jc w:val="left"/>
        <w:rPr/>
      </w:pPr>
      <w:r>
        <w:rPr/>
        <w:t> </w:t>
      </w:r>
    </w:p>
    <w:tbl>
      <w:tblPr>
        <w:tblW w:w="3310" w:type="dxa"/>
        <w:jc w:val="left"/>
        <w:tblInd w:w="0" w:type="dxa"/>
        <w:tblCellMar>
          <w:top w:w="0" w:type="dxa"/>
          <w:left w:w="0" w:type="dxa"/>
          <w:bottom w:w="0" w:type="dxa"/>
          <w:right w:w="0" w:type="dxa"/>
        </w:tblCellMar>
      </w:tblPr>
      <w:tblGrid>
        <w:gridCol w:w="75"/>
        <w:gridCol w:w="110"/>
        <w:gridCol w:w="60"/>
        <w:gridCol w:w="3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increased service and warranty costs; </w:t>
            </w:r>
          </w:p>
        </w:tc>
      </w:tr>
    </w:tbl>
    <w:p>
      <w:pPr>
        <w:pStyle w:val="TextBody"/>
        <w:spacing w:before="0" w:after="0"/>
        <w:jc w:val="left"/>
        <w:rPr/>
      </w:pPr>
      <w:r>
        <w:rPr/>
        <w:t> </w:t>
      </w:r>
    </w:p>
    <w:tbl>
      <w:tblPr>
        <w:tblW w:w="6865" w:type="dxa"/>
        <w:jc w:val="left"/>
        <w:tblInd w:w="0" w:type="dxa"/>
        <w:tblCellMar>
          <w:top w:w="0" w:type="dxa"/>
          <w:left w:w="0" w:type="dxa"/>
          <w:bottom w:w="0" w:type="dxa"/>
          <w:right w:w="0" w:type="dxa"/>
        </w:tblCellMar>
      </w:tblPr>
      <w:tblGrid>
        <w:gridCol w:w="75"/>
        <w:gridCol w:w="110"/>
        <w:gridCol w:w="60"/>
        <w:gridCol w:w="6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legal action by customers or third parties, including product liability claims; and </w:t>
            </w:r>
          </w:p>
        </w:tc>
      </w:tr>
    </w:tbl>
    <w:p>
      <w:pPr>
        <w:pStyle w:val="TextBody"/>
        <w:spacing w:before="0" w:after="0"/>
        <w:jc w:val="left"/>
        <w:rPr/>
      </w:pPr>
      <w:r>
        <w:rPr/>
        <w:t> </w:t>
      </w:r>
    </w:p>
    <w:tbl>
      <w:tblPr>
        <w:tblW w:w="3895" w:type="dxa"/>
        <w:jc w:val="left"/>
        <w:tblInd w:w="0" w:type="dxa"/>
        <w:tblCellMar>
          <w:top w:w="0" w:type="dxa"/>
          <w:left w:w="0" w:type="dxa"/>
          <w:bottom w:w="0" w:type="dxa"/>
          <w:right w:w="0" w:type="dxa"/>
        </w:tblCellMar>
      </w:tblPr>
      <w:tblGrid>
        <w:gridCol w:w="75"/>
        <w:gridCol w:w="110"/>
        <w:gridCol w:w="60"/>
        <w:gridCol w:w="3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penalties imposed by regulatory authorities. </w:t>
            </w:r>
          </w:p>
        </w:tc>
      </w:tr>
    </w:tbl>
    <w:p>
      <w:pPr>
        <w:pStyle w:val="TextBody"/>
        <w:spacing w:before="240" w:after="0"/>
        <w:jc w:val="left"/>
        <w:rPr>
          <w:rFonts w:ascii="Times New Roman" w:hAnsi="Times New Roman"/>
          <w:sz w:val="20"/>
        </w:rPr>
      </w:pPr>
      <w:r>
        <w:rPr>
          <w:rFonts w:ascii="Times New Roman" w:hAnsi="Times New Roman"/>
          <w:sz w:val="20"/>
        </w:rPr>
        <w:t xml:space="preserve">In addition, if Polestar and its partners are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vehicle production relies heavily on complex machinery and involves a significant degree of risk and uncertainty in terms of operational performance and costs. </w:t>
      </w:r>
    </w:p>
    <w:p>
      <w:pPr>
        <w:pStyle w:val="TextBody"/>
        <w:spacing w:before="120" w:after="0"/>
        <w:jc w:val="left"/>
        <w:rPr>
          <w:rFonts w:ascii="Times New Roman" w:hAnsi="Times New Roman"/>
          <w:sz w:val="20"/>
        </w:rPr>
      </w:pPr>
      <w:r>
        <w:rPr>
          <w:rFonts w:ascii="Times New Roman" w:hAnsi="Times New Roman"/>
          <w:sz w:val="20"/>
        </w:rPr>
        <w:t xml:space="preserve">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 </w:t>
      </w:r>
    </w:p>
    <w:p>
      <w:pPr>
        <w:pStyle w:val="TextBody"/>
        <w:spacing w:before="240" w:after="0"/>
        <w:jc w:val="left"/>
        <w:rPr>
          <w:rFonts w:ascii="Times New Roman" w:hAnsi="Times New Roman"/>
          <w:sz w:val="20"/>
        </w:rPr>
      </w:pPr>
      <w:r>
        <w:rPr>
          <w:rFonts w:ascii="Times New Roman" w:hAnsi="Times New Roman"/>
          <w:sz w:val="20"/>
        </w:rPr>
        <w:t xml:space="preserve">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 intends to rely solely on its contract manufacturing arrangements with its partners to manufacture current and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 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 It may be very difficult to switch contract manufacturers should the need arise. </w:t>
      </w:r>
    </w:p>
    <w:p>
      <w:pPr>
        <w:pStyle w:val="TextBody"/>
        <w:spacing w:before="360" w:after="0"/>
        <w:jc w:val="left"/>
        <w:rPr>
          <w:rFonts w:ascii="Times New Roman" w:hAnsi="Times New Roman"/>
          <w:b/>
          <w:i/>
          <w:sz w:val="20"/>
        </w:rPr>
      </w:pPr>
      <w:r>
        <w:rPr>
          <w:rFonts w:ascii="Times New Roman" w:hAnsi="Times New Roman"/>
          <w:b/>
          <w:i/>
          <w:sz w:val="20"/>
        </w:rPr>
        <w:t xml:space="preserve">Polestar faces risks associated with international operations, including tariffs and unfavorable regulatory, political, tax and labor conditions, which could materially and adversely affect its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conforming Polestar’s vehicles to various international regulatory requirements where its vehicles are sold, or homologated;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75"/>
        <w:gridCol w:w="110"/>
        <w:gridCol w:w="60"/>
        <w:gridCol w:w="8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establishing localized supply chains and managing international supply chain and logistics costs; </w:t>
            </w:r>
          </w:p>
        </w:tc>
      </w:tr>
    </w:tbl>
    <w:p>
      <w:pPr>
        <w:pStyle w:val="TextBody"/>
        <w:spacing w:before="0" w:after="0"/>
        <w:jc w:val="left"/>
        <w:rPr/>
      </w:pPr>
      <w:r>
        <w:rPr/>
        <w:t> </w:t>
      </w:r>
    </w:p>
    <w:tbl>
      <w:tblPr>
        <w:tblW w:w="4750" w:type="dxa"/>
        <w:jc w:val="left"/>
        <w:tblInd w:w="0" w:type="dxa"/>
        <w:tblCellMar>
          <w:top w:w="0" w:type="dxa"/>
          <w:left w:w="0" w:type="dxa"/>
          <w:bottom w:w="0" w:type="dxa"/>
          <w:right w:w="0" w:type="dxa"/>
        </w:tblCellMar>
      </w:tblPr>
      <w:tblGrid>
        <w:gridCol w:w="75"/>
        <w:gridCol w:w="110"/>
        <w:gridCol w:w="60"/>
        <w:gridCol w:w="4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difficulty in staffing and managing foreign operations; </w:t>
            </w:r>
          </w:p>
        </w:tc>
      </w:tr>
    </w:tbl>
    <w:p>
      <w:pPr>
        <w:pStyle w:val="TextBody"/>
        <w:spacing w:before="0" w:after="0"/>
        <w:jc w:val="left"/>
        <w:rPr/>
      </w:pPr>
      <w:r>
        <w:rPr/>
        <w:t> </w:t>
      </w:r>
    </w:p>
    <w:tbl>
      <w:tblPr>
        <w:tblW w:w="4600" w:type="dxa"/>
        <w:jc w:val="left"/>
        <w:tblInd w:w="0" w:type="dxa"/>
        <w:tblCellMar>
          <w:top w:w="0" w:type="dxa"/>
          <w:left w:w="0" w:type="dxa"/>
          <w:bottom w:w="0" w:type="dxa"/>
          <w:right w:w="0" w:type="dxa"/>
        </w:tblCellMar>
      </w:tblPr>
      <w:tblGrid>
        <w:gridCol w:w="75"/>
        <w:gridCol w:w="110"/>
        <w:gridCol w:w="60"/>
        <w:gridCol w:w="4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difficulties attracting customers in new jurisdictions;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difficulties establishing international manufacturing operations, including difficulties establishing relationships with or establishing localized supplier bases and developing cost-effective and reliable supply chains for such manufacturing operations;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foreign currency exchange rates and interest rates, including risks related to any forward currency contracts, interest rate swaps or other hedging activities Polestar undertakes; </w:t>
            </w:r>
          </w:p>
        </w:tc>
      </w:tr>
    </w:tbl>
    <w:p>
      <w:pPr>
        <w:pStyle w:val="TextBody"/>
        <w:spacing w:before="0" w:after="0"/>
        <w:jc w:val="left"/>
        <w:rPr/>
      </w:pPr>
      <w:r>
        <w:rPr/>
        <w:t> </w:t>
      </w:r>
    </w:p>
    <w:tbl>
      <w:tblPr>
        <w:tblW w:w="7945" w:type="dxa"/>
        <w:jc w:val="left"/>
        <w:tblInd w:w="0" w:type="dxa"/>
        <w:tblCellMar>
          <w:top w:w="0" w:type="dxa"/>
          <w:left w:w="0" w:type="dxa"/>
          <w:bottom w:w="0" w:type="dxa"/>
          <w:right w:w="0" w:type="dxa"/>
        </w:tblCellMar>
      </w:tblPr>
      <w:tblGrid>
        <w:gridCol w:w="75"/>
        <w:gridCol w:w="110"/>
        <w:gridCol w:w="60"/>
        <w:gridCol w:w="7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United States and foreign government trade restrictions, tariffs and price or exchange controls; </w:t>
            </w:r>
          </w:p>
        </w:tc>
      </w:tr>
    </w:tbl>
    <w:p>
      <w:pPr>
        <w:pStyle w:val="TextBody"/>
        <w:spacing w:before="0" w:after="0"/>
        <w:jc w:val="left"/>
        <w:rPr/>
      </w:pPr>
      <w:r>
        <w:rPr/>
        <w:t> </w:t>
      </w:r>
    </w:p>
    <w:tbl>
      <w:tblPr>
        <w:tblW w:w="4135" w:type="dxa"/>
        <w:jc w:val="left"/>
        <w:tblInd w:w="0" w:type="dxa"/>
        <w:tblCellMar>
          <w:top w:w="0" w:type="dxa"/>
          <w:left w:w="0" w:type="dxa"/>
          <w:bottom w:w="0" w:type="dxa"/>
          <w:right w:w="0" w:type="dxa"/>
        </w:tblCellMar>
      </w:tblPr>
      <w:tblGrid>
        <w:gridCol w:w="75"/>
        <w:gridCol w:w="110"/>
        <w:gridCol w:w="60"/>
        <w:gridCol w:w="38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foreign labor laws, regulations and restrictions;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diplomatic and trade relationships, including political risk and customer perceptions based on such changes and risks;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political instability, natural disasters, climate change, environmental conditions, pandemics (including the COVID-19 pandemic), war or events of terrorism; and </w:t>
            </w:r>
          </w:p>
        </w:tc>
      </w:tr>
    </w:tbl>
    <w:p>
      <w:pPr>
        <w:pStyle w:val="TextBody"/>
        <w:spacing w:before="0" w:after="0"/>
        <w:jc w:val="left"/>
        <w:rPr/>
      </w:pPr>
      <w:r>
        <w:rPr/>
        <w:t> </w:t>
      </w:r>
    </w:p>
    <w:tbl>
      <w:tblPr>
        <w:tblW w:w="3550" w:type="dxa"/>
        <w:jc w:val="left"/>
        <w:tblInd w:w="0" w:type="dxa"/>
        <w:tblCellMar>
          <w:top w:w="0" w:type="dxa"/>
          <w:left w:w="0" w:type="dxa"/>
          <w:bottom w:w="0" w:type="dxa"/>
          <w:right w:w="0" w:type="dxa"/>
        </w:tblCellMar>
      </w:tblPr>
      <w:tblGrid>
        <w:gridCol w:w="75"/>
        <w:gridCol w:w="110"/>
        <w:gridCol w:w="6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strength of international economies.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Polestar fails to successfully address these risks, its business, prospects, results of operations and financial condition could be materially harmed.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heavily on manufacturing facilities and suppliers, including single-source suppliers, based in China and its growth strategy will depend on growing its business in China. This subjects Polestar to economic, operational, regulatory and legal risks specific to China. </w:t>
      </w:r>
    </w:p>
    <w:p>
      <w:pPr>
        <w:pStyle w:val="TextBody"/>
        <w:spacing w:before="120" w:after="0"/>
        <w:jc w:val="left"/>
        <w:rPr>
          <w:rFonts w:ascii="Times New Roman" w:hAnsi="Times New Roman"/>
          <w:sz w:val="20"/>
        </w:rPr>
      </w:pPr>
      <w:r>
        <w:rPr>
          <w:rFonts w:ascii="Times New Roman" w:hAnsi="Times New Roman"/>
          <w:sz w:val="20"/>
        </w:rPr>
        <w:t xml:space="preserve">Polestar relies heavily on manufacturing facilities based in China for the manufacture of its vehicles, including facilities of Volvo Cars, Geely and its other contract partners, as well as its own manufacturing facilities in China. Polestar intends to rely solely on arrangements with its contract manufacturers, including Volvo Cars and Geely, for current and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 </w:t>
      </w:r>
    </w:p>
    <w:p>
      <w:pPr>
        <w:pStyle w:val="TextBody"/>
        <w:spacing w:before="240" w:after="0"/>
        <w:jc w:val="left"/>
        <w:rPr>
          <w:rFonts w:ascii="Times New Roman" w:hAnsi="Times New Roman"/>
          <w:sz w:val="20"/>
        </w:rPr>
      </w:pPr>
      <w:r>
        <w:rPr>
          <w:rFonts w:ascii="Times New Roman" w:hAnsi="Times New Roman"/>
          <w:sz w:val="20"/>
        </w:rPr>
        <w:t xml:space="preserve">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2022 due to further outbreaks of COVID-19 resulted in delays in the production and delivery of critical components and delayed production of Polestar vehicles. Some of the governmental measures may benefit the overall Chinese economy, but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 </w:t>
      </w:r>
    </w:p>
    <w:p>
      <w:pPr>
        <w:pStyle w:val="TextBody"/>
        <w:spacing w:before="240" w:after="0"/>
        <w:jc w:val="left"/>
        <w:rPr>
          <w:rFonts w:ascii="Times New Roman" w:hAnsi="Times New Roman"/>
          <w:sz w:val="20"/>
        </w:rPr>
      </w:pPr>
      <w:r>
        <w:rPr>
          <w:rFonts w:ascii="Times New Roman" w:hAnsi="Times New Roman"/>
          <w:sz w:val="20"/>
        </w:rPr>
        <w:t xml:space="preserve">Additionally, the legal system in China is developing and there are inherent uncertainties that may affect the protection afforded to Polestar for its business and activities in China that are governed by Chinese laws and regulations. Any administrative and court proceedings in China may be protracted, resulting in substantial costs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w:t>
      </w:r>
    </w:p>
    <w:p>
      <w:pPr>
        <w:pStyle w:val="TextBody"/>
        <w:spacing w:before="120" w:after="0"/>
        <w:jc w:val="left"/>
        <w:rPr>
          <w:rFonts w:ascii="Times New Roman" w:hAnsi="Times New Roman"/>
          <w:sz w:val="20"/>
        </w:rPr>
      </w:pPr>
      <w:r>
        <w:rPr>
          <w:rFonts w:ascii="Times New Roman" w:hAnsi="Times New Roman"/>
          <w:sz w:val="20"/>
        </w:rPr>
        <w:t xml:space="preserve">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(the “CSRC”)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 </w:t>
      </w:r>
    </w:p>
    <w:p>
      <w:pPr>
        <w:pStyle w:val="TextBody"/>
        <w:spacing w:before="240" w:after="0"/>
        <w:jc w:val="left"/>
        <w:rPr>
          <w:rFonts w:ascii="Times New Roman" w:hAnsi="Times New Roman"/>
          <w:sz w:val="20"/>
        </w:rPr>
      </w:pPr>
      <w:r>
        <w:rPr>
          <w:rFonts w:ascii="Times New Roman" w:hAnsi="Times New Roman"/>
          <w:sz w:val="20"/>
        </w:rPr>
        <w:t xml:space="preserve">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Changes in Chinese policies, regulations and rules may be quick with little advance notice and the enforcement of laws of the Chinese government is uncertain and could have a significant impact upon Polestar’s and its partners’ ability to operate profitably. </w:t>
      </w:r>
    </w:p>
    <w:p>
      <w:pPr>
        <w:pStyle w:val="TextBody"/>
        <w:spacing w:before="120" w:after="0"/>
        <w:jc w:val="left"/>
        <w:rPr>
          <w:rFonts w:ascii="Times New Roman" w:hAnsi="Times New Roman"/>
          <w:sz w:val="20"/>
        </w:rPr>
      </w:pPr>
      <w:r>
        <w:rPr>
          <w:rFonts w:ascii="Times New Roman" w:hAnsi="Times New Roman"/>
          <w:sz w:val="20"/>
        </w:rPr>
        <w:t xml:space="preserve">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 </w:t>
      </w:r>
    </w:p>
    <w:p>
      <w:pPr>
        <w:pStyle w:val="TextBody"/>
        <w:spacing w:before="360" w:after="0"/>
        <w:jc w:val="left"/>
        <w:rPr>
          <w:rFonts w:ascii="Times New Roman" w:hAnsi="Times New Roman"/>
          <w:b/>
          <w:i/>
          <w:sz w:val="20"/>
        </w:rPr>
      </w:pPr>
      <w:r>
        <w:rPr>
          <w:rFonts w:ascii="Times New Roman" w:hAnsi="Times New Roman"/>
          <w:b/>
          <w:i/>
          <w:sz w:val="20"/>
        </w:rPr>
        <w:t xml:space="preserve">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w:t>
      </w:r>
    </w:p>
    <w:p>
      <w:pPr>
        <w:pStyle w:val="TextBody"/>
        <w:spacing w:before="120" w:after="0"/>
        <w:jc w:val="left"/>
        <w:rPr>
          <w:rFonts w:ascii="Times New Roman" w:hAnsi="Times New Roman"/>
          <w:sz w:val="20"/>
        </w:rPr>
      </w:pPr>
      <w:r>
        <w:rPr>
          <w:rFonts w:ascii="Times New Roman" w:hAnsi="Times New Roman"/>
          <w:sz w:val="20"/>
        </w:rPr>
        <w:t xml:space="preserve">China has implemented new rules relating to data protection, and the new </w:t>
      </w:r>
      <w:r>
        <w:rPr>
          <w:rFonts w:ascii="Times New Roman" w:hAnsi="Times New Roman"/>
          <w:i/>
          <w:sz w:val="20"/>
        </w:rPr>
        <w:t xml:space="preserve">Data Security Law of the People’s Republic of China </w:t>
      </w:r>
      <w:r>
        <w:rPr>
          <w:rFonts w:ascii="Times New Roman" w:hAnsi="Times New Roman"/>
          <w:sz w:val="20"/>
        </w:rPr>
        <w:t xml:space="preserve">(“Data Security Law”) took effect in September 2021. The Data Security Law provides that the data processing activities, including the collection, storage, usage, editing, transmission, provision and publication of the data shall be in compliance with the laws, regulations and shall not damage the national security or public interest, or damage any legitimate interest of any individuals or entities. Pursuant to the Data Security Law, China establishes the “data classification and hierarchical protection system” and “data security review system” for the purpose of data protection. Without prior approval by the Chinese competent regulator,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entity or individual shall be prohibited from transferring data stored in China to foreign law enforcement agencies or judicial authorities. </w:t>
      </w:r>
    </w:p>
    <w:p>
      <w:pPr>
        <w:pStyle w:val="TextBody"/>
        <w:spacing w:before="240" w:after="0"/>
        <w:jc w:val="left"/>
        <w:rPr>
          <w:rFonts w:ascii="Times New Roman" w:hAnsi="Times New Roman"/>
          <w:sz w:val="20"/>
        </w:rPr>
      </w:pPr>
      <w:r>
        <w:rPr>
          <w:rFonts w:ascii="Times New Roman" w:hAnsi="Times New Roman"/>
          <w:sz w:val="20"/>
        </w:rPr>
        <w:t xml:space="preserve">Additionally, the Cyber Security Law of the People’s Republic of China (“Cyber Security Law”) that came into effect in June 2017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implement security protection measures to ensure that the network is free from interference, disruption or unauthorized access, and prevent network data from being disclosed, stolen or tampered with.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In the event the information and network systems are preliminarily classified as Level 2 or above, the network operator should report the grade to the relevant government authority for examination, approval and final determination of its protection level. </w:t>
      </w:r>
    </w:p>
    <w:p>
      <w:pPr>
        <w:pStyle w:val="TextBody"/>
        <w:spacing w:before="240" w:after="0"/>
        <w:jc w:val="left"/>
        <w:rPr>
          <w:rFonts w:ascii="Times New Roman" w:hAnsi="Times New Roman"/>
          <w:sz w:val="20"/>
        </w:rPr>
      </w:pPr>
      <w:r>
        <w:rPr>
          <w:rFonts w:ascii="Times New Roman" w:hAnsi="Times New Roman"/>
          <w:sz w:val="20"/>
        </w:rPr>
        <w:t xml:space="preserve">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November 14, 2021, the CAC published the draft Network Data Security Management Regulation for public comment, which stipulates the requirement that data processors processing more than 1 million individuals’ information should apply for a cybersecurity review with the CAC, if the processors intend to list their securities in a foreign country.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w:t>
      </w:r>
    </w:p>
    <w:p>
      <w:pPr>
        <w:pStyle w:val="TextBody"/>
        <w:spacing w:before="240" w:after="0"/>
        <w:jc w:val="left"/>
        <w:rPr>
          <w:rFonts w:ascii="Times New Roman" w:hAnsi="Times New Roman"/>
          <w:sz w:val="20"/>
        </w:rPr>
      </w:pPr>
      <w:r>
        <w:rPr>
          <w:rFonts w:ascii="Times New Roman" w:hAnsi="Times New Roman"/>
          <w:sz w:val="20"/>
        </w:rPr>
        <w:t xml:space="preserve">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 </w:t>
      </w:r>
    </w:p>
    <w:p>
      <w:pPr>
        <w:pStyle w:val="TextBody"/>
        <w:spacing w:before="240" w:after="0"/>
        <w:jc w:val="left"/>
        <w:rPr>
          <w:rFonts w:ascii="Times New Roman" w:hAnsi="Times New Roman"/>
          <w:sz w:val="20"/>
        </w:rPr>
      </w:pPr>
      <w:r>
        <w:rPr>
          <w:rFonts w:ascii="Times New Roman" w:hAnsi="Times New Roman"/>
          <w:sz w:val="20"/>
        </w:rPr>
        <w:t xml:space="preserve">Also, on August 20, 2021, the Standing Committee of China’s National People’s Congress passed the </w:t>
      </w:r>
      <w:r>
        <w:rPr>
          <w:rFonts w:ascii="Times New Roman" w:hAnsi="Times New Roman"/>
          <w:i/>
          <w:sz w:val="20"/>
        </w:rPr>
        <w:t xml:space="preserve">Personal Information Protection Law of the People’s Republic of China </w:t>
      </w:r>
      <w:r>
        <w:rPr>
          <w:rFonts w:ascii="Times New Roman" w:hAnsi="Times New Roman"/>
          <w:sz w:val="20"/>
        </w:rPr>
        <w:t xml:space="preserve">(“Personal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individuals by organizations and individuals in China. In addition, if the processing of personal information of individuals in China is conducted outside of China, the Personal Information Protection Law shall also apply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Lastly, the Personal Information Protection Law contains proposals for significant fines for serious violations of up to CNY 50 million or 5% of annual turnover of the prior year and may also be ordered to suspend any related activity by competent authorities. </w:t>
      </w:r>
    </w:p>
    <w:p>
      <w:pPr>
        <w:pStyle w:val="TextBody"/>
        <w:spacing w:before="240" w:after="0"/>
        <w:jc w:val="left"/>
        <w:rPr>
          <w:rFonts w:ascii="Times New Roman" w:hAnsi="Times New Roman"/>
          <w:sz w:val="20"/>
        </w:rPr>
      </w:pPr>
      <w:r>
        <w:rPr>
          <w:rFonts w:ascii="Times New Roman" w:hAnsi="Times New Roman"/>
          <w:sz w:val="20"/>
        </w:rPr>
        <w:t xml:space="preserve">Other than personal information, the Several Measures on the Automobile Data Security Management (for Trial Implementation) jointly issued by the National Development and Reform Commission, Ministry of Industry and Information Technology, Ministry of Public Security, CAC and Ministry of Transport on August 16, 2021 and came into effect on October 1, 2021, impose strict regulation on important data, which includes more than 100,000 individuals’ personal information. The Several Measures on the Automobile Data Security Management (for Trial Implementation) provide that important data should be stored within the territory of China in accordance with the law, and if it is really necessary to export such data due to business needs, a security assessment organized by the CAC must be passed. </w:t>
      </w:r>
    </w:p>
    <w:p>
      <w:pPr>
        <w:pStyle w:val="TextBody"/>
        <w:spacing w:before="240" w:after="0"/>
        <w:jc w:val="left"/>
        <w:rPr>
          <w:rFonts w:ascii="Times New Roman" w:hAnsi="Times New Roman"/>
          <w:sz w:val="20"/>
        </w:rPr>
      </w:pPr>
      <w:r>
        <w:rPr>
          <w:rFonts w:ascii="Times New Roman" w:hAnsi="Times New Roman"/>
          <w:sz w:val="20"/>
        </w:rPr>
        <w:t xml:space="preserve">On July 7, 2022, the CAC released the Cross-border Data Transfer Security Measures (the “Security Assessment Measures”) effective from September 1, 2022, with a six months “rectification period.” The Security Assessment Measures provides for the scope of data that will be subject to security assessment when being exported, including (i) personal information and important data collected and generated by a critical information infrastructure operator; (ii) any important data that is to be exported; (iii) personal information from a data handler that has processed personal information of one million individuals or more; (iv) information from a data handler that in aggregate has exported personal information of over 100,000 individuals or sensitive personal information of over 10,000 individuals; and (v) such other information prescribed by the CAC. Critical information infrastructure operators or data handlers that are subject to the Security Assessment Measures must submit application materials to the CAC offices at the provincial level for the security assessment. As a data handler may subject to the Security Assessment Measures, as of the date of this prospectus, Polestar has not obtained any approval on the security assessment from the CAC, nor has Polestar submitted any materials with any CAC offices at the provincial level concerning the security assessment. Although the CAC has not issued any formal documentation specifying the meaning of the six months “rectification period” and many companies filed for the security assessment after the expiration of the six months “rectification period,” Polestar and its external counsel cannot assure whether Polestar’s filings to be made after the six months “rectification period” will not have a material adverse effect on Polestar’s business operations in China. </w:t>
      </w:r>
    </w:p>
    <w:p>
      <w:pPr>
        <w:pStyle w:val="TextBody"/>
        <w:spacing w:before="240" w:after="0"/>
        <w:jc w:val="left"/>
        <w:rPr>
          <w:rFonts w:ascii="Times New Roman" w:hAnsi="Times New Roman"/>
          <w:sz w:val="20"/>
        </w:rPr>
      </w:pPr>
      <w:r>
        <w:rPr>
          <w:rFonts w:ascii="Times New Roman" w:hAnsi="Times New Roman"/>
          <w:sz w:val="20"/>
        </w:rPr>
        <w:t xml:space="preserve">On December 8, 2022, the Ministry of Industry and Information Technology of China promulgated the Industry and Information Technology Field Data Security Administrative Measures (for Trial Implementation) effective from January 1, 2023, which regulate the data processing activities in the field of industry and information technology conducted within the territory of the PRC. Under the foregoing measures, data handlers in the field of industry and information technology must further implement data classification and categorization management, take necessary measures to ensure that data remains effectively protected and is lawfully processed, and conduct data security risk monitoring. Under the data classification and categorization, “data in the field of industry and information technology” includes industrial data, telecommunications data, and radio data; among others, “industrial data” means data produced and collected in the course of research and development, design, production and manufacturing, business management, operating maintenance, and platform operation in various sectors and fields of industry. A data handler in the industry and information technology field in the PRC shall submit its catalog of important data and core data to the local industrial regulatory department for recordation. Since Polestar is not registered manufacturer in PRC but cooperating with its Original Equipment Manufacturer (“OEM”) suppliers, the legal obligations are mainly with the OEM suppliers. However, Polestar may be impacted should its OEM suppliers not fulfill such for obligations under the forgoing measures. </w:t>
      </w:r>
    </w:p>
    <w:p>
      <w:pPr>
        <w:pStyle w:val="TextBody"/>
        <w:spacing w:before="240" w:after="0"/>
        <w:jc w:val="left"/>
        <w:rPr>
          <w:rFonts w:ascii="Times New Roman" w:hAnsi="Times New Roman"/>
          <w:sz w:val="20"/>
        </w:rPr>
      </w:pPr>
      <w:r>
        <w:rPr>
          <w:rFonts w:ascii="Times New Roman" w:hAnsi="Times New Roman"/>
          <w:sz w:val="20"/>
        </w:rPr>
        <w:t xml:space="preserve">Polestar uses global information systems to support its worldwide operation, but the information systems might not have servers in China and the personal information collected by Polestar in China may be constantly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 </w:t>
      </w:r>
    </w:p>
    <w:p>
      <w:pPr>
        <w:pStyle w:val="TextBody"/>
        <w:spacing w:before="240" w:after="0"/>
        <w:jc w:val="left"/>
        <w:rPr>
          <w:rFonts w:ascii="Times New Roman" w:hAnsi="Times New Roman"/>
          <w:sz w:val="20"/>
        </w:rPr>
      </w:pPr>
      <w:r>
        <w:rPr>
          <w:rFonts w:ascii="Times New Roman" w:hAnsi="Times New Roman"/>
          <w:sz w:val="20"/>
        </w:rPr>
        <w:t xml:space="preserve">Interpretation, application and enforcement of these laws, rules and regulations will evolve over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 </w:t>
      </w:r>
    </w:p>
    <w:p>
      <w:pPr>
        <w:pStyle w:val="TextBody"/>
        <w:spacing w:before="360" w:after="0"/>
        <w:jc w:val="left"/>
        <w:rPr>
          <w:rFonts w:ascii="Times New Roman" w:hAnsi="Times New Roman"/>
          <w:b/>
          <w:i/>
          <w:sz w:val="20"/>
        </w:rPr>
      </w:pPr>
      <w:r>
        <w:rPr>
          <w:rFonts w:ascii="Times New Roman" w:hAnsi="Times New Roman"/>
          <w:b/>
          <w:i/>
          <w:sz w:val="20"/>
        </w:rPr>
        <w:t xml:space="preserve">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w:t>
      </w:r>
    </w:p>
    <w:p>
      <w:pPr>
        <w:pStyle w:val="TextBody"/>
        <w:spacing w:before="120" w:after="0"/>
        <w:jc w:val="left"/>
        <w:rPr>
          <w:rFonts w:ascii="Times New Roman" w:hAnsi="Times New Roman"/>
          <w:sz w:val="20"/>
        </w:rPr>
      </w:pPr>
      <w:r>
        <w:rPr>
          <w:rFonts w:ascii="Times New Roman" w:hAnsi="Times New Roman"/>
          <w:sz w:val="20"/>
        </w:rPr>
        <w:t xml:space="preserve">Polestar and its subsidiaries in China are not classified as “critical information infrastructure operators” or “network platform operators” under the Cybersecurity Review Measures, nor have Polestar and its subsidiaries received any notice from the CAC defining them as the foregoing, which would require Polestar or its subsidiaries to apply for a cybersecurity review with the CAC. See “—Compliance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 licenses,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to obtain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adversely affected by the complexity, uncertainties and changes in the regulations on internet-related business, automotive business and other business carried out by Polestar’s operating entities in China. </w:t>
      </w:r>
    </w:p>
    <w:p>
      <w:pPr>
        <w:pStyle w:val="TextBody"/>
        <w:spacing w:before="120" w:after="0"/>
        <w:jc w:val="left"/>
        <w:rPr>
          <w:rFonts w:ascii="Times New Roman" w:hAnsi="Times New Roman"/>
          <w:sz w:val="20"/>
        </w:rPr>
      </w:pPr>
      <w:r>
        <w:rPr>
          <w:rFonts w:ascii="Times New Roman" w:hAnsi="Times New Roman"/>
          <w:sz w:val="20"/>
        </w:rPr>
        <w:t xml:space="preserve">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The Chinese government also has significant oversight and discretion over the conduct of Polestar’s business and Polestar’s operations may be affected by evolving regulatory policies as a result. The Chinese government has recently published new policies that significantly affect certain industries, and Polestar cannot rule out the possibility that it will in the future release regulations or policies regarding Polestar’s industry that could adversely affect Polestar’s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 </w:t>
      </w:r>
    </w:p>
    <w:p>
      <w:pPr>
        <w:pStyle w:val="TextBody"/>
        <w:spacing w:before="240" w:after="0"/>
        <w:jc w:val="left"/>
        <w:rPr>
          <w:rFonts w:ascii="Times New Roman" w:hAnsi="Times New Roman"/>
          <w:sz w:val="20"/>
        </w:rPr>
      </w:pPr>
      <w:r>
        <w:rPr>
          <w:rFonts w:ascii="Times New Roman" w:hAnsi="Times New Roman"/>
          <w:sz w:val="20"/>
        </w:rPr>
        <w:t xml:space="preserve">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any of Polestar’s income that it considers illegal,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 </w:t>
      </w:r>
    </w:p>
    <w:p>
      <w:pPr>
        <w:pStyle w:val="TextBody"/>
        <w:spacing w:before="120" w:after="0"/>
        <w:jc w:val="left"/>
        <w:rPr>
          <w:rFonts w:ascii="Times New Roman" w:hAnsi="Times New Roman"/>
          <w:sz w:val="20"/>
        </w:rPr>
      </w:pPr>
      <w:r>
        <w:rPr>
          <w:rFonts w:ascii="Times New Roman" w:hAnsi="Times New Roman"/>
          <w:sz w:val="20"/>
        </w:rPr>
        <w:t xml:space="preserve">Polestar has invested and expects to continue to invest significantly in what it believes is state of the art tooling, machinery and other manufacturing equipment, including in collaboration with its manufacturing partners,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 equipment in favor of different or additional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equipment. The useful life of any equipment that would be retired early as a result would be shortened, causing the depreciation on such equipment to be accelerated, and Polestar’s results of operations could be negatively impacted. </w:t>
      </w:r>
    </w:p>
    <w:p>
      <w:pPr>
        <w:pStyle w:val="TextBody"/>
        <w:spacing w:before="360" w:after="0"/>
        <w:jc w:val="left"/>
        <w:rPr>
          <w:rFonts w:ascii="Times New Roman" w:hAnsi="Times New Roman"/>
          <w:b/>
          <w:i/>
          <w:sz w:val="20"/>
        </w:rPr>
      </w:pPr>
      <w:r>
        <w:rPr>
          <w:rFonts w:ascii="Times New Roman" w:hAnsi="Times New Roman"/>
          <w:b/>
          <w:i/>
          <w:sz w:val="20"/>
        </w:rPr>
        <w:t xml:space="preserve">Investors should not rely on outdated financial projections.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Polestar disclosed certain projections regarding its potential operating and financial performance in future years in connection with the registration statement on Form F-4 the Company filed in connection with the Business Combination. As previously disclosed, these projections were prepared for internal use, were finalized in September 2021 and were not updated to reflect events after that date. Also, as previously disclosed, the projected financial information was not prepared with a view toward complying with the published guidelines of the SEC or the guidelines established by the American Institute of Certified Public Accountants for preparation and presentation of prospective financial information, or IFRS with respect to forward-looking financial information. Readers were cautioned not to rely on the prospective financial information because actual results were likely to differ materially from the prospective financial information, and not to look upon the projections as “guidance” of any sort. </w:t>
      </w:r>
    </w:p>
    <w:p>
      <w:pPr>
        <w:pStyle w:val="TextBody"/>
        <w:spacing w:before="240" w:after="0"/>
        <w:jc w:val="left"/>
        <w:rPr>
          <w:rFonts w:ascii="Times New Roman" w:hAnsi="Times New Roman"/>
          <w:sz w:val="20"/>
        </w:rPr>
      </w:pPr>
      <w:r>
        <w:rPr>
          <w:rFonts w:ascii="Times New Roman" w:hAnsi="Times New Roman"/>
          <w:sz w:val="20"/>
        </w:rPr>
        <w:t xml:space="preserve">The projected financial information disclosed in connection with the Business Combination is outdated and does not represent the current views of management. Specifically, Polestar management believes the impact of the prolonged COVID-19 government mandated quarantines and lockdowns in China during 2022 negatively impacted Polestar’s and its strategic and contract manufacturing partner, Volvo Cars’, ability to manufacture and deliver Polestar’s vehicles in the volumes previously anticipated by Polestar. As a result, Polestar expects that its actual results for the periods covered by the projections will differ materially from the projected financial information that Polestar prepared in September 2021. </w:t>
      </w:r>
    </w:p>
    <w:p>
      <w:pPr>
        <w:pStyle w:val="TextBody"/>
        <w:spacing w:before="240" w:after="0"/>
        <w:jc w:val="left"/>
        <w:rPr>
          <w:rFonts w:ascii="Times New Roman" w:hAnsi="Times New Roman"/>
          <w:sz w:val="20"/>
        </w:rPr>
      </w:pPr>
      <w:r>
        <w:rPr>
          <w:rFonts w:ascii="Times New Roman" w:hAnsi="Times New Roman"/>
          <w:sz w:val="20"/>
        </w:rPr>
        <w:t xml:space="preserve">Polestar reiterates its prior caution not to rely on the previously published and now outdated financial projections. Polestar has not undertaken any obligation to publish or update any financial projections.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 </w:t>
      </w:r>
    </w:p>
    <w:p>
      <w:pPr>
        <w:pStyle w:val="TextBody"/>
        <w:spacing w:before="120" w:after="0"/>
        <w:jc w:val="left"/>
        <w:rPr>
          <w:rFonts w:ascii="Times New Roman" w:hAnsi="Times New Roman"/>
          <w:sz w:val="20"/>
        </w:rPr>
      </w:pPr>
      <w:r>
        <w:rPr>
          <w:rFonts w:ascii="Times New Roman" w:hAnsi="Times New Roman"/>
          <w:sz w:val="20"/>
        </w:rPr>
        <w:t xml:space="preserve">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Spaces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 </w:t>
      </w:r>
    </w:p>
    <w:p>
      <w:pPr>
        <w:pStyle w:val="TextBody"/>
        <w:spacing w:before="240" w:after="0"/>
        <w:jc w:val="left"/>
        <w:rPr>
          <w:rFonts w:ascii="Times New Roman" w:hAnsi="Times New Roman"/>
          <w:sz w:val="20"/>
        </w:rPr>
      </w:pPr>
      <w:r>
        <w:rPr>
          <w:rFonts w:ascii="Times New Roman" w:hAnsi="Times New Roman"/>
          <w:sz w:val="20"/>
        </w:rPr>
        <w:t xml:space="preserve">Polestar’s experience distributing directly to consumers only started in 2019 with the launch of Polestar 1 and at a larger scale in 2020 with the launch of Polestar 2. Therefore, Polestar expects that the building of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Insufficient reserves to cover future warranty or part replacement needs or other vehicle repair requirements, including any potential software upgrades, could have a material and adverse effect on Polestar’s business, prospects,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offer attractive leasing and financing options for its current vehicle models and future vehicles, which would adversely affect consumer demand for its vehicles. </w:t>
      </w:r>
    </w:p>
    <w:p>
      <w:pPr>
        <w:pStyle w:val="TextBody"/>
        <w:spacing w:before="120" w:after="0"/>
        <w:jc w:val="left"/>
        <w:rPr>
          <w:rFonts w:ascii="Times New Roman" w:hAnsi="Times New Roman"/>
          <w:sz w:val="20"/>
        </w:rPr>
      </w:pPr>
      <w:r>
        <w:rPr>
          <w:rFonts w:ascii="Times New Roman" w:hAnsi="Times New Roman"/>
          <w:sz w:val="20"/>
        </w:rPr>
        <w:t xml:space="preserve">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 </w:t>
      </w:r>
    </w:p>
    <w:p>
      <w:pPr>
        <w:pStyle w:val="TextBody"/>
        <w:spacing w:before="360" w:after="0"/>
        <w:jc w:val="left"/>
        <w:rPr>
          <w:rFonts w:ascii="Times New Roman" w:hAnsi="Times New Roman"/>
          <w:b/>
          <w:i/>
          <w:sz w:val="20"/>
        </w:rPr>
      </w:pPr>
      <w:r>
        <w:rPr>
          <w:rFonts w:ascii="Times New Roman" w:hAnsi="Times New Roman"/>
          <w:b/>
          <w:i/>
          <w:sz w:val="20"/>
        </w:rPr>
        <w:t xml:space="preserve">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 </w:t>
      </w:r>
    </w:p>
    <w:p>
      <w:pPr>
        <w:pStyle w:val="TextBody"/>
        <w:spacing w:before="120" w:after="0"/>
        <w:jc w:val="left"/>
        <w:rPr>
          <w:rFonts w:ascii="Times New Roman" w:hAnsi="Times New Roman"/>
          <w:sz w:val="20"/>
        </w:rPr>
      </w:pPr>
      <w:r>
        <w:rPr>
          <w:rFonts w:ascii="Times New Roman" w:hAnsi="Times New Roman"/>
          <w:sz w:val="20"/>
        </w:rPr>
        <w:t xml:space="preserve">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Argo AI (jointly owned by Ford and Volkswagen), Mobileye, Aptiv (which recently acquired Wind River), Baidu, Nuro and Ghost Autonomy, have devoted significant time and resources to developing ADAS/AD technologies. They may also own patents in this area, which may be relevant to technologies Polestar may use.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 </w:t>
      </w:r>
    </w:p>
    <w:p>
      <w:pPr>
        <w:pStyle w:val="TextBody"/>
        <w:spacing w:before="360" w:after="0"/>
        <w:jc w:val="left"/>
        <w:rPr>
          <w:rFonts w:ascii="Times New Roman" w:hAnsi="Times New Roman"/>
          <w:b/>
          <w:i/>
          <w:sz w:val="20"/>
        </w:rPr>
      </w:pPr>
      <w:r>
        <w:rPr>
          <w:rFonts w:ascii="Times New Roman" w:hAnsi="Times New Roman"/>
          <w:b/>
          <w:i/>
          <w:sz w:val="20"/>
        </w:rPr>
        <w:t xml:space="preserve">Uninsured losses, including losses resulting from product liability, accidents, acts of God and other claims against Polestar, could result in payment of substantial damages, which would decrease Polestar’s cash reserves and could harm its cash flow and financial condition.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 </w:t>
      </w:r>
    </w:p>
    <w:p>
      <w:pPr>
        <w:pStyle w:val="TextBody"/>
        <w:spacing w:before="360" w:after="0"/>
        <w:jc w:val="left"/>
        <w:rPr>
          <w:rFonts w:ascii="Times New Roman" w:hAnsi="Times New Roman"/>
          <w:b/>
          <w:i/>
          <w:sz w:val="20"/>
        </w:rPr>
      </w:pPr>
      <w:r>
        <w:rPr>
          <w:rFonts w:ascii="Times New Roman" w:hAnsi="Times New Roman"/>
          <w:b/>
          <w:i/>
          <w:sz w:val="20"/>
        </w:rPr>
        <w:t xml:space="preserve">Polestar’s vehicles make use of lithium-ion battery cells, which have been observed to catch fire or vent smoke and flame. </w:t>
      </w:r>
    </w:p>
    <w:p>
      <w:pPr>
        <w:pStyle w:val="TextBody"/>
        <w:spacing w:before="120" w:after="0"/>
        <w:jc w:val="left"/>
        <w:rPr>
          <w:rFonts w:ascii="Times New Roman" w:hAnsi="Times New Roman"/>
          <w:sz w:val="20"/>
        </w:rPr>
      </w:pPr>
      <w:r>
        <w:rPr>
          <w:rFonts w:ascii="Times New Roman" w:hAnsi="Times New Roman"/>
          <w:sz w:val="20"/>
        </w:rPr>
        <w:t xml:space="preserve">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 </w:t>
      </w:r>
    </w:p>
    <w:p>
      <w:pPr>
        <w:pStyle w:val="TextBody"/>
        <w:spacing w:before="240" w:after="0"/>
        <w:jc w:val="left"/>
        <w:rPr>
          <w:rFonts w:ascii="Times New Roman" w:hAnsi="Times New Roman"/>
          <w:sz w:val="20"/>
        </w:rPr>
      </w:pPr>
      <w:r>
        <w:rPr>
          <w:rFonts w:ascii="Times New Roman" w:hAnsi="Times New Roman"/>
          <w:sz w:val="20"/>
        </w:rPr>
        <w:t xml:space="preserve">Moreover, any failure of a competitor’s electric vehicle or energy storage product, as well as the mishandling of battery cells or a safety issue or fire related to the cells at partners’ manufacturing facilities, may cause indirect adverse publicity for Polestar and its products. Such adverse publicity could negatively affect Polestar’s brand and harm its business, prospects,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 </w:t>
      </w:r>
    </w:p>
    <w:p>
      <w:pPr>
        <w:pStyle w:val="TextBody"/>
        <w:spacing w:before="120" w:after="0"/>
        <w:jc w:val="left"/>
        <w:rPr>
          <w:rFonts w:ascii="Times New Roman" w:hAnsi="Times New Roman"/>
          <w:sz w:val="20"/>
        </w:rPr>
      </w:pPr>
      <w:r>
        <w:rPr>
          <w:rFonts w:ascii="Times New Roman" w:hAnsi="Times New Roman"/>
          <w:sz w:val="20"/>
        </w:rPr>
        <w:t xml:space="preserve">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 </w:t>
      </w:r>
    </w:p>
    <w:p>
      <w:pPr>
        <w:pStyle w:val="TextBody"/>
        <w:spacing w:before="240" w:after="0"/>
        <w:jc w:val="left"/>
        <w:rPr>
          <w:rFonts w:ascii="Times New Roman" w:hAnsi="Times New Roman"/>
          <w:sz w:val="20"/>
        </w:rPr>
      </w:pPr>
      <w:r>
        <w:rPr>
          <w:rFonts w:ascii="Times New Roman" w:hAnsi="Times New Roman"/>
          <w:sz w:val="20"/>
        </w:rPr>
        <w:t xml:space="preserve">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 </w:t>
      </w:r>
    </w:p>
    <w:p>
      <w:pPr>
        <w:pStyle w:val="TextBody"/>
        <w:spacing w:before="240" w:after="0"/>
        <w:jc w:val="left"/>
        <w:rPr>
          <w:rFonts w:ascii="Times New Roman" w:hAnsi="Times New Roman"/>
          <w:sz w:val="20"/>
        </w:rPr>
      </w:pPr>
      <w:r>
        <w:rPr>
          <w:rFonts w:ascii="Times New Roman" w:hAnsi="Times New Roman"/>
          <w:sz w:val="20"/>
        </w:rPr>
        <w:t xml:space="preserve">Other factors that may influence the adoption of electric vehicles include: </w:t>
      </w:r>
    </w:p>
    <w:p>
      <w:pPr>
        <w:pStyle w:val="TextBody"/>
        <w:spacing w:before="0" w:after="0"/>
        <w:jc w:val="left"/>
        <w:rPr/>
      </w:pPr>
      <w:r>
        <w:rPr/>
        <w:t> </w:t>
      </w:r>
    </w:p>
    <w:tbl>
      <w:tblPr>
        <w:tblW w:w="6730" w:type="dxa"/>
        <w:jc w:val="left"/>
        <w:tblInd w:w="0" w:type="dxa"/>
        <w:tblCellMar>
          <w:top w:w="0" w:type="dxa"/>
          <w:left w:w="0" w:type="dxa"/>
          <w:bottom w:w="0" w:type="dxa"/>
          <w:right w:w="0" w:type="dxa"/>
        </w:tblCellMar>
      </w:tblPr>
      <w:tblGrid>
        <w:gridCol w:w="75"/>
        <w:gridCol w:w="110"/>
        <w:gridCol w:w="60"/>
        <w:gridCol w:w="64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perceptions about electric vehicle quality, safety, design, performance and cost;</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perceptions about the limited range over which electric vehicles may be driven on a single battery charge;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 </w:t>
            </w:r>
          </w:p>
        </w:tc>
      </w:tr>
    </w:tbl>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concerns about electric grid capacity and reliability;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perceptions about the sustainability and environmental impact of electric vehicles, including with respect to both the sourcing and disposal of materials for electric vehicle batteries and the generation of electricity provided in the electric grid; </w:t>
            </w:r>
          </w:p>
        </w:tc>
      </w:tr>
    </w:tbl>
    <w:p>
      <w:pPr>
        <w:pStyle w:val="TextBody"/>
        <w:spacing w:before="0" w:after="0"/>
        <w:jc w:val="left"/>
        <w:rPr/>
      </w:pPr>
      <w:r>
        <w:rPr/>
        <w:t> </w:t>
      </w:r>
    </w:p>
    <w:tbl>
      <w:tblPr>
        <w:tblW w:w="7780" w:type="dxa"/>
        <w:jc w:val="left"/>
        <w:tblInd w:w="0" w:type="dxa"/>
        <w:tblCellMar>
          <w:top w:w="0" w:type="dxa"/>
          <w:left w:w="0" w:type="dxa"/>
          <w:bottom w:w="0" w:type="dxa"/>
          <w:right w:w="0" w:type="dxa"/>
        </w:tblCellMar>
      </w:tblPr>
      <w:tblGrid>
        <w:gridCol w:w="75"/>
        <w:gridCol w:w="110"/>
        <w:gridCol w:w="60"/>
        <w:gridCol w:w="7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availability of other alternative fuel vehicles, including plug-in hybrid electric vehicles; </w:t>
            </w:r>
          </w:p>
        </w:tc>
      </w:tr>
    </w:tbl>
    <w:p>
      <w:pPr>
        <w:pStyle w:val="TextBody"/>
        <w:spacing w:before="0" w:after="0"/>
        <w:jc w:val="left"/>
        <w:rPr/>
      </w:pPr>
      <w:r>
        <w:rPr/>
        <w:t> </w:t>
      </w:r>
    </w:p>
    <w:tbl>
      <w:tblPr>
        <w:tblW w:w="5995" w:type="dxa"/>
        <w:jc w:val="left"/>
        <w:tblInd w:w="0" w:type="dxa"/>
        <w:tblCellMar>
          <w:top w:w="0" w:type="dxa"/>
          <w:left w:w="0" w:type="dxa"/>
          <w:bottom w:w="0" w:type="dxa"/>
          <w:right w:w="0" w:type="dxa"/>
        </w:tblCellMar>
      </w:tblPr>
      <w:tblGrid>
        <w:gridCol w:w="75"/>
        <w:gridCol w:w="110"/>
        <w:gridCol w:w="60"/>
        <w:gridCol w:w="5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improvements in the fuel economy of the internal combustion engine; </w:t>
            </w:r>
          </w:p>
        </w:tc>
      </w:tr>
    </w:tbl>
    <w:p>
      <w:pPr>
        <w:pStyle w:val="TextBody"/>
        <w:spacing w:before="0" w:after="0"/>
        <w:jc w:val="left"/>
        <w:rPr/>
      </w:pPr>
      <w:r>
        <w:rPr/>
        <w:t> </w:t>
      </w:r>
    </w:p>
    <w:tbl>
      <w:tblPr>
        <w:tblW w:w="7960" w:type="dxa"/>
        <w:jc w:val="left"/>
        <w:tblInd w:w="0" w:type="dxa"/>
        <w:tblCellMar>
          <w:top w:w="0" w:type="dxa"/>
          <w:left w:w="0" w:type="dxa"/>
          <w:bottom w:w="0" w:type="dxa"/>
          <w:right w:w="0" w:type="dxa"/>
        </w:tblCellMar>
      </w:tblPr>
      <w:tblGrid>
        <w:gridCol w:w="75"/>
        <w:gridCol w:w="110"/>
        <w:gridCol w:w="60"/>
        <w:gridCol w:w="7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quality and availability of service for electric vehicles, especially in international markets; </w:t>
            </w:r>
          </w:p>
        </w:tc>
      </w:tr>
    </w:tbl>
    <w:p>
      <w:pPr>
        <w:pStyle w:val="TextBody"/>
        <w:spacing w:before="0" w:after="0"/>
        <w:jc w:val="left"/>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volatility in the cost of oil, gasoline and electricity; </w:t>
            </w:r>
          </w:p>
        </w:tc>
      </w:tr>
    </w:tbl>
    <w:p>
      <w:pPr>
        <w:pStyle w:val="TextBody"/>
        <w:spacing w:before="0" w:after="0"/>
        <w:jc w:val="left"/>
        <w:rPr/>
      </w:pPr>
      <w:r>
        <w:rPr/>
        <w:t> </w:t>
      </w:r>
    </w:p>
    <w:tbl>
      <w:tblPr>
        <w:tblW w:w="9070" w:type="dxa"/>
        <w:jc w:val="left"/>
        <w:tblInd w:w="0" w:type="dxa"/>
        <w:tblCellMar>
          <w:top w:w="0" w:type="dxa"/>
          <w:left w:w="0" w:type="dxa"/>
          <w:bottom w:w="0" w:type="dxa"/>
          <w:right w:w="0" w:type="dxa"/>
        </w:tblCellMar>
      </w:tblPr>
      <w:tblGrid>
        <w:gridCol w:w="75"/>
        <w:gridCol w:w="110"/>
        <w:gridCol w:w="60"/>
        <w:gridCol w:w="88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government regulations and economic incentives promoting fuel efficiency and alternative forms of energy;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access to charging stations and the cost to charge an electric vehicle, especially in international markets, and related infrastructure costs and standardization;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availability of tax and other governmental incentives to purchase and operate electric vehicles or future regulation requiring increased use of nonpolluting vehicles; and </w:t>
            </w:r>
          </w:p>
        </w:tc>
      </w:tr>
    </w:tbl>
    <w:p>
      <w:pPr>
        <w:pStyle w:val="TextBody"/>
        <w:spacing w:before="0" w:after="0"/>
        <w:jc w:val="left"/>
        <w:rPr/>
      </w:pPr>
      <w:r>
        <w:rPr/>
        <w:t> </w:t>
      </w:r>
    </w:p>
    <w:tbl>
      <w:tblPr>
        <w:tblW w:w="2245" w:type="dxa"/>
        <w:jc w:val="left"/>
        <w:tblInd w:w="0" w:type="dxa"/>
        <w:tblCellMar>
          <w:top w:w="0" w:type="dxa"/>
          <w:left w:w="0" w:type="dxa"/>
          <w:bottom w:w="0" w:type="dxa"/>
          <w:right w:w="0" w:type="dxa"/>
        </w:tblCellMar>
      </w:tblPr>
      <w:tblGrid>
        <w:gridCol w:w="75"/>
        <w:gridCol w:w="110"/>
        <w:gridCol w:w="60"/>
        <w:gridCol w:w="2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macroeconomic factors. </w:t>
            </w:r>
          </w:p>
        </w:tc>
      </w:tr>
    </w:tbl>
    <w:p>
      <w:pPr>
        <w:pStyle w:val="TextBody"/>
        <w:spacing w:before="240" w:after="0"/>
        <w:jc w:val="left"/>
        <w:rPr>
          <w:rFonts w:ascii="Times New Roman" w:hAnsi="Times New Roman"/>
          <w:sz w:val="20"/>
        </w:rPr>
      </w:pPr>
      <w:r>
        <w:rPr>
          <w:rFonts w:ascii="Times New Roman" w:hAnsi="Times New Roman"/>
          <w:sz w:val="20"/>
        </w:rPr>
        <w:t xml:space="preserve">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 </w:t>
      </w:r>
    </w:p>
    <w:p>
      <w:pPr>
        <w:pStyle w:val="TextBody"/>
        <w:spacing w:before="360" w:after="0"/>
        <w:jc w:val="left"/>
        <w:rPr>
          <w:rFonts w:ascii="Times New Roman" w:hAnsi="Times New Roman"/>
          <w:b/>
          <w:i/>
          <w:sz w:val="20"/>
        </w:rPr>
      </w:pPr>
      <w:r>
        <w:rPr>
          <w:rFonts w:ascii="Times New Roman" w:hAnsi="Times New Roman"/>
          <w:b/>
          <w:i/>
          <w:sz w:val="20"/>
        </w:rPr>
        <w:t xml:space="preserve">Developments in electric vehicle or alternative fuel technology or improvements in the internal combustion engine may adversely affect the demand for Polestar’s vehicles. </w:t>
      </w:r>
    </w:p>
    <w:p>
      <w:pPr>
        <w:pStyle w:val="TextBody"/>
        <w:spacing w:before="120" w:after="0"/>
        <w:jc w:val="left"/>
        <w:rPr>
          <w:rFonts w:ascii="Times New Roman" w:hAnsi="Times New Roman"/>
          <w:sz w:val="20"/>
        </w:rPr>
      </w:pPr>
      <w:r>
        <w:rPr>
          <w:rFonts w:ascii="Times New Roman" w:hAnsi="Times New Roman"/>
          <w:sz w:val="20"/>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(and those of its strategic partners)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pStyle w:val="TextBody"/>
        <w:spacing w:before="360" w:after="0"/>
        <w:jc w:val="left"/>
        <w:rPr>
          <w:rFonts w:ascii="Times New Roman" w:hAnsi="Times New Roman"/>
          <w:b/>
          <w:i/>
          <w:sz w:val="20"/>
        </w:rPr>
      </w:pPr>
      <w:r>
        <w:rPr>
          <w:rFonts w:ascii="Times New Roman" w:hAnsi="Times New Roman"/>
          <w:b/>
          <w:i/>
          <w:sz w:val="20"/>
        </w:rPr>
        <w:t xml:space="preserve">A resurgence of the COVID-19 pandemic and return of global control measures could adversely affect Polestar’s business and operations. </w:t>
      </w:r>
    </w:p>
    <w:p>
      <w:pPr>
        <w:pStyle w:val="TextBody"/>
        <w:spacing w:before="120" w:after="0"/>
        <w:jc w:val="left"/>
        <w:rPr>
          <w:rFonts w:ascii="Times New Roman" w:hAnsi="Times New Roman"/>
          <w:sz w:val="20"/>
        </w:rPr>
      </w:pPr>
      <w:r>
        <w:rPr>
          <w:rFonts w:ascii="Times New Roman" w:hAnsi="Times New Roman"/>
          <w:sz w:val="20"/>
        </w:rPr>
        <w:t xml:space="preserve">The COVID-19 pandemic had a significant impact on Polestar’s business, particularly with regards to its manufacturing and supply chain operations. Should a flare up of the COVID-19 pandemic occur, with previously imposed governmental control measures brought back into force, consumers may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 </w:t>
      </w:r>
    </w:p>
    <w:p>
      <w:pPr>
        <w:pStyle w:val="TextBody"/>
        <w:spacing w:before="240" w:after="0"/>
        <w:jc w:val="left"/>
        <w:rPr>
          <w:rFonts w:ascii="Times New Roman" w:hAnsi="Times New Roman"/>
          <w:sz w:val="20"/>
        </w:rPr>
      </w:pPr>
      <w:r>
        <w:rPr>
          <w:rFonts w:ascii="Times New Roman" w:hAnsi="Times New Roman"/>
          <w:sz w:val="20"/>
        </w:rPr>
        <w:t xml:space="preserve">The spread of COVID-19 has also in the recent past disrupted the manufacturing operations of other vehicle manufacturers and their suppliers. Any such disruptions to Polestar or to its suppliers could result in delays and could negatively affect its production volume. </w:t>
      </w:r>
    </w:p>
    <w:p>
      <w:pPr>
        <w:pStyle w:val="TextBody"/>
        <w:spacing w:before="240" w:after="0"/>
        <w:jc w:val="left"/>
        <w:rPr>
          <w:rFonts w:ascii="Times New Roman" w:hAnsi="Times New Roman"/>
          <w:sz w:val="20"/>
        </w:rPr>
      </w:pPr>
      <w:r>
        <w:rPr>
          <w:rFonts w:ascii="Times New Roman" w:hAnsi="Times New Roman"/>
          <w:sz w:val="20"/>
        </w:rPr>
        <w:t xml:space="preserve">During the height of the pandemic, governments imposed travel bans and restrictions, quarantines, shelter-in-place and stay-at-home orders and business shutdowns. These measures posed numerous operational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risks and logistical challenges to Polestar’s business. In addition, regional, national and international travel restrictions resulted in adverse impacts to Polestar’s supply chain. Further, Polestar’s sales and marketing activities were, and may in the future be, adversely affected due to the cancellation or reduction of in-person sales activities, meetings, events and conferences. During the period when Polestar’s personnel were mostly a remote workforce ,the demands on Polestar’s information technology resources and systems increased as did data privacy and cybersecurity risks. Should such restrictive measures, or even more restrictive measures than experienced in the past, return or be imposed for a significant period of time , Polestar’s manufacturing and sales and distribution plans and timelines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Changes in foreign currency rates, interest rate risks, or inflation could materially affect Polestar’s results of operations. </w:t>
      </w:r>
    </w:p>
    <w:p>
      <w:pPr>
        <w:pStyle w:val="TextBody"/>
        <w:spacing w:before="120" w:after="0"/>
        <w:jc w:val="left"/>
        <w:rPr>
          <w:rFonts w:ascii="Times New Roman" w:hAnsi="Times New Roman"/>
          <w:sz w:val="20"/>
        </w:rPr>
      </w:pPr>
      <w:r>
        <w:rPr>
          <w:rFonts w:ascii="Times New Roman" w:hAnsi="Times New Roman"/>
          <w:sz w:val="20"/>
        </w:rPr>
        <w:t xml:space="preserve">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 </w:t>
      </w:r>
    </w:p>
    <w:p>
      <w:pPr>
        <w:pStyle w:val="TextBody"/>
        <w:spacing w:before="240" w:after="0"/>
        <w:jc w:val="left"/>
        <w:rPr>
          <w:rFonts w:ascii="Times New Roman" w:hAnsi="Times New Roman"/>
          <w:sz w:val="20"/>
        </w:rPr>
      </w:pPr>
      <w:r>
        <w:rPr>
          <w:rFonts w:ascii="Times New Roman" w:hAnsi="Times New Roman"/>
          <w:sz w:val="20"/>
        </w:rPr>
        <w:t xml:space="preserve">Particularly COVID-19 and the Russo-Ukrainian War have led to increased inflationary pressures on prices of components, materials, labor, and equipment used in the production of Polestar vehicles.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See “Operating and Financial Review and Prospects—Key factors affecting performance—Impact of COVID-19 and the Russo-Ukrainian War” and “—Inflation.” </w:t>
      </w:r>
    </w:p>
    <w:p>
      <w:pPr>
        <w:pStyle w:val="TextBody"/>
        <w:spacing w:before="240" w:after="0"/>
        <w:jc w:val="left"/>
        <w:rPr>
          <w:rFonts w:ascii="Times New Roman" w:hAnsi="Times New Roman"/>
          <w:sz w:val="20"/>
        </w:rPr>
      </w:pPr>
      <w:r>
        <w:rPr>
          <w:rFonts w:ascii="Times New Roman" w:hAnsi="Times New Roman"/>
          <w:sz w:val="20"/>
        </w:rPr>
        <w:t xml:space="preserve">Further, fluctuations in currency rates, interest rate hikes and existing and expected rates of inflation in the U.S. and other jurisdictions, including as a result of the COVID-19 pandemic and the Russo-Ukrainian War, have resulted in extreme volatility in the global financial markets, which has increased Polestar’s cost of capital and may limit its ability to access financing when needed. Polestar may not be able to obtain additional financing on terms favorable to it, if at all. See “—Risks Related to Financing and Strategic Transactions—Polestar will require additional capital to support business growth, and this capital might not be available on commercially reasonable terms, or at all.” </w:t>
      </w:r>
    </w:p>
    <w:p>
      <w:pPr>
        <w:pStyle w:val="TextBody"/>
        <w:spacing w:before="360" w:after="0"/>
        <w:jc w:val="left"/>
        <w:rPr>
          <w:rFonts w:ascii="Times New Roman" w:hAnsi="Times New Roman"/>
          <w:b/>
          <w:i/>
          <w:sz w:val="20"/>
        </w:rPr>
      </w:pPr>
      <w:r>
        <w:rPr>
          <w:rFonts w:ascii="Times New Roman" w:hAnsi="Times New Roman"/>
          <w:b/>
          <w:i/>
          <w:sz w:val="20"/>
        </w:rPr>
        <w:t xml:space="preserve">Polestar’s facilities or operations could be and have been adversely affected by events outside of its control, such as natural disasters, wars, health epidemics, pandemics or security incidents. </w:t>
      </w:r>
    </w:p>
    <w:p>
      <w:pPr>
        <w:pStyle w:val="TextBody"/>
        <w:spacing w:before="120" w:after="0"/>
        <w:jc w:val="left"/>
        <w:rPr>
          <w:rFonts w:ascii="Times New Roman" w:hAnsi="Times New Roman"/>
          <w:sz w:val="20"/>
        </w:rPr>
      </w:pPr>
      <w:r>
        <w:rPr>
          <w:rFonts w:ascii="Times New Roman" w:hAnsi="Times New Roman"/>
          <w:sz w:val="20"/>
        </w:rPr>
        <w:t xml:space="preserve">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In addition, the COVID-19 pandemic impacted economic markets, manufacturing operations, supply chains, employment and consumer behavior in nearly every geographic region and industry across the world, and Polestar was, and may in the future be, adversely affected as a result. Furthermore, Polestar could be impacted by physical security incidents at its facilities or those of its strategic partners, which could result in significant damage to such facilities that could require Polestar or its partners to delay or discontinue production of its vehicles. Polestar may incur significant expenses or delays relating to such events outside of its control, which could have a material adverse impact on its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The conflict between Russia and Ukraine has, and is likely to continue to, generate uncertain geopolitical conditions, including sanctions that could adversely affect Polestar’s business prospects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Russia and Ukraine are not Polestar markets, and there are no plans to launch in either market in the near future. Nevertheless, the uncertain geopolitical conditions, sanctions, and other potential impacts on the global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Polestar’s suppliers, or interrupt Polestar’s ability to source products from this region. Sanctions have also created supply constraints and driven inflation that has impacted, and may continue to impact, Polestar’s operations and could create or exacerbate risks facing Polestar’s business. </w:t>
      </w:r>
    </w:p>
    <w:p>
      <w:pPr>
        <w:pStyle w:val="TextBody"/>
        <w:spacing w:before="240" w:after="0"/>
        <w:jc w:val="left"/>
        <w:rPr>
          <w:rFonts w:ascii="Times New Roman" w:hAnsi="Times New Roman"/>
          <w:sz w:val="20"/>
        </w:rPr>
      </w:pPr>
      <w:r>
        <w:rPr>
          <w:rFonts w:ascii="Times New Roman" w:hAnsi="Times New Roman"/>
          <w:sz w:val="20"/>
        </w:rPr>
        <w:t xml:space="preserve">Polestar vehicles are manufactured at facilities owned and operated by Volvo Cars. While Polestar understands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w:t>
      </w:r>
    </w:p>
    <w:p>
      <w:pPr>
        <w:pStyle w:val="TextBody"/>
        <w:spacing w:before="240" w:after="0"/>
        <w:jc w:val="left"/>
        <w:rPr>
          <w:rFonts w:ascii="Times New Roman" w:hAnsi="Times New Roman"/>
          <w:sz w:val="20"/>
        </w:rPr>
      </w:pPr>
      <w:r>
        <w:rPr>
          <w:rFonts w:ascii="Times New Roman" w:hAnsi="Times New Roman"/>
          <w:sz w:val="20"/>
        </w:rPr>
        <w:t xml:space="preserve">In the event geopolitical tensions deteriorate further or fail to abate, additional governmental sanctions may be enacted that could adversely impact the global economy, banking and monetary systems, markets, and the operations of Polestar and its suppliers. </w:t>
      </w:r>
    </w:p>
    <w:p>
      <w:pPr>
        <w:pStyle w:val="TextBody"/>
        <w:spacing w:before="360" w:after="0"/>
        <w:jc w:val="left"/>
        <w:rPr>
          <w:rFonts w:ascii="Times New Roman" w:hAnsi="Times New Roman"/>
          <w:b/>
          <w:i/>
          <w:sz w:val="20"/>
        </w:rPr>
      </w:pPr>
      <w:r>
        <w:rPr>
          <w:rFonts w:ascii="Times New Roman" w:hAnsi="Times New Roman"/>
          <w:b/>
          <w:i/>
          <w:sz w:val="20"/>
        </w:rPr>
        <w:t xml:space="preserve">If vehicle owners customize Polestar vehicles or change the charging infrastructure with aftermarket products, the vehicle may not operate properly, which may create negative publicity and could harm Polestar’s business. </w:t>
      </w:r>
    </w:p>
    <w:p>
      <w:pPr>
        <w:pStyle w:val="TextBody"/>
        <w:spacing w:before="120" w:after="0"/>
        <w:jc w:val="left"/>
        <w:rPr>
          <w:rFonts w:ascii="Times New Roman" w:hAnsi="Times New Roman"/>
          <w:sz w:val="20"/>
        </w:rPr>
      </w:pPr>
      <w:r>
        <w:rPr>
          <w:rFonts w:ascii="Times New Roman" w:hAnsi="Times New Roman"/>
          <w:sz w:val="20"/>
        </w:rPr>
        <w:t xml:space="preserve">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 </w:t>
      </w:r>
    </w:p>
    <w:p>
      <w:pPr>
        <w:pStyle w:val="TextBody"/>
        <w:spacing w:before="360" w:after="0"/>
        <w:jc w:val="left"/>
        <w:rPr>
          <w:rFonts w:ascii="Times New Roman" w:hAnsi="Times New Roman"/>
          <w:b/>
          <w:sz w:val="20"/>
        </w:rPr>
      </w:pPr>
      <w:r>
        <w:rPr>
          <w:rFonts w:ascii="Times New Roman" w:hAnsi="Times New Roman"/>
          <w:b/>
          <w:sz w:val="20"/>
        </w:rPr>
        <w:t xml:space="preserve">Risks Related to Cybersecurity and Data Privacy </w:t>
      </w:r>
    </w:p>
    <w:p>
      <w:pPr>
        <w:pStyle w:val="TextBody"/>
        <w:spacing w:before="120" w:after="0"/>
        <w:jc w:val="left"/>
        <w:rPr>
          <w:rFonts w:ascii="Times New Roman" w:hAnsi="Times New Roman"/>
          <w:b/>
          <w:i/>
          <w:sz w:val="20"/>
        </w:rPr>
      </w:pPr>
      <w:r>
        <w:rPr>
          <w:rFonts w:ascii="Times New Roman" w:hAnsi="Times New Roman"/>
          <w:b/>
          <w:i/>
          <w:sz w:val="20"/>
        </w:rPr>
        <w:t xml:space="preserve">Polestar relies on its and Volvo Cars’ IT systems and any material disruption to its or Volvo Cars’ IT systems could have a material and adverse effect on Polestar. </w:t>
      </w:r>
    </w:p>
    <w:p>
      <w:pPr>
        <w:pStyle w:val="TextBody"/>
        <w:spacing w:before="120" w:after="0"/>
        <w:jc w:val="left"/>
        <w:rPr>
          <w:rFonts w:ascii="Times New Roman" w:hAnsi="Times New Roman"/>
          <w:sz w:val="20"/>
        </w:rPr>
      </w:pPr>
      <w:r>
        <w:rPr>
          <w:rFonts w:ascii="Times New Roman" w:hAnsi="Times New Roman"/>
          <w:sz w:val="20"/>
        </w:rPr>
        <w:t xml:space="preserve">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w:t>
      </w:r>
    </w:p>
    <w:p>
      <w:pPr>
        <w:pStyle w:val="TextBody"/>
        <w:spacing w:before="240" w:after="0"/>
        <w:jc w:val="left"/>
        <w:rPr>
          <w:rFonts w:ascii="Times New Roman" w:hAnsi="Times New Roman"/>
          <w:sz w:val="20"/>
        </w:rPr>
      </w:pPr>
      <w:r>
        <w:rPr>
          <w:rFonts w:ascii="Times New Roman" w:hAnsi="Times New Roman"/>
          <w:sz w:val="20"/>
        </w:rPr>
        <w:t xml:space="preserve">As part of Volvo Cars IT incident process, Volvo Cars has over the course of 2021 and 2022 informed Polestar of incidents that could have had an impact on the operations of Polestar. While the outcomes of these incidents were determined not to have had an impact on the safety or security of Polestar’s customers or their personal data, it nonetheless highlights the risk that Polestar faces by being partly reliant on external IT systems. Should a future material IT incident at Volvo Cars occur, it could cause Polestar to suffer lengthy interruptions to its ability to operate its business, damage to Polestar’s reputation, loss of customers, loss of revenue, investigations or litigation or liability for damages, any of which could materially and adversely affect Polestar’s business, results of operations, prospects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Any unauthorized control or manipulation of Polestar’s products, digital sales tools and systems could result in loss of confidence in Polestar and its products. </w:t>
      </w:r>
    </w:p>
    <w:p>
      <w:pPr>
        <w:pStyle w:val="TextBody"/>
        <w:spacing w:before="120" w:after="0"/>
        <w:jc w:val="left"/>
        <w:rPr>
          <w:rFonts w:ascii="Times New Roman" w:hAnsi="Times New Roman"/>
          <w:sz w:val="20"/>
        </w:rPr>
      </w:pPr>
      <w:r>
        <w:rPr>
          <w:rFonts w:ascii="Times New Roman" w:hAnsi="Times New Roman"/>
          <w:sz w:val="20"/>
        </w:rPr>
        <w:t xml:space="preserve">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Notwithstanding these measures, there can be no assurance that such systems and measures will not be compromised as a result of intentional misconduct, including by employees, contractors or vendors, as well as by software bugs, human error or technical malfunctions. </w:t>
      </w:r>
    </w:p>
    <w:p>
      <w:pPr>
        <w:pStyle w:val="TextBody"/>
        <w:spacing w:before="240" w:after="0"/>
        <w:jc w:val="left"/>
        <w:rPr>
          <w:rFonts w:ascii="Times New Roman" w:hAnsi="Times New Roman"/>
          <w:sz w:val="20"/>
        </w:rPr>
      </w:pPr>
      <w:r>
        <w:rPr>
          <w:rFonts w:ascii="Times New Roman" w:hAnsi="Times New Roman"/>
          <w:sz w:val="20"/>
        </w:rPr>
        <w:t xml:space="preserve">Furthermore, hackers may in the future attempt to gain unauthorized access to, modify, alter and use Polestar’s vehicles, products, and digital sales tools and Polestar’s and its service providers’ or vendors’ systems to (i) gain control of, (ii) change the functionality, user interface and performance characteristics of or (iii) gain access to data stored in or generated by, such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or vendors use. Polestar and its service providers’ and vendors’ systems have in the past and may in the future be affected by security incidents. Polestar’s and its service providers’ and vendors’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such systems. Polestar’s and its service providers’ or vendors’ data centers could be subject to break-ins, sabotage and intentional acts of vandalism causing potential disruptions. Some of Polestar’s and its service providers’ and vendors’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 </w:t>
      </w:r>
    </w:p>
    <w:p>
      <w:pPr>
        <w:pStyle w:val="TextBody"/>
        <w:spacing w:before="240" w:after="0"/>
        <w:jc w:val="left"/>
        <w:rPr>
          <w:rFonts w:ascii="Times New Roman" w:hAnsi="Times New Roman"/>
          <w:sz w:val="20"/>
        </w:rPr>
      </w:pPr>
      <w:r>
        <w:rPr>
          <w:rFonts w:ascii="Times New Roman" w:hAnsi="Times New Roman"/>
          <w:sz w:val="20"/>
        </w:rPr>
        <w:t xml:space="preserve">If Polestar is unable to protect its products, digital sales tools and its service providers’ and vendors’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or data or Polestar’s or its service providers’ and vendors’ systems, as well as other factors that may result in the perception that such vehicles, systems or data are capable of being “hacked,” could negatively affect Polestar’s brand. In addition, some members of the U.S. federal government, including certain members of Congress and 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regulations governing connected vehicle cybersecurity, which became effective in January 2021 and apply in the European Union to all new vehicle types beginning in July 2022 and will become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regulations or other future regulations are inconsistent with Polestar’s approach to automotive cybersecurity, Polestar would be required to modify its systems (or cause its service providers and vendors to modify their systems) to comply with such regulations, which would impose additional costs and delays and could expose Polestar to potential liability to the extent its automotive cybersecurity systems and practices are inconsistent with such regulation. </w:t>
      </w:r>
    </w:p>
    <w:p>
      <w:pPr>
        <w:pStyle w:val="TextBody"/>
        <w:spacing w:before="240" w:after="0"/>
        <w:jc w:val="left"/>
        <w:rPr>
          <w:rFonts w:ascii="Times New Roman" w:hAnsi="Times New Roman"/>
          <w:sz w:val="20"/>
        </w:rPr>
      </w:pPr>
      <w:r>
        <w:rPr>
          <w:rFonts w:ascii="Times New Roman" w:hAnsi="Times New Roman"/>
          <w:sz w:val="20"/>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service providers’ and vendors’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pStyle w:val="TextBody"/>
        <w:spacing w:before="360" w:after="0"/>
        <w:jc w:val="left"/>
        <w:rPr>
          <w:rFonts w:ascii="Times New Roman" w:hAnsi="Times New Roman"/>
          <w:b/>
          <w:i/>
          <w:sz w:val="20"/>
        </w:rPr>
      </w:pPr>
      <w:r>
        <w:rPr>
          <w:rFonts w:ascii="Times New Roman" w:hAnsi="Times New Roman"/>
          <w:b/>
          <w:i/>
          <w:sz w:val="20"/>
        </w:rPr>
        <w:t xml:space="preserve">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w:t>
      </w:r>
    </w:p>
    <w:p>
      <w:pPr>
        <w:pStyle w:val="TextBody"/>
        <w:spacing w:before="120" w:after="0"/>
        <w:jc w:val="left"/>
        <w:rPr>
          <w:rFonts w:ascii="Times New Roman" w:hAnsi="Times New Roman"/>
          <w:sz w:val="20"/>
        </w:rPr>
      </w:pPr>
      <w:r>
        <w:rPr>
          <w:rFonts w:ascii="Times New Roman" w:hAnsi="Times New Roman"/>
          <w:sz w:val="20"/>
        </w:rPr>
        <w:t xml:space="preserve">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 </w:t>
      </w:r>
    </w:p>
    <w:p>
      <w:pPr>
        <w:pStyle w:val="TextBody"/>
        <w:spacing w:before="240" w:after="0"/>
        <w:jc w:val="left"/>
        <w:rPr>
          <w:rFonts w:ascii="Times New Roman" w:hAnsi="Times New Roman"/>
          <w:sz w:val="20"/>
        </w:rPr>
      </w:pPr>
      <w:r>
        <w:rPr>
          <w:rFonts w:ascii="Times New Roman" w:hAnsi="Times New Roman"/>
          <w:sz w:val="20"/>
        </w:rPr>
        <w:t xml:space="preserve">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w:t>
      </w:r>
    </w:p>
    <w:p>
      <w:pPr>
        <w:pStyle w:val="TextBody"/>
        <w:spacing w:before="360" w:after="0"/>
        <w:jc w:val="left"/>
        <w:rPr>
          <w:rFonts w:ascii="Times New Roman" w:hAnsi="Times New Roman"/>
          <w:b/>
          <w:i/>
          <w:sz w:val="20"/>
        </w:rPr>
      </w:pPr>
      <w:r>
        <w:rPr>
          <w:rFonts w:ascii="Times New Roman" w:hAnsi="Times New Roman"/>
          <w:b/>
          <w:i/>
          <w:sz w:val="20"/>
        </w:rPr>
        <w:t xml:space="preserve">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 </w:t>
      </w:r>
    </w:p>
    <w:p>
      <w:pPr>
        <w:pStyle w:val="TextBody"/>
        <w:spacing w:before="120" w:after="0"/>
        <w:jc w:val="left"/>
        <w:rPr>
          <w:rFonts w:ascii="Times New Roman" w:hAnsi="Times New Roman"/>
          <w:sz w:val="20"/>
        </w:rPr>
      </w:pPr>
      <w:r>
        <w:rPr>
          <w:rFonts w:ascii="Times New Roman" w:hAnsi="Times New Roman"/>
          <w:sz w:val="20"/>
        </w:rPr>
        <w:t xml:space="preserve">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as a result of the withdrawal of the United Kingdom from the European Union on January 31, 2020 the United Kingdom now has its own data privacy regime comprised of the United Kingdom General Data Protection Regulation and Data Protection Act 2018 (collectively, the “</w:t>
      </w:r>
      <w:r>
        <w:rPr>
          <w:rFonts w:ascii="Times New Roman" w:hAnsi="Times New Roman"/>
          <w:i/>
          <w:sz w:val="20"/>
        </w:rPr>
        <w:t xml:space="preserve">UK GDPR”) </w:t>
      </w:r>
      <w:r>
        <w:rPr>
          <w:rFonts w:ascii="Times New Roman" w:hAnsi="Times New Roman"/>
          <w:sz w:val="20"/>
        </w:rPr>
        <w:t xml:space="preserve">(the GDPR and UK GDPR together referred to as the “GDPR”)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 </w:t>
      </w:r>
    </w:p>
    <w:p>
      <w:pPr>
        <w:pStyle w:val="TextBody"/>
        <w:spacing w:before="240" w:after="0"/>
        <w:jc w:val="left"/>
        <w:rPr>
          <w:rFonts w:ascii="Times New Roman" w:hAnsi="Times New Roman"/>
          <w:sz w:val="20"/>
        </w:rPr>
      </w:pPr>
      <w:r>
        <w:rPr>
          <w:rFonts w:ascii="Times New Roman" w:hAnsi="Times New Roman"/>
          <w:sz w:val="20"/>
        </w:rPr>
        <w:t xml:space="preserve">The GDPR imposes comprehensive data privacy compliance obligations in relation to Polestar’s collection, processing, sharing, disclosure, transfer and other use of personal information, including a principle of accountability and the obligation to demonstrate compliance through policies, procedures, training and audit. The GDPR also regulates cross-border transfers of personal information out of the EEA and the UK. Recent legal developments in Europe have created complexity and uncertainty regarding such transfers, in particular in relation to transfers to the United States, and recent European court and regulatory decisions have taken a restrictive approach. Polestar currently relies on the standard contractual clauses and definition of supplementary measures, where applicable and available, or derogations, to transfer personal information outside the EEA and the UK, with respect to both intragroup and third party transfers. As the enforcement landscape further develops, and supervisory authorities issue further guidance on international data transfers, Polestar could suffer additional costs, complaints and/or regulatory investigations or fines; Polestar may have to stop using certain tools and vendors and make other operational changes; and/or it could otherwise affect the manner in which Polestar provides its services, and could adversely affect Polestar’s business,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Since Polestar is subject to the supervision of relevant data protection authorities under both the GDPR and the UK GDPR, Polestar could be fined under each of those regimes independently in respect of the same breach. Penalties for certain breaches are up to the greater of EUR 20 million/GBP 17.5 million or 4% of Polestar’s global annual turnover. In addition to fines, a breach of the GDPR may result in regulatory investigations, reputational damage, orders to cease/change Polestar’s data processing activities, enforcement notices, assessment notices (for a compulsory audit) and/ or civil claims (including class actions). </w:t>
      </w:r>
    </w:p>
    <w:p>
      <w:pPr>
        <w:pStyle w:val="TextBody"/>
        <w:spacing w:before="240" w:after="0"/>
        <w:jc w:val="left"/>
        <w:rPr>
          <w:rFonts w:ascii="Times New Roman" w:hAnsi="Times New Roman"/>
          <w:sz w:val="20"/>
        </w:rPr>
      </w:pPr>
      <w:r>
        <w:rPr>
          <w:rFonts w:ascii="Times New Roman" w:hAnsi="Times New Roman"/>
          <w:sz w:val="20"/>
        </w:rPr>
        <w:t xml:space="preserve">Polestar is also subject to evolving EU and UK privacy laws. Recent European court and regulator decisions are driving increased attention to cookies and tracking technologies. In light of the complex and evolving nature of EU, EU Member State and UK privacy laws in this area, there can be no assurances that Polestar will be successful in its efforts to comply with such laws; violations of such laws could result in regulatory investigations, fines, orders to cease/ change Polestar’s use of such technologies, as well as civil claims including class actions, and reputational damage. </w:t>
      </w:r>
    </w:p>
    <w:p>
      <w:pPr>
        <w:pStyle w:val="TextBody"/>
        <w:spacing w:before="240" w:after="0"/>
        <w:jc w:val="left"/>
        <w:rPr>
          <w:rFonts w:ascii="Times New Roman" w:hAnsi="Times New Roman"/>
          <w:sz w:val="20"/>
        </w:rPr>
      </w:pPr>
      <w:r>
        <w:rPr>
          <w:rFonts w:ascii="Times New Roman" w:hAnsi="Times New Roman"/>
          <w:sz w:val="20"/>
        </w:rPr>
        <w:t xml:space="preserve">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 </w:t>
      </w:r>
    </w:p>
    <w:p>
      <w:pPr>
        <w:pStyle w:val="TextBody"/>
        <w:spacing w:before="240" w:after="0"/>
        <w:jc w:val="left"/>
        <w:rPr>
          <w:rFonts w:ascii="Times New Roman" w:hAnsi="Times New Roman"/>
          <w:sz w:val="20"/>
        </w:rPr>
      </w:pPr>
      <w:r>
        <w:rPr>
          <w:rFonts w:ascii="Times New Roman" w:hAnsi="Times New Roman"/>
          <w:sz w:val="20"/>
        </w:rPr>
        <w:t xml:space="preserve">Additionally, effective in most respects on January 1, 2023, the California Privacy Rights Act (“CPRA”) has significantly modified the CCPA, including by expanding California residents’ rights with respect to certain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sensitive personal information. The CPRA also creates a new state agency that will be vested with authority to implement and enforce the CCPA and the CPRA. Other US states have implemented or are implementing comprehensive privacy statutes that share similarities with the CCPA. For example, such laws have been enacted in Virginia, Colorado, Connecticut and Utah, and come into force in 2023. Additionally, Polestar may be subject to certain laws and regulations, e.g., “Right to Repair” laws, that require Polestar to provide third-party access to its network and/or vehicle systems. </w:t>
      </w:r>
    </w:p>
    <w:p>
      <w:pPr>
        <w:pStyle w:val="TextBody"/>
        <w:spacing w:before="240" w:after="0"/>
        <w:jc w:val="left"/>
        <w:rPr>
          <w:rFonts w:ascii="Times New Roman" w:hAnsi="Times New Roman"/>
          <w:sz w:val="20"/>
        </w:rPr>
      </w:pPr>
      <w:r>
        <w:rPr>
          <w:rFonts w:ascii="Times New Roman" w:hAnsi="Times New Roman"/>
          <w:sz w:val="20"/>
        </w:rPr>
        <w:t xml:space="preserve">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 </w:t>
      </w:r>
    </w:p>
    <w:p>
      <w:pPr>
        <w:pStyle w:val="TextBody"/>
        <w:spacing w:before="240" w:after="0"/>
        <w:jc w:val="left"/>
        <w:rPr>
          <w:rFonts w:ascii="Times New Roman" w:hAnsi="Times New Roman"/>
          <w:sz w:val="20"/>
        </w:rPr>
      </w:pPr>
      <w:r>
        <w:rPr>
          <w:rFonts w:ascii="Times New Roman" w:hAnsi="Times New Roman"/>
          <w:sz w:val="20"/>
        </w:rPr>
        <w:t xml:space="preserve">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prospectus.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If Polestar would be subject to such review and be found to be non-compliant with applicable data protection laws, Polestar may face administrative fines up to CNY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operations and financial position as well as on its possibilities to carry out business in China. </w:t>
      </w:r>
    </w:p>
    <w:p>
      <w:pPr>
        <w:pStyle w:val="TextBody"/>
        <w:spacing w:before="240" w:after="0"/>
        <w:jc w:val="left"/>
        <w:rPr>
          <w:rFonts w:ascii="Times New Roman" w:hAnsi="Times New Roman"/>
          <w:sz w:val="20"/>
        </w:rPr>
      </w:pPr>
      <w:r>
        <w:rPr>
          <w:rFonts w:ascii="Times New Roman" w:hAnsi="Times New Roman"/>
          <w:sz w:val="20"/>
        </w:rPr>
        <w:t xml:space="preserve">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international, local, state and federal action if they are found to be deceptive, unfair or misrepresentative of Polestar’s actual practices. Claims that Polestar has violated individuals’ privacy rights or failed to comply with data protection laws, regulations or applicable privacy notices could, even if Polestar is not found liable, be expensive and time-consuming to defend and could result in adverse publicity that could harm its business. </w:t>
      </w:r>
    </w:p>
    <w:p>
      <w:pPr>
        <w:pStyle w:val="TextBody"/>
        <w:spacing w:before="240" w:after="0"/>
        <w:jc w:val="left"/>
        <w:rPr>
          <w:rFonts w:ascii="Times New Roman" w:hAnsi="Times New Roman"/>
          <w:sz w:val="20"/>
        </w:rPr>
      </w:pPr>
      <w:r>
        <w:rPr>
          <w:rFonts w:ascii="Times New Roman" w:hAnsi="Times New Roman"/>
          <w:sz w:val="20"/>
        </w:rPr>
        <w:t xml:space="preserve">Most jurisdictions have enacted laws or regulations requiring companies to notify individuals, regulatory authorities and other third parties of security breaches involving certain types of data. Such laws or regulations may be inconsistent or may change or additional laws or regulations may be adopted. In addition, Polestar’s agreements with certain customers may require it to notify them in the event of a security breach.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 </w:t>
      </w:r>
    </w:p>
    <w:p>
      <w:pPr>
        <w:pStyle w:val="TextBody"/>
        <w:spacing w:before="360" w:after="0"/>
        <w:jc w:val="left"/>
        <w:rPr>
          <w:rFonts w:ascii="Times New Roman" w:hAnsi="Times New Roman"/>
          <w:b/>
          <w:sz w:val="20"/>
        </w:rPr>
      </w:pPr>
      <w:r>
        <w:rPr>
          <w:rFonts w:ascii="Times New Roman" w:hAnsi="Times New Roman"/>
          <w:b/>
          <w:sz w:val="20"/>
        </w:rPr>
        <w:t xml:space="preserve">Risks Related to Polestar’s Employees and Human Resources </w:t>
      </w:r>
    </w:p>
    <w:p>
      <w:pPr>
        <w:pStyle w:val="TextBody"/>
        <w:spacing w:before="120" w:after="0"/>
        <w:jc w:val="left"/>
        <w:rPr>
          <w:rFonts w:ascii="Times New Roman" w:hAnsi="Times New Roman"/>
          <w:b/>
          <w:i/>
          <w:sz w:val="20"/>
        </w:rPr>
      </w:pPr>
      <w:r>
        <w:rPr>
          <w:rFonts w:ascii="Times New Roman" w:hAnsi="Times New Roman"/>
          <w:b/>
          <w:i/>
          <w:sz w:val="20"/>
        </w:rPr>
        <w:t xml:space="preserve">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 </w:t>
      </w:r>
    </w:p>
    <w:p>
      <w:pPr>
        <w:pStyle w:val="TextBody"/>
        <w:spacing w:before="120" w:after="0"/>
        <w:jc w:val="left"/>
        <w:rPr>
          <w:rFonts w:ascii="Times New Roman" w:hAnsi="Times New Roman"/>
          <w:sz w:val="20"/>
        </w:rPr>
      </w:pPr>
      <w:r>
        <w:rPr>
          <w:rFonts w:ascii="Times New Roman" w:hAnsi="Times New Roman"/>
          <w:sz w:val="20"/>
        </w:rPr>
        <w:t xml:space="preserve">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 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w:t>
      </w:r>
    </w:p>
    <w:p>
      <w:pPr>
        <w:pStyle w:val="TextBody"/>
        <w:spacing w:before="240" w:after="0"/>
        <w:jc w:val="left"/>
        <w:rPr>
          <w:rFonts w:ascii="Times New Roman" w:hAnsi="Times New Roman"/>
          <w:sz w:val="20"/>
        </w:rPr>
      </w:pPr>
      <w:r>
        <w:rPr>
          <w:rFonts w:ascii="Times New Roman" w:hAnsi="Times New Roman"/>
          <w:sz w:val="20"/>
        </w:rPr>
        <w:t xml:space="preserve">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manufacturing partners will need to hire and train a significant number of employees to engage in full-scale operational and commercial operations, and Polestar’s business could be adversely affected by labor and union activities. </w:t>
      </w:r>
    </w:p>
    <w:p>
      <w:pPr>
        <w:pStyle w:val="TextBody"/>
        <w:spacing w:before="120" w:after="0"/>
        <w:jc w:val="left"/>
        <w:rPr>
          <w:rFonts w:ascii="Times New Roman" w:hAnsi="Times New Roman"/>
          <w:sz w:val="20"/>
        </w:rPr>
      </w:pPr>
      <w:r>
        <w:rPr>
          <w:rFonts w:ascii="Times New Roman" w:hAnsi="Times New Roman"/>
          <w:sz w:val="20"/>
        </w:rPr>
        <w:t xml:space="preserve">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 </w:t>
      </w:r>
    </w:p>
    <w:p>
      <w:pPr>
        <w:pStyle w:val="TextBody"/>
        <w:spacing w:before="240" w:after="0"/>
        <w:jc w:val="left"/>
        <w:rPr>
          <w:rFonts w:ascii="Times New Roman" w:hAnsi="Times New Roman"/>
          <w:sz w:val="20"/>
        </w:rPr>
      </w:pPr>
      <w:r>
        <w:rPr>
          <w:rFonts w:ascii="Times New Roman" w:hAnsi="Times New Roman"/>
          <w:sz w:val="20"/>
        </w:rPr>
        <w:t xml:space="preserve">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51% of Polestar’s workforce is covered by collective bargaining agreements. Polestar has collective agreements in Austria, Belgium, Finland, Italy, the Netherlands, Portugal, Spain and Sweden. Labor unions or labor organizations could also seek to organize some or all of Polestar’s non-unionized workforce. Future negotiations with the union or other certified bargaining representatives could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Misconduct by Polestar’s employees and independent contractors during and before their employment with Polestar could expose Polestar to potentially significant legal liabilities, reputational harm and/or other damages to its business. </w:t>
      </w:r>
    </w:p>
    <w:p>
      <w:pPr>
        <w:pStyle w:val="TextBody"/>
        <w:spacing w:before="120" w:after="0"/>
        <w:jc w:val="left"/>
        <w:rPr>
          <w:rFonts w:ascii="Times New Roman" w:hAnsi="Times New Roman"/>
          <w:sz w:val="20"/>
        </w:rPr>
      </w:pPr>
      <w:r>
        <w:rPr>
          <w:rFonts w:ascii="Times New Roman" w:hAnsi="Times New Roman"/>
          <w:sz w:val="20"/>
        </w:rPr>
        <w:t xml:space="preserve">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a code of conduct for all of its employees and implemented policies relating to intellectual property, confidentiality and the protection of company assets, Polestar cannot assure you that its employees will always abide by the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 </w:t>
      </w:r>
    </w:p>
    <w:p>
      <w:pPr>
        <w:pStyle w:val="TextBody"/>
        <w:spacing w:before="240" w:after="0"/>
        <w:jc w:val="left"/>
        <w:rPr>
          <w:rFonts w:ascii="Times New Roman" w:hAnsi="Times New Roman"/>
          <w:sz w:val="20"/>
        </w:rPr>
      </w:pPr>
      <w:r>
        <w:rPr>
          <w:rFonts w:ascii="Times New Roman" w:hAnsi="Times New Roman"/>
          <w:sz w:val="20"/>
        </w:rPr>
        <w:t xml:space="preserve">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 </w:t>
      </w:r>
    </w:p>
    <w:p>
      <w:pPr>
        <w:pStyle w:val="TextBody"/>
        <w:spacing w:before="240" w:after="0"/>
        <w:jc w:val="left"/>
        <w:rPr>
          <w:rFonts w:ascii="Times New Roman" w:hAnsi="Times New Roman"/>
          <w:sz w:val="20"/>
        </w:rPr>
      </w:pPr>
      <w:r>
        <w:rPr>
          <w:rFonts w:ascii="Times New Roman" w:hAnsi="Times New Roman"/>
          <w:sz w:val="20"/>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Litigation and Regulation </w:t>
      </w:r>
    </w:p>
    <w:p>
      <w:pPr>
        <w:pStyle w:val="TextBody"/>
        <w:spacing w:before="120" w:after="0"/>
        <w:jc w:val="left"/>
        <w:rPr>
          <w:rFonts w:ascii="Times New Roman" w:hAnsi="Times New Roman"/>
          <w:b/>
          <w:i/>
          <w:sz w:val="20"/>
        </w:rPr>
      </w:pPr>
      <w:r>
        <w:rPr>
          <w:rFonts w:ascii="Times New Roman" w:hAnsi="Times New Roman"/>
          <w:b/>
          <w:i/>
          <w:sz w:val="20"/>
        </w:rPr>
        <w:t xml:space="preserve">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 </w:t>
      </w:r>
    </w:p>
    <w:p>
      <w:pPr>
        <w:pStyle w:val="TextBody"/>
        <w:spacing w:before="240" w:after="0"/>
        <w:jc w:val="left"/>
        <w:rPr>
          <w:rFonts w:ascii="Times New Roman" w:hAnsi="Times New Roman"/>
          <w:sz w:val="20"/>
        </w:rPr>
      </w:pPr>
      <w:r>
        <w:rPr>
          <w:rFonts w:ascii="Times New Roman" w:hAnsi="Times New Roman"/>
          <w:sz w:val="20"/>
        </w:rPr>
        <w:t xml:space="preserve">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 </w:t>
      </w:r>
    </w:p>
    <w:p>
      <w:pPr>
        <w:pStyle w:val="TextBody"/>
        <w:spacing w:before="240" w:after="0"/>
        <w:jc w:val="left"/>
        <w:rPr>
          <w:rFonts w:ascii="Times New Roman" w:hAnsi="Times New Roman"/>
          <w:sz w:val="20"/>
        </w:rPr>
      </w:pPr>
      <w:r>
        <w:rPr>
          <w:rFonts w:ascii="Times New Roman" w:hAnsi="Times New Roman"/>
          <w:sz w:val="20"/>
        </w:rPr>
        <w:t xml:space="preserve">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 may face regulatory limitations on its ability to sell vehicles directly, which require Polestar to implement alternative consumer approaches through dealers or importers. </w:t>
      </w:r>
    </w:p>
    <w:p>
      <w:pPr>
        <w:pStyle w:val="TextBody"/>
        <w:spacing w:before="120" w:after="0"/>
        <w:jc w:val="left"/>
        <w:rPr>
          <w:rFonts w:ascii="Times New Roman" w:hAnsi="Times New Roman"/>
          <w:sz w:val="20"/>
        </w:rPr>
      </w:pPr>
      <w:r>
        <w:rPr>
          <w:rFonts w:ascii="Times New Roman" w:hAnsi="Times New Roman"/>
          <w:sz w:val="20"/>
        </w:rPr>
        <w:t xml:space="preserve">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 </w:t>
      </w:r>
    </w:p>
    <w:p>
      <w:pPr>
        <w:pStyle w:val="TextBody"/>
        <w:spacing w:before="240" w:after="0"/>
        <w:jc w:val="left"/>
        <w:rPr>
          <w:rFonts w:ascii="Times New Roman" w:hAnsi="Times New Roman"/>
          <w:sz w:val="20"/>
        </w:rPr>
      </w:pPr>
      <w:r>
        <w:rPr>
          <w:rFonts w:ascii="Times New Roman" w:hAnsi="Times New Roman"/>
          <w:sz w:val="20"/>
        </w:rPr>
        <w:t xml:space="preserve">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 </w:t>
      </w:r>
    </w:p>
    <w:p>
      <w:pPr>
        <w:pStyle w:val="TextBody"/>
        <w:spacing w:before="360" w:after="0"/>
        <w:jc w:val="left"/>
        <w:rPr>
          <w:rFonts w:ascii="Times New Roman" w:hAnsi="Times New Roman"/>
          <w:b/>
          <w:i/>
          <w:sz w:val="20"/>
        </w:rPr>
      </w:pPr>
      <w:r>
        <w:rPr>
          <w:rFonts w:ascii="Times New Roman" w:hAnsi="Times New Roman"/>
          <w:b/>
          <w:i/>
          <w:sz w:val="20"/>
        </w:rPr>
        <w:t xml:space="preserve">Polestar has undertaken, and in the future may choose to or be compelled to undertake, product recalls or to take other actions that could result in litigation and adversely affect its business, prospects, results of operations, reputation and financial condition. </w:t>
      </w:r>
    </w:p>
    <w:p>
      <w:pPr>
        <w:pStyle w:val="TextBody"/>
        <w:spacing w:before="120" w:after="0"/>
        <w:jc w:val="left"/>
        <w:rPr>
          <w:rFonts w:ascii="Times New Roman" w:hAnsi="Times New Roman"/>
          <w:sz w:val="20"/>
        </w:rPr>
      </w:pPr>
      <w:r>
        <w:rPr>
          <w:rFonts w:ascii="Times New Roman" w:hAnsi="Times New Roman"/>
          <w:sz w:val="20"/>
        </w:rPr>
        <w:t xml:space="preserve">As of the date of this prospectus, Polestar has issued a number of recalls of its vehicles and expects more will be issued in the future. Examples of some of these recalls were due to (i) a risk of certain high voltage battery cells overheating when the battery is fully charged, which could lead to a thermal event inside the battery, increasing the risk of fire, (ii) the mal-production of seatbelts which could result in the early activation of the locking feature used to tightly secure a child restraint system, (iii) the too high adjustment of headlamps which could result in excessive glare for oncoming traffic, (iv) a software error causing an internal reset in the Battery Energy Control Module, resulting in the control unit opening the high voltage connectors during driving (which caused two recalls), (v) a supplier design issue known as “tin whiskers,” which caused a short circuit inside the front and rear inverters, (vi) an error resulting in displayed velocity of the vehicle being lower than the actual velocity, and (vii) an incorrect message shown on display when the vehicle is placed in reverse mode.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may in the future be subject to legal proceedings, regulatory disputes and governmental inquiries that could cause it to incur significant expenses, divert its management’s attention and materially harm its business, results of operations, cash flows and financial condition. </w:t>
      </w:r>
    </w:p>
    <w:p>
      <w:pPr>
        <w:pStyle w:val="TextBody"/>
        <w:spacing w:before="120" w:after="0"/>
        <w:jc w:val="left"/>
        <w:rPr>
          <w:rFonts w:ascii="Times New Roman" w:hAnsi="Times New Roman"/>
          <w:sz w:val="20"/>
        </w:rPr>
      </w:pPr>
      <w:r>
        <w:rPr>
          <w:rFonts w:ascii="Times New Roman" w:hAnsi="Times New Roman"/>
          <w:sz w:val="20"/>
        </w:rPr>
        <w:t xml:space="preserve">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w:t>
      </w:r>
    </w:p>
    <w:p>
      <w:pPr>
        <w:pStyle w:val="TextBody"/>
        <w:spacing w:before="240" w:after="0"/>
        <w:jc w:val="left"/>
        <w:rPr>
          <w:rFonts w:ascii="Times New Roman" w:hAnsi="Times New Roman"/>
          <w:sz w:val="20"/>
        </w:rPr>
      </w:pPr>
      <w:r>
        <w:rPr>
          <w:rFonts w:ascii="Times New Roman" w:hAnsi="Times New Roman"/>
          <w:sz w:val="20"/>
        </w:rPr>
        <w:t xml:space="preserve">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 </w:t>
      </w:r>
    </w:p>
    <w:p>
      <w:pPr>
        <w:pStyle w:val="TextBody"/>
        <w:spacing w:before="240" w:after="0"/>
        <w:jc w:val="left"/>
        <w:rPr>
          <w:rFonts w:ascii="Times New Roman" w:hAnsi="Times New Roman"/>
          <w:sz w:val="20"/>
        </w:rPr>
      </w:pPr>
      <w:r>
        <w:rPr>
          <w:rFonts w:ascii="Times New Roman" w:hAnsi="Times New Roman"/>
          <w:sz w:val="20"/>
        </w:rPr>
        <w:t xml:space="preserve">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become subject to product liability claims, which could harm its financial condition and liquidity if it is not able to successfully defend or insure against such claims. </w:t>
      </w:r>
    </w:p>
    <w:p>
      <w:pPr>
        <w:pStyle w:val="TextBody"/>
        <w:spacing w:before="120" w:after="0"/>
        <w:jc w:val="left"/>
        <w:rPr>
          <w:rFonts w:ascii="Times New Roman" w:hAnsi="Times New Roman"/>
          <w:sz w:val="20"/>
        </w:rPr>
      </w:pPr>
      <w:r>
        <w:rPr>
          <w:rFonts w:ascii="Times New Roman" w:hAnsi="Times New Roman"/>
          <w:sz w:val="20"/>
        </w:rPr>
        <w:t xml:space="preserve">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“—Risks Related to Polestar’s Business and Industry—Polestar’s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 </w:t>
      </w:r>
    </w:p>
    <w:p>
      <w:pPr>
        <w:pStyle w:val="TextBody"/>
        <w:spacing w:before="240" w:after="0"/>
        <w:jc w:val="left"/>
        <w:rPr>
          <w:rFonts w:ascii="Times New Roman" w:hAnsi="Times New Roman"/>
          <w:sz w:val="20"/>
        </w:rPr>
      </w:pPr>
      <w:r>
        <w:rPr>
          <w:rFonts w:ascii="Times New Roman" w:hAnsi="Times New Roman"/>
          <w:sz w:val="20"/>
        </w:rPr>
        <w:t xml:space="preserve">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Polestar’s manufacturing partners may be exposed to delays, limitations and risks related to the environmental permits and other operating permits required to operate manufacturing facilities for its vehicles. </w:t>
      </w:r>
    </w:p>
    <w:p>
      <w:pPr>
        <w:pStyle w:val="TextBody"/>
        <w:spacing w:before="120" w:after="0"/>
        <w:jc w:val="left"/>
        <w:rPr>
          <w:rFonts w:ascii="Times New Roman" w:hAnsi="Times New Roman"/>
          <w:sz w:val="20"/>
        </w:rPr>
      </w:pPr>
      <w:r>
        <w:rPr>
          <w:rFonts w:ascii="Times New Roman" w:hAnsi="Times New Roman"/>
          <w:sz w:val="20"/>
        </w:rPr>
        <w:t xml:space="preserve">Operation of an automobile manufacturing facility requires land use and environmental permits and other operating permits from federal, state and local government entities. Polestar plans to expand its manufacturing capacities by entering into additional agreements with its manufacturing partners over time to achieve a future 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 </w:t>
      </w:r>
    </w:p>
    <w:p>
      <w:pPr>
        <w:pStyle w:val="TextBody"/>
        <w:spacing w:before="360" w:after="0"/>
        <w:jc w:val="left"/>
        <w:rPr>
          <w:rFonts w:ascii="Times New Roman" w:hAnsi="Times New Roman"/>
          <w:b/>
          <w:i/>
          <w:sz w:val="20"/>
        </w:rPr>
      </w:pPr>
      <w:r>
        <w:rPr>
          <w:rFonts w:ascii="Times New Roman" w:hAnsi="Times New Roman"/>
          <w:b/>
          <w:i/>
          <w:sz w:val="20"/>
        </w:rPr>
        <w:t xml:space="preserve">Polestar and its manufacturing partners are and will be subject to various environmental, health and safety laws and regulations that could impose substantial costs on it and cause delays in expanding its production capabilities. </w:t>
      </w:r>
    </w:p>
    <w:p>
      <w:pPr>
        <w:pStyle w:val="TextBody"/>
        <w:spacing w:before="120" w:after="0"/>
        <w:jc w:val="left"/>
        <w:rPr>
          <w:rFonts w:ascii="Times New Roman" w:hAnsi="Times New Roman"/>
          <w:sz w:val="20"/>
        </w:rPr>
      </w:pPr>
      <w:r>
        <w:rPr>
          <w:rFonts w:ascii="Times New Roman" w:hAnsi="Times New Roman"/>
          <w:sz w:val="20"/>
        </w:rPr>
        <w:t xml:space="preserve">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 any of which could adversely affect Polestar’s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is planning to introduce ADAS/AD technology, which is subject to uncertain and evolving regulations. </w:t>
      </w:r>
    </w:p>
    <w:p>
      <w:pPr>
        <w:pStyle w:val="TextBody"/>
        <w:spacing w:before="120" w:after="0"/>
        <w:jc w:val="left"/>
        <w:rPr>
          <w:rFonts w:ascii="Times New Roman" w:hAnsi="Times New Roman"/>
          <w:sz w:val="20"/>
        </w:rPr>
      </w:pPr>
      <w:r>
        <w:rPr>
          <w:rFonts w:ascii="Times New Roman" w:hAnsi="Times New Roman"/>
          <w:sz w:val="20"/>
        </w:rPr>
        <w:t xml:space="preserve">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harm its competitive position, which could adversely affect Polestar’s business, prospects, results of operations and financial condition.</w:t>
      </w:r>
    </w:p>
    <w:p>
      <w:pPr>
        <w:pStyle w:val="TextBody"/>
        <w:spacing w:before="360" w:after="0"/>
        <w:jc w:val="left"/>
        <w:rPr>
          <w:rFonts w:ascii="Times New Roman" w:hAnsi="Times New Roman"/>
          <w:b/>
          <w:i/>
          <w:sz w:val="20"/>
        </w:rPr>
      </w:pPr>
      <w:r>
        <w:rPr>
          <w:rFonts w:ascii="Times New Roman" w:hAnsi="Times New Roman"/>
          <w:b/>
          <w:i/>
          <w:sz w:val="20"/>
        </w:rPr>
        <w:t xml:space="preserve">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 </w:t>
      </w:r>
    </w:p>
    <w:p>
      <w:pPr>
        <w:pStyle w:val="TextBody"/>
        <w:spacing w:before="120" w:after="0"/>
        <w:jc w:val="left"/>
        <w:rPr>
          <w:rFonts w:ascii="Times New Roman" w:hAnsi="Times New Roman"/>
          <w:sz w:val="20"/>
        </w:rPr>
      </w:pPr>
      <w:r>
        <w:rPr>
          <w:rFonts w:ascii="Times New Roman" w:hAnsi="Times New Roman"/>
          <w:sz w:val="20"/>
        </w:rPr>
        <w:t xml:space="preserve">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among other things,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These laws and regulations apply worldwide. The FCPA also requires companies to make and keep books, records and accounts that accurately reflect transactions and dispositions of assets and to maintain a system of adequate internal accounting controls. Similarly, it is a defense under section 7 of the Bribery Act if a company has implemented “adequate procedures” designed to ensure compliance with the provisions of the Bribery Act. A violation of these laws or regulations could adversely affect Polestar’s business, reputation,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 </w:t>
      </w:r>
    </w:p>
    <w:p>
      <w:pPr>
        <w:pStyle w:val="TextBody"/>
        <w:spacing w:before="240" w:after="0"/>
        <w:jc w:val="left"/>
        <w:rPr>
          <w:rFonts w:ascii="Times New Roman" w:hAnsi="Times New Roman"/>
          <w:sz w:val="20"/>
        </w:rPr>
      </w:pPr>
      <w:r>
        <w:rPr>
          <w:rFonts w:ascii="Times New Roman" w:hAnsi="Times New Roman"/>
          <w:sz w:val="20"/>
        </w:rPr>
        <w:t xml:space="preserve">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unavailability, reduction, elimination or the conditionality of certain government and economic programs could have a material and adverse effect on Polestar’s business, prospects,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recent U.S. legislative efforts, including the Inflation Reduction Act of 2022 (“IRA”</w:t>
      </w:r>
      <w:r>
        <w:rPr>
          <w:rFonts w:ascii="Times New Roman" w:hAnsi="Times New Roman"/>
          <w:i/>
          <w:sz w:val="20"/>
        </w:rPr>
        <w:t>)</w:t>
      </w:r>
      <w:r>
        <w:rPr>
          <w:rFonts w:ascii="Times New Roman" w:hAnsi="Times New Roman"/>
          <w:sz w:val="20"/>
        </w:rPr>
        <w:t xml:space="preserve">, may reduce or eliminate federal tax incentives available for purchasers of Polestar vehicles, thereby diminishing the competitiveness of Polestar in the U.S. market. Further, any uncertainty or delay in collection of the government subsidies may also have an adverse impact on Polestar’s financial condition. In addition, Polestar may not be able to obtain or agree on acceptable terms and conditions for all or a significant portion of the government grants, loans and other incentives for which it may apply. Any of the foregoing could materially and adversely affect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IRA, which was enacted into law on August 16, 2022, modifies the tax credit taxpayers are eligible to claim pursuant to Section 30D of the Code (the “30D tax credit”) for electric vehicle purchases on or after January 1, 2023 until December 31, 2032. The IRA placed certain restrictions on both taxpayers eligible to claim such credit via maximum income restrictions and the type of electric vehicles for which the credit may be claimed. Electric vehicles eligible for the 30D tax credit must, among other requirements, (i) be priced below $55,000 (or $80,000 in the case of vans, sport utility vehicles and pickup trucks), (ii) finally assembled in North America and (iii) meet certain assembly and sourcing requirements for both the vehicle itself and the battery, including final assembly of the vehicle and sourcing of a percentage of battery components in North America. Although the IRS is continuing to release guidance on the new requirements imposed by the IRA, Polestar’s vehicles are not presently assembled in North America and do not meet other 30D tax credit eligibility requirements, and its vehicles may suffer a price disadvantage in the U.S. market as compared to electric vehicles of certain competitors that meet all of the requirements for eligibility under the 30D tax credit. Polestar has entered into an agreement with the IRS to become a “qualified manufacturer,” but as described in the previous sentence, does not currently have specific makes or models of eligible vehicles listed with the IRS. Given the importance of the U.S. market to Polestar’s future business plans, a prolonged or permanent inability to offer electric vehicles that are eligible for the 30D tax credit could materially and adversely affect Polestar’s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on any U.S. stock exchange may be prohibited under the HFCAA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the Accelerating Holding Foreign Companies Accountable Act, amends the HFCAA and requires the SEC to prohibit an issuer’s securities from trading on any U.S. stock exchange if its auditor is not subject to PCAOB inspections for two consecutive years instead of three. </w:t>
      </w:r>
    </w:p>
    <w:p>
      <w:pPr>
        <w:pStyle w:val="TextBody"/>
        <w:spacing w:before="120" w:after="0"/>
        <w:jc w:val="left"/>
        <w:rPr>
          <w:rFonts w:ascii="Times New Roman" w:hAnsi="Times New Roman"/>
          <w:sz w:val="20"/>
        </w:rPr>
      </w:pPr>
      <w:r>
        <w:rPr>
          <w:rFonts w:ascii="Times New Roman" w:hAnsi="Times New Roman"/>
          <w:sz w:val="20"/>
        </w:rPr>
        <w:t xml:space="preserve">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 </w:t>
      </w:r>
    </w:p>
    <w:p>
      <w:pPr>
        <w:pStyle w:val="TextBody"/>
        <w:spacing w:before="240" w:after="0"/>
        <w:jc w:val="left"/>
        <w:rPr>
          <w:rFonts w:ascii="Times New Roman" w:hAnsi="Times New Roman"/>
          <w:sz w:val="20"/>
        </w:rPr>
      </w:pPr>
      <w:r>
        <w:rPr>
          <w:rFonts w:ascii="Times New Roman" w:hAnsi="Times New Roman"/>
          <w:sz w:val="20"/>
        </w:rPr>
        <w:t xml:space="preserve">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 </w:t>
      </w:r>
    </w:p>
    <w:p>
      <w:pPr>
        <w:pStyle w:val="TextBody"/>
        <w:spacing w:before="240" w:after="0"/>
        <w:jc w:val="left"/>
        <w:rPr>
          <w:rFonts w:ascii="Times New Roman" w:hAnsi="Times New Roman"/>
          <w:sz w:val="20"/>
        </w:rPr>
      </w:pPr>
      <w:r>
        <w:rPr>
          <w:rFonts w:ascii="Times New Roman" w:hAnsi="Times New Roman"/>
          <w:sz w:val="20"/>
        </w:rPr>
        <w:t xml:space="preserve">Further, U.S. legislators and regulators have in recent years voiced concerns about risks associated with investing in companies that are based in or have substantial operations in emerging markets, including China. In particular, lawmakers have highlighted the increased risks associated with companies whose independent auditors are unable to be inspected by the PCAOB. As part of this continued focus in the United States on access to audit and other information currently protected by national law, in particular China’s, on December 18, 2020, the U.S. president signed into law the HFCAA which includes requirements for the SEC to identify issuers whose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audit work is performed by auditors that the PCAOB is unable to inspect or investigate completely because of a restriction imposed by a non-U.S. authority in the auditor’s local jurisdiction. </w:t>
      </w:r>
    </w:p>
    <w:p>
      <w:pPr>
        <w:pStyle w:val="TextBody"/>
        <w:spacing w:before="240" w:after="0"/>
        <w:jc w:val="left"/>
        <w:rPr>
          <w:rFonts w:ascii="Times New Roman" w:hAnsi="Times New Roman"/>
          <w:sz w:val="20"/>
        </w:rPr>
      </w:pPr>
      <w:r>
        <w:rPr>
          <w:rFonts w:ascii="Times New Roman" w:hAnsi="Times New Roman"/>
          <w:sz w:val="20"/>
        </w:rPr>
        <w:t xml:space="preserve">On March 24, 2021, the SEC adopted interim final rules relating to the implementation of certain disclosure and documentation requirements of the HFCAA. The Company will be required to comply with these rules if the SEC identifies it as having a “non-inspection” year (as defined in the interim final rules) under a process to be subsequently established by the SEC. The SEC is assessing how to implement other requirements of the HFCAA, including listing and trading prohibition requirements. Under the HFCAA, the Company’s securities may be prohibited from trading on Nasdaq or other U.S. stock exchanges if its auditor is not inspected by the PCAOB for three consecutive years, and this ultimately could result in the Company’s securities being delisted. </w:t>
      </w:r>
    </w:p>
    <w:p>
      <w:pPr>
        <w:pStyle w:val="TextBody"/>
        <w:spacing w:before="240" w:after="0"/>
        <w:jc w:val="left"/>
        <w:rPr>
          <w:rFonts w:ascii="Times New Roman" w:hAnsi="Times New Roman"/>
          <w:sz w:val="20"/>
        </w:rPr>
      </w:pPr>
      <w:r>
        <w:rPr>
          <w:rFonts w:ascii="Times New Roman" w:hAnsi="Times New Roman"/>
          <w:sz w:val="20"/>
        </w:rPr>
        <w:t xml:space="preserve">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w:t>
      </w:r>
    </w:p>
    <w:p>
      <w:pPr>
        <w:pStyle w:val="TextBody"/>
        <w:spacing w:before="240" w:after="0"/>
        <w:jc w:val="left"/>
        <w:rPr>
          <w:rFonts w:ascii="Times New Roman" w:hAnsi="Times New Roman"/>
          <w:sz w:val="20"/>
        </w:rPr>
      </w:pPr>
      <w:r>
        <w:rPr>
          <w:rFonts w:ascii="Times New Roman" w:hAnsi="Times New Roman"/>
          <w:sz w:val="20"/>
        </w:rPr>
        <w:t xml:space="preserve">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w:t>
      </w:r>
    </w:p>
    <w:p>
      <w:pPr>
        <w:pStyle w:val="TextBody"/>
        <w:spacing w:before="240" w:after="0"/>
        <w:jc w:val="left"/>
        <w:rPr>
          <w:rFonts w:ascii="Times New Roman" w:hAnsi="Times New Roman"/>
          <w:sz w:val="20"/>
        </w:rPr>
      </w:pPr>
      <w:r>
        <w:rPr>
          <w:rFonts w:ascii="Times New Roman" w:hAnsi="Times New Roman"/>
          <w:sz w:val="20"/>
        </w:rPr>
        <w:t xml:space="preserve">On December 16, 2021, the SEC announced that the PCAOB designated China and Hong Kong as the jurisdictions where the PCAOB is not allowed to conduct full and complete audit inspections as mandated under the HFCAA. </w:t>
      </w:r>
    </w:p>
    <w:p>
      <w:pPr>
        <w:pStyle w:val="TextBody"/>
        <w:spacing w:before="240" w:after="0"/>
        <w:jc w:val="left"/>
        <w:rPr>
          <w:rFonts w:ascii="Times New Roman" w:hAnsi="Times New Roman"/>
          <w:sz w:val="20"/>
        </w:rPr>
      </w:pPr>
      <w:r>
        <w:rPr>
          <w:rFonts w:ascii="Times New Roman" w:hAnsi="Times New Roman"/>
          <w:sz w:val="20"/>
        </w:rPr>
        <w:t xml:space="preserve">On August 26, 2022, the PCAOB announced that it had signed a Statement of Protocol (the “Protocol”) with the CSRC and the Ministry of Finance (“MOF”) of the People’s Republic of China, which governs inspections and investigations of audit firms based in mainland China and Hong Kong. The Protocol establishes a specific, accountable framework to make possible complete inspections and investigations by the PCAOB of audit firms based in mainland China and Hong Kong, as required under U.S. law. </w:t>
      </w:r>
    </w:p>
    <w:p>
      <w:pPr>
        <w:pStyle w:val="TextBody"/>
        <w:spacing w:before="240" w:after="0"/>
        <w:jc w:val="left"/>
        <w:rPr>
          <w:rFonts w:ascii="Times New Roman" w:hAnsi="Times New Roman"/>
          <w:sz w:val="20"/>
        </w:rPr>
      </w:pPr>
      <w:r>
        <w:rPr>
          <w:rFonts w:ascii="Times New Roman" w:hAnsi="Times New Roman"/>
          <w:sz w:val="20"/>
        </w:rPr>
        <w:t xml:space="preserve">On December 15, 2022, the PCAOB announced that it has completed a test inspection of two selected auditing firms in mainland China and Hong Kong and has voted to vacate its previous Determination Report, which concluded in December 2021 that it could not inspect or investigate completely registered public accounting firms based in mainland China or Hong Kong. Moving forward, the PCAOB will continue to demand complete access in mainland China and Hong Kong. Despite the PCAOB’s announcement, Chinese authorities will need to ensure that the PCAOB continues to have full access for inspections and investigations in 2023 and beyond, or the threat for Chinese companies listed on U.S. stock exchanges has not been relieved. The PCAOB has also indicated that it will act immediately to consider the need to issue new determinations with the HFCAA if needed. </w:t>
      </w:r>
    </w:p>
    <w:p>
      <w:pPr>
        <w:pStyle w:val="TextBody"/>
        <w:spacing w:before="240" w:after="0"/>
        <w:jc w:val="left"/>
        <w:rPr>
          <w:rFonts w:ascii="Times New Roman" w:hAnsi="Times New Roman"/>
          <w:sz w:val="20"/>
        </w:rPr>
      </w:pPr>
      <w:r>
        <w:rPr>
          <w:rFonts w:ascii="Times New Roman" w:hAnsi="Times New Roman"/>
          <w:sz w:val="20"/>
        </w:rPr>
        <w:t xml:space="preserve">The Accelerating Holding Foreign Companies Accountable Act was enacted in December 2022 and amends the HFCAA and requires the SEC to prohibit an issuer’s securities from trading on any U.S. stock exchange if its auditor is not subject to PCAOB inspections for two consecutive years instead of three.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spacing w:before="120" w:after="0"/>
        <w:jc w:val="left"/>
        <w:rPr>
          <w:rFonts w:ascii="Times New Roman" w:hAnsi="Times New Roman"/>
          <w:b/>
          <w:i/>
          <w:sz w:val="20"/>
        </w:rPr>
      </w:pPr>
      <w:r>
        <w:rPr>
          <w:rFonts w:ascii="Times New Roman" w:hAnsi="Times New Roman"/>
          <w:b/>
          <w:i/>
          <w:sz w:val="20"/>
        </w:rPr>
        <w:t xml:space="preserve">Much of the intellectual property pertaining to Polestar’s vehicles is owned by Volvo Cars and Geely and licensed, in some cases on a non-exclusive basis, to Polestar. Accordingly, Polestar may lack certain advantages that competitors or owners of intellectual property, as opposed to licensees, typically have, with respect to some of such intellectual property, such as the ability to enforce intellectual property rights against infringers or the ability to effectively defend against infringement suits that may be initiated against Polestar. </w:t>
      </w:r>
    </w:p>
    <w:p>
      <w:pPr>
        <w:pStyle w:val="TextBody"/>
        <w:spacing w:before="120" w:after="0"/>
        <w:jc w:val="left"/>
        <w:rPr>
          <w:rFonts w:ascii="Times New Roman" w:hAnsi="Times New Roman"/>
          <w:sz w:val="20"/>
        </w:rPr>
      </w:pPr>
      <w:r>
        <w:rPr>
          <w:rFonts w:ascii="Times New Roman" w:hAnsi="Times New Roman"/>
          <w:sz w:val="20"/>
        </w:rPr>
        <w:t xml:space="preserve">Polestar licenses much of the intellectual property that relates to its vehicles from Volvo Cars and Geely. Thus, in instances where license agreements do not give Polestar the right to defend the intellectual property, Volvo Cars or Geely rather than Polestar enjoys the rights intellectual property owners typically enjoy for certain of such intellectual property, such as the right to bring a lawsuit against a suspected infringer, the right to grant licenses to third parties, and the right to prosecute patent applications. If Polestar suspected such intellectual property were being infringed, e.g., by a competitor, in some cases, it would not be able to stop the infringement without Volvo Cars’ or Geely’s cooperation, which it may or may not at the relevant time be in Volvo Cars’ or Geely’s interest to provide. Some of the intellectual property Polestar licenses from Volvo Cars is licensed on a non-exclusive basis. This means that in principle Volvo Cars or Geely could use the same intellectual property itself, for its own account, and grant licenses to such intellectual property to third parties. Moreover, license agreements such as those with Volvo Cars or Geely may be subject to termination in certain instances. In any event, in such cases, Volvo Cars or Geely and not Polestar would have the right to obtain, maintain, enforce, and protect much of Volvo Cars’ or Geely’s intellectual property pertaining to Polestar’s business. </w:t>
      </w:r>
    </w:p>
    <w:p>
      <w:pPr>
        <w:pStyle w:val="TextBody"/>
        <w:spacing w:before="360" w:after="0"/>
        <w:jc w:val="left"/>
        <w:rPr>
          <w:rFonts w:ascii="Times New Roman" w:hAnsi="Times New Roman"/>
          <w:b/>
          <w:i/>
          <w:sz w:val="20"/>
        </w:rPr>
      </w:pPr>
      <w:r>
        <w:rPr>
          <w:rFonts w:ascii="Times New Roman" w:hAnsi="Times New Roman"/>
          <w:b/>
          <w:i/>
          <w:sz w:val="20"/>
        </w:rPr>
        <w:t xml:space="preserve">Polestar may fail to adequately obtain, maintain, enforce and protect relevant intellectual property and licensing rights, and may not be able to prevent third parties from unauthorized use of such intellectual property and related technology. If Polestar is unsuccessful in any of the foregoing, its competitive position could be harmed and it could be required to incur significant expenses to enforce its rights. </w:t>
      </w:r>
    </w:p>
    <w:p>
      <w:pPr>
        <w:pStyle w:val="TextBody"/>
        <w:spacing w:before="120" w:after="0"/>
        <w:jc w:val="left"/>
        <w:rPr>
          <w:rFonts w:ascii="Times New Roman" w:hAnsi="Times New Roman"/>
          <w:sz w:val="20"/>
        </w:rPr>
      </w:pPr>
      <w:r>
        <w:rPr>
          <w:rFonts w:ascii="Times New Roman" w:hAnsi="Times New Roman"/>
          <w:sz w:val="20"/>
        </w:rPr>
        <w:t xml:space="preserve">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(or its licensors’ intellectual property and proprietary technology, including Volvo Cars’ or Geely’s),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In addition, Polestar licenses material intellectual property from Volvo Cars and Geely.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or its licensors’ (including Volvo Cars’ or Geely’s) technology or seeking court declarations that they do not infringe, misappropriate or otherwise violate Polestar’s or its licensors’ (including Volvo Cars’ or Geely’s)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The measures Polestar takes to obtain, maintain, protect and enforce intellectual property rights, including preventing unauthorized use by third parties, may not be effective for various reasons, including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licensors (including Volvo Cars and Geely) may have developed and may own the intellectual property, and Polestar may enjoy only a license to it without rights to prosecute patent applications, maintain patents, defend the validity of the intellectual property against challenges, or assert the intellectual property against suspected infringers;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patent application Polestar or its licensors (including Volvo Cars and Geely) files may not result in the issuance of a patent;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or its licensors (including Volvo Cars and Geely) may not be the first inventor of the subject matter to which it has filed a particular patent application, and/or it may not be the first party to file such a patent application; </w:t>
            </w:r>
          </w:p>
        </w:tc>
      </w:tr>
    </w:tbl>
    <w:p>
      <w:pPr>
        <w:pStyle w:val="TextBody"/>
        <w:spacing w:before="0" w:after="0"/>
        <w:jc w:val="left"/>
        <w:rPr/>
      </w:pPr>
      <w:r>
        <w:rPr/>
        <w:t> </w:t>
      </w:r>
    </w:p>
    <w:tbl>
      <w:tblPr>
        <w:tblW w:w="7660" w:type="dxa"/>
        <w:jc w:val="left"/>
        <w:tblInd w:w="0" w:type="dxa"/>
        <w:tblCellMar>
          <w:top w:w="0" w:type="dxa"/>
          <w:left w:w="0" w:type="dxa"/>
          <w:bottom w:w="0" w:type="dxa"/>
          <w:right w:w="0" w:type="dxa"/>
        </w:tblCellMar>
      </w:tblPr>
      <w:tblGrid>
        <w:gridCol w:w="75"/>
        <w:gridCol w:w="110"/>
        <w:gridCol w:w="60"/>
        <w:gridCol w:w="74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scope of issued patents may not be sufficient to protect the inventions and technology; </w:t>
            </w:r>
          </w:p>
        </w:tc>
      </w:tr>
    </w:tbl>
    <w:p>
      <w:pPr>
        <w:pStyle w:val="TextBody"/>
        <w:spacing w:before="0" w:after="0"/>
        <w:jc w:val="left"/>
        <w:rPr/>
      </w:pPr>
      <w:r>
        <w:rPr/>
        <w:t> </w:t>
      </w:r>
    </w:p>
    <w:tbl>
      <w:tblPr>
        <w:tblW w:w="9850" w:type="dxa"/>
        <w:jc w:val="left"/>
        <w:tblInd w:w="0" w:type="dxa"/>
        <w:tblCellMar>
          <w:top w:w="0" w:type="dxa"/>
          <w:left w:w="0" w:type="dxa"/>
          <w:bottom w:w="0" w:type="dxa"/>
          <w:right w:w="0" w:type="dxa"/>
        </w:tblCellMar>
      </w:tblPr>
      <w:tblGrid>
        <w:gridCol w:w="75"/>
        <w:gridCol w:w="110"/>
        <w:gridCol w:w="60"/>
        <w:gridCol w:w="9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issued patents may be challenged by its competitors or other third parties and invalidated by courts or other tribunals;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patents have a finite term, and competitors and other third parties may offer identical or similar products after the expiration of patents that cover such products;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employees, contractors or business partners (and the employees and contractors of business partners such as Volvo Cars and Geely) may breach their confidentiality, non-disclosure and non-use obligations;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competitors and other third parties may independently develop technologies that are the same or similar to Polestar’s or its licensors (including Volvo Cars and Geely);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costs associated with enforcing patents or other intellectual property rights, or confidentiality and invention assignment agreements may make enforcement impracticable;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competitors and other third parties may circumvent or otherwise design around Polestar’s or its licensors (including Volvo Cars’ and Geely’s) patents or other intellectual property. </w:t>
            </w:r>
          </w:p>
        </w:tc>
      </w:tr>
    </w:tbl>
    <w:p>
      <w:pPr>
        <w:pStyle w:val="TextBody"/>
        <w:spacing w:before="240" w:after="0"/>
        <w:jc w:val="left"/>
        <w:rPr>
          <w:rFonts w:ascii="Times New Roman" w:hAnsi="Times New Roman"/>
          <w:sz w:val="20"/>
        </w:rPr>
      </w:pPr>
      <w:r>
        <w:rPr>
          <w:rFonts w:ascii="Times New Roman" w:hAnsi="Times New Roman"/>
          <w:sz w:val="20"/>
        </w:rPr>
        <w:t xml:space="preserve">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and its licensors’ (including Volvo Cars’ and Geely’s) intellectual property may not be as strong or as predictably obtained or enforced outside of the United States or Sweden. Further, policing the unauthorized use of Polestar’s and its licensors’ (including Volvo Cars’ and Geely’s) intellectual property in some jurisdictions may be difficult or too expensive to be practical. In addition, third parties may seek to challenge, invalidate or circumvent patents, trademarks, copyrights, trade secrets or other intellectual property, or applications for any of the foregoing, which could permit Polestar’s competitors or other third parties to develop and commercialize products and technologies that are the same or similar to Polestar’s or its licensors’ (including Volvo Cars’ and Geely’s). </w:t>
      </w:r>
    </w:p>
    <w:p>
      <w:pPr>
        <w:pStyle w:val="TextBody"/>
        <w:spacing w:before="240" w:after="0"/>
        <w:jc w:val="left"/>
        <w:rPr>
          <w:rFonts w:ascii="Times New Roman" w:hAnsi="Times New Roman"/>
          <w:sz w:val="20"/>
        </w:rPr>
      </w:pPr>
      <w:r>
        <w:rPr>
          <w:rFonts w:ascii="Times New Roman" w:hAnsi="Times New Roman"/>
          <w:sz w:val="20"/>
        </w:rPr>
        <w:t xml:space="preserve">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 </w:t>
      </w:r>
    </w:p>
    <w:p>
      <w:pPr>
        <w:pStyle w:val="TextBody"/>
        <w:spacing w:before="240" w:after="0"/>
        <w:jc w:val="left"/>
        <w:rPr>
          <w:rFonts w:ascii="Times New Roman" w:hAnsi="Times New Roman"/>
          <w:sz w:val="20"/>
        </w:rPr>
      </w:pPr>
      <w:r>
        <w:rPr>
          <w:rFonts w:ascii="Times New Roman" w:hAnsi="Times New Roman"/>
          <w:sz w:val="20"/>
        </w:rPr>
        <w:t xml:space="preserve">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and its licensors’ (including Volvo Cars’ and Geely’s) intellectual property is difficult and costly, as are the steps Polestar has taken or will take to prevent misappropriation. </w:t>
      </w:r>
    </w:p>
    <w:p>
      <w:pPr>
        <w:pStyle w:val="TextBody"/>
        <w:spacing w:before="240" w:after="0"/>
        <w:jc w:val="left"/>
        <w:rPr>
          <w:rFonts w:ascii="Times New Roman" w:hAnsi="Times New Roman"/>
          <w:sz w:val="20"/>
        </w:rPr>
      </w:pPr>
      <w:r>
        <w:rPr>
          <w:rFonts w:ascii="Times New Roman" w:hAnsi="Times New Roman"/>
          <w:sz w:val="20"/>
        </w:rPr>
        <w:t xml:space="preserve">Polestar has acquired or licensed, and plans to further acquire licenses, patents and other intellectual property from third parties, including suppliers and service providers, and it may face claims that its use of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 </w:t>
      </w:r>
    </w:p>
    <w:p>
      <w:pPr>
        <w:pStyle w:val="TextBody"/>
        <w:spacing w:before="240" w:after="0"/>
        <w:jc w:val="left"/>
        <w:rPr>
          <w:rFonts w:ascii="Times New Roman" w:hAnsi="Times New Roman"/>
          <w:sz w:val="20"/>
        </w:rPr>
      </w:pPr>
      <w:r>
        <w:rPr>
          <w:rFonts w:ascii="Times New Roman" w:hAnsi="Times New Roman"/>
          <w:sz w:val="20"/>
        </w:rPr>
        <w:t xml:space="preserve">To prevent the unauthorized use of Polestar’s or its licensors’ (including Volvo Cars’ and Geely’s) intellectual property, it may be necessary to prosecute actions for infringement, misappropriation or other violation against third parties. Any such action could result in significant costs and diversion of Polestar’s resources and management’s attention, and there can be no assurances that Polestar will be successful in any such action or that its licensors (including Volvo Cars and Geely) will consent to institute or participate in such an action. Any such action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intellectual property. Any of the foregoing could adversely affect Polestar’s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or copyright infringement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 </w:t>
      </w:r>
    </w:p>
    <w:p>
      <w:pPr>
        <w:pStyle w:val="TextBody"/>
        <w:spacing w:before="240" w:after="0"/>
        <w:jc w:val="left"/>
        <w:rPr>
          <w:rFonts w:ascii="Times New Roman" w:hAnsi="Times New Roman"/>
          <w:sz w:val="20"/>
        </w:rPr>
      </w:pPr>
      <w:r>
        <w:rPr>
          <w:rFonts w:ascii="Times New Roman" w:hAnsi="Times New Roman"/>
          <w:sz w:val="20"/>
        </w:rPr>
        <w:t xml:space="preserve">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 </w:t>
      </w:r>
    </w:p>
    <w:p>
      <w:pPr>
        <w:pStyle w:val="TextBody"/>
        <w:spacing w:before="360" w:after="0"/>
        <w:jc w:val="left"/>
        <w:rPr>
          <w:rFonts w:ascii="Times New Roman" w:hAnsi="Times New Roman"/>
          <w:b/>
          <w:sz w:val="20"/>
        </w:rPr>
      </w:pPr>
      <w:r>
        <w:rPr>
          <w:rFonts w:ascii="Times New Roman" w:hAnsi="Times New Roman"/>
          <w:b/>
          <w:sz w:val="20"/>
        </w:rPr>
        <w:t xml:space="preserve">Risks Related to Tax </w:t>
      </w:r>
    </w:p>
    <w:p>
      <w:pPr>
        <w:pStyle w:val="TextBody"/>
        <w:spacing w:before="120" w:after="0"/>
        <w:jc w:val="left"/>
        <w:rPr>
          <w:rFonts w:ascii="Times New Roman" w:hAnsi="Times New Roman"/>
          <w:b/>
          <w:i/>
          <w:sz w:val="20"/>
        </w:rPr>
      </w:pPr>
      <w:r>
        <w:rPr>
          <w:rFonts w:ascii="Times New Roman" w:hAnsi="Times New Roman"/>
          <w:b/>
          <w:i/>
          <w:sz w:val="20"/>
        </w:rPr>
        <w:t xml:space="preserve">Unanticipated tax laws, changes in the application or interpretation of existing tax laws to Polestar or Polestar’s customers, changes to tax rates or challenges to Polestar’s tax positions may adversely impact its profitability and business. </w:t>
      </w:r>
    </w:p>
    <w:p>
      <w:pPr>
        <w:pStyle w:val="TextBody"/>
        <w:spacing w:before="120" w:after="0"/>
        <w:jc w:val="left"/>
        <w:rPr>
          <w:rFonts w:ascii="Times New Roman" w:hAnsi="Times New Roman"/>
          <w:sz w:val="20"/>
        </w:rPr>
      </w:pPr>
      <w:r>
        <w:rPr>
          <w:rFonts w:ascii="Times New Roman" w:hAnsi="Times New Roman"/>
          <w:sz w:val="20"/>
        </w:rPr>
        <w:t xml:space="preserve">Polestar operates and is subject to income and other taxes in Sweden, China, the United Kingdom,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This is also the case with regard to the application of transfer pricing rules to transactions or other provisions between Polestar entities.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 Polestar often relies on generally available interpretations of applicable tax laws and regulations. There cannot be certainty that the relevant tax authorities are in agreement with Polestar’s interpretation of these laws. If Polestar’s tax positions are challenged by relevant tax authorities, the imposition of additional taxes could require Polestar to pay taxes that it currently does not collect or pay or increase the costs of Polestar’s services to track and collect such taxes, which could increase Polestar’s costs of operations or Polestar’s effective tax rate and have a negative effect on Polestar’s business, financial condition and results of operations. The occurrence of any of the foregoing tax risks could have a material adverse effect on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Transfers of ADSs or the underlying Company securities may be subject to stamp duty or stamp duty reserve tax in the U.K., which would increase the cost of dealing in the Company’s securities. </w:t>
      </w:r>
    </w:p>
    <w:p>
      <w:pPr>
        <w:pStyle w:val="TextBody"/>
        <w:spacing w:before="120" w:after="0"/>
        <w:jc w:val="left"/>
        <w:rPr>
          <w:rFonts w:ascii="Times New Roman" w:hAnsi="Times New Roman"/>
          <w:sz w:val="20"/>
        </w:rPr>
      </w:pPr>
      <w:r>
        <w:rPr>
          <w:rFonts w:ascii="Times New Roman" w:hAnsi="Times New Roman"/>
          <w:sz w:val="20"/>
        </w:rPr>
        <w:t xml:space="preserve">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Polestar is not aware of any such election having been made. Under current case law and HMRC published practice, no UK stamp duty or SDRT should arise in respect of an issue or transfer of ordinary shares into a depository or clearance system where it forms part of an integral part of capital raising. </w:t>
      </w:r>
    </w:p>
    <w:p>
      <w:pPr>
        <w:pStyle w:val="TextBody"/>
        <w:spacing w:before="240" w:after="0"/>
        <w:jc w:val="left"/>
        <w:rPr>
          <w:rFonts w:ascii="Times New Roman" w:hAnsi="Times New Roman"/>
          <w:sz w:val="20"/>
        </w:rPr>
      </w:pPr>
      <w:r>
        <w:rPr>
          <w:rFonts w:ascii="Times New Roman" w:hAnsi="Times New Roman"/>
          <w:sz w:val="20"/>
        </w:rPr>
        <w:t xml:space="preserve">Any stamp duty or SDRT payable on a transfer of the underlying Company securities to a depository or a clearance system will in practice generally be paid by the transferors or participants in the depository or a clearance system. </w:t>
      </w:r>
    </w:p>
    <w:p>
      <w:pPr>
        <w:pStyle w:val="TextBody"/>
        <w:spacing w:before="240" w:after="0"/>
        <w:jc w:val="left"/>
        <w:rPr>
          <w:rFonts w:ascii="Times New Roman" w:hAnsi="Times New Roman"/>
          <w:sz w:val="20"/>
        </w:rPr>
      </w:pPr>
      <w:r>
        <w:rPr>
          <w:rFonts w:ascii="Times New Roman" w:hAnsi="Times New Roman"/>
          <w:sz w:val="20"/>
        </w:rPr>
        <w:t xml:space="preserve">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 </w:t>
      </w:r>
    </w:p>
    <w:p>
      <w:pPr>
        <w:pStyle w:val="TextBody"/>
        <w:spacing w:before="240" w:after="0"/>
        <w:jc w:val="left"/>
        <w:rPr>
          <w:rFonts w:ascii="Times New Roman" w:hAnsi="Times New Roman"/>
          <w:sz w:val="20"/>
        </w:rPr>
      </w:pPr>
      <w:r>
        <w:rPr>
          <w:rFonts w:ascii="Times New Roman" w:hAnsi="Times New Roman"/>
          <w:sz w:val="20"/>
        </w:rPr>
        <w:t xml:space="preserve">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 </w:t>
      </w:r>
    </w:p>
    <w:p>
      <w:pPr>
        <w:pStyle w:val="TextBody"/>
        <w:spacing w:before="360" w:after="0"/>
        <w:jc w:val="left"/>
        <w:rPr>
          <w:rFonts w:ascii="Times New Roman" w:hAnsi="Times New Roman"/>
          <w:b/>
          <w:i/>
          <w:sz w:val="20"/>
        </w:rPr>
      </w:pPr>
      <w:r>
        <w:rPr>
          <w:rFonts w:ascii="Times New Roman" w:hAnsi="Times New Roman"/>
          <w:b/>
          <w:i/>
          <w:sz w:val="20"/>
        </w:rPr>
        <w:t xml:space="preserve">The Company may be classified as a passive foreign investment company for U.S. federal income tax purposes, which could result in adverse U.S. federal income tax consequences to U.S. Holders of ADSs. </w:t>
      </w:r>
    </w:p>
    <w:p>
      <w:pPr>
        <w:pStyle w:val="TextBody"/>
        <w:spacing w:before="120" w:after="0"/>
        <w:jc w:val="left"/>
        <w:rPr>
          <w:rFonts w:ascii="Times New Roman" w:hAnsi="Times New Roman"/>
          <w:sz w:val="20"/>
        </w:rPr>
      </w:pPr>
      <w:r>
        <w:rPr>
          <w:rFonts w:ascii="Times New Roman" w:hAnsi="Times New Roman"/>
          <w:sz w:val="20"/>
        </w:rPr>
        <w:t xml:space="preserve">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 </w:t>
      </w:r>
    </w:p>
    <w:p>
      <w:pPr>
        <w:pStyle w:val="TextBody"/>
        <w:spacing w:before="240" w:after="0"/>
        <w:jc w:val="left"/>
        <w:rPr>
          <w:rFonts w:ascii="Times New Roman" w:hAnsi="Times New Roman"/>
          <w:sz w:val="20"/>
        </w:rPr>
      </w:pPr>
      <w:r>
        <w:rPr>
          <w:rFonts w:ascii="Times New Roman" w:hAnsi="Times New Roman"/>
          <w:sz w:val="20"/>
        </w:rPr>
        <w:t xml:space="preserve">Based on the current and projected composition of the Company’s income and assets, the Company does not believe it was classified as a PFIC for its most recent taxable year ended on December 31, 2022 and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As a result of the Business Combination, the IRS may not agree that the Company is a foreign corporation for U.S. federal tax purposes. </w:t>
      </w:r>
    </w:p>
    <w:p>
      <w:pPr>
        <w:pStyle w:val="TextBody"/>
        <w:spacing w:before="120" w:after="0"/>
        <w:jc w:val="left"/>
        <w:rPr>
          <w:rFonts w:ascii="Times New Roman" w:hAnsi="Times New Roman"/>
          <w:sz w:val="20"/>
        </w:rPr>
      </w:pPr>
      <w:r>
        <w:rPr>
          <w:rFonts w:ascii="Times New Roman" w:hAnsi="Times New Roman"/>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exceeded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 </w:t>
      </w:r>
    </w:p>
    <w:p>
      <w:pPr>
        <w:pStyle w:val="TextBody"/>
        <w:spacing w:before="240" w:after="0"/>
        <w:jc w:val="left"/>
        <w:rPr>
          <w:rFonts w:ascii="Times New Roman" w:hAnsi="Times New Roman"/>
          <w:sz w:val="20"/>
        </w:rPr>
      </w:pPr>
      <w:r>
        <w:rPr>
          <w:rFonts w:ascii="Times New Roman" w:hAnsi="Times New Roman"/>
          <w:sz w:val="20"/>
        </w:rPr>
        <w:t xml:space="preserve">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of the Code are complex and unclear and there is no assurance the IRS may agree with Polestar’s determination of ownership of the Company for purposes of Section 7874 of the Code. For additional discussion of the U.S. federal income tax treatment of the Company, see “Taxation—Material U.S. Federal Income Tax Considerations.”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utilize certain of its deferred tax assets, which could increase its future tax expenses. </w:t>
      </w:r>
    </w:p>
    <w:p>
      <w:pPr>
        <w:pStyle w:val="TextBody"/>
        <w:spacing w:before="120" w:after="0"/>
        <w:jc w:val="left"/>
        <w:rPr>
          <w:rFonts w:ascii="Times New Roman" w:hAnsi="Times New Roman"/>
          <w:sz w:val="20"/>
        </w:rPr>
      </w:pPr>
      <w:r>
        <w:rPr>
          <w:rFonts w:ascii="Times New Roman" w:hAnsi="Times New Roman"/>
          <w:sz w:val="20"/>
        </w:rPr>
        <w:t xml:space="preserve">Due to Polestar scaling its headcount and research and development expenses to meet the demands of its growing operations, it has generated tax losses since inception. As of December 31, 2022, Polestar had cumulative carryforward losses of $2,202 million. While tax losses in Sweden have an indefinite carryforward period, the carryforward period in China, where Polestar had a carryforward balance of $585 million as of December 31, 2022, is only five years. As a consequence, the ability of Polestar to utilize certain portions of its deferred tax assets to reduce taxes payable on future Polestar profits, should such profits ever arise, may be limited. </w:t>
      </w:r>
    </w:p>
    <w:p>
      <w:pPr>
        <w:pStyle w:val="TextBody"/>
        <w:spacing w:before="360" w:after="0"/>
        <w:jc w:val="left"/>
        <w:rPr>
          <w:rFonts w:ascii="Times New Roman" w:hAnsi="Times New Roman"/>
          <w:b/>
          <w:sz w:val="20"/>
        </w:rPr>
      </w:pPr>
      <w:r>
        <w:rPr>
          <w:rFonts w:ascii="Times New Roman" w:hAnsi="Times New Roman"/>
          <w:b/>
          <w:sz w:val="20"/>
        </w:rPr>
        <w:t xml:space="preserve">Risks Related to Financing and Strategic Transactions </w:t>
      </w:r>
    </w:p>
    <w:p>
      <w:pPr>
        <w:pStyle w:val="TextBody"/>
        <w:spacing w:before="120" w:after="0"/>
        <w:jc w:val="left"/>
        <w:rPr>
          <w:rFonts w:ascii="Times New Roman" w:hAnsi="Times New Roman"/>
          <w:b/>
          <w:i/>
          <w:sz w:val="20"/>
        </w:rPr>
      </w:pPr>
      <w:r>
        <w:rPr>
          <w:rFonts w:ascii="Times New Roman" w:hAnsi="Times New Roman"/>
          <w:b/>
          <w:i/>
          <w:sz w:val="20"/>
        </w:rPr>
        <w:t xml:space="preserve">Polestar will require additional capital to support business growth, and this capital might not be available on commercially reasonable terms, or at all. </w:t>
      </w:r>
    </w:p>
    <w:p>
      <w:pPr>
        <w:pStyle w:val="TextBody"/>
        <w:spacing w:before="120" w:after="0"/>
        <w:jc w:val="left"/>
        <w:rPr>
          <w:rFonts w:ascii="Times New Roman" w:hAnsi="Times New Roman"/>
          <w:sz w:val="20"/>
        </w:rPr>
      </w:pPr>
      <w:r>
        <w:rPr>
          <w:rFonts w:ascii="Times New Roman" w:hAnsi="Times New Roman"/>
          <w:sz w:val="20"/>
        </w:rPr>
        <w:t xml:space="preserve">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for several years,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 </w:t>
      </w:r>
    </w:p>
    <w:p>
      <w:pPr>
        <w:pStyle w:val="TextBody"/>
        <w:spacing w:before="240" w:after="0"/>
        <w:jc w:val="left"/>
        <w:rPr>
          <w:rFonts w:ascii="Times New Roman" w:hAnsi="Times New Roman"/>
          <w:sz w:val="20"/>
        </w:rPr>
      </w:pPr>
      <w:r>
        <w:rPr>
          <w:rFonts w:ascii="Times New Roman" w:hAnsi="Times New Roman"/>
          <w:sz w:val="20"/>
        </w:rPr>
        <w:t xml:space="preserve">Polestar may not be able to obtain additional financing on terms favorable to it, if at all. Polestar’s ability to raise additional capital through the sale of equity or equity-linked securities could be significantly impacted by the resale of the Resale Securities by the Selling Securityholders pursuant to this prospectus which could result in a significant decline in the trading price of Polestar’s ADSs and thereby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 a result of a worsening of the COVID-19 pandemic, inflation, interest rate changes and the ongoing conflict between Ukraine and Russia, or investor acceptance of its business model. For more information, also see “—Risks Related to Polestar’s Business and Industry—Changes in foreign currency rates, interest rate risks, or inflation could materially affect Polestar’s results of operations,” “Operating and Financial Review and Prospects—Key factors affecting performance—Impact of COVID-19 and the Russo-Ukrainian War,” and “Operating and Financial Review and Prospects—Key factors affecting performance—Inflation.” These factors may 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Polestar’s financial results may vary significantly from period to period due to fluctuations in its operating costs, product demand and other factors. </w:t>
      </w:r>
    </w:p>
    <w:p>
      <w:pPr>
        <w:pStyle w:val="TextBody"/>
        <w:spacing w:before="120" w:after="0"/>
        <w:jc w:val="left"/>
        <w:rPr>
          <w:rFonts w:ascii="Times New Roman" w:hAnsi="Times New Roman"/>
          <w:sz w:val="20"/>
        </w:rPr>
      </w:pPr>
      <w:r>
        <w:rPr>
          <w:rFonts w:ascii="Times New Roman" w:hAnsi="Times New Roman"/>
          <w:sz w:val="20"/>
        </w:rPr>
        <w:t xml:space="preserve">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Ownership of Polestar’s Securities </w:t>
      </w:r>
    </w:p>
    <w:p>
      <w:pPr>
        <w:pStyle w:val="TextBody"/>
        <w:spacing w:before="120" w:after="0"/>
        <w:jc w:val="left"/>
        <w:rPr>
          <w:rFonts w:ascii="Times New Roman" w:hAnsi="Times New Roman"/>
          <w:b/>
          <w:i/>
          <w:sz w:val="20"/>
        </w:rPr>
      </w:pPr>
      <w:r>
        <w:rPr>
          <w:rFonts w:ascii="Times New Roman" w:hAnsi="Times New Roman"/>
          <w:b/>
          <w:i/>
          <w:sz w:val="20"/>
        </w:rPr>
        <w:t xml:space="preserve">If the Business Combination’s benefits do not meet the expectations of investors, stockholders or financial analysts, the market price of the ADSs may decline. </w:t>
      </w:r>
    </w:p>
    <w:p>
      <w:pPr>
        <w:pStyle w:val="TextBody"/>
        <w:spacing w:before="120" w:after="0"/>
        <w:jc w:val="left"/>
        <w:rPr>
          <w:rFonts w:ascii="Times New Roman" w:hAnsi="Times New Roman"/>
          <w:sz w:val="20"/>
        </w:rPr>
      </w:pPr>
      <w:r>
        <w:rPr>
          <w:rFonts w:ascii="Times New Roman" w:hAnsi="Times New Roman"/>
          <w:sz w:val="20"/>
        </w:rPr>
        <w:t xml:space="preserve">An active trading market for Polestar’s ADSs has existed for only a short period since the closing of the Business Combination on June 23, 2022, and it may not be sustained. You may be unable to sell your ADSs if an active trading market cannot be sustained. Fluctuations in the price of the ADSs could contribute to the loss of all or part of your investment.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(which includes the prices paid by ADS holders who acquired their securities through a conversion of GGI Class A Common Stock in the Business Combination). In such circumstances, the trading price of the ADSs may not recover and may experience a further decline. </w:t>
      </w:r>
    </w:p>
    <w:p>
      <w:pPr>
        <w:pStyle w:val="TextBody"/>
        <w:spacing w:before="240" w:after="0"/>
        <w:jc w:val="left"/>
        <w:rPr>
          <w:rFonts w:ascii="Times New Roman" w:hAnsi="Times New Roman"/>
          <w:sz w:val="20"/>
        </w:rPr>
      </w:pPr>
      <w:r>
        <w:rPr>
          <w:rFonts w:ascii="Times New Roman" w:hAnsi="Times New Roman"/>
          <w:sz w:val="20"/>
        </w:rPr>
        <w:t xml:space="preserve">Factors affecting the trading price of the ADSs may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actual or anticipated fluctuations in Polestar’s periodic financial results or the periodic financial results of companies perceived to be similar to Polestar;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the market’s expectations about Polestar’s operating results; </w:t>
            </w:r>
          </w:p>
        </w:tc>
      </w:tr>
    </w:tbl>
    <w:p>
      <w:pPr>
        <w:pStyle w:val="TextBody"/>
        <w:spacing w:before="0" w:after="0"/>
        <w:jc w:val="left"/>
        <w:rPr/>
      </w:pPr>
      <w:r>
        <w:rPr/>
        <w:t> </w:t>
      </w:r>
    </w:p>
    <w:tbl>
      <w:tblPr>
        <w:tblW w:w="8635" w:type="dxa"/>
        <w:jc w:val="left"/>
        <w:tblInd w:w="0" w:type="dxa"/>
        <w:tblCellMar>
          <w:top w:w="0" w:type="dxa"/>
          <w:left w:w="0" w:type="dxa"/>
          <w:bottom w:w="0" w:type="dxa"/>
          <w:right w:w="0" w:type="dxa"/>
        </w:tblCellMar>
      </w:tblPr>
      <w:tblGrid>
        <w:gridCol w:w="75"/>
        <w:gridCol w:w="110"/>
        <w:gridCol w:w="60"/>
        <w:gridCol w:w="8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public’s reaction to Polestar’s press releases, other public announcements and filings with the SEC; </w:t>
            </w:r>
          </w:p>
        </w:tc>
      </w:tr>
    </w:tbl>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75"/>
        <w:gridCol w:w="110"/>
        <w:gridCol w:w="60"/>
        <w:gridCol w:w="4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spacing w:before="0" w:after="0"/>
        <w:jc w:val="left"/>
        <w:rPr/>
      </w:pPr>
      <w:r>
        <w:rPr/>
        <w:t> </w:t>
      </w:r>
    </w:p>
    <w:tbl>
      <w:tblPr>
        <w:tblW w:w="2200" w:type="dxa"/>
        <w:jc w:val="left"/>
        <w:tblInd w:w="0" w:type="dxa"/>
        <w:tblCellMar>
          <w:top w:w="0" w:type="dxa"/>
          <w:left w:w="0" w:type="dxa"/>
          <w:bottom w:w="0" w:type="dxa"/>
          <w:right w:w="0" w:type="dxa"/>
        </w:tblCellMar>
      </w:tblPr>
      <w:tblGrid>
        <w:gridCol w:w="75"/>
        <w:gridCol w:w="110"/>
        <w:gridCol w:w="60"/>
        <w:gridCol w:w="1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success of competitors; </w:t>
            </w:r>
          </w:p>
        </w:tc>
      </w:tr>
    </w:tbl>
    <w:p>
      <w:pPr>
        <w:pStyle w:val="TextBody"/>
        <w:spacing w:before="0" w:after="0"/>
        <w:jc w:val="left"/>
        <w:rPr/>
      </w:pPr>
      <w:r>
        <w:rPr/>
        <w:t> </w:t>
      </w:r>
    </w:p>
    <w:tbl>
      <w:tblPr>
        <w:tblW w:w="9550" w:type="dxa"/>
        <w:jc w:val="left"/>
        <w:tblInd w:w="0" w:type="dxa"/>
        <w:tblCellMar>
          <w:top w:w="0" w:type="dxa"/>
          <w:left w:w="0" w:type="dxa"/>
          <w:bottom w:w="0" w:type="dxa"/>
          <w:right w:w="0" w:type="dxa"/>
        </w:tblCellMar>
      </w:tblPr>
      <w:tblGrid>
        <w:gridCol w:w="75"/>
        <w:gridCol w:w="110"/>
        <w:gridCol w:w="60"/>
        <w:gridCol w:w="9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operating results failing to meet the expectation of securities analysts or investors in a particular period; </w:t>
            </w:r>
          </w:p>
        </w:tc>
      </w:tr>
    </w:tbl>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financial estimates and recommendations by securities analysts concerning Polestar or the market in general; </w:t>
            </w:r>
          </w:p>
        </w:tc>
      </w:tr>
    </w:tbl>
    <w:p>
      <w:pPr>
        <w:pStyle w:val="TextBody"/>
        <w:spacing w:before="0" w:after="0"/>
        <w:jc w:val="left"/>
        <w:rPr/>
      </w:pPr>
      <w:r>
        <w:rPr/>
        <w:t> </w:t>
      </w:r>
    </w:p>
    <w:tbl>
      <w:tblPr>
        <w:tblW w:w="8590" w:type="dxa"/>
        <w:jc w:val="left"/>
        <w:tblInd w:w="0" w:type="dxa"/>
        <w:tblCellMar>
          <w:top w:w="0" w:type="dxa"/>
          <w:left w:w="0" w:type="dxa"/>
          <w:bottom w:w="0" w:type="dxa"/>
          <w:right w:w="0" w:type="dxa"/>
        </w:tblCellMar>
      </w:tblPr>
      <w:tblGrid>
        <w:gridCol w:w="75"/>
        <w:gridCol w:w="110"/>
        <w:gridCol w:w="60"/>
        <w:gridCol w:w="8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operating and stock price performance of other companies that investors deem comparable to Polestar; </w:t>
            </w:r>
          </w:p>
        </w:tc>
      </w:tr>
    </w:tbl>
    <w:p>
      <w:pPr>
        <w:pStyle w:val="TextBody"/>
        <w:spacing w:before="0" w:after="0"/>
        <w:jc w:val="left"/>
        <w:rPr/>
      </w:pPr>
      <w:r>
        <w:rPr/>
        <w:t> </w:t>
      </w:r>
    </w:p>
    <w:tbl>
      <w:tblPr>
        <w:tblW w:w="7090" w:type="dxa"/>
        <w:jc w:val="left"/>
        <w:tblInd w:w="0" w:type="dxa"/>
        <w:tblCellMar>
          <w:top w:w="0" w:type="dxa"/>
          <w:left w:w="0" w:type="dxa"/>
          <w:bottom w:w="0" w:type="dxa"/>
          <w:right w:w="0" w:type="dxa"/>
        </w:tblCellMar>
      </w:tblPr>
      <w:tblGrid>
        <w:gridCol w:w="75"/>
        <w:gridCol w:w="110"/>
        <w:gridCol w:w="60"/>
        <w:gridCol w:w="6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Polestar’s ability to market new and enhanced features or services on a timely basis; </w:t>
            </w:r>
          </w:p>
        </w:tc>
      </w:tr>
    </w:tbl>
    <w:p>
      <w:pPr>
        <w:pStyle w:val="TextBody"/>
        <w:spacing w:before="0" w:after="0"/>
        <w:jc w:val="left"/>
        <w:rPr/>
      </w:pPr>
      <w:r>
        <w:rPr/>
        <w:t> </w:t>
      </w:r>
    </w:p>
    <w:tbl>
      <w:tblPr>
        <w:tblW w:w="5290" w:type="dxa"/>
        <w:jc w:val="left"/>
        <w:tblInd w:w="0" w:type="dxa"/>
        <w:tblCellMar>
          <w:top w:w="0" w:type="dxa"/>
          <w:left w:w="0" w:type="dxa"/>
          <w:bottom w:w="0" w:type="dxa"/>
          <w:right w:w="0" w:type="dxa"/>
        </w:tblCellMar>
      </w:tblPr>
      <w:tblGrid>
        <w:gridCol w:w="75"/>
        <w:gridCol w:w="110"/>
        <w:gridCol w:w="60"/>
        <w:gridCol w:w="5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laws and regulations affecting Polestar’s business; </w:t>
            </w:r>
          </w:p>
        </w:tc>
      </w:tr>
    </w:tbl>
    <w:p>
      <w:pPr>
        <w:pStyle w:val="TextBody"/>
        <w:spacing w:before="0" w:after="0"/>
        <w:jc w:val="left"/>
        <w:rPr/>
      </w:pPr>
      <w:r>
        <w:rPr/>
        <w:t> </w:t>
      </w:r>
    </w:p>
    <w:tbl>
      <w:tblPr>
        <w:tblW w:w="5815" w:type="dxa"/>
        <w:jc w:val="left"/>
        <w:tblInd w:w="0" w:type="dxa"/>
        <w:tblCellMar>
          <w:top w:w="0" w:type="dxa"/>
          <w:left w:w="0" w:type="dxa"/>
          <w:bottom w:w="0" w:type="dxa"/>
          <w:right w:w="0" w:type="dxa"/>
        </w:tblCellMar>
      </w:tblPr>
      <w:tblGrid>
        <w:gridCol w:w="75"/>
        <w:gridCol w:w="110"/>
        <w:gridCol w:w="60"/>
        <w:gridCol w:w="5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commencement of, or involvement in, litigation involving Polestar; </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110"/>
        <w:gridCol w:w="60"/>
        <w:gridCol w:w="9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Polestar’s capital structure, such as future issuances of securities or the incurrence of additional debt; </w:t>
            </w:r>
          </w:p>
        </w:tc>
      </w:tr>
    </w:tbl>
    <w:p>
      <w:pPr>
        <w:pStyle w:val="TextBody"/>
        <w:spacing w:before="0" w:after="0"/>
        <w:jc w:val="left"/>
        <w:rPr/>
      </w:pPr>
      <w:r>
        <w:rPr/>
        <w:t> </w:t>
      </w:r>
    </w:p>
    <w:tbl>
      <w:tblPr>
        <w:tblW w:w="4000" w:type="dxa"/>
        <w:jc w:val="left"/>
        <w:tblInd w:w="0" w:type="dxa"/>
        <w:tblCellMar>
          <w:top w:w="0" w:type="dxa"/>
          <w:left w:w="0" w:type="dxa"/>
          <w:bottom w:w="0" w:type="dxa"/>
          <w:right w:w="0" w:type="dxa"/>
        </w:tblCellMar>
      </w:tblPr>
      <w:tblGrid>
        <w:gridCol w:w="75"/>
        <w:gridCol w:w="110"/>
        <w:gridCol w:w="60"/>
        <w:gridCol w:w="3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volume of ADSs available for public sale; </w:t>
            </w:r>
          </w:p>
        </w:tc>
      </w:tr>
    </w:tbl>
    <w:p>
      <w:pPr>
        <w:pStyle w:val="TextBody"/>
        <w:spacing w:before="0" w:after="0"/>
        <w:jc w:val="left"/>
        <w:rPr/>
      </w:pPr>
      <w:r>
        <w:rPr/>
        <w:t> </w:t>
      </w:r>
    </w:p>
    <w:tbl>
      <w:tblPr>
        <w:tblW w:w="3535" w:type="dxa"/>
        <w:jc w:val="left"/>
        <w:tblInd w:w="0" w:type="dxa"/>
        <w:tblCellMar>
          <w:top w:w="0" w:type="dxa"/>
          <w:left w:w="0" w:type="dxa"/>
          <w:bottom w:w="0" w:type="dxa"/>
          <w:right w:w="0" w:type="dxa"/>
        </w:tblCellMar>
      </w:tblPr>
      <w:tblGrid>
        <w:gridCol w:w="75"/>
        <w:gridCol w:w="110"/>
        <w:gridCol w:w="60"/>
        <w:gridCol w:w="3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trading volume of the ADSs on Nasdaq; </w:t>
            </w:r>
          </w:p>
        </w:tc>
      </w:tr>
    </w:tbl>
    <w:p>
      <w:pPr>
        <w:pStyle w:val="TextBody"/>
        <w:spacing w:before="0" w:after="0"/>
        <w:jc w:val="left"/>
        <w:rPr/>
      </w:pPr>
      <w:r>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major change in the Board or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sales of substantial amounts of ADSs by Polestar’s directors, officers or significant stockholders or the perception that such sales could occur; </w:t>
            </w:r>
          </w:p>
        </w:tc>
      </w:tr>
    </w:tbl>
    <w:p>
      <w:pPr>
        <w:pStyle w:val="TextBody"/>
        <w:spacing w:before="0" w:after="0"/>
        <w:jc w:val="left"/>
        <w:rPr/>
      </w:pPr>
      <w:r>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realization of any of the risk factors presented in this prospectus; </w:t>
            </w:r>
          </w:p>
        </w:tc>
      </w:tr>
    </w:tbl>
    <w:p>
      <w:pPr>
        <w:pStyle w:val="TextBody"/>
        <w:spacing w:before="0" w:after="0"/>
        <w:jc w:val="left"/>
        <w:rPr/>
      </w:pPr>
      <w:r>
        <w:rPr/>
        <w:t> </w:t>
      </w:r>
    </w:p>
    <w:tbl>
      <w:tblPr>
        <w:tblW w:w="3640" w:type="dxa"/>
        <w:jc w:val="left"/>
        <w:tblInd w:w="0" w:type="dxa"/>
        <w:tblCellMar>
          <w:top w:w="0" w:type="dxa"/>
          <w:left w:w="0" w:type="dxa"/>
          <w:bottom w:w="0" w:type="dxa"/>
          <w:right w:w="0" w:type="dxa"/>
        </w:tblCellMar>
      </w:tblPr>
      <w:tblGrid>
        <w:gridCol w:w="75"/>
        <w:gridCol w:w="110"/>
        <w:gridCol w:w="60"/>
        <w:gridCol w:w="3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75"/>
        <w:gridCol w:w="110"/>
        <w:gridCol w:w="60"/>
        <w:gridCol w:w="4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requirements of Nasdaq; </w:t>
            </w:r>
          </w:p>
        </w:tc>
      </w:tr>
    </w:tbl>
    <w:p>
      <w:pPr>
        <w:pStyle w:val="TextBody"/>
        <w:spacing w:before="0" w:after="0"/>
        <w:jc w:val="left"/>
        <w:rPr/>
      </w:pPr>
      <w:r>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Sarbanes-Oxley Act or other laws or regulations;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75"/>
        <w:gridCol w:w="110"/>
        <w:gridCol w:w="6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actual, potential or perceived control, accounting or reporting problems;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Heading5"/>
        <w:rPr/>
      </w:pPr>
      <w:hyperlink w:anchor="toc">
        <w:r>
          <w:rPr>
            <w:rStyle w:val="InternetLink"/>
          </w:rPr>
          <w:t>Table of Contents</w:t>
        </w:r>
      </w:hyperlink>
    </w:p>
    <w:tbl>
      <w:tblPr>
        <w:tblW w:w="5395" w:type="dxa"/>
        <w:jc w:val="left"/>
        <w:tblInd w:w="0" w:type="dxa"/>
        <w:tblCellMar>
          <w:top w:w="0" w:type="dxa"/>
          <w:left w:w="0" w:type="dxa"/>
          <w:bottom w:w="0" w:type="dxa"/>
          <w:right w:w="0" w:type="dxa"/>
        </w:tblCellMar>
      </w:tblPr>
      <w:tblGrid>
        <w:gridCol w:w="75"/>
        <w:gridCol w:w="110"/>
        <w:gridCol w:w="60"/>
        <w:gridCol w:w="5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accounting principles, policies and guidelines;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economic and political conditions such as recessions, interest rates, international currency fluctuations and health epidemics and pandemics (including the COVID-19 pandemic), inflation, changes in diplomatic and trade relationships and acts of war or terrorism. </w:t>
            </w:r>
          </w:p>
        </w:tc>
      </w:tr>
    </w:tbl>
    <w:p>
      <w:pPr>
        <w:pStyle w:val="TextBody"/>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the ADSs irrespective of Polestar’s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 </w:t>
      </w:r>
    </w:p>
    <w:p>
      <w:pPr>
        <w:pStyle w:val="TextBody"/>
        <w:spacing w:before="240" w:after="0"/>
        <w:jc w:val="left"/>
        <w:rPr>
          <w:rFonts w:ascii="Times New Roman" w:hAnsi="Times New Roman"/>
          <w:sz w:val="20"/>
        </w:rPr>
      </w:pPr>
      <w:r>
        <w:rPr>
          <w:rFonts w:ascii="Times New Roman" w:hAnsi="Times New Roman"/>
          <w:sz w:val="20"/>
        </w:rPr>
        <w:t xml:space="preserve">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 </w:t>
      </w:r>
    </w:p>
    <w:p>
      <w:pPr>
        <w:pStyle w:val="TextBody"/>
        <w:spacing w:before="360" w:after="0"/>
        <w:jc w:val="left"/>
        <w:rPr>
          <w:rFonts w:ascii="Times New Roman" w:hAnsi="Times New Roman"/>
          <w:b/>
          <w:i/>
          <w:sz w:val="20"/>
        </w:rPr>
      </w:pPr>
      <w:r>
        <w:rPr>
          <w:rFonts w:ascii="Times New Roman" w:hAnsi="Times New Roman"/>
          <w:b/>
          <w:i/>
          <w:sz w:val="20"/>
        </w:rPr>
        <w:t xml:space="preserve">The grant and future exercise of registration rights may adversely affect the market price of the ADSs. </w:t>
      </w:r>
    </w:p>
    <w:p>
      <w:pPr>
        <w:pStyle w:val="TextBody"/>
        <w:spacing w:before="120" w:after="0"/>
        <w:jc w:val="left"/>
        <w:rPr>
          <w:rFonts w:ascii="Times New Roman" w:hAnsi="Times New Roman"/>
          <w:sz w:val="20"/>
        </w:rPr>
      </w:pPr>
      <w:r>
        <w:rPr>
          <w:rFonts w:ascii="Times New Roman" w:hAnsi="Times New Roman"/>
          <w:sz w:val="20"/>
        </w:rPr>
        <w:t xml:space="preserve">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w:t>
      </w:r>
    </w:p>
    <w:p>
      <w:pPr>
        <w:pStyle w:val="TextBody"/>
        <w:spacing w:before="240" w:after="0"/>
        <w:jc w:val="left"/>
        <w:rPr>
          <w:rFonts w:ascii="Times New Roman" w:hAnsi="Times New Roman"/>
          <w:sz w:val="20"/>
        </w:rPr>
      </w:pPr>
      <w:r>
        <w:rPr>
          <w:rFonts w:ascii="Times New Roman" w:hAnsi="Times New Roman"/>
          <w:sz w:val="20"/>
        </w:rPr>
        <w:t xml:space="preserve">The registration of the resale of these securities will permit the public sale of such securities. The registration and availability of such a significant number of securities for trading in the public market may have an adverse effect on the market price of ADSs. </w:t>
      </w:r>
    </w:p>
    <w:p>
      <w:pPr>
        <w:pStyle w:val="TextBody"/>
        <w:spacing w:before="360" w:after="0"/>
        <w:jc w:val="left"/>
        <w:rPr>
          <w:rFonts w:ascii="Times New Roman" w:hAnsi="Times New Roman"/>
          <w:b/>
          <w:i/>
          <w:sz w:val="20"/>
        </w:rPr>
      </w:pPr>
      <w:r>
        <w:rPr>
          <w:rFonts w:ascii="Times New Roman" w:hAnsi="Times New Roman"/>
          <w:b/>
          <w:i/>
          <w:sz w:val="20"/>
        </w:rPr>
        <w:t xml:space="preserve">The Class C ADSs will be exercisable for the Class A ADSs, which would increase the number of AD securities eligible for future resale in the public market and result in dilution to its shareholders. </w:t>
      </w:r>
    </w:p>
    <w:p>
      <w:pPr>
        <w:pStyle w:val="TextBody"/>
        <w:spacing w:before="120" w:after="0"/>
        <w:jc w:val="left"/>
        <w:rPr>
          <w:rFonts w:ascii="Times New Roman" w:hAnsi="Times New Roman"/>
          <w:sz w:val="20"/>
        </w:rPr>
      </w:pPr>
      <w:r>
        <w:rPr>
          <w:rFonts w:ascii="Times New Roman" w:hAnsi="Times New Roman"/>
          <w:sz w:val="20"/>
        </w:rPr>
        <w:t xml:space="preserve">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Association” and “Description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American Depositary Shares.”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 </w:t>
      </w:r>
    </w:p>
    <w:p>
      <w:pPr>
        <w:pStyle w:val="TextBody"/>
        <w:spacing w:before="360" w:after="0"/>
        <w:jc w:val="left"/>
        <w:rPr>
          <w:rFonts w:ascii="Times New Roman" w:hAnsi="Times New Roman"/>
          <w:b/>
          <w:i/>
          <w:sz w:val="20"/>
        </w:rPr>
      </w:pPr>
      <w:r>
        <w:rPr>
          <w:rFonts w:ascii="Times New Roman" w:hAnsi="Times New Roman"/>
          <w:b/>
          <w:i/>
          <w:sz w:val="20"/>
        </w:rPr>
        <w:t xml:space="preserve">There is no guarantee that the Class C ADSs will ever be in the money, and they may expire worthless. </w:t>
      </w:r>
    </w:p>
    <w:p>
      <w:pPr>
        <w:pStyle w:val="TextBody"/>
        <w:spacing w:before="120" w:after="0"/>
        <w:jc w:val="left"/>
        <w:rPr>
          <w:rFonts w:ascii="Times New Roman" w:hAnsi="Times New Roman"/>
          <w:sz w:val="20"/>
        </w:rPr>
      </w:pPr>
      <w:r>
        <w:rPr>
          <w:rFonts w:ascii="Times New Roman" w:hAnsi="Times New Roman"/>
          <w:sz w:val="20"/>
        </w:rPr>
        <w:t xml:space="preserve">The exercise price for the Class C ADSs is $11.50 per Class C ADS (excluding any fees due to the depository in connection with the conversion of the Class C ADSs and the issuance of the Class A ADSs). There is no guarantee that the Class C ADS will ever be in the money prior to their expiration, and as such, the Class C ADSs may expire worthless. </w:t>
      </w:r>
    </w:p>
    <w:p>
      <w:pPr>
        <w:pStyle w:val="TextBody"/>
        <w:spacing w:before="240" w:after="0"/>
        <w:jc w:val="left"/>
        <w:rPr>
          <w:rFonts w:ascii="Times New Roman" w:hAnsi="Times New Roman"/>
          <w:sz w:val="20"/>
        </w:rPr>
      </w:pPr>
      <w:r>
        <w:rPr>
          <w:rFonts w:ascii="Times New Roman" w:hAnsi="Times New Roman"/>
          <w:sz w:val="20"/>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Times New Roman" w:hAnsi="Times New Roman"/>
          <w:i/>
          <w:sz w:val="20"/>
        </w:rPr>
        <w:t>t</w:t>
      </w:r>
      <w:r>
        <w:rPr>
          <w:rFonts w:ascii="Times New Roman" w:hAnsi="Times New Roman"/>
          <w:sz w:val="20"/>
        </w:rPr>
        <w:t xml:space="preserve">”)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 </w:t>
      </w:r>
    </w:p>
    <w:p>
      <w:pPr>
        <w:pStyle w:val="TextBody"/>
        <w:spacing w:before="360" w:after="0"/>
        <w:jc w:val="left"/>
        <w:rPr>
          <w:rFonts w:ascii="Times New Roman" w:hAnsi="Times New Roman"/>
          <w:b/>
          <w:i/>
          <w:sz w:val="20"/>
        </w:rPr>
      </w:pPr>
      <w:r>
        <w:rPr>
          <w:rFonts w:ascii="Times New Roman" w:hAnsi="Times New Roman"/>
          <w:b/>
          <w:i/>
          <w:sz w:val="20"/>
        </w:rPr>
        <w:t xml:space="preserve">Polestar may redeem unexpired Class C-1 ADSs prior to their exercise at a time that is disadvantageous to holders, thereby making their Class C-1 ADSs worthless. </w:t>
      </w:r>
    </w:p>
    <w:p>
      <w:pPr>
        <w:pStyle w:val="TextBody"/>
        <w:spacing w:before="120" w:after="0"/>
        <w:jc w:val="left"/>
        <w:rPr>
          <w:rFonts w:ascii="Times New Roman" w:hAnsi="Times New Roman"/>
          <w:sz w:val="20"/>
        </w:rPr>
      </w:pPr>
      <w:r>
        <w:rPr>
          <w:rFonts w:ascii="Times New Roman" w:hAnsi="Times New Roman"/>
          <w:sz w:val="20"/>
        </w:rPr>
        <w:t xml:space="preserve">Polestar has the ability to redeem outstanding Class C-1 ADSs at any time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 </w:t>
      </w:r>
    </w:p>
    <w:p>
      <w:pPr>
        <w:pStyle w:val="TextBody"/>
        <w:spacing w:before="240" w:after="0"/>
        <w:jc w:val="left"/>
        <w:rPr>
          <w:rFonts w:ascii="Times New Roman" w:hAnsi="Times New Roman"/>
          <w:sz w:val="20"/>
        </w:rPr>
      </w:pPr>
      <w:r>
        <w:rPr>
          <w:rFonts w:ascii="Times New Roman" w:hAnsi="Times New Roman"/>
          <w:sz w:val="20"/>
        </w:rPr>
        <w:t xml:space="preserve">In addition, Polestar may redeem Class C-1 ADSs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 </w:t>
      </w:r>
    </w:p>
    <w:p>
      <w:pPr>
        <w:pStyle w:val="TextBody"/>
        <w:spacing w:before="360" w:after="0"/>
        <w:jc w:val="left"/>
        <w:rPr>
          <w:rFonts w:ascii="Times New Roman" w:hAnsi="Times New Roman"/>
          <w:b/>
          <w:i/>
          <w:sz w:val="20"/>
        </w:rPr>
      </w:pPr>
      <w:r>
        <w:rPr>
          <w:rFonts w:ascii="Times New Roman" w:hAnsi="Times New Roman"/>
          <w:b/>
          <w:i/>
          <w:sz w:val="20"/>
        </w:rPr>
        <w:t xml:space="preserve">Polestar may issue additional equity securities or convertible debt securities without the approval of the holders of the ADSs, which would dilute ownership interests and may depress the market price of the ADSs. </w:t>
      </w:r>
    </w:p>
    <w:p>
      <w:pPr>
        <w:pStyle w:val="TextBody"/>
        <w:spacing w:before="120" w:after="0"/>
        <w:jc w:val="left"/>
        <w:rPr>
          <w:rFonts w:ascii="Times New Roman" w:hAnsi="Times New Roman"/>
          <w:sz w:val="20"/>
        </w:rPr>
      </w:pPr>
      <w:r>
        <w:rPr>
          <w:rFonts w:ascii="Times New Roman" w:hAnsi="Times New Roman"/>
          <w:sz w:val="20"/>
        </w:rPr>
        <w:t xml:space="preserve">Polestar will continue to require significant capital investment to support its business, and Polestar may issue additional equity securities or convertible debt securities of equal or senior rank in the future without approval of the holders of the ADSs in certain circumstances. </w:t>
      </w:r>
    </w:p>
    <w:p>
      <w:pPr>
        <w:pStyle w:val="TextBody"/>
        <w:spacing w:before="240" w:after="0"/>
        <w:jc w:val="left"/>
        <w:rPr>
          <w:rFonts w:ascii="Times New Roman" w:hAnsi="Times New Roman"/>
          <w:sz w:val="20"/>
        </w:rPr>
      </w:pPr>
      <w:r>
        <w:rPr>
          <w:rFonts w:ascii="Times New Roman" w:hAnsi="Times New Roman"/>
          <w:sz w:val="20"/>
        </w:rPr>
        <w:t xml:space="preserve">Polestar’s issuance of additional equity securities or convertible debt securities of equal or senior rank may have the following effects: (i) 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 </w:t>
      </w:r>
    </w:p>
    <w:p>
      <w:pPr>
        <w:pStyle w:val="TextBody"/>
        <w:spacing w:before="240" w:after="0"/>
        <w:jc w:val="left"/>
        <w:rPr>
          <w:rFonts w:ascii="Times New Roman" w:hAnsi="Times New Roman"/>
          <w:sz w:val="20"/>
        </w:rPr>
      </w:pPr>
      <w:r>
        <w:rPr>
          <w:rFonts w:ascii="Times New Roman" w:hAnsi="Times New Roman"/>
          <w:sz w:val="20"/>
        </w:rPr>
        <w:t xml:space="preserve">Furthermore, certain employees of Polestar and its subsidiaries have been granted equity awards under the Equity Plan, and it is anticipated that certain employees of Polestar and its subsidiaries may receive future grants of equity awards under the Equity Plan and/or may be eligible to participate in the Employee Stock Purchase Plan and the Share Matching Plan. Holders of ADSs will experience additional dilution when those equity awards become vested and settled or exercised, as applicable, for Company securities. See “Compensation—Compensation Arrangements after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The market price and trading volume of the ADSs may be volatile and could decline significantly. </w:t>
      </w:r>
    </w:p>
    <w:p>
      <w:pPr>
        <w:pStyle w:val="TextBody"/>
        <w:spacing w:before="120" w:after="0"/>
        <w:jc w:val="left"/>
        <w:rPr>
          <w:rFonts w:ascii="Times New Roman" w:hAnsi="Times New Roman"/>
          <w:sz w:val="20"/>
        </w:rPr>
      </w:pPr>
      <w:r>
        <w:rPr>
          <w:rFonts w:ascii="Times New Roman" w:hAnsi="Times New Roman"/>
          <w:sz w:val="20"/>
        </w:rPr>
        <w:t xml:space="preserve">The stock markets, including Nasdaq, on which Polestar has listed the Class A ADSs and the Class C-1 ADSs under the symbols “PSNY” and “PSNYW,” respectively, have from time to time experienced significant price and volume fluctuations. An active, liquid and orderly trading market may not be sustained for the ADSs, and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you paid. Polestar cannot assure you that the market price of the ADSs will not fluctuate widely or decline significantly in the future in response to a number of factors, including, among others, the following: </w:t>
      </w:r>
    </w:p>
    <w:p>
      <w:pPr>
        <w:pStyle w:val="TextBody"/>
        <w:spacing w:before="0" w:after="0"/>
        <w:jc w:val="left"/>
        <w:rPr/>
      </w:pPr>
      <w:r>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realization of any of the risk factors presented in this prospectus;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actual or anticipated differences in Polestar’s estimates, or in the estimates of analysts, for Polestar’s revenues, results of operations, level of indebtedness, liquidity or financial condition; </w:t>
            </w:r>
          </w:p>
        </w:tc>
      </w:tr>
    </w:tbl>
    <w:p>
      <w:pPr>
        <w:pStyle w:val="TextBody"/>
        <w:spacing w:before="0" w:after="0"/>
        <w:jc w:val="left"/>
        <w:rPr/>
      </w:pPr>
      <w:r>
        <w:rPr/>
        <w:t> </w:t>
      </w:r>
    </w:p>
    <w:tbl>
      <w:tblPr>
        <w:tblW w:w="3775" w:type="dxa"/>
        <w:jc w:val="left"/>
        <w:tblInd w:w="0" w:type="dxa"/>
        <w:tblCellMar>
          <w:top w:w="0" w:type="dxa"/>
          <w:left w:w="0" w:type="dxa"/>
          <w:bottom w:w="0" w:type="dxa"/>
          <w:right w:w="0" w:type="dxa"/>
        </w:tblCellMar>
      </w:tblPr>
      <w:tblGrid>
        <w:gridCol w:w="75"/>
        <w:gridCol w:w="110"/>
        <w:gridCol w:w="60"/>
        <w:gridCol w:w="3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75"/>
        <w:gridCol w:w="110"/>
        <w:gridCol w:w="60"/>
        <w:gridCol w:w="4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requirements of Nasdaq; </w:t>
            </w:r>
          </w:p>
        </w:tc>
      </w:tr>
    </w:tbl>
    <w:p>
      <w:pPr>
        <w:pStyle w:val="TextBody"/>
        <w:spacing w:before="0" w:after="0"/>
        <w:jc w:val="left"/>
        <w:rPr/>
      </w:pPr>
      <w:r>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Sarbanes-Oxley Act or other laws or regulations; </w:t>
            </w:r>
          </w:p>
        </w:tc>
      </w:tr>
    </w:tbl>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75"/>
        <w:gridCol w:w="110"/>
        <w:gridCol w:w="60"/>
        <w:gridCol w:w="9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future issuances, sales, resales or repurchases or anticipated issuances, sales, resales or repurchases, of Company securities; </w:t>
            </w:r>
          </w:p>
        </w:tc>
      </w:tr>
    </w:tbl>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110"/>
        <w:gridCol w:w="60"/>
        <w:gridCol w:w="3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publication of research reports about Polestar; </w:t>
            </w:r>
          </w:p>
        </w:tc>
      </w:tr>
    </w:tbl>
    <w:p>
      <w:pPr>
        <w:pStyle w:val="TextBody"/>
        <w:spacing w:before="0" w:after="0"/>
        <w:jc w:val="left"/>
        <w:rPr/>
      </w:pPr>
      <w:r>
        <w:rPr/>
        <w:t> </w:t>
      </w:r>
    </w:p>
    <w:tbl>
      <w:tblPr>
        <w:tblW w:w="5725" w:type="dxa"/>
        <w:jc w:val="left"/>
        <w:tblInd w:w="0" w:type="dxa"/>
        <w:tblCellMar>
          <w:top w:w="0" w:type="dxa"/>
          <w:left w:w="0" w:type="dxa"/>
          <w:bottom w:w="0" w:type="dxa"/>
          <w:right w:w="0" w:type="dxa"/>
        </w:tblCellMar>
      </w:tblPr>
      <w:tblGrid>
        <w:gridCol w:w="75"/>
        <w:gridCol w:w="110"/>
        <w:gridCol w:w="60"/>
        <w:gridCol w:w="5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performance and market valuations of other similar companies; </w:t>
            </w:r>
          </w:p>
        </w:tc>
      </w:tr>
    </w:tbl>
    <w:p>
      <w:pPr>
        <w:pStyle w:val="TextBody"/>
        <w:spacing w:before="0" w:after="0"/>
        <w:jc w:val="left"/>
        <w:rPr/>
      </w:pPr>
      <w:r>
        <w:rPr/>
        <w:t> </w:t>
      </w:r>
    </w:p>
    <w:tbl>
      <w:tblPr>
        <w:tblW w:w="5815" w:type="dxa"/>
        <w:jc w:val="left"/>
        <w:tblInd w:w="0" w:type="dxa"/>
        <w:tblCellMar>
          <w:top w:w="0" w:type="dxa"/>
          <w:left w:w="0" w:type="dxa"/>
          <w:bottom w:w="0" w:type="dxa"/>
          <w:right w:w="0" w:type="dxa"/>
        </w:tblCellMar>
      </w:tblPr>
      <w:tblGrid>
        <w:gridCol w:w="75"/>
        <w:gridCol w:w="110"/>
        <w:gridCol w:w="60"/>
        <w:gridCol w:w="5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commencement of, or involvement in, litigation involving Polestar;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rPr/>
      </w:pPr>
      <w:r>
        <w:rPr/>
      </w:r>
    </w:p>
    <w:p>
      <w:pPr>
        <w:pStyle w:val="Heading5"/>
        <w:rPr/>
      </w:pPr>
      <w:hyperlink w:anchor="toc">
        <w:r>
          <w:rPr>
            <w:rStyle w:val="InternetLink"/>
          </w:rPr>
          <w:t>Table of Contents</w:t>
        </w:r>
      </w:hyperlink>
    </w:p>
    <w:tbl>
      <w:tblPr>
        <w:tblW w:w="7930" w:type="dxa"/>
        <w:jc w:val="left"/>
        <w:tblInd w:w="0" w:type="dxa"/>
        <w:tblCellMar>
          <w:top w:w="0" w:type="dxa"/>
          <w:left w:w="0" w:type="dxa"/>
          <w:bottom w:w="0" w:type="dxa"/>
          <w:right w:w="0" w:type="dxa"/>
        </w:tblCellMar>
      </w:tblPr>
      <w:tblGrid>
        <w:gridCol w:w="75"/>
        <w:gridCol w:w="110"/>
        <w:gridCol w:w="60"/>
        <w:gridCol w:w="7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broad disruptions in the financial markets, including sudden disruptions in the credit markets; </w:t>
            </w:r>
          </w:p>
        </w:tc>
      </w:tr>
    </w:tbl>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75"/>
        <w:gridCol w:w="110"/>
        <w:gridCol w:w="60"/>
        <w:gridCol w:w="4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75"/>
        <w:gridCol w:w="110"/>
        <w:gridCol w:w="6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actual, potential or perceived control, accounting or reporting problems; </w:t>
            </w:r>
          </w:p>
        </w:tc>
      </w:tr>
    </w:tbl>
    <w:p>
      <w:pPr>
        <w:pStyle w:val="TextBody"/>
        <w:spacing w:before="0" w:after="0"/>
        <w:jc w:val="left"/>
        <w:rPr/>
      </w:pPr>
      <w:r>
        <w:rPr/>
        <w:t> </w:t>
      </w:r>
    </w:p>
    <w:tbl>
      <w:tblPr>
        <w:tblW w:w="5395" w:type="dxa"/>
        <w:jc w:val="left"/>
        <w:tblInd w:w="0" w:type="dxa"/>
        <w:tblCellMar>
          <w:top w:w="0" w:type="dxa"/>
          <w:left w:w="0" w:type="dxa"/>
          <w:bottom w:w="0" w:type="dxa"/>
          <w:right w:w="0" w:type="dxa"/>
        </w:tblCellMar>
      </w:tblPr>
      <w:tblGrid>
        <w:gridCol w:w="75"/>
        <w:gridCol w:w="110"/>
        <w:gridCol w:w="60"/>
        <w:gridCol w:w="5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accounting principles, policies and guidelines;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events or factors, including those resulting from infectious diseases, health epidemics and pandemics (including the COVID-19 pandemic), natural disasters, war, acts of terrorism or responses to these events. </w:t>
            </w:r>
          </w:p>
        </w:tc>
      </w:tr>
    </w:tbl>
    <w:p>
      <w:pPr>
        <w:pStyle w:val="TextBody"/>
        <w:spacing w:before="240" w:after="0"/>
        <w:jc w:val="left"/>
        <w:rPr>
          <w:rFonts w:ascii="Times New Roman" w:hAnsi="Times New Roman"/>
          <w:sz w:val="20"/>
        </w:rPr>
      </w:pPr>
      <w:r>
        <w:rPr>
          <w:rFonts w:ascii="Times New Roman" w:hAnsi="Times New Roman"/>
          <w:sz w:val="20"/>
        </w:rPr>
        <w:t xml:space="preserve">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 </w:t>
      </w:r>
    </w:p>
    <w:p>
      <w:pPr>
        <w:pStyle w:val="TextBody"/>
        <w:spacing w:before="360" w:after="0"/>
        <w:jc w:val="left"/>
        <w:rPr>
          <w:rFonts w:ascii="Times New Roman" w:hAnsi="Times New Roman"/>
          <w:b/>
          <w:i/>
          <w:sz w:val="20"/>
        </w:rPr>
      </w:pPr>
      <w:r>
        <w:rPr>
          <w:rFonts w:ascii="Times New Roman" w:hAnsi="Times New Roman"/>
          <w:b/>
          <w:i/>
          <w:sz w:val="20"/>
        </w:rPr>
        <w:t xml:space="preserve">Nasdaq may not continue to list the Class A ADSs and Class C-1 ADSs, which could limit investors’ ability to make transactions in the Company’s securities and subject the Company to additional trading restrictions. </w:t>
      </w:r>
    </w:p>
    <w:p>
      <w:pPr>
        <w:pStyle w:val="TextBody"/>
        <w:spacing w:before="120" w:after="0"/>
        <w:jc w:val="left"/>
        <w:rPr>
          <w:rFonts w:ascii="Times New Roman" w:hAnsi="Times New Roman"/>
          <w:sz w:val="20"/>
        </w:rPr>
      </w:pPr>
      <w:r>
        <w:rPr>
          <w:rFonts w:ascii="Times New Roman" w:hAnsi="Times New Roman"/>
          <w:sz w:val="20"/>
        </w:rPr>
        <w:t xml:space="preserve">The Class A ADSs and Class C-1 ADSs are currently listed on Nasdaq. 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 </w:t>
      </w:r>
    </w:p>
    <w:p>
      <w:pPr>
        <w:pStyle w:val="TextBody"/>
        <w:spacing w:before="0" w:after="0"/>
        <w:jc w:val="left"/>
        <w:rPr/>
      </w:pPr>
      <w:r>
        <w:rPr/>
        <w:t> </w:t>
      </w:r>
    </w:p>
    <w:tbl>
      <w:tblPr>
        <w:tblW w:w="6175" w:type="dxa"/>
        <w:jc w:val="left"/>
        <w:tblInd w:w="0" w:type="dxa"/>
        <w:tblCellMar>
          <w:top w:w="0" w:type="dxa"/>
          <w:left w:w="0" w:type="dxa"/>
          <w:bottom w:w="0" w:type="dxa"/>
          <w:right w:w="0" w:type="dxa"/>
        </w:tblCellMar>
      </w:tblPr>
      <w:tblGrid>
        <w:gridCol w:w="75"/>
        <w:gridCol w:w="110"/>
        <w:gridCol w:w="60"/>
        <w:gridCol w:w="5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limited availability of market quotations for the Company’s securities; </w:t>
            </w:r>
          </w:p>
        </w:tc>
      </w:tr>
    </w:tbl>
    <w:p>
      <w:pPr>
        <w:pStyle w:val="TextBody"/>
        <w:spacing w:before="0" w:after="0"/>
        <w:jc w:val="left"/>
        <w:rPr/>
      </w:pPr>
      <w:r>
        <w:rPr/>
        <w:t> </w:t>
      </w:r>
    </w:p>
    <w:tbl>
      <w:tblPr>
        <w:tblW w:w="4150" w:type="dxa"/>
        <w:jc w:val="left"/>
        <w:tblInd w:w="0" w:type="dxa"/>
        <w:tblCellMar>
          <w:top w:w="0" w:type="dxa"/>
          <w:left w:w="0" w:type="dxa"/>
          <w:bottom w:w="0" w:type="dxa"/>
          <w:right w:w="0" w:type="dxa"/>
        </w:tblCellMar>
      </w:tblPr>
      <w:tblGrid>
        <w:gridCol w:w="75"/>
        <w:gridCol w:w="110"/>
        <w:gridCol w:w="60"/>
        <w:gridCol w:w="3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reduced liquidity for the Company’s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determination that the Class A ADSs are a “penny stock” which will require brokers trading in the Class A ADSs to adhere to more stringent rules and possibly result in a reduced level of trading activity in the secondary market for the Company’s securities; and </w:t>
            </w:r>
          </w:p>
        </w:tc>
      </w:tr>
    </w:tbl>
    <w:p>
      <w:pPr>
        <w:pStyle w:val="TextBody"/>
        <w:spacing w:before="0" w:after="0"/>
        <w:jc w:val="left"/>
        <w:rPr/>
      </w:pPr>
      <w:r>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limited amount of news and analyst coverage. </w:t>
            </w:r>
          </w:p>
        </w:tc>
      </w:tr>
    </w:tbl>
    <w:p>
      <w:pPr>
        <w:pStyle w:val="TextBody"/>
        <w:spacing w:before="240" w:after="0"/>
        <w:jc w:val="left"/>
        <w:rPr>
          <w:rFonts w:ascii="Times New Roman" w:hAnsi="Times New Roman"/>
          <w:sz w:val="20"/>
        </w:rPr>
      </w:pPr>
      <w:r>
        <w:rPr>
          <w:rFonts w:ascii="Times New Roman" w:hAnsi="Times New Roman"/>
          <w:sz w:val="20"/>
        </w:rPr>
        <w:t xml:space="preserve">Further consequences of any delisting of the Class A ADS or Class C-1 ADS would include a decreased ability for Polestar to issue additional securities or to obtain additional financing in the future. </w:t>
      </w:r>
    </w:p>
    <w:p>
      <w:pPr>
        <w:pStyle w:val="TextBody"/>
        <w:spacing w:before="360" w:after="0"/>
        <w:jc w:val="left"/>
        <w:rPr>
          <w:rFonts w:ascii="Times New Roman" w:hAnsi="Times New Roman"/>
          <w:b/>
          <w:i/>
          <w:sz w:val="20"/>
        </w:rPr>
      </w:pPr>
      <w:r>
        <w:rPr>
          <w:rFonts w:ascii="Times New Roman" w:hAnsi="Times New Roman"/>
          <w:b/>
          <w:i/>
          <w:sz w:val="20"/>
        </w:rPr>
        <w:t xml:space="preserve">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 </w:t>
      </w:r>
    </w:p>
    <w:p>
      <w:pPr>
        <w:pStyle w:val="TextBody"/>
        <w:spacing w:before="120" w:after="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Resale Securities represent a substantial percentage of the total outstanding ADSs as of the date of this prospectus. The Class A ADSs being offered in this prospectus represent approximately 476.6% of our current outstanding Class A ADSs, assuming the Earn Out Shares issuable pursuant to the Business Combination Agreement are not outstanding, or approximately 356.1%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 </w:t>
      </w:r>
    </w:p>
    <w:p>
      <w:pPr>
        <w:pStyle w:val="TextBody"/>
        <w:spacing w:before="240" w:after="0"/>
        <w:jc w:val="left"/>
        <w:rPr>
          <w:rFonts w:ascii="Times New Roman" w:hAnsi="Times New Roman"/>
          <w:sz w:val="20"/>
        </w:rPr>
      </w:pPr>
      <w:r>
        <w:rPr>
          <w:rFonts w:ascii="Times New Roman" w:hAnsi="Times New Roman"/>
          <w:sz w:val="20"/>
        </w:rPr>
        <w:t xml:space="preserve">Upon effectiveness of this registration statement, or upon satisfaction of the requirements of Rule 144,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 </w:t>
      </w:r>
    </w:p>
    <w:p>
      <w:pPr>
        <w:pStyle w:val="TextBody"/>
        <w:spacing w:before="240" w:after="0"/>
        <w:jc w:val="left"/>
        <w:rPr>
          <w:rFonts w:ascii="Times New Roman" w:hAnsi="Times New Roman"/>
          <w:sz w:val="20"/>
        </w:rPr>
      </w:pPr>
      <w:r>
        <w:rPr>
          <w:rFonts w:ascii="Times New Roman" w:hAnsi="Times New Roman"/>
          <w:sz w:val="20"/>
        </w:rPr>
        <w:t xml:space="preserve">Polestar may issue up to an aggregate of 158,177,609 additional ADSs to certain Former Parent Shareholders if certain stock price hurdles are achieved over a five-year period from the 180th day following the Business Combination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 </w:t>
      </w:r>
    </w:p>
    <w:p>
      <w:pPr>
        <w:pStyle w:val="TextBody"/>
        <w:spacing w:before="240" w:after="0"/>
        <w:jc w:val="left"/>
        <w:rPr>
          <w:rFonts w:ascii="Times New Roman" w:hAnsi="Times New Roman"/>
          <w:sz w:val="20"/>
        </w:rPr>
      </w:pPr>
      <w:r>
        <w:rPr>
          <w:rFonts w:ascii="Times New Roman" w:hAnsi="Times New Roman"/>
          <w:sz w:val="20"/>
        </w:rPr>
        <w:t xml:space="preserve">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$3.59 as of April 20, 2023, upon the sale of our Class A ADSs, (a) Former Parent Shareholders may experience a potential loss of up to $6.41 per Class A ADS, (b) GGI Sponsor, the PIPE Investors and Snita may experience a potential loss of up to $5.83 per Subscription Share, (c) the GGI Sponsor may experience a potential profit of approximately $3.59 per Class A ADS issued to the GGI Sponsor upon conversion of the shares of GGI Class F Common Stock, (d) Snita may experience a potential loss of up to $6.41 per Class A ADS issued to Snita upon conversion of the Volvo Cars Preference Subscription Shares, (e) the marketing consulting service provider may experience a potential loss of up to $6.41 per Class A ADS, and (f) Former Parent Convertible Notes Holders may experience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potential loss of up to $4.59 per Class A ADS. Based on the closing price of our Class C-1 ADSs of $0.76 as of April 20, 2023, upon the sale of the Class C-2 ADSs, the GGI Sponsor may experience a potential loss of up to $1.24 per Class C-2 ADS. </w:t>
      </w:r>
    </w:p>
    <w:p>
      <w:pPr>
        <w:pStyle w:val="TextBody"/>
        <w:spacing w:before="360" w:after="0"/>
        <w:jc w:val="left"/>
        <w:rPr>
          <w:rFonts w:ascii="Times New Roman" w:hAnsi="Times New Roman"/>
          <w:b/>
          <w:i/>
          <w:sz w:val="20"/>
        </w:rPr>
      </w:pPr>
      <w:r>
        <w:rPr>
          <w:rFonts w:ascii="Times New Roman" w:hAnsi="Times New Roman"/>
          <w:b/>
          <w:i/>
          <w:sz w:val="20"/>
        </w:rPr>
        <w:t xml:space="preserve">Polestar’s management team has limited experience managing a public company. </w:t>
      </w:r>
    </w:p>
    <w:p>
      <w:pPr>
        <w:pStyle w:val="TextBody"/>
        <w:spacing w:before="120" w:after="0"/>
        <w:jc w:val="left"/>
        <w:rPr>
          <w:rFonts w:ascii="Times New Roman" w:hAnsi="Times New Roman"/>
          <w:sz w:val="20"/>
        </w:rPr>
      </w:pPr>
      <w:r>
        <w:rPr>
          <w:rFonts w:ascii="Times New Roman" w:hAnsi="Times New Roman"/>
          <w:sz w:val="20"/>
        </w:rPr>
        <w:t xml:space="preserve">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new obligations as a public company, including significant regulatory oversight and reporting obligations under UK companies laws,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 </w:t>
      </w:r>
    </w:p>
    <w:p>
      <w:pPr>
        <w:pStyle w:val="TextBody"/>
        <w:spacing w:before="360" w:after="0"/>
        <w:jc w:val="left"/>
        <w:rPr>
          <w:rFonts w:ascii="Times New Roman" w:hAnsi="Times New Roman"/>
          <w:b/>
          <w:i/>
          <w:sz w:val="20"/>
        </w:rPr>
      </w:pPr>
      <w:r>
        <w:rPr>
          <w:rFonts w:ascii="Times New Roman" w:hAnsi="Times New Roman"/>
          <w:b/>
          <w:i/>
          <w:sz w:val="20"/>
        </w:rPr>
        <w:t xml:space="preserve">The requirements of being a public company may strain Polestar’s resources and distract its management, which could make it difficult to manage its business. </w:t>
      </w:r>
    </w:p>
    <w:p>
      <w:pPr>
        <w:pStyle w:val="TextBody"/>
        <w:spacing w:before="120" w:after="0"/>
        <w:jc w:val="left"/>
        <w:rPr>
          <w:rFonts w:ascii="Times New Roman" w:hAnsi="Times New Roman"/>
          <w:sz w:val="20"/>
        </w:rPr>
      </w:pPr>
      <w:r>
        <w:rPr>
          <w:rFonts w:ascii="Times New Roman" w:hAnsi="Times New Roman"/>
          <w:sz w:val="20"/>
        </w:rPr>
        <w:t xml:space="preserve">Polestar is required to comply with various regulatory and reporting requirements, including those required by UK companies laws and the SEC. Complying with these reporting and other regulatory requirements are time-consuming and will continue to result in increased costs to Polestar and could have a negative effect on Polestar’s results of operations, financial condition or business. </w:t>
      </w:r>
    </w:p>
    <w:p>
      <w:pPr>
        <w:pStyle w:val="TextBody"/>
        <w:spacing w:before="240" w:after="0"/>
        <w:jc w:val="left"/>
        <w:rPr>
          <w:rFonts w:ascii="Times New Roman" w:hAnsi="Times New Roman"/>
          <w:sz w:val="20"/>
        </w:rPr>
      </w:pPr>
      <w:r>
        <w:rPr>
          <w:rFonts w:ascii="Times New Roman" w:hAnsi="Times New Roman"/>
          <w:sz w:val="20"/>
        </w:rPr>
        <w:t xml:space="preserve">As a public company, Polestar is subject to the reporting requirements of the Exchange Act and the requirements of the Sarbanes-Oxley Act, as well as the reporting requirements of the UK companies laws that related to quoted companies. These requirements may place a strain on Polestar’s systems and resources. The Exchange Act and UK companies laws require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and has committed significant resources, has hired and will continue to hire additional staff and has provided and will continue to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 </w:t>
      </w:r>
    </w:p>
    <w:p>
      <w:pPr>
        <w:pStyle w:val="TextBody"/>
        <w:spacing w:before="240" w:after="0"/>
        <w:jc w:val="left"/>
        <w:rPr>
          <w:rFonts w:ascii="Times New Roman" w:hAnsi="Times New Roman"/>
          <w:sz w:val="20"/>
        </w:rPr>
      </w:pPr>
      <w:r>
        <w:rPr>
          <w:rFonts w:ascii="Times New Roman" w:hAnsi="Times New Roman"/>
          <w:sz w:val="20"/>
        </w:rPr>
        <w:t xml:space="preserve">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 </w:t>
      </w:r>
    </w:p>
    <w:p>
      <w:pPr>
        <w:pStyle w:val="TextBody"/>
        <w:spacing w:before="240" w:after="0"/>
        <w:jc w:val="left"/>
        <w:rPr>
          <w:rFonts w:ascii="Times New Roman" w:hAnsi="Times New Roman"/>
          <w:sz w:val="20"/>
        </w:rPr>
      </w:pPr>
      <w:r>
        <w:rPr>
          <w:rFonts w:ascii="Times New Roman" w:hAnsi="Times New Roman"/>
          <w:sz w:val="20"/>
        </w:rPr>
        <w:t xml:space="preserve">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 is a foreign private issuer within the meaning of the rules under the Exchange Act and, as such, it is exempt from certain provisions applicable to United States domestic public companies. </w:t>
      </w:r>
    </w:p>
    <w:p>
      <w:pPr>
        <w:pStyle w:val="TextBody"/>
        <w:spacing w:before="120" w:after="0"/>
        <w:jc w:val="left"/>
        <w:rPr>
          <w:rFonts w:ascii="Times New Roman" w:hAnsi="Times New Roman"/>
          <w:sz w:val="20"/>
        </w:rPr>
      </w:pPr>
      <w:r>
        <w:rPr>
          <w:rFonts w:ascii="Times New Roman" w:hAnsi="Times New Roman"/>
          <w:sz w:val="20"/>
        </w:rPr>
        <w:t xml:space="preserve">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 </w:t>
      </w:r>
    </w:p>
    <w:p>
      <w:pPr>
        <w:pStyle w:val="TextBody"/>
        <w:spacing w:before="240" w:after="0"/>
        <w:jc w:val="left"/>
        <w:rPr>
          <w:rFonts w:ascii="Times New Roman" w:hAnsi="Times New Roman"/>
          <w:sz w:val="20"/>
        </w:rPr>
      </w:pPr>
      <w:r>
        <w:rPr>
          <w:rFonts w:ascii="Times New Roman" w:hAnsi="Times New Roman"/>
          <w:sz w:val="20"/>
        </w:rPr>
        <w:t xml:space="preserve">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 </w:t>
      </w:r>
    </w:p>
    <w:p>
      <w:pPr>
        <w:pStyle w:val="TextBody"/>
        <w:spacing w:before="360" w:after="0"/>
        <w:jc w:val="left"/>
        <w:rPr>
          <w:rFonts w:ascii="Times New Roman" w:hAnsi="Times New Roman"/>
          <w:b/>
          <w:i/>
          <w:sz w:val="20"/>
        </w:rPr>
      </w:pPr>
      <w:r>
        <w:rPr>
          <w:rFonts w:ascii="Times New Roman" w:hAnsi="Times New Roman"/>
          <w:b/>
          <w:i/>
          <w:sz w:val="20"/>
        </w:rPr>
        <w:t xml:space="preserve">As Polestar is a foreign private issuer and follows certain home country corporate governance practices, its shareholders may not have the same protections afforded to shareholders of companies that are subject to all of Nasdaq’s corporate governance requirements. </w:t>
      </w:r>
    </w:p>
    <w:p>
      <w:pPr>
        <w:pStyle w:val="TextBody"/>
        <w:spacing w:before="120" w:after="0"/>
        <w:jc w:val="left"/>
        <w:rPr>
          <w:rFonts w:ascii="Times New Roman" w:hAnsi="Times New Roman"/>
          <w:sz w:val="20"/>
        </w:rPr>
      </w:pPr>
      <w:r>
        <w:rPr>
          <w:rFonts w:ascii="Times New Roman" w:hAnsi="Times New Roman"/>
          <w:sz w:val="20"/>
        </w:rPr>
        <w:t xml:space="preserve">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spacing w:before="240" w:after="0"/>
        <w:jc w:val="left"/>
        <w:rPr>
          <w:rFonts w:ascii="Times New Roman" w:hAnsi="Times New Roman"/>
          <w:sz w:val="20"/>
        </w:rPr>
      </w:pPr>
      <w:r>
        <w:rPr>
          <w:rFonts w:ascii="Times New Roman" w:hAnsi="Times New Roman"/>
          <w:sz w:val="20"/>
        </w:rPr>
        <w:t xml:space="preserve">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before="240" w:after="0"/>
        <w:jc w:val="left"/>
        <w:rPr>
          <w:rFonts w:ascii="Times New Roman" w:hAnsi="Times New Roman"/>
          <w:sz w:val="20"/>
        </w:rPr>
      </w:pPr>
      <w:r>
        <w:rPr>
          <w:rFonts w:ascii="Times New Roman" w:hAnsi="Times New Roman"/>
          <w:sz w:val="20"/>
        </w:rPr>
        <w:t xml:space="preserve">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 </w:t>
      </w:r>
    </w:p>
    <w:p>
      <w:pPr>
        <w:pStyle w:val="TextBody"/>
        <w:spacing w:before="240" w:after="0"/>
        <w:jc w:val="left"/>
        <w:rPr>
          <w:rFonts w:ascii="Times New Roman" w:hAnsi="Times New Roman"/>
          <w:sz w:val="20"/>
        </w:rPr>
      </w:pPr>
      <w:r>
        <w:rPr>
          <w:rFonts w:ascii="Times New Roman" w:hAnsi="Times New Roman"/>
          <w:sz w:val="20"/>
        </w:rPr>
        <w:t xml:space="preserve">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 </w:t>
      </w:r>
    </w:p>
    <w:p>
      <w:pPr>
        <w:pStyle w:val="TextBody"/>
        <w:spacing w:before="240" w:after="0"/>
        <w:jc w:val="left"/>
        <w:rPr>
          <w:rFonts w:ascii="Times New Roman" w:hAnsi="Times New Roman"/>
          <w:sz w:val="20"/>
        </w:rPr>
      </w:pPr>
      <w:r>
        <w:rPr>
          <w:rFonts w:ascii="Times New Roman" w:hAnsi="Times New Roman"/>
          <w:sz w:val="20"/>
        </w:rPr>
        <w:t xml:space="preserve">Subject to requirements under the Polestar Articles and Shareholder Acknowledgment Agreement that the Board be comprised of a majority of independent directors for the three years following the Business Combination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 </w:t>
      </w:r>
    </w:p>
    <w:p>
      <w:pPr>
        <w:pStyle w:val="TextBody"/>
        <w:spacing w:before="240" w:after="0"/>
        <w:jc w:val="left"/>
        <w:rPr>
          <w:rFonts w:ascii="Times New Roman" w:hAnsi="Times New Roman"/>
          <w:sz w:val="20"/>
        </w:rPr>
      </w:pPr>
      <w:r>
        <w:rPr>
          <w:rFonts w:ascii="Times New Roman" w:hAnsi="Times New Roman"/>
          <w:sz w:val="20"/>
        </w:rPr>
        <w:t xml:space="preserve">Further, by virtue of being a controlled company under Nasdaq listing rules, Polestar may elect not to comply with certain Nasdaq corporate governance requirements, including that: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nominating and governance committee be composed entirely of independent directors with a written charter addressing the committee’s purpose and responsibilities; and </w:t>
            </w:r>
          </w:p>
        </w:tc>
      </w:tr>
    </w:tbl>
    <w:p>
      <w:pPr>
        <w:pStyle w:val="TextBody"/>
        <w:spacing w:before="0" w:after="0"/>
        <w:jc w:val="left"/>
        <w:rPr/>
      </w:pPr>
      <w:r>
        <w:rPr/>
        <w:t> </w:t>
      </w:r>
    </w:p>
    <w:tbl>
      <w:tblPr>
        <w:tblW w:w="9160" w:type="dxa"/>
        <w:jc w:val="left"/>
        <w:tblInd w:w="0" w:type="dxa"/>
        <w:tblCellMar>
          <w:top w:w="0" w:type="dxa"/>
          <w:left w:w="0" w:type="dxa"/>
          <w:bottom w:w="0" w:type="dxa"/>
          <w:right w:w="0" w:type="dxa"/>
        </w:tblCellMar>
      </w:tblPr>
      <w:tblGrid>
        <w:gridCol w:w="75"/>
        <w:gridCol w:w="110"/>
        <w:gridCol w:w="60"/>
        <w:gridCol w:w="8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there be an annual performance evaluation of the compensation and nominating and governance committees. </w:t>
            </w:r>
          </w:p>
        </w:tc>
      </w:tr>
    </w:tbl>
    <w:p>
      <w:pPr>
        <w:pStyle w:val="TextBody"/>
        <w:spacing w:before="240" w:after="0"/>
        <w:jc w:val="left"/>
        <w:rPr>
          <w:rFonts w:ascii="Times New Roman" w:hAnsi="Times New Roman"/>
          <w:sz w:val="20"/>
        </w:rPr>
      </w:pPr>
      <w:r>
        <w:rPr>
          <w:rFonts w:ascii="Times New Roman" w:hAnsi="Times New Roman"/>
          <w:sz w:val="20"/>
        </w:rPr>
        <w:t xml:space="preserve">Other than as specified above, Polestar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i/>
          <w:sz w:val="20"/>
        </w:rPr>
      </w:pPr>
      <w:r>
        <w:rPr>
          <w:rFonts w:ascii="Times New Roman" w:hAnsi="Times New Roman"/>
          <w:b/>
          <w:i/>
          <w:sz w:val="20"/>
        </w:rPr>
        <w:t xml:space="preserve">Polestar may lose its foreign private issuer status in the future, which could result in significant additional costs and expenses. </w:t>
      </w:r>
    </w:p>
    <w:p>
      <w:pPr>
        <w:pStyle w:val="TextBody"/>
        <w:spacing w:before="120" w:after="0"/>
        <w:jc w:val="left"/>
        <w:rPr>
          <w:rFonts w:ascii="Times New Roman" w:hAnsi="Times New Roman"/>
          <w:sz w:val="20"/>
        </w:rPr>
      </w:pPr>
      <w:r>
        <w:rPr>
          <w:rFonts w:ascii="Times New Roman" w:hAnsi="Times New Roman"/>
          <w:sz w:val="20"/>
        </w:rPr>
        <w:t xml:space="preserve">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2023.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 U.S. listed public company that is not a foreign private issuer, Polestar would incur significant additional legal, accounting and other expenses that it will not incur as a foreign private issuer. </w:t>
      </w:r>
    </w:p>
    <w:p>
      <w:pPr>
        <w:pStyle w:val="TextBody"/>
        <w:spacing w:before="240" w:after="0"/>
        <w:jc w:val="left"/>
        <w:rPr>
          <w:rFonts w:ascii="Times New Roman" w:hAnsi="Times New Roman"/>
          <w:sz w:val="20"/>
        </w:rPr>
      </w:pPr>
      <w:r>
        <w:rPr>
          <w:rFonts w:ascii="Times New Roman" w:hAnsi="Times New Roman"/>
          <w:sz w:val="20"/>
        </w:rPr>
        <w:t xml:space="preserve">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individual, a group or another company is a “controlled company.” Without giving effect to Class C Shares, any issuance of Earn Out Shares and assuming no conversion of the Class C ADSs, PSD Investment Limited and Snita, an affiliate of Volvo Cars, beneficially hold approximately 98.4% of the outstanding voting power of Shares. Mr. Li Shufu controls PSD Investment Limited and directly or indirectly owns approximately 91.9% of equity interests in Geely, which owns approximately 82.0% of equity interests in Volvo Cars. Therefore, Mr. Li Shufu, as a controlling equity interest holder in Geely and PSD Investment Limited, beneficially holds approximately 98.6% of the outstanding voting power of Shares. As a result, Polestar is a “controlled company” within the meaning of Nasdaq rules, which permit a “controlled company” to elect not to comply with certain corporate governance requirements,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requirement that a majority of its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 </w:t>
            </w:r>
          </w:p>
        </w:tc>
      </w:tr>
    </w:tbl>
    <w:p>
      <w:pPr>
        <w:pStyle w:val="TextBody"/>
        <w:spacing w:before="240" w:after="0"/>
        <w:jc w:val="left"/>
        <w:rPr>
          <w:rFonts w:ascii="Times New Roman" w:hAnsi="Times New Roman"/>
          <w:sz w:val="20"/>
        </w:rPr>
      </w:pPr>
      <w:r>
        <w:rPr>
          <w:rFonts w:ascii="Times New Roman" w:hAnsi="Times New Roman"/>
          <w:sz w:val="20"/>
        </w:rPr>
        <w:t xml:space="preserve">Other than as specified above, Polestar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i/>
          <w:sz w:val="20"/>
        </w:rPr>
      </w:pPr>
      <w:r>
        <w:rPr>
          <w:rFonts w:ascii="Times New Roman" w:hAnsi="Times New Roman"/>
          <w:b/>
          <w:i/>
          <w:sz w:val="20"/>
        </w:rPr>
        <w:t xml:space="preserve">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 </w:t>
      </w:r>
    </w:p>
    <w:p>
      <w:pPr>
        <w:pStyle w:val="TextBody"/>
        <w:spacing w:before="120" w:after="0"/>
        <w:jc w:val="left"/>
        <w:rPr>
          <w:rFonts w:ascii="Times New Roman" w:hAnsi="Times New Roman"/>
          <w:sz w:val="20"/>
        </w:rPr>
      </w:pPr>
      <w:r>
        <w:rPr>
          <w:rFonts w:ascii="Times New Roman" w:hAnsi="Times New Roman"/>
          <w:sz w:val="20"/>
        </w:rPr>
        <w:t xml:space="preserve">As a private company, Polestar was not required to document and test its internal controls over financial reporting nor was management required to certify the effectiveness of its internal controls and its auditors were not required to opine on the effectiveness of its internal control over financial reporting. As a public company,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its attestation reports. </w:t>
      </w:r>
    </w:p>
    <w:p>
      <w:pPr>
        <w:pStyle w:val="TextBody"/>
        <w:spacing w:before="240" w:after="0"/>
        <w:jc w:val="left"/>
        <w:rPr>
          <w:rFonts w:ascii="Times New Roman" w:hAnsi="Times New Roman"/>
          <w:sz w:val="20"/>
        </w:rPr>
      </w:pPr>
      <w:r>
        <w:rPr>
          <w:rFonts w:ascii="Times New Roman" w:hAnsi="Times New Roman"/>
          <w:sz w:val="20"/>
        </w:rPr>
        <w:t xml:space="preserve">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 </w:t>
      </w:r>
    </w:p>
    <w:p>
      <w:pPr>
        <w:pStyle w:val="TextBody"/>
        <w:spacing w:before="360" w:after="0"/>
        <w:jc w:val="left"/>
        <w:rPr>
          <w:rFonts w:ascii="Times New Roman" w:hAnsi="Times New Roman"/>
          <w:b/>
          <w:i/>
          <w:sz w:val="20"/>
        </w:rPr>
      </w:pPr>
      <w:r>
        <w:rPr>
          <w:rFonts w:ascii="Times New Roman" w:hAnsi="Times New Roman"/>
          <w:b/>
          <w:i/>
          <w:sz w:val="20"/>
        </w:rPr>
        <w:t xml:space="preserve">Polestar has identified material weaknesses in its internal control over financial reporting as well as other control deficiencies. If Polestar fails to develop and maintain an effective system of internal control over financial reporting, it may be unable to accurately report its financial results or prevent fraud. </w:t>
      </w:r>
    </w:p>
    <w:p>
      <w:pPr>
        <w:pStyle w:val="TextBody"/>
        <w:spacing w:before="120" w:after="0"/>
        <w:jc w:val="left"/>
        <w:rPr>
          <w:rFonts w:ascii="Times New Roman" w:hAnsi="Times New Roman"/>
          <w:sz w:val="20"/>
        </w:rPr>
      </w:pPr>
      <w:r>
        <w:rPr>
          <w:rFonts w:ascii="Times New Roman" w:hAnsi="Times New Roman"/>
          <w:sz w:val="20"/>
        </w:rPr>
        <w:t xml:space="preserve">In the course of auditing Polestar’s financial statements as of and for the years ended December 31, 2022 and 2021, Polestar and its independent registered public accounting firm identified material weaknesses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Polestar’s annual or interim financial statements will not be prevented or detected on a timely basis. In connection with the audit of Polestar’s financial statements as of the year ended December 31, 2022, management concluded that there were four material weaknesses in internal control over financial reporting as of December 31, 2022: (i) the controlling department does not have a sufficient number of qualified personnel connecting operations and finance and the accounting function does not have fully formalized accounting processes or a sufficient number of personnel with technical accounting and SEC regulatory reporting expertise to perform reviews of financial reporting matters and other key controls, including performing timely reviews of work performed by external advisors, which caused a failure to design and maintain an effective control environment with the appropriate associated control activities; (ii) a lack of appropriate processes and controls to recognize revenue in accordance with IFRS 15; (iii) a lack of appropriate processes and controls to properly recognize intangible assets at period end in accordance with service agreements for upcoming car models; and (iv) insufficient processes and controls over the existence, completeness and valuation of inventory. </w:t>
      </w:r>
    </w:p>
    <w:p>
      <w:pPr>
        <w:pStyle w:val="TextBody"/>
        <w:spacing w:before="240" w:after="0"/>
        <w:jc w:val="left"/>
        <w:rPr>
          <w:rFonts w:ascii="Times New Roman" w:hAnsi="Times New Roman"/>
          <w:sz w:val="20"/>
        </w:rPr>
      </w:pPr>
      <w:r>
        <w:rPr>
          <w:rFonts w:ascii="Times New Roman" w:hAnsi="Times New Roman"/>
          <w:sz w:val="20"/>
        </w:rPr>
        <w:t xml:space="preserve">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 </w:t>
      </w:r>
    </w:p>
    <w:p>
      <w:pPr>
        <w:pStyle w:val="TextBody"/>
        <w:spacing w:before="240" w:after="0"/>
        <w:jc w:val="left"/>
        <w:rPr>
          <w:rFonts w:ascii="Times New Roman" w:hAnsi="Times New Roman"/>
          <w:sz w:val="20"/>
        </w:rPr>
      </w:pPr>
      <w:r>
        <w:rPr>
          <w:rFonts w:ascii="Times New Roman" w:hAnsi="Times New Roman"/>
          <w:sz w:val="20"/>
        </w:rPr>
        <w:t xml:space="preserve">Polestar cannot be certain that measures it is taking will successfully remediate the material weaknesses or that other material weaknesses will not be discovered in the future. If Polestar’s efforts are not successful or other material weaknesses or control deficiencies occur in the future, Polestar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 </w:t>
      </w:r>
    </w:p>
    <w:p>
      <w:pPr>
        <w:pStyle w:val="TextBody"/>
        <w:spacing w:before="240" w:after="0"/>
        <w:jc w:val="left"/>
        <w:rPr>
          <w:rFonts w:ascii="Times New Roman" w:hAnsi="Times New Roman"/>
          <w:sz w:val="20"/>
        </w:rPr>
      </w:pPr>
      <w:r>
        <w:rPr>
          <w:rFonts w:ascii="Times New Roman" w:hAnsi="Times New Roman"/>
          <w:sz w:val="20"/>
        </w:rPr>
        <w:t xml:space="preserve">Polestar, as a U.S. publicly traded company, is subject to the Sarbanes-Oxley Act. While not applicable for this prospectus due to SEC rules allowing for a transition period for newly public companies,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as a public company Polestar’s reporting obligations may place a significant strain on its management, operational and financial resources and systems for the foreseeable future. Polestar may be unable to timely complete its evaluation testing and any required remediation. </w:t>
      </w:r>
    </w:p>
    <w:p>
      <w:pPr>
        <w:pStyle w:val="TextBody"/>
        <w:spacing w:before="240" w:after="0"/>
        <w:jc w:val="left"/>
        <w:rPr>
          <w:rFonts w:ascii="Times New Roman" w:hAnsi="Times New Roman"/>
          <w:sz w:val="20"/>
        </w:rPr>
      </w:pPr>
      <w:r>
        <w:rPr>
          <w:rFonts w:ascii="Times New Roman" w:hAnsi="Times New Roman"/>
          <w:sz w:val="20"/>
        </w:rPr>
        <w:t xml:space="preserve">During the course of documenting and testing its internal control procedures, in order to satisfy the requirements of Section 404 of the Sarbanes-Oxley Act, Polestar may identify other weaknesses and deficiencies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dual-class voting structure may limit your ability to influence corporate matters and could discourage others from pursuing any change of control transactions that holders of the Company securities or ADSs may view as beneficial. </w:t>
      </w:r>
    </w:p>
    <w:p>
      <w:pPr>
        <w:pStyle w:val="TextBody"/>
        <w:spacing w:before="120" w:after="0"/>
        <w:jc w:val="left"/>
        <w:rPr>
          <w:rFonts w:ascii="Times New Roman" w:hAnsi="Times New Roman"/>
          <w:sz w:val="20"/>
        </w:rPr>
      </w:pPr>
      <w:r>
        <w:rPr>
          <w:rFonts w:ascii="Times New Roman" w:hAnsi="Times New Roman"/>
          <w:sz w:val="20"/>
        </w:rPr>
        <w:t xml:space="preserve">Polestar’s authorized and issued ordinary shares are divided into Class A Shares, Class B Shares and Class C Shares. Each Class A Share and Class C Share is entitled to one vote, while each Class B Share is entitled to 10 votes. Only the Class A ADSs, which represent an underlying Class A Share, and Class C-1 ADSs, which represent an underlying Class C Share, are listed and traded on Nasdaq, and Polestar intends to maintain the dual-class voting structure. </w:t>
      </w:r>
    </w:p>
    <w:p>
      <w:pPr>
        <w:pStyle w:val="TextBody"/>
        <w:spacing w:before="240" w:after="0"/>
        <w:jc w:val="left"/>
        <w:rPr>
          <w:rFonts w:ascii="Times New Roman" w:hAnsi="Times New Roman"/>
          <w:sz w:val="20"/>
        </w:rPr>
      </w:pPr>
      <w:r>
        <w:rPr>
          <w:rFonts w:ascii="Times New Roman" w:hAnsi="Times New Roman"/>
          <w:sz w:val="20"/>
        </w:rPr>
        <w:t xml:space="preserve">Snita and PSD Investment Limited hold all of the outstanding Class B Shares and have control of the voting power of all outstanding Class B Shares. As a result, without giving effect to Class C Shares, any issuance of Earn Out Shares and assuming no conversion of the Class C ADSs, PSD Investment Limited and Snita, an affiliate of Volvo Cars, control approximately 98.4% of the total voting power of all issued and outstanding Shares voting together as a single class, even though they are only deemed to beneficially own approximately 87.5% of outstanding Shares. </w:t>
      </w:r>
    </w:p>
    <w:p>
      <w:pPr>
        <w:pStyle w:val="TextBody"/>
        <w:spacing w:before="360" w:after="0"/>
        <w:jc w:val="left"/>
        <w:rPr>
          <w:rFonts w:ascii="Times New Roman" w:hAnsi="Times New Roman"/>
          <w:b/>
          <w:i/>
          <w:sz w:val="20"/>
        </w:rPr>
      </w:pPr>
      <w:r>
        <w:rPr>
          <w:rFonts w:ascii="Times New Roman" w:hAnsi="Times New Roman"/>
          <w:b/>
          <w:i/>
          <w:sz w:val="20"/>
        </w:rPr>
        <w:t xml:space="preserve">The U.K. City Code on Takeovers and Mergers, or the Takeover Code, may apply to Polestar. </w:t>
      </w:r>
    </w:p>
    <w:p>
      <w:pPr>
        <w:pStyle w:val="TextBody"/>
        <w:spacing w:before="120" w:after="0"/>
        <w:jc w:val="left"/>
        <w:rPr>
          <w:rFonts w:ascii="Times New Roman" w:hAnsi="Times New Roman"/>
          <w:sz w:val="20"/>
        </w:rPr>
      </w:pPr>
      <w:r>
        <w:rPr>
          <w:rFonts w:ascii="Times New Roman" w:hAnsi="Times New Roman"/>
          <w:sz w:val="20"/>
        </w:rPr>
        <w:t xml:space="preserve">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 </w:t>
      </w:r>
    </w:p>
    <w:p>
      <w:pPr>
        <w:pStyle w:val="TextBody"/>
        <w:spacing w:before="240" w:after="0"/>
        <w:jc w:val="left"/>
        <w:rPr>
          <w:rFonts w:ascii="Times New Roman" w:hAnsi="Times New Roman"/>
          <w:sz w:val="20"/>
        </w:rPr>
      </w:pPr>
      <w:r>
        <w:rPr>
          <w:rFonts w:ascii="Times New Roman" w:hAnsi="Times New Roman"/>
          <w:sz w:val="20"/>
        </w:rPr>
        <w:t xml:space="preserve">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 </w:t>
      </w:r>
    </w:p>
    <w:p>
      <w:pPr>
        <w:pStyle w:val="TextBody"/>
        <w:spacing w:before="240" w:after="0"/>
        <w:jc w:val="left"/>
        <w:rPr>
          <w:rFonts w:ascii="Times New Roman" w:hAnsi="Times New Roman"/>
          <w:sz w:val="20"/>
        </w:rPr>
      </w:pPr>
      <w:r>
        <w:rPr>
          <w:rFonts w:ascii="Times New Roman" w:hAnsi="Times New Roman"/>
          <w:sz w:val="20"/>
        </w:rPr>
        <w:t xml:space="preserve">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publish inaccurate or unfavorable research or cease publishing research about Polestar, the ADS trading prices and trading volumes could decline significantly. </w:t>
      </w:r>
    </w:p>
    <w:p>
      <w:pPr>
        <w:pStyle w:val="TextBody"/>
        <w:spacing w:before="120" w:after="0"/>
        <w:jc w:val="left"/>
        <w:rPr>
          <w:rFonts w:ascii="Times New Roman" w:hAnsi="Times New Roman"/>
          <w:sz w:val="20"/>
        </w:rPr>
      </w:pPr>
      <w:r>
        <w:rPr>
          <w:rFonts w:ascii="Times New Roman" w:hAnsi="Times New Roman"/>
          <w:sz w:val="20"/>
        </w:rPr>
        <w:t xml:space="preserve">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 </w:t>
      </w:r>
    </w:p>
    <w:p>
      <w:pPr>
        <w:pStyle w:val="TextBody"/>
        <w:spacing w:before="240" w:after="0"/>
        <w:jc w:val="left"/>
        <w:rPr>
          <w:rFonts w:ascii="Times New Roman" w:hAnsi="Times New Roman"/>
          <w:sz w:val="20"/>
        </w:rPr>
      </w:pPr>
      <w:r>
        <w:rPr>
          <w:rFonts w:ascii="Times New Roman" w:hAnsi="Times New Roman"/>
          <w:sz w:val="20"/>
        </w:rPr>
        <w:t xml:space="preserve">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 </w:t>
      </w:r>
    </w:p>
    <w:p>
      <w:pPr>
        <w:pStyle w:val="TextBody"/>
        <w:spacing w:before="360" w:after="0"/>
        <w:jc w:val="left"/>
        <w:rPr>
          <w:rFonts w:ascii="Times New Roman" w:hAnsi="Times New Roman"/>
          <w:b/>
          <w:i/>
          <w:sz w:val="20"/>
        </w:rPr>
      </w:pPr>
      <w:r>
        <w:rPr>
          <w:rFonts w:ascii="Times New Roman" w:hAnsi="Times New Roman"/>
          <w:b/>
          <w:i/>
          <w:sz w:val="20"/>
        </w:rPr>
        <w:t xml:space="preserve">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 </w:t>
      </w:r>
    </w:p>
    <w:p>
      <w:pPr>
        <w:pStyle w:val="TextBody"/>
        <w:spacing w:before="120" w:after="0"/>
        <w:jc w:val="left"/>
        <w:rPr>
          <w:rFonts w:ascii="Times New Roman" w:hAnsi="Times New Roman"/>
          <w:sz w:val="20"/>
        </w:rPr>
      </w:pPr>
      <w:r>
        <w:rPr>
          <w:rFonts w:ascii="Times New Roman" w:hAnsi="Times New Roman"/>
          <w:sz w:val="20"/>
        </w:rPr>
        <w:t xml:space="preserve">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 </w:t>
      </w:r>
    </w:p>
    <w:p>
      <w:pPr>
        <w:pStyle w:val="TextBody"/>
        <w:spacing w:before="240" w:after="0"/>
        <w:jc w:val="left"/>
        <w:rPr>
          <w:rFonts w:ascii="Times New Roman" w:hAnsi="Times New Roman"/>
          <w:sz w:val="20"/>
        </w:rPr>
      </w:pPr>
      <w:r>
        <w:rPr>
          <w:rFonts w:ascii="Times New Roman" w:hAnsi="Times New Roman"/>
          <w:sz w:val="20"/>
        </w:rPr>
        <w:t xml:space="preserve">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 </w:t>
      </w:r>
    </w:p>
    <w:p>
      <w:pPr>
        <w:pStyle w:val="TextBody"/>
        <w:spacing w:before="240" w:after="0"/>
        <w:jc w:val="left"/>
        <w:rPr>
          <w:rFonts w:ascii="Times New Roman" w:hAnsi="Times New Roman"/>
          <w:sz w:val="20"/>
        </w:rPr>
      </w:pPr>
      <w:r>
        <w:rPr>
          <w:rFonts w:ascii="Times New Roman" w:hAnsi="Times New Roman"/>
          <w:sz w:val="20"/>
        </w:rPr>
        <w:t xml:space="preserve">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 </w:t>
      </w:r>
    </w:p>
    <w:p>
      <w:pPr>
        <w:pStyle w:val="TextBody"/>
        <w:spacing w:before="240" w:after="0"/>
        <w:jc w:val="left"/>
        <w:rPr>
          <w:rFonts w:ascii="Times New Roman" w:hAnsi="Times New Roman"/>
          <w:sz w:val="20"/>
        </w:rPr>
      </w:pPr>
      <w:r>
        <w:rPr>
          <w:rFonts w:ascii="Times New Roman" w:hAnsi="Times New Roman"/>
          <w:sz w:val="20"/>
        </w:rPr>
        <w:t xml:space="preserve">Certain corporate governance practices in England and Wales, which is Polestar’s home jurisdiction, differ significantly from requirements for companies incorporated in other jurisdictions such as the United States.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extent Polestar chooses to follow home country practice with respect to corporate governance matters, its shareholders may be afforded less protection than they otherwise would under rules and regulations applicable to U.S. domestic issuers. </w:t>
      </w:r>
    </w:p>
    <w:p>
      <w:pPr>
        <w:pStyle w:val="TextBody"/>
        <w:spacing w:before="240" w:after="0"/>
        <w:jc w:val="left"/>
        <w:rPr>
          <w:rFonts w:ascii="Times New Roman" w:hAnsi="Times New Roman"/>
          <w:sz w:val="20"/>
        </w:rPr>
      </w:pPr>
      <w:r>
        <w:rPr>
          <w:rFonts w:ascii="Times New Roman" w:hAnsi="Times New Roman"/>
          <w:sz w:val="20"/>
        </w:rPr>
        <w:t xml:space="preserve">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 </w:t>
      </w:r>
    </w:p>
    <w:p>
      <w:pPr>
        <w:pStyle w:val="TextBody"/>
        <w:spacing w:before="360" w:after="0"/>
        <w:jc w:val="left"/>
        <w:rPr>
          <w:rFonts w:ascii="Times New Roman" w:hAnsi="Times New Roman"/>
          <w:b/>
          <w:i/>
          <w:sz w:val="20"/>
        </w:rPr>
      </w:pPr>
      <w:r>
        <w:rPr>
          <w:rFonts w:ascii="Times New Roman" w:hAnsi="Times New Roman"/>
          <w:b/>
          <w:i/>
          <w:sz w:val="20"/>
        </w:rPr>
        <w:t xml:space="preserve">It is not expected that Polestar will pay dividends in the foreseeable future. </w:t>
      </w:r>
    </w:p>
    <w:p>
      <w:pPr>
        <w:pStyle w:val="TextBody"/>
        <w:spacing w:before="120" w:after="0"/>
        <w:jc w:val="left"/>
        <w:rPr>
          <w:rFonts w:ascii="Times New Roman" w:hAnsi="Times New Roman"/>
          <w:sz w:val="20"/>
        </w:rPr>
      </w:pPr>
      <w:r>
        <w:rPr>
          <w:rFonts w:ascii="Times New Roman" w:hAnsi="Times New Roman"/>
          <w:sz w:val="20"/>
        </w:rPr>
        <w:t xml:space="preserve">It is expected that Polestar will retain most, if not all, of its available funds and any future earnings to fund the development and growth of its business. As a result, it is not expected that Polestar will pay any cash dividends in the foreseeable future. </w:t>
      </w:r>
    </w:p>
    <w:p>
      <w:pPr>
        <w:pStyle w:val="TextBody"/>
        <w:spacing w:before="240" w:after="0"/>
        <w:jc w:val="left"/>
        <w:rPr>
          <w:rFonts w:ascii="Times New Roman" w:hAnsi="Times New Roman"/>
          <w:sz w:val="20"/>
        </w:rPr>
      </w:pPr>
      <w:r>
        <w:rPr>
          <w:rFonts w:ascii="Times New Roman" w:hAnsi="Times New Roman"/>
          <w:sz w:val="20"/>
        </w:rPr>
        <w:t xml:space="preserve">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or that the trading price of the ADSs will not decline. </w:t>
      </w:r>
    </w:p>
    <w:p>
      <w:pPr>
        <w:pStyle w:val="TextBody"/>
        <w:spacing w:before="360" w:after="0"/>
        <w:jc w:val="left"/>
        <w:rPr>
          <w:rFonts w:ascii="Times New Roman" w:hAnsi="Times New Roman"/>
          <w:b/>
          <w:i/>
          <w:sz w:val="20"/>
        </w:rPr>
      </w:pPr>
      <w:r>
        <w:rPr>
          <w:rFonts w:ascii="Times New Roman" w:hAnsi="Times New Roman"/>
          <w:b/>
          <w:i/>
          <w:sz w:val="20"/>
        </w:rPr>
        <w:t xml:space="preserve">Polestar is a holding company and will depend on the ability of its subsidiaries to pay dividends. </w:t>
      </w:r>
    </w:p>
    <w:p>
      <w:pPr>
        <w:pStyle w:val="TextBody"/>
        <w:spacing w:before="120" w:after="0"/>
        <w:jc w:val="left"/>
        <w:rPr>
          <w:rFonts w:ascii="Times New Roman" w:hAnsi="Times New Roman"/>
          <w:sz w:val="20"/>
        </w:rPr>
      </w:pPr>
      <w:r>
        <w:rPr>
          <w:rFonts w:ascii="Times New Roman" w:hAnsi="Times New Roman"/>
          <w:sz w:val="20"/>
        </w:rPr>
        <w:t xml:space="preserve">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 </w:t>
      </w:r>
    </w:p>
    <w:p>
      <w:pPr>
        <w:pStyle w:val="TextBody"/>
        <w:spacing w:before="360" w:after="0"/>
        <w:jc w:val="left"/>
        <w:rPr>
          <w:rFonts w:ascii="Times New Roman" w:hAnsi="Times New Roman"/>
          <w:b/>
          <w:i/>
          <w:sz w:val="20"/>
        </w:rPr>
      </w:pPr>
      <w:r>
        <w:rPr>
          <w:rFonts w:ascii="Times New Roman" w:hAnsi="Times New Roman"/>
          <w:b/>
          <w:i/>
          <w:sz w:val="20"/>
        </w:rPr>
        <w:t xml:space="preserve">Polestar has granted, and anticipates granting additional, share-based incentives, which may result in increased share-based compensation expenses. </w:t>
      </w:r>
    </w:p>
    <w:p>
      <w:pPr>
        <w:pStyle w:val="TextBody"/>
        <w:spacing w:before="120" w:after="0"/>
        <w:jc w:val="left"/>
        <w:rPr>
          <w:rFonts w:ascii="Times New Roman" w:hAnsi="Times New Roman"/>
          <w:sz w:val="20"/>
        </w:rPr>
      </w:pPr>
      <w:r>
        <w:rPr>
          <w:rFonts w:ascii="Times New Roman" w:hAnsi="Times New Roman"/>
          <w:sz w:val="20"/>
        </w:rPr>
        <w:t xml:space="preserve">Polestar has adopted the Equity Plan and the Employee Stock Purchase Plan. Initially, in 2022 the maximum number of Class A ADSs that was available to be issued under the Equity Plan was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 </w:t>
      </w:r>
    </w:p>
    <w:p>
      <w:pPr>
        <w:pStyle w:val="TextBody"/>
        <w:spacing w:before="240" w:after="0"/>
        <w:jc w:val="left"/>
        <w:rPr>
          <w:rFonts w:ascii="Times New Roman" w:hAnsi="Times New Roman"/>
          <w:sz w:val="20"/>
        </w:rPr>
      </w:pPr>
      <w:r>
        <w:rPr>
          <w:rFonts w:ascii="Times New Roman" w:hAnsi="Times New Roman"/>
          <w:sz w:val="20"/>
        </w:rPr>
        <w:t xml:space="preserve">Initially, in 2022 the maximum number of Class A ADSs that was available to be issued under the Employee Stock Purchase Plan was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w:t>
      </w:r>
    </w:p>
    <w:p>
      <w:pPr>
        <w:pStyle w:val="TextBody"/>
        <w:spacing w:before="240" w:after="0"/>
        <w:jc w:val="left"/>
        <w:rPr>
          <w:rFonts w:ascii="Times New Roman" w:hAnsi="Times New Roman"/>
          <w:sz w:val="20"/>
        </w:rPr>
      </w:pPr>
      <w:r>
        <w:rPr>
          <w:rFonts w:ascii="Times New Roman" w:hAnsi="Times New Roman"/>
          <w:sz w:val="20"/>
        </w:rPr>
        <w:t xml:space="preserve">Polestar believes the granting of share-based compensation is of significant importance to its ability to attract and retain key employees, and as such, Polestar has granted, and plans to continue to grant, share-based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compensation and incur share-based compensation expenses. As a result, expenses associated with share-based compensation may increase, which may have an adverse effect on Polestar’s business and results of operations. </w:t>
      </w:r>
    </w:p>
    <w:p>
      <w:pPr>
        <w:pStyle w:val="TextBody"/>
        <w:spacing w:before="240" w:after="0"/>
        <w:jc w:val="left"/>
        <w:rPr>
          <w:rFonts w:ascii="Times New Roman" w:hAnsi="Times New Roman"/>
          <w:sz w:val="20"/>
        </w:rPr>
      </w:pPr>
      <w:r>
        <w:rPr>
          <w:rFonts w:ascii="Times New Roman" w:hAnsi="Times New Roman"/>
          <w:sz w:val="20"/>
        </w:rPr>
        <w:t xml:space="preserve">Specifically, as of the date of this registration statement, Polestar has implemented equity programs under the Equity Plan providing for awards of restricted stock units (“RSUs”), performance stock units (“PSUs”) and Bonus Shares. Polestar has also adopted a Share Matching Plan under the Employee Stock Purchase Plan, described in further detail below, which is anticipated to be made available to certain employees of Polestar in June 2023. Each of these programs will continue to be made available, or will become available, to eligible Polestar employees as permitted by, and subject to, applicable laws and the terms of the applicable plans. All employees employed before 2022 became eligible to participate in the Bonus Shares program, which provides for a one-time issuance of Class A ADSs in a value equal to 4% of the awardee’s base salary (net of applicable taxes), with Bonus Shares to be subject to transfer restrictions until the first anniversary of the Business Combination Closing (or an earlier change in control). Polestar has also awarded grants of RSUs and PSUs to certain employees of Polestar as selected by Polestar’s Board. Certain RSUs will vest based on the recipient’s continued service through the second anniversary of the Business Combination Closing. In addition, Polestar has implemented a long-term incentive program providing for annual grants of equity-based awards vesting over three years, consisting of awards of (i) 100% PSUs granted to Polestar’s executive management team, and (ii) 50% RSUs and 50% PSUs granted to other eligible Polestar employees, with such RSUs to vest in full based on continued service through the third anniversary of the Business Combination Closing and such PSUs to vest based on achievement of certain Polestar performance metrics (described following) and continued service through the third anniversary of the Business Combination Closing. Specifically, such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Matching Plan under the Employee Stock Purchase Plan includes an annual share matching program whereby the awardee is offered the opportunity to purchase Class A ADSs through payroll deductions of at least $20 per month, but not more than $200 per month (in each case, except as may otherwise be determined by the administrator) and receive a match in the form of Class A ADSs, in an amount equal to up to 100% of the number of Class A ADSs purchased during the applicable offering period, subject to satisfaction of a twelve-month holding period for the corresponding purchased shares.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 </w:t>
      </w:r>
    </w:p>
    <w:p>
      <w:pPr>
        <w:pStyle w:val="TextBody"/>
        <w:spacing w:before="120" w:after="0"/>
        <w:jc w:val="left"/>
        <w:rPr>
          <w:rFonts w:ascii="Times New Roman" w:hAnsi="Times New Roman"/>
          <w:sz w:val="20"/>
        </w:rPr>
      </w:pPr>
      <w:r>
        <w:rPr>
          <w:rFonts w:ascii="Times New Roman" w:hAnsi="Times New Roman"/>
          <w:sz w:val="20"/>
        </w:rPr>
        <w:t xml:space="preserve">Holders of ADSs do not have the same rights as Polestar shareholders who hold Company securities directly. Holders of the AD securities are only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 </w:t>
      </w:r>
    </w:p>
    <w:p>
      <w:pPr>
        <w:pStyle w:val="TextBody"/>
        <w:spacing w:before="360" w:after="0"/>
        <w:jc w:val="left"/>
        <w:rPr>
          <w:rFonts w:ascii="Times New Roman" w:hAnsi="Times New Roman"/>
          <w:b/>
          <w:i/>
          <w:sz w:val="20"/>
        </w:rPr>
      </w:pPr>
      <w:r>
        <w:rPr>
          <w:rFonts w:ascii="Times New Roman" w:hAnsi="Times New Roman"/>
          <w:b/>
          <w:i/>
          <w:sz w:val="20"/>
        </w:rPr>
        <w:t xml:space="preserve">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 </w:t>
      </w:r>
    </w:p>
    <w:p>
      <w:pPr>
        <w:pStyle w:val="TextBody"/>
        <w:spacing w:before="120" w:after="0"/>
        <w:jc w:val="left"/>
        <w:rPr>
          <w:rFonts w:ascii="Times New Roman" w:hAnsi="Times New Roman"/>
          <w:sz w:val="20"/>
        </w:rPr>
      </w:pPr>
      <w:r>
        <w:rPr>
          <w:rFonts w:ascii="Times New Roman" w:hAnsi="Times New Roman"/>
          <w:sz w:val="20"/>
        </w:rPr>
        <w:t xml:space="preserve">Under the Deposit Agreements for the AD securities, if any holders of AD securities do not vote their AD securities, the Depositary will give Polestar a discretionary proxy to vote the Company securities underlying such AD securities at shareholders’ meetings unless: </w:t>
      </w:r>
    </w:p>
    <w:p>
      <w:pPr>
        <w:pStyle w:val="TextBody"/>
        <w:spacing w:before="0" w:after="0"/>
        <w:jc w:val="left"/>
        <w:rPr/>
      </w:pPr>
      <w:r>
        <w:rPr/>
        <w:t> </w:t>
      </w:r>
    </w:p>
    <w:tbl>
      <w:tblPr>
        <w:tblW w:w="8725" w:type="dxa"/>
        <w:jc w:val="left"/>
        <w:tblInd w:w="0" w:type="dxa"/>
        <w:tblCellMar>
          <w:top w:w="0" w:type="dxa"/>
          <w:left w:w="0" w:type="dxa"/>
          <w:bottom w:w="0" w:type="dxa"/>
          <w:right w:w="0" w:type="dxa"/>
        </w:tblCellMar>
      </w:tblPr>
      <w:tblGrid>
        <w:gridCol w:w="75"/>
        <w:gridCol w:w="110"/>
        <w:gridCol w:w="60"/>
        <w:gridCol w:w="8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failed to timely provide the Depositary with notice of meeting and related voting materials; </w:t>
            </w:r>
          </w:p>
        </w:tc>
      </w:tr>
    </w:tbl>
    <w:p>
      <w:pPr>
        <w:pStyle w:val="TextBody"/>
        <w:spacing w:before="0" w:after="0"/>
        <w:jc w:val="left"/>
        <w:rPr/>
      </w:pPr>
      <w:r>
        <w:rPr/>
        <w:t> </w:t>
      </w:r>
    </w:p>
    <w:tbl>
      <w:tblPr>
        <w:tblW w:w="7840" w:type="dxa"/>
        <w:jc w:val="left"/>
        <w:tblInd w:w="0" w:type="dxa"/>
        <w:tblCellMar>
          <w:top w:w="0" w:type="dxa"/>
          <w:left w:w="0" w:type="dxa"/>
          <w:bottom w:w="0" w:type="dxa"/>
          <w:right w:w="0" w:type="dxa"/>
        </w:tblCellMar>
      </w:tblPr>
      <w:tblGrid>
        <w:gridCol w:w="75"/>
        <w:gridCol w:w="110"/>
        <w:gridCol w:w="60"/>
        <w:gridCol w:w="7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instructed the Depositary that it does not wish a discretionary proxy to be given; </w:t>
            </w:r>
          </w:p>
        </w:tc>
      </w:tr>
    </w:tbl>
    <w:p>
      <w:pPr>
        <w:pStyle w:val="TextBody"/>
        <w:spacing w:before="0" w:after="0"/>
        <w:jc w:val="left"/>
        <w:rPr/>
      </w:pPr>
      <w:r>
        <w:rPr/>
        <w:t> </w:t>
      </w:r>
    </w:p>
    <w:tbl>
      <w:tblPr>
        <w:tblW w:w="9730" w:type="dxa"/>
        <w:jc w:val="left"/>
        <w:tblInd w:w="0" w:type="dxa"/>
        <w:tblCellMar>
          <w:top w:w="0" w:type="dxa"/>
          <w:left w:w="0" w:type="dxa"/>
          <w:bottom w:w="0" w:type="dxa"/>
          <w:right w:w="0" w:type="dxa"/>
        </w:tblCellMar>
      </w:tblPr>
      <w:tblGrid>
        <w:gridCol w:w="75"/>
        <w:gridCol w:w="110"/>
        <w:gridCol w:w="60"/>
        <w:gridCol w:w="94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has informed the Depositary that there is substantial opposition as to a matter to be voted on at the meeting;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matter to be voted on at the meeting would have a material adverse impact on shareholders; or </w:t>
            </w:r>
          </w:p>
        </w:tc>
      </w:tr>
    </w:tbl>
    <w:p>
      <w:pPr>
        <w:pStyle w:val="TextBody"/>
        <w:spacing w:before="0" w:after="0"/>
        <w:jc w:val="left"/>
        <w:rPr/>
      </w:pPr>
      <w:r>
        <w:rPr/>
        <w:t> </w:t>
      </w:r>
    </w:p>
    <w:tbl>
      <w:tblPr>
        <w:tblW w:w="5110" w:type="dxa"/>
        <w:jc w:val="left"/>
        <w:tblInd w:w="0" w:type="dxa"/>
        <w:tblCellMar>
          <w:top w:w="0" w:type="dxa"/>
          <w:left w:w="0" w:type="dxa"/>
          <w:bottom w:w="0" w:type="dxa"/>
          <w:right w:w="0" w:type="dxa"/>
        </w:tblCellMar>
      </w:tblPr>
      <w:tblGrid>
        <w:gridCol w:w="75"/>
        <w:gridCol w:w="110"/>
        <w:gridCol w:w="60"/>
        <w:gridCol w:w="4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voting at the meeting is to be made on a show of hands. </w:t>
            </w:r>
          </w:p>
        </w:tc>
      </w:tr>
    </w:tbl>
    <w:p>
      <w:pPr>
        <w:pStyle w:val="TextBody"/>
        <w:spacing w:before="240" w:after="0"/>
        <w:jc w:val="left"/>
        <w:rPr>
          <w:rFonts w:ascii="Times New Roman" w:hAnsi="Times New Roman"/>
          <w:sz w:val="20"/>
        </w:rPr>
      </w:pPr>
      <w:r>
        <w:rPr>
          <w:rFonts w:ascii="Times New Roman" w:hAnsi="Times New Roman"/>
          <w:sz w:val="20"/>
        </w:rPr>
        <w:t xml:space="preserve">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 </w:t>
      </w:r>
    </w:p>
    <w:p>
      <w:pPr>
        <w:pStyle w:val="TextBody"/>
        <w:spacing w:before="360" w:after="0"/>
        <w:jc w:val="left"/>
        <w:rPr>
          <w:rFonts w:ascii="Times New Roman" w:hAnsi="Times New Roman"/>
          <w:b/>
          <w:i/>
          <w:sz w:val="20"/>
        </w:rPr>
      </w:pPr>
      <w:r>
        <w:rPr>
          <w:rFonts w:ascii="Times New Roman" w:hAnsi="Times New Roman"/>
          <w:b/>
          <w:i/>
          <w:sz w:val="20"/>
        </w:rPr>
        <w:t xml:space="preserve">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 </w:t>
      </w:r>
    </w:p>
    <w:p>
      <w:pPr>
        <w:pStyle w:val="TextBody"/>
        <w:spacing w:before="120" w:after="0"/>
        <w:jc w:val="left"/>
        <w:rPr>
          <w:rFonts w:ascii="Times New Roman" w:hAnsi="Times New Roman"/>
          <w:sz w:val="20"/>
        </w:rPr>
      </w:pPr>
      <w:r>
        <w:rPr>
          <w:rFonts w:ascii="Times New Roman" w:hAnsi="Times New Roman"/>
          <w:sz w:val="20"/>
        </w:rPr>
        <w:t xml:space="preserve">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 (ii) any action, including any action commenced by a member of Polestar in its own name or on behalf of Polestar, asserting a claim of breach of any fiduciary or other duty owed by any director, officer or other employee of Polestar (including but not limited to duties arising under the Companies Act); (iii) any action arising out of or in connection with the Polestar Articles or otherwise in any way relating to the constitution or conduct of Polestar; or (iv) 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 </w:t>
      </w:r>
    </w:p>
    <w:p>
      <w:pPr>
        <w:pStyle w:val="TextBody"/>
        <w:spacing w:before="240" w:after="0"/>
        <w:jc w:val="left"/>
        <w:rPr>
          <w:rFonts w:ascii="Times New Roman" w:hAnsi="Times New Roman"/>
          <w:sz w:val="20"/>
        </w:rPr>
      </w:pPr>
      <w:r>
        <w:rPr>
          <w:rFonts w:ascii="Times New Roman" w:hAnsi="Times New Roman"/>
          <w:sz w:val="20"/>
        </w:rPr>
        <w:t xml:space="preserve">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 </w:t>
      </w:r>
    </w:p>
    <w:p>
      <w:pPr>
        <w:pStyle w:val="TextBody"/>
        <w:spacing w:before="360" w:after="0"/>
        <w:jc w:val="left"/>
        <w:rPr>
          <w:rFonts w:ascii="Times New Roman" w:hAnsi="Times New Roman"/>
          <w:b/>
          <w:i/>
          <w:sz w:val="20"/>
        </w:rPr>
      </w:pPr>
      <w:r>
        <w:rPr>
          <w:rFonts w:ascii="Times New Roman" w:hAnsi="Times New Roman"/>
          <w:b/>
          <w:i/>
          <w:sz w:val="20"/>
        </w:rPr>
        <w:t xml:space="preserve">An ADS holder’s right to pursue claims against the Depositary is limited by the terms of the Deposit Agreements. </w:t>
      </w:r>
    </w:p>
    <w:p>
      <w:pPr>
        <w:pStyle w:val="TextBody"/>
        <w:spacing w:before="120" w:after="0"/>
        <w:jc w:val="left"/>
        <w:rPr>
          <w:rFonts w:ascii="Times New Roman" w:hAnsi="Times New Roman"/>
          <w:sz w:val="20"/>
        </w:rPr>
      </w:pPr>
      <w:r>
        <w:rPr>
          <w:rFonts w:ascii="Times New Roman" w:hAnsi="Times New Roman"/>
          <w:sz w:val="20"/>
        </w:rPr>
        <w:t xml:space="preserve">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 </w:t>
      </w:r>
    </w:p>
    <w:p>
      <w:pPr>
        <w:pStyle w:val="TextBody"/>
        <w:spacing w:before="360" w:after="0"/>
        <w:jc w:val="left"/>
        <w:rPr>
          <w:rFonts w:ascii="Times New Roman" w:hAnsi="Times New Roman"/>
          <w:b/>
          <w:i/>
          <w:sz w:val="20"/>
        </w:rPr>
      </w:pPr>
      <w:r>
        <w:rPr>
          <w:rFonts w:ascii="Times New Roman" w:hAnsi="Times New Roman"/>
          <w:b/>
          <w:i/>
          <w:sz w:val="20"/>
        </w:rPr>
        <w:t xml:space="preserve">ADS holders may not be entitled to a jury trial with respect to claims arising under the Deposit Agreements, which could result in less favorable results to the plaintiff(s) in any such action. </w:t>
      </w:r>
    </w:p>
    <w:p>
      <w:pPr>
        <w:pStyle w:val="TextBody"/>
        <w:spacing w:before="120" w:after="0"/>
        <w:jc w:val="left"/>
        <w:rPr>
          <w:rFonts w:ascii="Times New Roman" w:hAnsi="Times New Roman"/>
          <w:sz w:val="20"/>
        </w:rPr>
      </w:pPr>
      <w:r>
        <w:rPr>
          <w:rFonts w:ascii="Times New Roman" w:hAnsi="Times New Roman"/>
          <w:sz w:val="20"/>
        </w:rPr>
        <w:t xml:space="preserve">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 </w:t>
      </w:r>
    </w:p>
    <w:p>
      <w:pPr>
        <w:pStyle w:val="TextBody"/>
        <w:spacing w:before="240" w:after="0"/>
        <w:jc w:val="left"/>
        <w:rPr>
          <w:rFonts w:ascii="Times New Roman" w:hAnsi="Times New Roman"/>
          <w:sz w:val="20"/>
        </w:rPr>
      </w:pPr>
      <w:r>
        <w:rPr>
          <w:rFonts w:ascii="Times New Roman" w:hAnsi="Times New Roman"/>
          <w:sz w:val="20"/>
        </w:rPr>
        <w:t xml:space="preserve">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spacing w:before="360" w:after="0"/>
        <w:jc w:val="left"/>
        <w:rPr>
          <w:rFonts w:ascii="Times New Roman" w:hAnsi="Times New Roman"/>
          <w:b/>
          <w:i/>
          <w:sz w:val="20"/>
        </w:rPr>
      </w:pPr>
      <w:r>
        <w:rPr>
          <w:rFonts w:ascii="Times New Roman" w:hAnsi="Times New Roman"/>
          <w:b/>
          <w:i/>
          <w:sz w:val="20"/>
        </w:rPr>
        <w:t xml:space="preserve">The Depositary for the ADSs is entitled to charge holders fees for various services, including annual service fees. </w:t>
      </w:r>
    </w:p>
    <w:p>
      <w:pPr>
        <w:pStyle w:val="TextBody"/>
        <w:spacing w:before="120" w:after="0"/>
        <w:jc w:val="left"/>
        <w:rPr>
          <w:rFonts w:ascii="Times New Roman" w:hAnsi="Times New Roman"/>
          <w:sz w:val="20"/>
        </w:rPr>
      </w:pPr>
      <w:r>
        <w:rPr>
          <w:rFonts w:ascii="Times New Roman" w:hAnsi="Times New Roman"/>
          <w:sz w:val="20"/>
        </w:rPr>
        <w:t xml:space="preserve">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“—Risks Related to Tax—Transfers of ADSs or the underlying Company securities may be subject to stamp duty or stamp duty reserve tax in the U.K., which would increase the cost of dealing in the Company’s securities.” </w:t>
      </w:r>
    </w:p>
    <w:p>
      <w:pPr>
        <w:pStyle w:val="TextBody"/>
        <w:spacing w:before="360" w:after="0"/>
        <w:jc w:val="left"/>
        <w:rPr>
          <w:rFonts w:ascii="Times New Roman" w:hAnsi="Times New Roman"/>
          <w:b/>
          <w:i/>
          <w:sz w:val="20"/>
        </w:rPr>
      </w:pPr>
      <w:r>
        <w:rPr>
          <w:rFonts w:ascii="Times New Roman" w:hAnsi="Times New Roman"/>
          <w:b/>
          <w:i/>
          <w:sz w:val="20"/>
        </w:rPr>
        <w:t xml:space="preserve">The ADS holders may not receive dividends or other distributions of the Company securities and the holders thereof may not receive any value for them, if it is illegal or impractical to make them available to such holders. </w:t>
      </w:r>
    </w:p>
    <w:p>
      <w:pPr>
        <w:pStyle w:val="TextBody"/>
        <w:spacing w:before="120" w:after="0"/>
        <w:jc w:val="left"/>
        <w:rPr>
          <w:rFonts w:ascii="Times New Roman" w:hAnsi="Times New Roman"/>
          <w:sz w:val="20"/>
        </w:rPr>
      </w:pPr>
      <w:r>
        <w:rPr>
          <w:rFonts w:ascii="Times New Roman" w:hAnsi="Times New Roman"/>
          <w:sz w:val="20"/>
        </w:rPr>
        <w:t xml:space="preserve">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 </w:t>
      </w:r>
    </w:p>
    <w:p>
      <w:pPr>
        <w:pStyle w:val="TextBody"/>
        <w:spacing w:before="360" w:after="0"/>
        <w:jc w:val="left"/>
        <w:rPr>
          <w:rFonts w:ascii="Times New Roman" w:hAnsi="Times New Roman"/>
          <w:b/>
          <w:i/>
          <w:sz w:val="20"/>
        </w:rPr>
      </w:pPr>
      <w:r>
        <w:rPr>
          <w:rFonts w:ascii="Times New Roman" w:hAnsi="Times New Roman"/>
          <w:b/>
          <w:i/>
          <w:sz w:val="20"/>
        </w:rPr>
        <w:t xml:space="preserve">It may be difficult for you to bring any action or enforce any judgment obtained in the United States against Polestar or members of the Board, which may limit the remedies otherwise available to you. </w:t>
      </w:r>
    </w:p>
    <w:p>
      <w:pPr>
        <w:pStyle w:val="TextBody"/>
        <w:spacing w:before="120" w:after="0"/>
        <w:jc w:val="left"/>
        <w:rPr>
          <w:rFonts w:ascii="Times New Roman" w:hAnsi="Times New Roman"/>
          <w:sz w:val="20"/>
        </w:rPr>
      </w:pPr>
      <w:r>
        <w:rPr>
          <w:rFonts w:ascii="Times New Roman" w:hAnsi="Times New Roman"/>
          <w:sz w:val="20"/>
        </w:rPr>
        <w:t xml:space="preserve">Polestar is incorporated as a public limited company in England and Wales, and the majority of its assets are located outside the United States. In addition, the majority of the members of the Board are nationals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residents of countries outside of the United States. Most or all of the assets of these individuals are located outside the United States. As a result, it may be difficult or impossible for you to bring an action against Polestar or against these individuals in the United States if you believe your rights have been infringed under the securities laws or otherwise. In addition, a United Kingdom court may prevent you from enforcing a judgment of a U.S. court against Polestar or these individuals based on the securities laws of the United States or any state thereof. A United Kingdom court may not allow you to bring an action against Polestar or its directors based on the securities laws of the United States or any state thereof. For more information, also see the section entitled “</w:t>
      </w:r>
      <w:r>
        <w:rPr>
          <w:rFonts w:ascii="Times New Roman" w:hAnsi="Times New Roman"/>
          <w:i/>
          <w:sz w:val="20"/>
        </w:rPr>
        <w:t>Service of Process and Enforcement of</w:t>
      </w:r>
      <w:r>
        <w:rPr>
          <w:rFonts w:ascii="Times New Roman" w:hAnsi="Times New Roman"/>
          <w:sz w:val="20"/>
        </w:rPr>
        <w:t xml:space="preserve"> </w:t>
      </w:r>
      <w:r>
        <w:rPr>
          <w:rFonts w:ascii="Times New Roman" w:hAnsi="Times New Roman"/>
          <w:i/>
          <w:sz w:val="20"/>
        </w:rPr>
        <w:t>Liabilities</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may experience dilution of their holdings due to their inability to participate in rights offerings. </w:t>
      </w:r>
    </w:p>
    <w:p>
      <w:pPr>
        <w:pStyle w:val="TextBody"/>
        <w:spacing w:before="120" w:after="0"/>
        <w:jc w:val="left"/>
        <w:rPr>
          <w:rFonts w:ascii="Times New Roman" w:hAnsi="Times New Roman"/>
          <w:sz w:val="20"/>
        </w:rPr>
      </w:pPr>
      <w:r>
        <w:rPr>
          <w:rFonts w:ascii="Times New Roman" w:hAnsi="Times New Roman"/>
          <w:sz w:val="20"/>
        </w:rPr>
        <w:t xml:space="preserve">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may be subject to limitations on transfer of their ADSs. </w:t>
      </w:r>
    </w:p>
    <w:p>
      <w:pPr>
        <w:pStyle w:val="TextBody"/>
        <w:spacing w:before="120" w:after="0"/>
        <w:jc w:val="left"/>
        <w:rPr>
          <w:rFonts w:ascii="Times New Roman" w:hAnsi="Times New Roman"/>
          <w:sz w:val="20"/>
        </w:rPr>
      </w:pPr>
      <w:r>
        <w:rPr>
          <w:rFonts w:ascii="Times New Roman" w:hAnsi="Times New Roman"/>
          <w:sz w:val="20"/>
        </w:rPr>
        <w:t xml:space="preserve">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 </w:t>
      </w:r>
    </w:p>
    <w:p>
      <w:pPr>
        <w:pStyle w:val="TextBody"/>
        <w:spacing w:before="360" w:after="0"/>
        <w:jc w:val="left"/>
        <w:rPr>
          <w:rFonts w:ascii="Times New Roman" w:hAnsi="Times New Roman"/>
          <w:b/>
          <w:i/>
          <w:sz w:val="20"/>
        </w:rPr>
      </w:pPr>
      <w:r>
        <w:rPr>
          <w:rFonts w:ascii="Times New Roman" w:hAnsi="Times New Roman"/>
          <w:b/>
          <w:i/>
          <w:sz w:val="20"/>
        </w:rPr>
        <w:t xml:space="preserve">The Company may be subject to securities litigation, which is expensive and could divert management attention. </w:t>
      </w:r>
    </w:p>
    <w:p>
      <w:pPr>
        <w:pStyle w:val="TextBody"/>
        <w:spacing w:before="120" w:after="0"/>
        <w:jc w:val="left"/>
        <w:rPr>
          <w:rFonts w:ascii="Times New Roman" w:hAnsi="Times New Roman"/>
          <w:sz w:val="20"/>
        </w:rPr>
      </w:pPr>
      <w:r>
        <w:rPr>
          <w:rFonts w:ascii="Times New Roman" w:hAnsi="Times New Roman"/>
          <w:sz w:val="20"/>
        </w:rPr>
        <w:t xml:space="preserve">The price of the AD securities may be volatile and, in the past, companies that have experienced volatility in the market price of their shares have been subject to securities class action litigation. Polestar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rom472016_11"/>
      <w:bookmarkEnd w:id="13"/>
      <w:r>
        <w:rPr>
          <w:rFonts w:ascii="Times New Roman" w:hAnsi="Times New Roman"/>
          <w:b/>
          <w:sz w:val="20"/>
        </w:rPr>
        <w:t xml:space="preserve">CAPITALIZATION AND INDEBTEDNESS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our capitalization and indebtedness of the Company as of December 31, 2022, and should be read in conjunction with “Operating and Financial Review and Prospects” and the financial statements as of December 31, 2022 and 2021 and for each of the three years in the period ended December 31, 2022, and the notes and schedules related thereto, which are included at the end of this prospectus. </w:t>
      </w:r>
    </w:p>
    <w:p>
      <w:pPr>
        <w:pStyle w:val="TextBody"/>
        <w:spacing w:before="0" w:after="0"/>
        <w:jc w:val="left"/>
        <w:rPr/>
      </w:pPr>
      <w:r>
        <w:rPr/>
        <w:t> </w:t>
      </w:r>
    </w:p>
    <w:tbl>
      <w:tblPr>
        <w:tblW w:w="5570" w:type="dxa"/>
        <w:jc w:val="left"/>
        <w:tblInd w:w="0" w:type="dxa"/>
        <w:tblCellMar>
          <w:top w:w="0" w:type="dxa"/>
          <w:left w:w="0" w:type="dxa"/>
          <w:bottom w:w="0" w:type="dxa"/>
          <w:right w:w="0" w:type="dxa"/>
        </w:tblCellMar>
      </w:tblPr>
      <w:tblGrid>
        <w:gridCol w:w="4085"/>
        <w:gridCol w:w="120"/>
        <w:gridCol w:w="140"/>
        <w:gridCol w:w="1055"/>
        <w:gridCol w:w="170"/>
      </w:tblGrid>
      <w:tr>
        <w:trPr/>
        <w:tc>
          <w:tcPr>
            <w:tcW w:w="4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08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i/>
                <w:sz w:val="16"/>
              </w:rPr>
            </w:pPr>
            <w:r>
              <w:rPr>
                <w:rFonts w:ascii="Times New Roman" w:hAnsi="Times New Roman"/>
                <w:b/>
                <w:i/>
                <w:sz w:val="16"/>
              </w:rPr>
              <w:t>As of December 31, 2022 (in TUSD)</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b/>
                <w:i/>
              </w:rPr>
            </w:pPr>
            <w:r>
              <w:rPr>
                <w:b/>
                <w:i/>
              </w:rPr>
              <w:t>Polestar</w:t>
              <w:br/>
              <w:t>Historical</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40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b/>
              </w:rPr>
            </w:pPr>
            <w:r>
              <w:rPr>
                <w:b/>
              </w:rPr>
              <w:t>$</w:t>
            </w:r>
          </w:p>
        </w:tc>
        <w:tc>
          <w:tcPr>
            <w:tcW w:w="1055" w:type="dxa"/>
            <w:tcBorders/>
            <w:shd w:fill="auto" w:val="clear"/>
            <w:vAlign w:val="center"/>
          </w:tcPr>
          <w:p>
            <w:pPr>
              <w:pStyle w:val="TableContents"/>
              <w:spacing w:before="0" w:after="283"/>
              <w:jc w:val="right"/>
              <w:rPr>
                <w:b/>
              </w:rPr>
            </w:pPr>
            <w:r>
              <w:rPr>
                <w:b/>
              </w:rPr>
              <w:t>973,877</w:t>
            </w:r>
          </w:p>
        </w:tc>
        <w:tc>
          <w:tcPr>
            <w:tcW w:w="170"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Borrowings and other financial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40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non-current interest-bearing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(85,556</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(1,328,752</w:t>
            </w:r>
          </w:p>
        </w:tc>
        <w:tc>
          <w:tcPr>
            <w:tcW w:w="170" w:type="dxa"/>
            <w:tcBorders/>
            <w:shd w:fill="CCEEFF"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(21,545</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liabilities—related parties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(16,690</w:t>
            </w:r>
          </w:p>
        </w:tc>
        <w:tc>
          <w:tcPr>
            <w:tcW w:w="170" w:type="dxa"/>
            <w:tcBorders/>
            <w:shd w:fill="CCEEFF"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payables—related parties (1)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(957,497</w:t>
            </w:r>
          </w:p>
        </w:tc>
        <w:tc>
          <w:tcPr>
            <w:tcW w:w="170"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Borrowings and other financial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b/>
              </w:rPr>
            </w:pPr>
            <w:r>
              <w:rPr>
                <w:b/>
              </w:rPr>
              <w:t>(2,410,040</w:t>
            </w:r>
          </w:p>
        </w:tc>
        <w:tc>
          <w:tcPr>
            <w:tcW w:w="170" w:type="dxa"/>
            <w:tcBorders/>
            <w:shd w:fill="CCEEFF" w:val="clear"/>
            <w:vAlign w:val="center"/>
          </w:tcPr>
          <w:p>
            <w:pPr>
              <w:pStyle w:val="TableContents"/>
              <w:spacing w:before="0" w:after="283"/>
              <w:rPr>
                <w:b/>
              </w:rPr>
            </w:pPr>
            <w:r>
              <w:rPr>
                <w:b/>
              </w:rPr>
              <w:t>) </w:t>
            </w:r>
          </w:p>
        </w:tc>
      </w:tr>
      <w:tr>
        <w:trPr/>
        <w:tc>
          <w:tcPr>
            <w:tcW w:w="4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0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 Capital (the Company)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(21,165</w:t>
            </w:r>
          </w:p>
        </w:tc>
        <w:tc>
          <w:tcPr>
            <w:tcW w:w="170" w:type="dxa"/>
            <w:tcBorders/>
            <w:shd w:fill="CCEEFF"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contributed capital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(3,584,232</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3,726,775</w:t>
            </w:r>
          </w:p>
        </w:tc>
        <w:tc>
          <w:tcPr>
            <w:tcW w:w="170" w:type="dxa"/>
            <w:tcBorders/>
            <w:shd w:fill="CCEEFF"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deficit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b/>
              </w:rPr>
            </w:pPr>
            <w:r>
              <w:rPr>
                <w:b/>
              </w:rPr>
              <w:t>121,378</w:t>
            </w:r>
          </w:p>
        </w:tc>
        <w:tc>
          <w:tcPr>
            <w:tcW w:w="170"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Capitalization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b/>
              </w:rPr>
            </w:pPr>
            <w:r>
              <w:rPr>
                <w:b/>
              </w:rPr>
              <w:t>$</w:t>
            </w:r>
          </w:p>
        </w:tc>
        <w:tc>
          <w:tcPr>
            <w:tcW w:w="1055" w:type="dxa"/>
            <w:tcBorders/>
            <w:shd w:fill="CCEEFF" w:val="clear"/>
            <w:vAlign w:val="center"/>
          </w:tcPr>
          <w:p>
            <w:pPr>
              <w:pStyle w:val="TableContents"/>
              <w:spacing w:before="0" w:after="283"/>
              <w:jc w:val="right"/>
              <w:rPr>
                <w:b/>
              </w:rPr>
            </w:pPr>
            <w:r>
              <w:rPr>
                <w:b/>
              </w:rPr>
              <w:t>(2,288,662</w:t>
            </w:r>
          </w:p>
        </w:tc>
        <w:tc>
          <w:tcPr>
            <w:tcW w:w="170" w:type="dxa"/>
            <w:tcBorders/>
            <w:shd w:fill="CCEEFF" w:val="clear"/>
            <w:vAlign w:val="center"/>
          </w:tcPr>
          <w:p>
            <w:pPr>
              <w:pStyle w:val="TableContents"/>
              <w:spacing w:before="0" w:after="283"/>
              <w:rPr>
                <w:b/>
              </w:rPr>
            </w:pPr>
            <w:r>
              <w:rPr>
                <w:b/>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(1)</w:t>
            </w:r>
          </w:p>
        </w:tc>
        <w:tc>
          <w:tcPr>
            <w:tcW w:w="99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Polestar maintains a significant amount of overdue related party trade payables to Volvo Cars and Geely. These related party trade payables are interest-bearing with flexible payment terms. For more information, refer to </w:t>
            </w:r>
            <w:r>
              <w:rPr>
                <w:rFonts w:ascii="Times New Roman" w:hAnsi="Times New Roman"/>
                <w:i/>
                <w:sz w:val="20"/>
              </w:rPr>
              <w:t xml:space="preserve">Note 25—Related party transactions </w:t>
            </w:r>
            <w:r>
              <w:rPr>
                <w:rFonts w:ascii="Times New Roman" w:hAnsi="Times New Roman"/>
                <w:sz w:val="20"/>
              </w:rPr>
              <w:t xml:space="preserve">in Polestar’s financial statements as of December 31, 2022 and 2021 and for each of the three years in the period ended December 31, 2022 included elsewhere in this prospectus.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rom472016_12"/>
      <w:bookmarkEnd w:id="14"/>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 </w:t>
      </w:r>
    </w:p>
    <w:p>
      <w:pPr>
        <w:pStyle w:val="TextBody"/>
        <w:spacing w:before="240" w:after="0"/>
        <w:jc w:val="left"/>
        <w:rPr>
          <w:rFonts w:ascii="Times New Roman" w:hAnsi="Times New Roman"/>
          <w:sz w:val="20"/>
        </w:rPr>
      </w:pPr>
      <w:r>
        <w:rPr>
          <w:rFonts w:ascii="Times New Roman" w:hAnsi="Times New Roman"/>
          <w:sz w:val="20"/>
        </w:rPr>
        <w:t xml:space="preserve">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 </w:t>
      </w:r>
    </w:p>
    <w:p>
      <w:pPr>
        <w:pStyle w:val="TextBody"/>
        <w:spacing w:before="240" w:after="0"/>
        <w:jc w:val="left"/>
        <w:rPr>
          <w:rFonts w:ascii="Times New Roman" w:hAnsi="Times New Roman"/>
          <w:sz w:val="20"/>
        </w:rPr>
      </w:pPr>
      <w:r>
        <w:rPr>
          <w:rFonts w:ascii="Times New Roman" w:hAnsi="Times New Roman"/>
          <w:sz w:val="20"/>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rom472016_13"/>
      <w:bookmarkEnd w:id="15"/>
      <w:r>
        <w:rPr>
          <w:rFonts w:ascii="Times New Roman" w:hAnsi="Times New Roman"/>
          <w:b/>
          <w:sz w:val="20"/>
        </w:rPr>
        <w:t xml:space="preserve">MARKET PRICE OF OUR SECURITIES AND DIVIDEND POLICY </w:t>
      </w:r>
    </w:p>
    <w:p>
      <w:pPr>
        <w:pStyle w:val="TextBody"/>
        <w:spacing w:before="240" w:after="0"/>
        <w:jc w:val="left"/>
        <w:rPr>
          <w:rFonts w:ascii="Times New Roman" w:hAnsi="Times New Roman"/>
          <w:sz w:val="20"/>
        </w:rPr>
      </w:pPr>
      <w:r>
        <w:rPr>
          <w:rFonts w:ascii="Times New Roman" w:hAnsi="Times New Roman"/>
          <w:sz w:val="20"/>
        </w:rPr>
        <w:t xml:space="preserve">Our Class A ADSs and Class C-1 ADSs are listed on the Nasdaq, under the trading symbols “PSNY” and “PSNYW,” respectively. On April 20, 2023, the closing price for our Class A ADSs on Nasdaq was $3.59. On April 20, 2023, the closing price for our Class C-1 ADSs on Nasdaq was $0.76. </w:t>
      </w:r>
    </w:p>
    <w:p>
      <w:pPr>
        <w:pStyle w:val="TextBody"/>
        <w:spacing w:before="240" w:after="0"/>
        <w:jc w:val="left"/>
        <w:rPr>
          <w:rFonts w:ascii="Times New Roman" w:hAnsi="Times New Roman"/>
          <w:sz w:val="20"/>
        </w:rPr>
      </w:pPr>
      <w:r>
        <w:rPr>
          <w:rFonts w:ascii="Times New Roman" w:hAnsi="Times New Roman"/>
          <w:sz w:val="20"/>
        </w:rPr>
        <w:t xml:space="preserve">As of December 31, 2022, there were approximately 86 shareholders of record for our Class A ADSs, two shareholders of record for our Class B ADSs and four shareholders of record for our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 </w:t>
      </w:r>
    </w:p>
    <w:p>
      <w:pPr>
        <w:pStyle w:val="TextBody"/>
        <w:spacing w:before="240" w:after="0"/>
        <w:jc w:val="left"/>
        <w:rPr>
          <w:rFonts w:ascii="Times New Roman" w:hAnsi="Times New Roman"/>
          <w:sz w:val="20"/>
        </w:rPr>
      </w:pPr>
      <w:r>
        <w:rPr>
          <w:rFonts w:ascii="Times New Roman" w:hAnsi="Times New Roman"/>
          <w:sz w:val="20"/>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rom472016_14"/>
      <w:bookmarkEnd w:id="16"/>
      <w:r>
        <w:rPr>
          <w:rFonts w:ascii="Times New Roman" w:hAnsi="Times New Roman"/>
          <w:b/>
          <w:sz w:val="20"/>
        </w:rPr>
        <w:t xml:space="preserve">BUSINESS </w:t>
      </w:r>
    </w:p>
    <w:p>
      <w:pPr>
        <w:pStyle w:val="TextBody"/>
        <w:spacing w:before="240" w:after="0"/>
        <w:jc w:val="left"/>
        <w:rPr>
          <w:rFonts w:ascii="Times New Roman" w:hAnsi="Times New Roman"/>
          <w:b/>
          <w:i/>
          <w:sz w:val="20"/>
        </w:rPr>
      </w:pPr>
      <w:r>
        <w:rPr>
          <w:rFonts w:ascii="Times New Roman" w:hAnsi="Times New Roman"/>
          <w:b/>
          <w:i/>
          <w:sz w:val="20"/>
        </w:rPr>
        <w:t xml:space="preserve">History and Development of the Company </w:t>
      </w:r>
    </w:p>
    <w:p>
      <w:pPr>
        <w:pStyle w:val="TextBody"/>
        <w:spacing w:before="120" w:after="0"/>
        <w:jc w:val="left"/>
        <w:rPr>
          <w:rFonts w:ascii="Times New Roman" w:hAnsi="Times New Roman"/>
          <w:sz w:val="20"/>
        </w:rPr>
      </w:pPr>
      <w:r>
        <w:rPr>
          <w:rFonts w:ascii="Times New Roman" w:hAnsi="Times New Roman"/>
          <w:sz w:val="20"/>
        </w:rPr>
        <w:t xml:space="preserve">The legal name of the Company is “Polestar Automotive Holding UK PLC.” 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w:t>
      </w:r>
    </w:p>
    <w:p>
      <w:pPr>
        <w:pStyle w:val="TextBody"/>
        <w:spacing w:before="240" w:after="0"/>
        <w:jc w:val="left"/>
        <w:rPr>
          <w:rFonts w:ascii="Times New Roman" w:hAnsi="Times New Roman"/>
          <w:sz w:val="20"/>
        </w:rPr>
      </w:pPr>
      <w:r>
        <w:rPr>
          <w:rFonts w:ascii="Times New Roman" w:hAnsi="Times New Roman"/>
          <w:sz w:val="20"/>
        </w:rPr>
        <w:t xml:space="preserve">On September 27, 2021, GGI, Former Parent, Polestar Singapore, Polestar Sweden, the Company and Merger Sub entered into a Business Combination Agreement. The Business Combination was consummated on June 23, 2022. At the Business Combination Closing, the Company completed the Pre-Closing Reorganization, pursuant to which, among other things, Polestar Singapore, Polestar Sweden and their respective subsidiaries became wholly owned subsidiaries of the Company. </w:t>
      </w:r>
    </w:p>
    <w:p>
      <w:pPr>
        <w:pStyle w:val="TextBody"/>
        <w:spacing w:before="240" w:after="0"/>
        <w:jc w:val="left"/>
        <w:rPr>
          <w:rFonts w:ascii="Times New Roman" w:hAnsi="Times New Roman"/>
          <w:sz w:val="20"/>
        </w:rPr>
      </w:pPr>
      <w:r>
        <w:rPr>
          <w:rFonts w:ascii="Times New Roman" w:hAnsi="Times New Roman"/>
          <w:sz w:val="20"/>
        </w:rPr>
        <w:t xml:space="preserve">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 </w:t>
      </w:r>
    </w:p>
    <w:p>
      <w:pPr>
        <w:pStyle w:val="TextBody"/>
        <w:spacing w:before="240" w:after="0"/>
        <w:jc w:val="left"/>
        <w:rPr>
          <w:rFonts w:ascii="Times New Roman" w:hAnsi="Times New Roman"/>
          <w:sz w:val="20"/>
        </w:rPr>
      </w:pPr>
      <w:r>
        <w:rPr>
          <w:rFonts w:ascii="Times New Roman" w:hAnsi="Times New Roman"/>
          <w:sz w:val="20"/>
        </w:rPr>
        <w:t xml:space="preserve">The website address of the Company is https://www.polestar.com/us/. The information contained on the website does not form a part of, and is not incorporated by reference into, this prospectus. </w:t>
      </w:r>
    </w:p>
    <w:p>
      <w:pPr>
        <w:pStyle w:val="TextBody"/>
        <w:spacing w:before="240" w:after="0"/>
        <w:jc w:val="left"/>
        <w:rPr>
          <w:rFonts w:ascii="Times New Roman" w:hAnsi="Times New Roman"/>
          <w:sz w:val="20"/>
        </w:rPr>
      </w:pPr>
      <w:r>
        <w:rPr>
          <w:rFonts w:ascii="Times New Roman" w:hAnsi="Times New Roman"/>
          <w:sz w:val="20"/>
        </w:rPr>
        <w:t xml:space="preserve">Polestar’s capital expenditures for the years ended December 31, 2022, 2021 and 2020 amounted to TUSD380,457, TUSD504,774 and TUSD400,793, respectively. These capital expenditures primarily consisted of purchases of unique tooling for production facilities, the development and purchase of certain intellectual property rights and tooling and equipment used at Polestar’s research and development center in the United Kingdom at the Mira Technology Park in Coventry. Polestar expects its capital expenditures to increase in the near term as it continues to invest in the acquisition of intellectual property as well unique tooling and equipment. Polestar anticipates that its capital expenditures in 2023 will be financed from the issuance of equity or debt instruments, various short-term credit facilities, including working capital facilities, term loans with related parties, sale leaseback arrangements, and extended trade credit with related parties. </w:t>
      </w:r>
    </w:p>
    <w:p>
      <w:pPr>
        <w:pStyle w:val="TextBody"/>
        <w:spacing w:before="360" w:after="0"/>
        <w:jc w:val="left"/>
        <w:rPr>
          <w:rFonts w:ascii="Times New Roman" w:hAnsi="Times New Roman"/>
          <w:b/>
          <w:i/>
          <w:sz w:val="20"/>
        </w:rPr>
      </w:pPr>
      <w:r>
        <w:rPr>
          <w:rFonts w:ascii="Times New Roman" w:hAnsi="Times New Roman"/>
          <w:b/>
          <w:i/>
          <w:sz w:val="20"/>
        </w:rPr>
        <w:t xml:space="preserve">Summary </w:t>
      </w:r>
    </w:p>
    <w:p>
      <w:pPr>
        <w:pStyle w:val="TextBody"/>
        <w:spacing w:before="120" w:after="0"/>
        <w:jc w:val="left"/>
        <w:rPr>
          <w:rFonts w:ascii="Times New Roman" w:hAnsi="Times New Roman"/>
          <w:sz w:val="20"/>
        </w:rPr>
      </w:pPr>
      <w:r>
        <w:rPr>
          <w:rFonts w:ascii="Times New Roman" w:hAnsi="Times New Roman"/>
          <w:sz w:val="20"/>
        </w:rPr>
        <w:t xml:space="preserve">Polestar is determined to improve society by accelerating the shift to sustainable mobility. </w:t>
      </w:r>
    </w:p>
    <w:p>
      <w:pPr>
        <w:pStyle w:val="TextBody"/>
        <w:spacing w:before="240" w:after="0"/>
        <w:jc w:val="left"/>
        <w:rPr>
          <w:rFonts w:ascii="Times New Roman" w:hAnsi="Times New Roman"/>
          <w:sz w:val="20"/>
        </w:rPr>
      </w:pPr>
      <w:r>
        <w:rPr>
          <w:rFonts w:ascii="Times New Roman" w:hAnsi="Times New Roman"/>
          <w:sz w:val="20"/>
        </w:rPr>
        <w:t xml:space="preserve">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 </w:t>
      </w:r>
    </w:p>
    <w:p>
      <w:pPr>
        <w:pStyle w:val="TextBody"/>
        <w:spacing w:before="240" w:after="0"/>
        <w:jc w:val="left"/>
        <w:rPr>
          <w:rFonts w:ascii="Times New Roman" w:hAnsi="Times New Roman"/>
          <w:sz w:val="20"/>
        </w:rPr>
      </w:pPr>
      <w:r>
        <w:rPr>
          <w:rFonts w:ascii="Times New Roman" w:hAnsi="Times New Roman"/>
          <w:sz w:val="20"/>
        </w:rPr>
        <w:t xml:space="preserve">Polestar 1, an electric performance hybrid GT, was launched to establish Polestar in the premium luxury electric vehicle market in 2017. With a carbon fiber body, Polestar 1 has a combined 609 horse power (hp)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1,000 Newton-meter (Nm) of torque. Production of the Polestar 1 ceased at the end of 2021, making Polestar a dedicated electric vehicle manufacturer. Polestar 2, an electric performance fastback and Polestar’s first fully electric, high volume car was launched in 2019. Polestar 2 has three variants with a combination of long- and standard range batteries as large as 82 kWh, and dual- and single-motor powertrains with up to 310 kW / 421 hp and 740 Nm of torque. Polestar 3, an electric performance SUV, was launched in 2022. Polestar 3 has two dual-motor 111 kWh battery variants with powertrains up to 380 kW / 517 hp and 910 Nm of torque. </w:t>
      </w:r>
    </w:p>
    <w:p>
      <w:pPr>
        <w:pStyle w:val="TextBody"/>
        <w:spacing w:before="240" w:after="0"/>
        <w:jc w:val="left"/>
        <w:rPr>
          <w:rFonts w:ascii="Times New Roman" w:hAnsi="Times New Roman"/>
          <w:sz w:val="20"/>
        </w:rPr>
      </w:pPr>
      <w:r>
        <w:rPr>
          <w:rFonts w:ascii="Times New Roman" w:hAnsi="Times New Roman"/>
          <w:sz w:val="20"/>
        </w:rPr>
        <w:t xml:space="preserve">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spacing w:before="240" w:after="0"/>
        <w:jc w:val="left"/>
        <w:rPr>
          <w:rFonts w:ascii="Times New Roman" w:hAnsi="Times New Roman"/>
          <w:sz w:val="20"/>
        </w:rPr>
      </w:pPr>
      <w:r>
        <w:rPr>
          <w:rFonts w:ascii="Times New Roman" w:hAnsi="Times New Roman"/>
          <w:sz w:val="20"/>
        </w:rPr>
        <w:t xml:space="preserve">As of December 31, 2022, Polestar’s cars are on the road in 27 markets across Europe, North America and Asia Pacific. Polestar intends to grow rapidly in its existing and new markets, which include eight new countries in 2022. Polestar also plans to introduce three new electric vehicles by 2026. Following the launch of the Polestar 3, an electric performance SUV, on October 12, 2022 where customers were able to begin placing orders, Polestar expects to launch Polestar 4, a sporty SUV coupe in 2023, Polestar 5, a luxury 4 door GT, in 2024 and Polestar 6, an electric performance roadster, in 2026. With growth in existing and new markets and broader vehicle portfolio, Polestar expects to compete in segments constituting approximately 80% of the global premium luxury vehicle market by volume of units sold by 2025. Polestar believes the premium luxury vehicle segment is one of the fastest growing vehicle segments, and expects the electric-only vehicle portion of this segment to grow at a faster rate than the overall segment. </w:t>
      </w:r>
    </w:p>
    <w:p>
      <w:pPr>
        <w:pStyle w:val="TextBody"/>
        <w:spacing w:before="240" w:after="0"/>
        <w:jc w:val="left"/>
        <w:rPr>
          <w:rFonts w:ascii="Times New Roman" w:hAnsi="Times New Roman"/>
          <w:sz w:val="20"/>
        </w:rPr>
      </w:pPr>
      <w:r>
        <w:rPr>
          <w:rFonts w:ascii="Times New Roman" w:hAnsi="Times New Roman"/>
          <w:sz w:val="20"/>
        </w:rPr>
        <w:t xml:space="preserve">The following tables show Polestar’s revenue by type and geographical region for the years ended December 31, 2020, 2021 and 2022: </w:t>
      </w:r>
    </w:p>
    <w:p>
      <w:pPr>
        <w:pStyle w:val="TextBody"/>
        <w:spacing w:before="0" w:after="0"/>
        <w:jc w:val="left"/>
        <w:rPr/>
      </w:pPr>
      <w:r>
        <w:rPr/>
        <w:t> </w:t>
      </w:r>
    </w:p>
    <w:tbl>
      <w:tblPr>
        <w:tblW w:w="7673" w:type="dxa"/>
        <w:jc w:val="left"/>
        <w:tblInd w:w="0" w:type="dxa"/>
        <w:tblCellMar>
          <w:top w:w="0" w:type="dxa"/>
          <w:left w:w="0" w:type="dxa"/>
          <w:bottom w:w="0" w:type="dxa"/>
          <w:right w:w="0" w:type="dxa"/>
        </w:tblCellMar>
      </w:tblPr>
      <w:tblGrid>
        <w:gridCol w:w="4070"/>
        <w:gridCol w:w="120"/>
        <w:gridCol w:w="62"/>
        <w:gridCol w:w="1012"/>
        <w:gridCol w:w="62"/>
        <w:gridCol w:w="124"/>
        <w:gridCol w:w="62"/>
        <w:gridCol w:w="1012"/>
        <w:gridCol w:w="62"/>
        <w:gridCol w:w="124"/>
        <w:gridCol w:w="62"/>
        <w:gridCol w:w="826"/>
        <w:gridCol w:w="75"/>
      </w:tblGrid>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8"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vehicles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2,404,246</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1,290,031</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542,783</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21,308</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25,881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35,434</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carbon credits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10,984</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6,299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27,141</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Vehicle leasing revenue</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16,719</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6,217</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revenue</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8,639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8,753</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4,887</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2,461,896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1,337,181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b/>
              </w:rPr>
            </w:pPr>
            <w:r>
              <w:rPr>
                <w:b/>
              </w:rPr>
              <w:t>610,245</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6533" w:type="dxa"/>
        <w:jc w:val="left"/>
        <w:tblInd w:w="0" w:type="dxa"/>
        <w:tblCellMar>
          <w:top w:w="0" w:type="dxa"/>
          <w:left w:w="0" w:type="dxa"/>
          <w:bottom w:w="0" w:type="dxa"/>
          <w:right w:w="0" w:type="dxa"/>
        </w:tblCellMar>
      </w:tblPr>
      <w:tblGrid>
        <w:gridCol w:w="2930"/>
        <w:gridCol w:w="120"/>
        <w:gridCol w:w="62"/>
        <w:gridCol w:w="1012"/>
        <w:gridCol w:w="62"/>
        <w:gridCol w:w="124"/>
        <w:gridCol w:w="62"/>
        <w:gridCol w:w="1012"/>
        <w:gridCol w:w="62"/>
        <w:gridCol w:w="124"/>
        <w:gridCol w:w="62"/>
        <w:gridCol w:w="826"/>
        <w:gridCol w:w="75"/>
      </w:tblGrid>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8"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Europe, the Middle East, and Africa</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1,619,046</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1,029,058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568,311</w:t>
            </w:r>
          </w:p>
        </w:tc>
        <w:tc>
          <w:tcPr>
            <w:tcW w:w="75"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North America</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609,058</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265,661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28,084</w:t>
            </w:r>
          </w:p>
        </w:tc>
        <w:tc>
          <w:tcPr>
            <w:tcW w:w="75"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Asia and Australia</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233,792</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42,462</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13,850</w:t>
            </w:r>
          </w:p>
        </w:tc>
        <w:tc>
          <w:tcPr>
            <w:tcW w:w="75"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2,461,896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b/>
              </w:rPr>
            </w:pPr>
            <w:r>
              <w:rPr>
                <w:b/>
              </w:rPr>
              <w:t>1,337,181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b/>
              </w:rPr>
            </w:pPr>
            <w:r>
              <w:rPr>
                <w:b/>
              </w:rPr>
              <w:t>610,245</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1012" w:type="dxa"/>
            <w:tcBorders/>
            <w:shd w:fill="auto" w:val="clear"/>
            <w:vAlign w:val="center"/>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pBdr>
                <w:top w:val="single" w:sz="2" w:space="1" w:color="000000"/>
              </w:pBdr>
              <w:spacing w:before="0" w:after="0"/>
              <w:rPr/>
            </w:pPr>
            <w:r>
              <w:rPr/>
              <w:t> </w:t>
            </w:r>
          </w:p>
        </w:tc>
        <w:tc>
          <w:tcPr>
            <w:tcW w:w="82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Polestar has set itself the important goal to create a truly climate neutral production car by the end of 2030, which it refers to as the Polestar 0 project. The development of a truly climate neutral production car by the end of 2030 is a significant milestone on the path to Polestar’s goal of becoming a climate neutral company by the end of 2040.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Polestar’s ability to leverage the manufacturing footprint of both Volvo Cars and Geely provides it with access to a substantial combined installed production capacity and gives Polestar’s highly scalable business model immediate operating leverage. Polestar also plans on expanding its production capacity in Europe by leveraging plants that are owned and operated by Volvo Cars. </w:t>
      </w:r>
    </w:p>
    <w:p>
      <w:pPr>
        <w:pStyle w:val="TextBody"/>
        <w:spacing w:before="240" w:after="0"/>
        <w:jc w:val="left"/>
        <w:rPr>
          <w:rFonts w:ascii="Times New Roman" w:hAnsi="Times New Roman"/>
          <w:sz w:val="20"/>
        </w:rPr>
      </w:pPr>
      <w:r>
        <w:rPr>
          <w:rFonts w:ascii="Times New Roman" w:hAnsi="Times New Roman"/>
          <w:sz w:val="20"/>
        </w:rPr>
        <w:t xml:space="preserve">Polestar’s sales channels include both direct-to-business and direct-to-consumer models. In direct-to-business, vehicles are sold to dealerships and various fleet customers, such as rental car companies and corporate fleet managers. In direct-to-consumer, Polestar uses a digital first approach that enables its customers to browse Polestar’s products, configure their preferred vehicle and place their order on-line. Alternatively, Polestar Spaces are where customers can see, feel and test drive Polestar’s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before="240" w:after="0"/>
        <w:jc w:val="left"/>
        <w:rPr>
          <w:rFonts w:ascii="Times New Roman" w:hAnsi="Times New Roman"/>
          <w:sz w:val="20"/>
        </w:rPr>
      </w:pPr>
      <w:r>
        <w:rPr>
          <w:rFonts w:ascii="Times New Roman" w:hAnsi="Times New Roman"/>
          <w:sz w:val="20"/>
        </w:rPr>
        <w:t xml:space="preserve">Polestar’s research and development expertise is a core competence and Polestar believes it is a significant competitive advantage. With over 650 personnel located in Coventry, United Kingdom and Gothenburg, Sweden, the European research and development team focuses on areas such as bonded aluminum architectures, high-performance electric motor and bi-directional compatible battery packs, in-car software development and advanced engineering and research. A further 30 employees in Shanghai, China are dedicated to the development of specific features for the Chinese market. The Polestar research and development team also benefits, through a variety of agreements, from having access to the substantial engineering and design teams of Volvo Cars and Geely. The strong expertise and ambition to develop and produce sustainable technology solutions and materials is also a key asset of Polestar’s research and development. All in all, Polestar’s ability to create cars with a strong Polestar product design is also widely recognized as a key differentiator. </w:t>
      </w:r>
    </w:p>
    <w:p>
      <w:pPr>
        <w:pStyle w:val="TextBody"/>
        <w:spacing w:before="240" w:after="0"/>
        <w:jc w:val="left"/>
        <w:rPr>
          <w:rFonts w:ascii="Times New Roman" w:hAnsi="Times New Roman"/>
          <w:sz w:val="20"/>
        </w:rPr>
      </w:pPr>
      <w:r>
        <w:rPr>
          <w:rFonts w:ascii="Times New Roman" w:hAnsi="Times New Roman"/>
          <w:sz w:val="20"/>
        </w:rPr>
        <w:t xml:space="preserve">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 </w:t>
      </w:r>
    </w:p>
    <w:p>
      <w:pPr>
        <w:pStyle w:val="TextBody"/>
        <w:spacing w:before="360" w:after="0"/>
        <w:jc w:val="left"/>
        <w:rPr>
          <w:rFonts w:ascii="Times New Roman" w:hAnsi="Times New Roman"/>
          <w:b/>
          <w:i/>
          <w:sz w:val="20"/>
        </w:rPr>
      </w:pPr>
      <w:r>
        <w:rPr>
          <w:rFonts w:ascii="Times New Roman" w:hAnsi="Times New Roman"/>
          <w:b/>
          <w:i/>
          <w:sz w:val="20"/>
        </w:rPr>
        <w:t xml:space="preserve">Recent Developments </w:t>
      </w:r>
    </w:p>
    <w:p>
      <w:pPr>
        <w:pStyle w:val="TextBody"/>
        <w:spacing w:before="120" w:after="0"/>
        <w:jc w:val="left"/>
        <w:rPr>
          <w:rFonts w:ascii="Times New Roman" w:hAnsi="Times New Roman"/>
          <w:sz w:val="20"/>
        </w:rPr>
      </w:pPr>
      <w:r>
        <w:rPr>
          <w:rFonts w:ascii="Times New Roman" w:hAnsi="Times New Roman"/>
          <w:sz w:val="20"/>
        </w:rPr>
        <w:t xml:space="preserve">On January 5, 2023, Polestar announced that its vehicles will benefit from Google’s new high definition (“HD”) map, a comprehensive map that will provide highly detailed and up-to-date road information. With HD map, Polestar expects to be able to combine its vehicle sensor technology and Google’s precise lane-level and localization data to facilitate driver assistance features like Pilot Assist, as well as future autonomous driving functionality. </w:t>
      </w:r>
    </w:p>
    <w:p>
      <w:pPr>
        <w:pStyle w:val="TextBody"/>
        <w:spacing w:before="240" w:after="0"/>
        <w:jc w:val="left"/>
        <w:rPr>
          <w:rFonts w:ascii="Times New Roman" w:hAnsi="Times New Roman"/>
          <w:sz w:val="20"/>
        </w:rPr>
      </w:pPr>
      <w:r>
        <w:rPr>
          <w:rFonts w:ascii="Times New Roman" w:hAnsi="Times New Roman"/>
          <w:sz w:val="20"/>
        </w:rPr>
        <w:t xml:space="preserve">On February 1, 2023, Polestar announced that it had signed up a further eight partners to the Polestar 0 project, the Company’s goal to create a truly climate neutral production car by 2030. The new collaborators. which include Vitesco Technologies and Stora Enso, will contribute to research in areas such as bio-based materials, chemicals, aluminum processes, electronics and interior surface materials. </w:t>
      </w:r>
    </w:p>
    <w:p>
      <w:pPr>
        <w:pStyle w:val="TextBody"/>
        <w:spacing w:before="240" w:after="0"/>
        <w:jc w:val="left"/>
        <w:rPr>
          <w:rFonts w:ascii="Times New Roman" w:hAnsi="Times New Roman"/>
          <w:sz w:val="20"/>
        </w:rPr>
      </w:pPr>
      <w:r>
        <w:rPr>
          <w:rFonts w:ascii="Times New Roman" w:hAnsi="Times New Roman"/>
          <w:sz w:val="20"/>
        </w:rPr>
        <w:t xml:space="preserve">On February 2, 2023, Polestar and Luminar announced an expanded collaboration on the industrial design and integration of Luminar’s 3D laser scanning technology which will be featured on Polestar’s future vehicles,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Polestar 5—the electric 4-door GT expected to be launched in 2024. Luminar is an existing supplier of LiDAR technology for Polestar 3, the Company’s electric performance SUV, which was launched in October 2022. </w:t>
      </w:r>
    </w:p>
    <w:p>
      <w:pPr>
        <w:pStyle w:val="TextBody"/>
        <w:spacing w:before="240" w:after="0"/>
        <w:jc w:val="left"/>
        <w:rPr>
          <w:rFonts w:ascii="Times New Roman" w:hAnsi="Times New Roman"/>
          <w:sz w:val="20"/>
        </w:rPr>
      </w:pPr>
      <w:r>
        <w:rPr>
          <w:rFonts w:ascii="Times New Roman" w:hAnsi="Times New Roman"/>
          <w:sz w:val="20"/>
        </w:rPr>
        <w:t xml:space="preserve">On February 8, 2023, Polestar and Rivian issued in collaboration a “Pathway Report” which concludes that the automotive industry is set to overshoot the IPCC’s 1.5-degree pathway by at least 75% by 2050. Issued in response to the climate crisis, the report, which uses existing, open-source data to model the current trajectory for emissions stemming from the car industry, was carried out by global management consulting firm Kearney. </w:t>
      </w:r>
    </w:p>
    <w:p>
      <w:pPr>
        <w:pStyle w:val="TextBody"/>
        <w:spacing w:before="240" w:after="0"/>
        <w:jc w:val="left"/>
        <w:rPr>
          <w:rFonts w:ascii="Times New Roman" w:hAnsi="Times New Roman"/>
          <w:sz w:val="20"/>
        </w:rPr>
      </w:pPr>
      <w:r>
        <w:rPr>
          <w:rFonts w:ascii="Times New Roman" w:hAnsi="Times New Roman"/>
          <w:sz w:val="20"/>
        </w:rPr>
        <w:t xml:space="preserve">On February 22, 2023, Polestar announced a major upgrade to the Polestar 2 for model 2024. The changes feature a new high-tech front end that reflects the design language premiered by Polestar 3, substantial performance increases with all-new electric motors, even more powerful batteries, sustainability improvements and, for the first time in a Polestar, rear-wheel drive. </w:t>
      </w:r>
    </w:p>
    <w:p>
      <w:pPr>
        <w:pStyle w:val="TextBody"/>
        <w:spacing w:before="240" w:after="0"/>
        <w:jc w:val="left"/>
        <w:rPr>
          <w:rFonts w:ascii="Times New Roman" w:hAnsi="Times New Roman"/>
          <w:sz w:val="20"/>
        </w:rPr>
      </w:pPr>
      <w:r>
        <w:rPr>
          <w:rFonts w:ascii="Times New Roman" w:hAnsi="Times New Roman"/>
          <w:sz w:val="20"/>
        </w:rPr>
        <w:t xml:space="preserve">On February 26, 2023, Polestar amended and restated the EUR 350,000,000 uncommitted green trade finance facility, including an accordion facility of up to EUR 250,000,000, into which it entered with Standard Chartered Bank, Nordea Bank ABP, Citibank Europe PLC and ING Belgium SA/NV on February 28, 2022. In connection with the amendment and restatement, the green trade finance facility was extended for an additional 12 months. Loans under the green trade finance facility carry interest at EURIBOR plus 2.3% per annum plus a flat arrangement fee of 0.05-0.10% to be paid on the value of a bank’s participation in the facility. The facility has a repayment period of 90 days and includes a covenant tied to Polestar’s cash and cash equivalents position and available commitments under committed credit facilities not falling below EUR 400,000,000. As of the date of this prospectus, the outstanding principal balance under the green trade finance facility was EUR 190,678,961. A copy of the amended and restated trade finance facility agreement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On April 6, 2023, Polestar announced that it had delivered approximately 12,000 vehicles in the first quarter of 2023. </w:t>
      </w:r>
    </w:p>
    <w:p>
      <w:pPr>
        <w:pStyle w:val="TextBody"/>
        <w:spacing w:before="360" w:after="0"/>
        <w:jc w:val="left"/>
        <w:rPr>
          <w:rFonts w:ascii="Times New Roman" w:hAnsi="Times New Roman"/>
          <w:b/>
          <w:i/>
          <w:sz w:val="20"/>
        </w:rPr>
      </w:pPr>
      <w:r>
        <w:rPr>
          <w:rFonts w:ascii="Times New Roman" w:hAnsi="Times New Roman"/>
          <w:b/>
          <w:i/>
          <w:sz w:val="20"/>
        </w:rPr>
        <w:t xml:space="preserve">Polestar’s Strategy </w:t>
      </w:r>
    </w:p>
    <w:p>
      <w:pPr>
        <w:pStyle w:val="TextBody"/>
        <w:spacing w:before="120" w:after="0"/>
        <w:jc w:val="left"/>
        <w:rPr>
          <w:rFonts w:ascii="Times New Roman" w:hAnsi="Times New Roman"/>
          <w:sz w:val="20"/>
        </w:rPr>
      </w:pPr>
      <w:r>
        <w:rPr>
          <w:rFonts w:ascii="Times New Roman" w:hAnsi="Times New Roman"/>
          <w:sz w:val="20"/>
        </w:rPr>
        <w:t xml:space="preserve">The global car industry is undergoing a fundamental transformation and Polestar believes it is optimally positioned at the forefront of this change. The premium luxury electric vehicle segment is one of the fastest 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significant growth in the premium luxury electric vehicle segment. In order to capitalize on these trends, Polestar intends to implement the following strategy.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Expand international sales, support and manufacturing presence.</w:t>
            </w:r>
            <w:r>
              <w:rPr>
                <w:rFonts w:ascii="Times New Roman" w:hAnsi="Times New Roman"/>
                <w:sz w:val="20"/>
              </w:rPr>
              <w:t xml:space="preserve"> With global sales from day one, Polestar intends to grow rapidly in its existing and new markets, which include 8 new countries in 2022. Polestar’s expansion plans include building its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Spaces. As of December 31, 2022, there were 158 Polestar Spaces. </w:t>
            </w:r>
          </w:p>
        </w:tc>
      </w:tr>
    </w:tbl>
    <w:p>
      <w:pPr>
        <w:pStyle w:val="TextBody"/>
        <w:spacing w:before="120" w:after="0"/>
        <w:jc w:val="left"/>
        <w:rPr>
          <w:rFonts w:ascii="Times New Roman" w:hAnsi="Times New Roman"/>
          <w:sz w:val="20"/>
        </w:rPr>
      </w:pPr>
      <w:r>
        <w:rPr>
          <w:rFonts w:ascii="Times New Roman" w:hAnsi="Times New Roman"/>
          <w:sz w:val="20"/>
        </w:rPr>
        <w:t xml:space="preserve">Polestar leverages the Volvo Cars service center network to provide access to 1,116 customer service points worldwide (as of December 31, 2022) in support of its international operations. </w:t>
      </w:r>
    </w:p>
    <w:p>
      <w:pPr>
        <w:pStyle w:val="TextBody"/>
        <w:spacing w:before="12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operated by Volvo Cars. Polestar intends to expand its manufacturing presence to facilities in the United States and Europe, in each case operated by Volvo Cars. Commencing with the Polestar 3, Polestar intends to produce vehicles both in China at Volvo Cars’ Chengdu facility and in the United States at Volvo Cars’ facility in Charleston, South Carolina.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Continue to develop Polestar’s portfolio of vehicles.</w:t>
            </w:r>
            <w:r>
              <w:rPr>
                <w:rFonts w:ascii="Times New Roman" w:hAnsi="Times New Roman"/>
                <w:sz w:val="20"/>
              </w:rPr>
              <w:t xml:space="preserve"> Polestar currently intends to launch three additional vehicles by 2026. Following the launch of the Polestar 3, an electric performance SUV, on October 12, 2022, Polestar expects to launch Polestar 4, a sporty SUV coupe in 2023, Polestar 5, a luxury 4 door GT, in 2024 and Polestar 6, an electric performance roadster, in 2026. Polestar believes the premium luxury vehicle segment is one of the fastest growing vehicle segments, and Polestar expects the electric-only vehicle portion of this segment to grow at a faster rate than the overall segment.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 xml:space="preserve">Continue to develop sustainable electric vehicle technologies as well as separately monetizing Polestar’s investment in research and development. </w:t>
            </w:r>
            <w:r>
              <w:rPr>
                <w:rFonts w:ascii="Times New Roman" w:hAnsi="Times New Roman"/>
                <w:sz w:val="20"/>
              </w:rPr>
              <w:t xml:space="preserve">Polestar intends to continue to develop technologies to mitigate its environmental impact from vehicle concept through to materials and production techniques. The Polestar 0 project, which aims to develop a truly climate neutral production car by the end of 2030, will be a significant focus of Polestar’s research and development activities, including through the development of new interior materials and structural components designed to further reduce Polestar’s environmental impact. See “—Design, Innovation and Sustainability—Sustainability.” </w:t>
            </w:r>
          </w:p>
        </w:tc>
      </w:tr>
    </w:tbl>
    <w:p>
      <w:pPr>
        <w:pStyle w:val="TextBody"/>
        <w:spacing w:before="240" w:after="0"/>
        <w:jc w:val="left"/>
        <w:rPr>
          <w:rFonts w:ascii="Times New Roman" w:hAnsi="Times New Roman"/>
          <w:sz w:val="20"/>
        </w:rPr>
      </w:pPr>
      <w:r>
        <w:rPr>
          <w:rFonts w:ascii="Times New Roman" w:hAnsi="Times New Roman"/>
          <w:sz w:val="20"/>
        </w:rPr>
        <w:t xml:space="preserve">Polestar will continue to focus on working with its partners to develop advanced technology, including bonded aluminum chassis architectures and their manufacture and the complimentary development of a high-performance electric motor. Polestar will also continue its efforts on battery management and its bi-directional battery pack (400V and 800V) systems and onboard bi-directional 22 kW Charger. Polestar also intends to take the opportunity to monetize these new technologies through sales and licensing arrangements with other market participants. </w:t>
      </w:r>
    </w:p>
    <w:p>
      <w:pPr>
        <w:pStyle w:val="TextBody"/>
        <w:spacing w:before="360" w:after="0"/>
        <w:jc w:val="left"/>
        <w:rPr>
          <w:rFonts w:ascii="Times New Roman" w:hAnsi="Times New Roman"/>
          <w:b/>
          <w:i/>
          <w:sz w:val="20"/>
        </w:rPr>
      </w:pPr>
      <w:r>
        <w:rPr>
          <w:rFonts w:ascii="Times New Roman" w:hAnsi="Times New Roman"/>
          <w:b/>
          <w:i/>
          <w:sz w:val="20"/>
        </w:rPr>
        <w:t xml:space="preserve">Polestar’s Strengths </w:t>
      </w:r>
    </w:p>
    <w:p>
      <w:pPr>
        <w:pStyle w:val="TextBody"/>
        <w:spacing w:before="120" w:after="0"/>
        <w:jc w:val="left"/>
        <w:rPr>
          <w:rFonts w:ascii="Times New Roman" w:hAnsi="Times New Roman"/>
          <w:sz w:val="20"/>
        </w:rPr>
      </w:pPr>
      <w:r>
        <w:rPr>
          <w:rFonts w:ascii="Times New Roman" w:hAnsi="Times New Roman"/>
          <w:sz w:val="20"/>
        </w:rPr>
        <w:t xml:space="preserve">Polestar believes it benefits from a number of competitive advantages: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 operates in one of the fastest-growing market segments of the industry.</w:t>
            </w:r>
            <w:r>
              <w:rPr>
                <w:rFonts w:ascii="Times New Roman" w:hAnsi="Times New Roman"/>
                <w:sz w:val="20"/>
              </w:rPr>
              <w:t xml:space="preserve"> Polestar expects significant growth in the premium luxury electric vehicle segment and believes its ability to leverage a global manufacturing footprint and expanding market coverage coupled with a scalable and asset light business model means it is well positioned to capitalize on this growing market.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 is one of two pure play global premium electric vehicle companies already in mass production.</w:t>
            </w:r>
            <w:r>
              <w:rPr>
                <w:rFonts w:ascii="Times New Roman" w:hAnsi="Times New Roman"/>
                <w:sz w:val="20"/>
              </w:rPr>
              <w:t xml:space="preserve"> Currently, Polestar and Tesla are the 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 has a distinct culture with a focus on innovation and an experienced management team.</w:t>
            </w:r>
            <w:r>
              <w:rPr>
                <w:rFonts w:ascii="Times New Roman" w:hAnsi="Times New Roman"/>
                <w:sz w:val="20"/>
              </w:rPr>
              <w:t xml:space="preserve"> Polestar has a distinct corporate culture 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AB (“Zenuity”), a business whose technology Polestar intends to utilize in future vehicles, starting with the Polestar 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 has a scalable, asset-light business model with immediate operating leverage.</w:t>
            </w:r>
            <w:r>
              <w:rPr>
                <w:rFonts w:ascii="Times New Roman" w:hAnsi="Times New Roman"/>
                <w:sz w:val="20"/>
              </w:rPr>
              <w:t xml:space="preserve"> Polestar has a scalable, asset-light business model 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 has a digital-first, direct to consumer approach with a differentiated distribution and service model.</w:t>
            </w:r>
            <w:r>
              <w:rPr>
                <w:rFonts w:ascii="Times New Roman" w:hAnsi="Times New Roman"/>
                <w:sz w:val="20"/>
              </w:rPr>
              <w:t xml:space="preserve"> Polestar’s sales and 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Polestar’s vehicles, at one of the Polestar Spaces prior to making an online purchase. Polestar believes this combination of digital and physical retail presence serves to deliver a seamless experience for its customers. Polestar’s customers benefit from a comprehensive service network which leverages the existing Volvo Cars service center network.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Polestar’s</w:t>
            </w:r>
            <w:r>
              <w:rPr>
                <w:rFonts w:ascii="Times New Roman" w:hAnsi="Times New Roman"/>
                <w:sz w:val="20"/>
              </w:rPr>
              <w:t> </w:t>
            </w:r>
            <w:r>
              <w:rPr>
                <w:rFonts w:ascii="Times New Roman" w:hAnsi="Times New Roman"/>
                <w:i/>
                <w:sz w:val="20"/>
              </w:rPr>
              <w:t>design-led</w:t>
            </w:r>
            <w:r>
              <w:rPr>
                <w:rFonts w:ascii="Times New Roman" w:hAnsi="Times New Roman"/>
                <w:sz w:val="20"/>
              </w:rPr>
              <w:t> </w:t>
            </w:r>
            <w:r>
              <w:rPr>
                <w:rFonts w:ascii="Times New Roman" w:hAnsi="Times New Roman"/>
                <w:i/>
                <w:sz w:val="20"/>
              </w:rPr>
              <w:t>focus on sustainability</w:t>
            </w:r>
            <w:r>
              <w:rPr>
                <w:rFonts w:ascii="Times New Roman" w:hAnsi="Times New Roman"/>
                <w:sz w:val="20"/>
              </w:rPr>
              <w:t xml:space="preserve">. Polestar believes that its emphasis on environmentally sustainable products, using Scandinavian avant-garde design and high-tech minimalism engages and attracts customers who share its ethos and design aesthetic. Polestar’s brand and product designs have received multiple global awards since the launch of the Polestar 1 in 2017 including Red Dot’s Brand of the Year as well as Best of the Best Product Design for Polestar 2. Polestar Precept has also captured imaginations most recently winning three of the four 2021 EyesOn Design awards. Sustainability remains a core principle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Polestar’s proprietary technology.</w:t>
            </w:r>
            <w:r>
              <w:rPr>
                <w:rFonts w:ascii="Times New Roman" w:hAnsi="Times New Roman"/>
                <w:sz w:val="20"/>
              </w:rPr>
              <w:t xml:space="preserve"> Polestar believes its proprietary electric vehicle technology provides it with a substantial competitive 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Polestar’s Vehicles </w:t>
      </w:r>
    </w:p>
    <w:p>
      <w:pPr>
        <w:pStyle w:val="TextBody"/>
        <w:spacing w:before="120" w:after="0"/>
        <w:jc w:val="left"/>
        <w:rPr>
          <w:rFonts w:ascii="Times New Roman" w:hAnsi="Times New Roman"/>
          <w:b/>
          <w:i/>
          <w:sz w:val="20"/>
        </w:rPr>
      </w:pPr>
      <w:r>
        <w:rPr>
          <w:rFonts w:ascii="Times New Roman" w:hAnsi="Times New Roman"/>
          <w:b/>
          <w:i/>
          <w:sz w:val="20"/>
        </w:rPr>
        <w:t xml:space="preserve">Polestar 1 </w:t>
      </w:r>
    </w:p>
    <w:p>
      <w:pPr>
        <w:pStyle w:val="TextBody"/>
        <w:spacing w:before="120" w:after="0"/>
        <w:jc w:val="left"/>
        <w:rPr>
          <w:rFonts w:ascii="Times New Roman" w:hAnsi="Times New Roman"/>
          <w:sz w:val="20"/>
        </w:rPr>
      </w:pPr>
      <w:r>
        <w:rPr>
          <w:rFonts w:ascii="Times New Roman" w:hAnsi="Times New Roman"/>
          <w:sz w:val="20"/>
        </w:rPr>
        <w:t xml:space="preserve">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 </w:t>
      </w:r>
    </w:p>
    <w:p>
      <w:pPr>
        <w:pStyle w:val="TextBody"/>
        <w:spacing w:before="240" w:after="0"/>
        <w:jc w:val="left"/>
        <w:rPr>
          <w:rFonts w:ascii="Times New Roman" w:hAnsi="Times New Roman"/>
          <w:sz w:val="20"/>
        </w:rPr>
      </w:pPr>
      <w:r>
        <w:rPr>
          <w:rFonts w:ascii="Times New Roman" w:hAnsi="Times New Roman"/>
          <w:sz w:val="20"/>
        </w:rPr>
        <w:t xml:space="preserve">The hybrid powertrain features two electric motors on the rear axle—one for each wheel—mated to a front-mounted petrol engine which features turbo- and supercharging. A third electric motor is integrated between the crankshaft and gearbox for extra electric torque for the front wheels. </w:t>
      </w:r>
    </w:p>
    <w:p>
      <w:pPr>
        <w:pStyle w:val="TextBody"/>
        <w:spacing w:before="240" w:after="0"/>
        <w:jc w:val="left"/>
        <w:rPr>
          <w:rFonts w:ascii="Times New Roman" w:hAnsi="Times New Roman"/>
          <w:sz w:val="20"/>
        </w:rPr>
      </w:pPr>
      <w:r>
        <w:rPr>
          <w:rFonts w:ascii="Times New Roman" w:hAnsi="Times New Roman"/>
          <w:sz w:val="20"/>
        </w:rPr>
        <w:t xml:space="preserve">The body of Polestar 1 is made from carbon fiber reinforced polymer (“CFRP”) which lowers the vehicle’s weight as well as its center of gravity. The CFRP body also allowed the car’s designers to create truly emotive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sharp styling cues that cannot be stamped into traditional metal body panels. Under the surface, the CFRP body features a carbon fiber “dragonfly” between the front seats and the rear of the vehicle, further reinforcing the car’s chassis. </w:t>
      </w:r>
    </w:p>
    <w:p>
      <w:pPr>
        <w:pStyle w:val="TextBody"/>
        <w:spacing w:before="240" w:after="0"/>
        <w:jc w:val="left"/>
        <w:rPr>
          <w:rFonts w:ascii="Times New Roman" w:hAnsi="Times New Roman"/>
          <w:sz w:val="20"/>
        </w:rPr>
      </w:pPr>
      <w:r>
        <w:rPr>
          <w:rFonts w:ascii="Times New Roman" w:hAnsi="Times New Roman"/>
          <w:sz w:val="20"/>
        </w:rPr>
        <w:t xml:space="preserve">Driving dynamics are key to the Polestar experience and Polestar’s engineers spent years developing the “Polestar feeling” with Polestar 1. Crucial to this was the co-development of leading-edge technology mechanical components—like the manually adjustable Öhlins Dual Flow Valve dampers with double wishbone design and 6-piston Akebono brake calipers. </w:t>
      </w:r>
    </w:p>
    <w:p>
      <w:pPr>
        <w:pStyle w:val="TextBody"/>
        <w:spacing w:before="240" w:after="0"/>
        <w:jc w:val="left"/>
        <w:rPr>
          <w:rFonts w:ascii="Times New Roman" w:hAnsi="Times New Roman"/>
          <w:sz w:val="20"/>
        </w:rPr>
      </w:pPr>
      <w:r>
        <w:rPr>
          <w:rFonts w:ascii="Times New Roman" w:hAnsi="Times New Roman"/>
          <w:sz w:val="20"/>
        </w:rPr>
        <w:t xml:space="preserve">The fitment of the two rear electric motors, each with a planetary gear set, allowed engineers to develop real torque vectoring algorithms for Polestar 1. The effects of this are particularly evident during cornering—rather than slowing down the inner wheel, the outer wheel is accelerated to help the car turn more sharply. The torque vectoring also allows the driver to apply power earlier than expected on the exit of a corner, resulting in a truly exhilarating experience. </w:t>
      </w:r>
    </w:p>
    <w:p>
      <w:pPr>
        <w:pStyle w:val="TextBody"/>
        <w:spacing w:before="240" w:after="0"/>
        <w:jc w:val="left"/>
        <w:rPr>
          <w:rFonts w:ascii="Times New Roman" w:hAnsi="Times New Roman"/>
          <w:sz w:val="20"/>
        </w:rPr>
      </w:pPr>
      <w:r>
        <w:rPr>
          <w:rFonts w:ascii="Times New Roman" w:hAnsi="Times New Roman"/>
          <w:sz w:val="20"/>
        </w:rPr>
        <w:t>Featuring Pure, Hybrid and Power drive modes, Polestar 1 can be driven in different ways depending on the driver needs and preference. In Pure mode, the combustion engine is shut off and Polestar 1 operates as a fully electric vehicle. In Hybrid mode, Polestar 1 utilizes the electric motors and petrol engine according to demand from the driver, seamlessly switching between the two as needed.</w:t>
      </w:r>
    </w:p>
    <w:p>
      <w:pPr>
        <w:pStyle w:val="TextBody"/>
        <w:spacing w:before="240" w:after="0"/>
        <w:jc w:val="left"/>
        <w:rPr>
          <w:rFonts w:ascii="Times New Roman" w:hAnsi="Times New Roman"/>
          <w:sz w:val="20"/>
        </w:rPr>
      </w:pPr>
      <w:r>
        <w:rPr>
          <w:rFonts w:ascii="Times New Roman" w:hAnsi="Times New Roman"/>
          <w:sz w:val="20"/>
        </w:rPr>
        <w:t xml:space="preserve">Polestar 1 went into production at Polestar’s Chengdu, China facility in 2019. The facility was the first Leadership in Energy and Environmental Design, or LEED, Gold accredited automotive manufacturing facility in China. With a planned three year production run and a limited build capacity of up to 500 units per year, production of the car ceased in 2021. </w:t>
      </w:r>
    </w:p>
    <w:p>
      <w:pPr>
        <w:pStyle w:val="TextBody"/>
        <w:spacing w:before="360" w:after="0"/>
        <w:jc w:val="left"/>
        <w:rPr>
          <w:rFonts w:ascii="Times New Roman" w:hAnsi="Times New Roman"/>
          <w:b/>
          <w:i/>
          <w:sz w:val="20"/>
        </w:rPr>
      </w:pPr>
      <w:r>
        <w:rPr>
          <w:rFonts w:ascii="Times New Roman" w:hAnsi="Times New Roman"/>
          <w:b/>
          <w:i/>
          <w:sz w:val="20"/>
        </w:rPr>
        <w:t xml:space="preserve">Polestar 2 </w:t>
      </w:r>
    </w:p>
    <w:p>
      <w:pPr>
        <w:pStyle w:val="TextBody"/>
        <w:spacing w:before="120" w:after="0"/>
        <w:jc w:val="left"/>
        <w:rPr>
          <w:rFonts w:ascii="Times New Roman" w:hAnsi="Times New Roman"/>
          <w:sz w:val="20"/>
        </w:rPr>
      </w:pPr>
      <w:r>
        <w:rPr>
          <w:rFonts w:ascii="Times New Roman" w:hAnsi="Times New Roman"/>
          <w:sz w:val="20"/>
        </w:rPr>
        <w:t xml:space="preserve">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 </w:t>
      </w:r>
    </w:p>
    <w:p>
      <w:pPr>
        <w:pStyle w:val="TextBody"/>
        <w:spacing w:before="240" w:after="0"/>
        <w:jc w:val="left"/>
        <w:rPr>
          <w:rFonts w:ascii="Times New Roman" w:hAnsi="Times New Roman"/>
          <w:sz w:val="20"/>
        </w:rPr>
      </w:pPr>
      <w:r>
        <w:rPr>
          <w:rFonts w:ascii="Times New Roman" w:hAnsi="Times New Roman"/>
          <w:sz w:val="20"/>
        </w:rPr>
        <w:t xml:space="preserve">Polestar 2 model range includes three variants—Long range dual motor (up to 350 kW (476 hp)/ 740 Nm), Long range single motor (220 kW (299 hp)/ 490Nm) and Standard range single motor (200 kW (268 hp)/ 490 Nm)—combined with three optional packages—Pilot, Plus and Performance—to provide consumers with the perfect Polestar 2 for their needs. Pilot and Plus packs encompass driver convenience and comfort features, while the Performance pack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 Polestar 2 model 2024 will feature a new high-tech front end that reflects the design language premiered by Polestar 3, substantial performance increases with all-new electric motors, even more powerful batteries, sustainability improvements and, for the first time in a Polestar, rear-wheel drive. </w:t>
      </w:r>
    </w:p>
    <w:p>
      <w:pPr>
        <w:pStyle w:val="TextBody"/>
        <w:spacing w:before="240" w:after="0"/>
        <w:jc w:val="left"/>
        <w:rPr>
          <w:rFonts w:ascii="Times New Roman" w:hAnsi="Times New Roman"/>
          <w:sz w:val="20"/>
        </w:rPr>
      </w:pPr>
      <w:r>
        <w:rPr>
          <w:rFonts w:ascii="Times New Roman" w:hAnsi="Times New Roman"/>
          <w:sz w:val="20"/>
        </w:rPr>
        <w:t xml:space="preserve">Polestar 2 was the first car in the world to feature an infotainment system powered by Google’s Android Automotive OS, with Google built-in. Developed in collaboration with Google, the Android system integrates the car infotainment system with Google Assistant, Google Maps and the Google Play Store.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Polestar 2 has been designed and produced in accordance with Polestar’s emphasis on design led sustainability. It was in connection with the launch of Polestar 2 in 2020 that Polestar released its first Life Cycle Assessment report, with full methodology and transparency, and including a call to the industry at large for a uniformly open and transparent way of disclosing the carbon footprint of electric vehicles. In early 2021, Polestar took this transparency a step further by integrating a Product Sustainability Declaration into Polestar Spaces and on its website. The Product Sustainability Declaration discloses the cradle-to-gate ton greenhouse gas emissions and traced materials, which helps customers assess the sustainability performance of Polestar’s cars. See “—Design, Innovation and Sustainability—Sustainability.”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b/>
          <w:i/>
          <w:sz w:val="20"/>
        </w:rPr>
      </w:pPr>
      <w:r>
        <w:rPr>
          <w:rFonts w:ascii="Times New Roman" w:hAnsi="Times New Roman"/>
          <w:b/>
          <w:i/>
          <w:sz w:val="20"/>
        </w:rPr>
        <w:t xml:space="preserve">Polestar 3 </w:t>
      </w:r>
    </w:p>
    <w:p>
      <w:pPr>
        <w:pStyle w:val="TextBody"/>
        <w:spacing w:before="120" w:after="0"/>
        <w:jc w:val="left"/>
        <w:rPr>
          <w:rFonts w:ascii="Times New Roman" w:hAnsi="Times New Roman"/>
          <w:sz w:val="20"/>
        </w:rPr>
      </w:pPr>
      <w:r>
        <w:rPr>
          <w:rFonts w:ascii="Times New Roman" w:hAnsi="Times New Roman"/>
          <w:sz w:val="20"/>
        </w:rPr>
        <w:t xml:space="preserve">Polestar launched the Polestar 3 on October 12, 2022. Polestar 3 is a luxurious electric performance SUV with seating for five and design direction previewed by Precept. It is an aerodynamically-optimized SUV using multiple design features to smooth airflow and reduce drag. The two seating rows in Polestar 3 stretch out between the long wheelbase offering luxurious and spacious legroom for the rear passengers even when the tallest driver is sitting in the front seat. Polestar believes that the Polestar 3 will define the SUV for the electric era by combining the high seating position favored by customers with a highly efficient aerodynamic silhouette and sports-car handling. </w:t>
      </w:r>
    </w:p>
    <w:p>
      <w:pPr>
        <w:pStyle w:val="TextBody"/>
        <w:spacing w:before="240" w:after="0"/>
        <w:jc w:val="left"/>
        <w:rPr>
          <w:rFonts w:ascii="Times New Roman" w:hAnsi="Times New Roman"/>
          <w:sz w:val="20"/>
        </w:rPr>
      </w:pPr>
      <w:r>
        <w:rPr>
          <w:rFonts w:ascii="Times New Roman" w:hAnsi="Times New Roman"/>
          <w:sz w:val="20"/>
        </w:rPr>
        <w:t xml:space="preserve">Materials used inside Polestar 3 have been selected for their sustainability credentials, while raising premium aesthetics and luxury tactility. These include bio-attributed MicroTech, animal welfare-certified leather and fully traceable wool upholstery. In line with Polestar’s commitment to transparency, a complete life-cycle assessment (“LCA”) will be completed on Polestar 3 when production begins. Subsequent assessments will follow through its life cycle and work will continue to constantly find ways of reducing its carbon footprint. </w:t>
      </w:r>
    </w:p>
    <w:p>
      <w:pPr>
        <w:pStyle w:val="TextBody"/>
        <w:spacing w:before="240" w:after="0"/>
        <w:jc w:val="left"/>
        <w:rPr>
          <w:rFonts w:ascii="Times New Roman" w:hAnsi="Times New Roman"/>
          <w:sz w:val="20"/>
        </w:rPr>
      </w:pPr>
      <w:r>
        <w:rPr>
          <w:rFonts w:ascii="Times New Roman" w:hAnsi="Times New Roman"/>
          <w:sz w:val="20"/>
        </w:rPr>
        <w:t xml:space="preserve">Polestar 3 is the first car from Polestar to feature centralized computing with the NVIDIA DRIVE core computer, running software from Volvo Cars. Serving as the AI brain, NVIDIA’s high-performance automotive platform processes data from the car’s multiple sensors and cameras to enable advanced driver-assistance safety features and driver monitoring. The infotainment system is powered by a next-generation Snapdragon Cockpit Platform from Qualcomm Technologies, Inc. As a central component of the Snapdragon Digital Chassis—a comprehensive set of open and scalable cloud-connected automotive platforms—the Snapdragon Cockpit Platform will be utilized to provide immersive in-vehicle experiences with its high-performance capabilities to deliver high-definition displays, premium quality surround sound and seamless connectivity throughout the vehicle. </w:t>
      </w:r>
    </w:p>
    <w:p>
      <w:pPr>
        <w:pStyle w:val="TextBody"/>
        <w:spacing w:before="240" w:after="0"/>
        <w:jc w:val="left"/>
        <w:rPr>
          <w:rFonts w:ascii="Times New Roman" w:hAnsi="Times New Roman"/>
          <w:sz w:val="20"/>
        </w:rPr>
      </w:pPr>
      <w:r>
        <w:rPr>
          <w:rFonts w:ascii="Times New Roman" w:hAnsi="Times New Roman"/>
          <w:sz w:val="20"/>
        </w:rPr>
        <w:t xml:space="preserve">As standard, Polestar 3 features a total of five radar modules, five external cameras and twelve external ultrasonic sensors to support numerous advanced safety features. The SmartZone below the front aero wing collects several of the forward-facing sensors, a heated radar module and camera, and now becomes a signature of Polestar design. Inside, two closed-loop driver monitoring cameras bring leading eye tracking technology from Smart Eye to a Polestar for the first time, geared towards safer driving. The cameras monitor the driver’s eyes and can trigger warning messages, sounds and even an emergency stop function when detecting a distracted, drowsy or disconnected driver. </w:t>
      </w:r>
    </w:p>
    <w:p>
      <w:pPr>
        <w:pStyle w:val="TextBody"/>
        <w:spacing w:before="240" w:after="0"/>
        <w:jc w:val="left"/>
        <w:rPr>
          <w:rFonts w:ascii="Times New Roman" w:hAnsi="Times New Roman"/>
          <w:sz w:val="20"/>
        </w:rPr>
      </w:pPr>
      <w:r>
        <w:rPr>
          <w:rFonts w:ascii="Times New Roman" w:hAnsi="Times New Roman"/>
          <w:sz w:val="20"/>
        </w:rPr>
        <w:t xml:space="preserve">With an indicative range of $80,000 to $120,000 for the North American market, Polestar 3 launches with a dual-motor configuration and a power bias towards the rear. The standard car produces a total of 360 kW and 840 Nm of torque. With the optional Performance Pack, total output is 380 kW and 910 Nm. Adjustable one-pedal drive is included, as well as an electric Torque Vectoring Dual Clutch function on the rear axle—an evolution of what was first developed for Polestar 1. A decoupling function is also available for the rear electric motor, allowing the car to run only on the front electric motor to save energy under certain circumstances.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Precept, Future Vehicles and Polestar 0 project </w:t>
      </w:r>
    </w:p>
    <w:p>
      <w:pPr>
        <w:pStyle w:val="TextBody"/>
        <w:spacing w:before="120" w:after="0"/>
        <w:jc w:val="left"/>
        <w:rPr>
          <w:rFonts w:ascii="Times New Roman" w:hAnsi="Times New Roman"/>
          <w:sz w:val="20"/>
        </w:rPr>
      </w:pPr>
      <w:r>
        <w:rPr>
          <w:rFonts w:ascii="Times New Roman" w:hAnsi="Times New Roman"/>
          <w:sz w:val="20"/>
        </w:rPr>
        <w:t xml:space="preserve">In March 2020, Polestar revealed Polestar Precept, a design study intended to showcase Polestar’s vision of the brand’s future, demonstrating innovation and ambition across three focus areas—design, technology and sustainability. </w:t>
      </w:r>
    </w:p>
    <w:p>
      <w:pPr>
        <w:pStyle w:val="TextBody"/>
        <w:spacing w:before="240" w:after="0"/>
        <w:jc w:val="left"/>
        <w:rPr>
          <w:rFonts w:ascii="Times New Roman" w:hAnsi="Times New Roman"/>
          <w:sz w:val="20"/>
        </w:rPr>
      </w:pPr>
      <w:r>
        <w:rPr>
          <w:rFonts w:ascii="Times New Roman" w:hAnsi="Times New Roman"/>
          <w:sz w:val="20"/>
        </w:rPr>
        <w:t xml:space="preserve">Polestar Precept was created as the manifesto for and design direction of Polestar’s future models. By the end of 2026, Polestar currently intends to have launched three new vehicles. Following the launch of the Polestar 3, an electric performance SUV, on October 12, 2022, Polestar expects to launch Polestar 4, a sporty SUV coupe in 2023, Polestar 5, a luxury 4 door GT, in 2024 and Polestar 6, an electric performance roadster, in 2026. </w:t>
      </w:r>
    </w:p>
    <w:p>
      <w:pPr>
        <w:pStyle w:val="TextBody"/>
        <w:spacing w:before="360" w:after="0"/>
        <w:jc w:val="left"/>
        <w:rPr>
          <w:rFonts w:ascii="Times New Roman" w:hAnsi="Times New Roman"/>
          <w:b/>
          <w:i/>
          <w:sz w:val="20"/>
        </w:rPr>
      </w:pPr>
      <w:r>
        <w:rPr>
          <w:rFonts w:ascii="Times New Roman" w:hAnsi="Times New Roman"/>
          <w:b/>
          <w:i/>
          <w:sz w:val="20"/>
        </w:rPr>
        <w:t xml:space="preserve">Precept </w:t>
      </w:r>
    </w:p>
    <w:p>
      <w:pPr>
        <w:pStyle w:val="TextBody"/>
        <w:spacing w:before="120" w:after="0"/>
        <w:jc w:val="left"/>
        <w:rPr>
          <w:rFonts w:ascii="Times New Roman" w:hAnsi="Times New Roman"/>
          <w:sz w:val="20"/>
        </w:rPr>
      </w:pPr>
      <w:r>
        <w:rPr>
          <w:rFonts w:ascii="Times New Roman" w:hAnsi="Times New Roman"/>
          <w:sz w:val="20"/>
        </w:rPr>
        <w:t xml:space="preserve">In October 2020, Polestar announced at the Shanghai Motor Show that it would aim to produce a luxury 4 door GT based on the Precept concept; this will be the Polestar 5. </w:t>
      </w:r>
    </w:p>
    <w:p>
      <w:pPr>
        <w:pStyle w:val="TextBody"/>
        <w:spacing w:before="240" w:after="0"/>
        <w:jc w:val="left"/>
        <w:rPr>
          <w:rFonts w:ascii="Times New Roman" w:hAnsi="Times New Roman"/>
          <w:sz w:val="20"/>
        </w:rPr>
      </w:pPr>
      <w:r>
        <w:rPr>
          <w:rFonts w:ascii="Times New Roman" w:hAnsi="Times New Roman"/>
          <w:sz w:val="20"/>
        </w:rPr>
        <w:t xml:space="preserve">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 </w:t>
      </w:r>
    </w:p>
    <w:p>
      <w:pPr>
        <w:pStyle w:val="TextBody"/>
        <w:spacing w:before="240" w:after="0"/>
        <w:jc w:val="left"/>
        <w:rPr>
          <w:rFonts w:ascii="Times New Roman" w:hAnsi="Times New Roman"/>
          <w:sz w:val="20"/>
        </w:rPr>
      </w:pPr>
      <w:r>
        <w:rPr>
          <w:rFonts w:ascii="Times New Roman" w:hAnsi="Times New Roman"/>
          <w:sz w:val="20"/>
        </w:rPr>
        <w:t xml:space="preserve">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 </w:t>
      </w:r>
    </w:p>
    <w:p>
      <w:pPr>
        <w:pStyle w:val="TextBody"/>
        <w:spacing w:before="240" w:after="0"/>
        <w:jc w:val="left"/>
        <w:rPr>
          <w:rFonts w:ascii="Times New Roman" w:hAnsi="Times New Roman"/>
          <w:sz w:val="20"/>
        </w:rPr>
      </w:pPr>
      <w:r>
        <w:rPr>
          <w:rFonts w:ascii="Times New Roman" w:hAnsi="Times New Roman"/>
          <w:sz w:val="20"/>
        </w:rPr>
        <w:t xml:space="preserve">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 </w:t>
      </w:r>
    </w:p>
    <w:p>
      <w:pPr>
        <w:pStyle w:val="TextBody"/>
        <w:spacing w:before="240" w:after="0"/>
        <w:jc w:val="left"/>
        <w:rPr>
          <w:rFonts w:ascii="Times New Roman" w:hAnsi="Times New Roman"/>
          <w:sz w:val="20"/>
        </w:rPr>
      </w:pPr>
      <w:r>
        <w:rPr>
          <w:rFonts w:ascii="Times New Roman" w:hAnsi="Times New Roman"/>
          <w:sz w:val="20"/>
        </w:rPr>
        <w:t xml:space="preserve">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 </w:t>
      </w:r>
    </w:p>
    <w:p>
      <w:pPr>
        <w:pStyle w:val="TextBody"/>
        <w:spacing w:before="240" w:after="0"/>
        <w:jc w:val="left"/>
        <w:rPr>
          <w:rFonts w:ascii="Times New Roman" w:hAnsi="Times New Roman"/>
          <w:sz w:val="20"/>
        </w:rPr>
      </w:pPr>
      <w:r>
        <w:rPr>
          <w:rFonts w:ascii="Times New Roman" w:hAnsi="Times New Roman"/>
          <w:sz w:val="20"/>
        </w:rPr>
        <w:t xml:space="preserve">The sculpted form of the Polestar Precept sets the tone for future Polestar vehicles. The vehicle’s proportions define its presence with restrained surfacing and a focus on aerodynamic efficiency. </w:t>
      </w:r>
    </w:p>
    <w:p>
      <w:pPr>
        <w:pStyle w:val="TextBody"/>
        <w:spacing w:before="240" w:after="0"/>
        <w:jc w:val="left"/>
        <w:rPr>
          <w:rFonts w:ascii="Times New Roman" w:hAnsi="Times New Roman"/>
          <w:sz w:val="20"/>
        </w:rPr>
      </w:pPr>
      <w:r>
        <w:rPr>
          <w:rFonts w:ascii="Times New Roman" w:hAnsi="Times New Roman"/>
          <w:sz w:val="20"/>
        </w:rPr>
        <w:t xml:space="preserve">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LiDAR sensor, mounted atop the glass roof, is given optimal visibility as a next step towards increased driving assistance. The Thor’s Hammer LED headlight signature evolves with separated elements, taking on a dynamic and brand-defining interpretation. </w:t>
      </w:r>
    </w:p>
    <w:p>
      <w:pPr>
        <w:pStyle w:val="TextBody"/>
        <w:spacing w:before="240" w:after="0"/>
        <w:jc w:val="left"/>
        <w:rPr>
          <w:rFonts w:ascii="Times New Roman" w:hAnsi="Times New Roman"/>
          <w:sz w:val="20"/>
        </w:rPr>
      </w:pPr>
      <w:r>
        <w:rPr>
          <w:rFonts w:ascii="Times New Roman" w:hAnsi="Times New Roman"/>
          <w:sz w:val="20"/>
        </w:rPr>
        <w:t xml:space="preserve">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aero-wings—another aerodynamic feature and a nod to light weight design.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Show cars, concept cars and vision statements </w:t>
      </w:r>
    </w:p>
    <w:p>
      <w:pPr>
        <w:pStyle w:val="TextBody"/>
        <w:spacing w:before="120" w:after="0"/>
        <w:jc w:val="left"/>
        <w:rPr>
          <w:rFonts w:ascii="Times New Roman" w:hAnsi="Times New Roman"/>
          <w:sz w:val="20"/>
        </w:rPr>
      </w:pPr>
      <w:r>
        <w:rPr>
          <w:rFonts w:ascii="Times New Roman" w:hAnsi="Times New Roman"/>
          <w:sz w:val="20"/>
        </w:rPr>
        <w:t xml:space="preserve">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 </w:t>
      </w:r>
    </w:p>
    <w:p>
      <w:pPr>
        <w:pStyle w:val="TextBody"/>
        <w:spacing w:before="240" w:after="0"/>
        <w:jc w:val="left"/>
        <w:rPr>
          <w:rFonts w:ascii="Times New Roman" w:hAnsi="Times New Roman"/>
          <w:sz w:val="20"/>
        </w:rPr>
      </w:pPr>
      <w:r>
        <w:rPr>
          <w:rFonts w:ascii="Times New Roman" w:hAnsi="Times New Roman"/>
          <w:sz w:val="20"/>
        </w:rPr>
        <w:t xml:space="preserve">On March 2, 2022, Polestar revealed the Polestar electric roadster concept, a new concept car to demonstrate Polestar’s vision of a sports roadster with open-top performance—with all the benefits of electric mobility. The Polestar electric roadster concept car is related to the Polestar Precept concept car but with its own distinct character. The look of the Polestar electric roadster concept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 </w:t>
      </w:r>
    </w:p>
    <w:p>
      <w:pPr>
        <w:pStyle w:val="TextBody"/>
        <w:spacing w:before="360" w:after="0"/>
        <w:jc w:val="left"/>
        <w:rPr>
          <w:rFonts w:ascii="Times New Roman" w:hAnsi="Times New Roman"/>
          <w:b/>
          <w:i/>
          <w:sz w:val="20"/>
        </w:rPr>
      </w:pPr>
      <w:r>
        <w:rPr>
          <w:rFonts w:ascii="Times New Roman" w:hAnsi="Times New Roman"/>
          <w:b/>
          <w:i/>
          <w:sz w:val="20"/>
        </w:rPr>
        <w:t xml:space="preserve">Polestar 4 </w:t>
      </w:r>
    </w:p>
    <w:p>
      <w:pPr>
        <w:pStyle w:val="TextBody"/>
        <w:spacing w:before="120" w:after="0"/>
        <w:jc w:val="left"/>
        <w:rPr>
          <w:rFonts w:ascii="Times New Roman" w:hAnsi="Times New Roman"/>
          <w:sz w:val="20"/>
        </w:rPr>
      </w:pPr>
      <w:r>
        <w:rPr>
          <w:rFonts w:ascii="Times New Roman" w:hAnsi="Times New Roman"/>
          <w:sz w:val="20"/>
        </w:rPr>
        <w:t xml:space="preserve">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 </w:t>
      </w:r>
    </w:p>
    <w:p>
      <w:pPr>
        <w:pStyle w:val="TextBody"/>
        <w:spacing w:before="240" w:after="0"/>
        <w:jc w:val="left"/>
        <w:rPr>
          <w:rFonts w:ascii="Times New Roman" w:hAnsi="Times New Roman"/>
          <w:sz w:val="20"/>
        </w:rPr>
      </w:pPr>
      <w:r>
        <w:rPr>
          <w:rFonts w:ascii="Times New Roman" w:hAnsi="Times New Roman"/>
          <w:sz w:val="20"/>
        </w:rPr>
        <w:t xml:space="preserve">With an indicative price range of $60,000 to $80,000 for the North American market, Polestar 4 will aim to offer driving dynamics and minimalist style to a larger market segment. </w:t>
      </w:r>
    </w:p>
    <w:p>
      <w:pPr>
        <w:pStyle w:val="TextBody"/>
        <w:spacing w:before="360" w:after="0"/>
        <w:jc w:val="left"/>
        <w:rPr>
          <w:rFonts w:ascii="Times New Roman" w:hAnsi="Times New Roman"/>
          <w:b/>
          <w:i/>
          <w:sz w:val="20"/>
        </w:rPr>
      </w:pPr>
      <w:r>
        <w:rPr>
          <w:rFonts w:ascii="Times New Roman" w:hAnsi="Times New Roman"/>
          <w:b/>
          <w:i/>
          <w:sz w:val="20"/>
        </w:rPr>
        <w:t xml:space="preserve">Polestar 5 </w:t>
      </w:r>
    </w:p>
    <w:p>
      <w:pPr>
        <w:pStyle w:val="TextBody"/>
        <w:spacing w:before="120" w:after="0"/>
        <w:jc w:val="left"/>
        <w:rPr>
          <w:rFonts w:ascii="Times New Roman" w:hAnsi="Times New Roman"/>
          <w:sz w:val="20"/>
        </w:rPr>
      </w:pPr>
      <w:r>
        <w:rPr>
          <w:rFonts w:ascii="Times New Roman" w:hAnsi="Times New Roman"/>
          <w:sz w:val="20"/>
        </w:rPr>
        <w:t xml:space="preserve">Polestar currently plans to launch the Polestar 5 in 2024. Polestar 5 will be a luxurious 4 door grand tourer that most closely follows inspiration from the Precept. With an indicative price starting at $100,000 for the North American market, the vehicle will introduce new in-house aluminum body and chassis and powertrain architectures. </w:t>
      </w:r>
    </w:p>
    <w:p>
      <w:pPr>
        <w:pStyle w:val="TextBody"/>
        <w:spacing w:before="240" w:after="0"/>
        <w:jc w:val="left"/>
        <w:rPr>
          <w:rFonts w:ascii="Times New Roman" w:hAnsi="Times New Roman"/>
          <w:sz w:val="20"/>
        </w:rPr>
      </w:pPr>
      <w:r>
        <w:rPr>
          <w:rFonts w:ascii="Times New Roman" w:hAnsi="Times New Roman"/>
          <w:sz w:val="20"/>
        </w:rPr>
        <w:t xml:space="preserve">Polestar expects that Polestar 5 will be manufactured at a new state-of-the-art plant in China, built by Geely and to be operated by Polestar. The plant will meet a high standard of sustainability, aiming for LEED Gold accreditation. </w:t>
      </w:r>
    </w:p>
    <w:p>
      <w:pPr>
        <w:pStyle w:val="TextBody"/>
        <w:spacing w:before="360" w:after="0"/>
        <w:jc w:val="left"/>
        <w:rPr>
          <w:rFonts w:ascii="Times New Roman" w:hAnsi="Times New Roman"/>
          <w:b/>
          <w:i/>
          <w:sz w:val="20"/>
        </w:rPr>
      </w:pPr>
      <w:r>
        <w:rPr>
          <w:rFonts w:ascii="Times New Roman" w:hAnsi="Times New Roman"/>
          <w:b/>
          <w:i/>
          <w:sz w:val="20"/>
        </w:rPr>
        <w:t xml:space="preserve">Polestar 6 </w:t>
      </w:r>
    </w:p>
    <w:p>
      <w:pPr>
        <w:pStyle w:val="TextBody"/>
        <w:spacing w:before="120" w:after="0"/>
        <w:jc w:val="left"/>
        <w:rPr>
          <w:rFonts w:ascii="Times New Roman" w:hAnsi="Times New Roman"/>
          <w:sz w:val="20"/>
        </w:rPr>
      </w:pPr>
      <w:r>
        <w:rPr>
          <w:rFonts w:ascii="Times New Roman" w:hAnsi="Times New Roman"/>
          <w:sz w:val="20"/>
        </w:rPr>
        <w:t>On August 16, 2022, Polestar announced that it expects to launch production of the Polestar 6 in 2026. The Polestar 6 will expand upon the design established by the Polestar Precept and be based on the Polestar electric roadster concept. Polestar made the first 500 production cars available as the exclusive, numbered Polestar 6 LA Concept edition. With an indicative price starting at $200,000 for the North American market, all 500 build slots of Polestar 6 LA Concept edition were reserved online within a week of the production announcement.</w:t>
      </w:r>
    </w:p>
    <w:p>
      <w:pPr>
        <w:pStyle w:val="TextBody"/>
        <w:spacing w:before="360" w:after="0"/>
        <w:jc w:val="left"/>
        <w:rPr>
          <w:rFonts w:ascii="Times New Roman" w:hAnsi="Times New Roman"/>
          <w:b/>
          <w:i/>
          <w:sz w:val="20"/>
        </w:rPr>
      </w:pPr>
      <w:r>
        <w:rPr>
          <w:rFonts w:ascii="Times New Roman" w:hAnsi="Times New Roman"/>
          <w:b/>
          <w:i/>
          <w:sz w:val="20"/>
        </w:rPr>
        <w:t xml:space="preserve">Polestar 0 project </w:t>
      </w:r>
    </w:p>
    <w:p>
      <w:pPr>
        <w:pStyle w:val="TextBody"/>
        <w:spacing w:before="120" w:after="0"/>
        <w:jc w:val="left"/>
        <w:rPr>
          <w:rFonts w:ascii="Times New Roman" w:hAnsi="Times New Roman"/>
          <w:sz w:val="20"/>
        </w:rPr>
      </w:pPr>
      <w:r>
        <w:rPr>
          <w:rFonts w:ascii="Times New Roman" w:hAnsi="Times New Roman"/>
          <w:sz w:val="20"/>
        </w:rPr>
        <w:t xml:space="preserve">In April 2021, Polestar announced its important goal to create a truly climate neutral production car by 2030 a significant and necessary step to reach its goal of becoming a climate neutral company by 2040. </w:t>
      </w:r>
    </w:p>
    <w:p>
      <w:pPr>
        <w:pStyle w:val="TextBody"/>
        <w:spacing w:before="240" w:after="0"/>
        <w:jc w:val="left"/>
        <w:rPr>
          <w:rFonts w:ascii="Times New Roman" w:hAnsi="Times New Roman"/>
          <w:sz w:val="20"/>
        </w:rPr>
      </w:pPr>
      <w:r>
        <w:rPr>
          <w:rFonts w:ascii="Times New Roman" w:hAnsi="Times New Roman"/>
          <w:sz w:val="20"/>
        </w:rPr>
        <w:t xml:space="preserve">Today, an electric car manufactured and charged on the current global electricity infrastructure mix has a smaller carbon footprint than an internal combustion engine car through its useful life. However, Polestar has set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target of producing a car by 2030 that is truly a climate neutral production car when it rolls out of Polestar’s factories’ gates. A number of third parties including Vitesco Technologies and Stora Enso, have agreed to collaborate on the Polestar 0 project by contributing to research in areas such as bio-based materials, chemical and aluminum processes, electronics and interior surface materials 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w:t>
      </w:r>
    </w:p>
    <w:p>
      <w:pPr>
        <w:pStyle w:val="TextBody"/>
        <w:spacing w:before="360" w:after="0"/>
        <w:jc w:val="left"/>
        <w:rPr>
          <w:rFonts w:ascii="Times New Roman" w:hAnsi="Times New Roman"/>
          <w:b/>
          <w:sz w:val="20"/>
        </w:rPr>
      </w:pPr>
      <w:r>
        <w:rPr>
          <w:rFonts w:ascii="Times New Roman" w:hAnsi="Times New Roman"/>
          <w:b/>
          <w:sz w:val="20"/>
        </w:rPr>
        <w:t xml:space="preserve">Design, Innovation and Sustainability </w:t>
      </w:r>
    </w:p>
    <w:p>
      <w:pPr>
        <w:pStyle w:val="TextBody"/>
        <w:spacing w:before="120" w:after="0"/>
        <w:jc w:val="left"/>
        <w:rPr>
          <w:rFonts w:ascii="Times New Roman" w:hAnsi="Times New Roman"/>
          <w:b/>
          <w:i/>
          <w:sz w:val="20"/>
        </w:rPr>
      </w:pPr>
      <w:r>
        <w:rPr>
          <w:rFonts w:ascii="Times New Roman" w:hAnsi="Times New Roman"/>
          <w:b/>
          <w:i/>
          <w:sz w:val="20"/>
        </w:rPr>
        <w:t xml:space="preserve">Design </w:t>
      </w:r>
    </w:p>
    <w:p>
      <w:pPr>
        <w:pStyle w:val="TextBody"/>
        <w:spacing w:before="120" w:after="0"/>
        <w:jc w:val="left"/>
        <w:rPr>
          <w:rFonts w:ascii="Times New Roman" w:hAnsi="Times New Roman"/>
          <w:sz w:val="20"/>
        </w:rPr>
      </w:pPr>
      <w:r>
        <w:rPr>
          <w:rFonts w:ascii="Times New Roman" w:hAnsi="Times New Roman"/>
          <w:sz w:val="20"/>
        </w:rPr>
        <w:t xml:space="preserve">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 </w:t>
      </w:r>
    </w:p>
    <w:p>
      <w:pPr>
        <w:pStyle w:val="TextBody"/>
        <w:spacing w:before="240" w:after="0"/>
        <w:jc w:val="left"/>
        <w:rPr>
          <w:rFonts w:ascii="Times New Roman" w:hAnsi="Times New Roman"/>
          <w:sz w:val="20"/>
        </w:rPr>
      </w:pPr>
      <w:r>
        <w:rPr>
          <w:rFonts w:ascii="Times New Roman" w:hAnsi="Times New Roman"/>
          <w:sz w:val="20"/>
        </w:rPr>
        <w:t xml:space="preserve">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 </w:t>
      </w:r>
    </w:p>
    <w:p>
      <w:pPr>
        <w:pStyle w:val="TextBody"/>
        <w:spacing w:before="360" w:after="0"/>
        <w:jc w:val="left"/>
        <w:rPr>
          <w:rFonts w:ascii="Times New Roman" w:hAnsi="Times New Roman"/>
          <w:b/>
          <w:i/>
          <w:sz w:val="20"/>
        </w:rPr>
      </w:pPr>
      <w:r>
        <w:rPr>
          <w:rFonts w:ascii="Times New Roman" w:hAnsi="Times New Roman"/>
          <w:b/>
          <w:i/>
          <w:sz w:val="20"/>
        </w:rPr>
        <w:t xml:space="preserve">Innovation </w:t>
      </w:r>
    </w:p>
    <w:p>
      <w:pPr>
        <w:pStyle w:val="TextBody"/>
        <w:spacing w:before="120" w:after="0"/>
        <w:jc w:val="left"/>
        <w:rPr>
          <w:rFonts w:ascii="Times New Roman" w:hAnsi="Times New Roman"/>
          <w:sz w:val="20"/>
        </w:rPr>
      </w:pPr>
      <w:r>
        <w:rPr>
          <w:rFonts w:ascii="Times New Roman" w:hAnsi="Times New Roman"/>
          <w:sz w:val="20"/>
        </w:rPr>
        <w:t xml:space="preserve">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the UK and in Sweden. </w:t>
      </w:r>
    </w:p>
    <w:p>
      <w:pPr>
        <w:pStyle w:val="TextBody"/>
        <w:spacing w:before="240" w:after="0"/>
        <w:jc w:val="left"/>
        <w:rPr>
          <w:rFonts w:ascii="Times New Roman" w:hAnsi="Times New Roman"/>
          <w:sz w:val="20"/>
        </w:rPr>
      </w:pPr>
      <w:r>
        <w:rPr>
          <w:rFonts w:ascii="Times New Roman" w:hAnsi="Times New Roman"/>
          <w:sz w:val="20"/>
        </w:rPr>
        <w:t xml:space="preserve">Polestar’s research and development teams are located in the United Kingdom, Sweden and China.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Located in Shanghai, Polestar’s China-based research and development team focuses on the development of bespoke features for the Chinese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Sustainability </w:t>
      </w:r>
    </w:p>
    <w:p>
      <w:pPr>
        <w:pStyle w:val="TextBody"/>
        <w:spacing w:before="120" w:after="0"/>
        <w:jc w:val="left"/>
        <w:rPr>
          <w:rFonts w:ascii="Times New Roman" w:hAnsi="Times New Roman"/>
          <w:sz w:val="20"/>
        </w:rPr>
      </w:pPr>
      <w:r>
        <w:rPr>
          <w:rFonts w:ascii="Times New Roman" w:hAnsi="Times New Roman"/>
          <w:sz w:val="20"/>
        </w:rPr>
        <w:t xml:space="preserve">Polestar has a philosophy to design towards zero, actively using Scandinavian minimalist design to engage customers and minimize Polestar’s environmental impact. Polestar seeks to achieve its clear sustainability goals by establishing concrete targets focusing on four pillars of its sustainability approach: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Climate Neutrality</w:t>
            </w:r>
            <w:r>
              <w:rPr>
                <w:rFonts w:ascii="Times New Roman" w:hAnsi="Times New Roman"/>
                <w:sz w:val="20"/>
              </w:rPr>
              <w:t xml:space="preserve">: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three goals to achieve climate neutrality: Polestar is to be climate neutral by 2040, create a climate neutral production car (cradle-to-gate) by 2030 and halve the emission intensity per car sold by 2030. To drive towards the 2030 goal, Polestar has launched six strategic initiatives. These are: climate-neutral platform, climate-neutral materials, energy optimization, climate-neutral manufacturing, renewable energy in the supply chain and carbon neutral company. Each strategic initiative is headed by an accountable department but handled through cross-functional collaboration within Polestar. For the Polestar 2 long-range dual-motor variant, the cradle to gate carbon footprint was 26.2 tons CO2e per vehicle in 2020, which by model year 2023 has been decreased to 25.4 tons CO2e per vehicle. Most of the carbon impact comes from three categories: aluminum, batteries and steel. Together they account for 69% of the carbon emissions attributable to materials production and battery modules. Add electronics and polymers and the total is 87%. While a lot of focus naturally will be on those categories, the goal is to reduce all to zero, including Polestar’s manufacturing footprint.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Circularity</w:t>
            </w:r>
            <w:r>
              <w:rPr>
                <w:rFonts w:ascii="Times New Roman" w:hAnsi="Times New Roman"/>
                <w:sz w:val="20"/>
              </w:rPr>
              <w:t xml:space="preserve">: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design approach, trying to close the loop for more materials and using an increased share of recycled or biobased materials, less virgin materials and minerals need to be extracted and produced, which minimizes the total environmental impact. Polestar aims to drive sustainable and circular use of materials through different key strategies and processes, including sustainability strategy, material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Transparency</w:t>
            </w:r>
            <w:r>
              <w:rPr>
                <w:rFonts w:ascii="Times New Roman" w:hAnsi="Times New Roman"/>
                <w:sz w:val="20"/>
              </w:rPr>
              <w:t xml:space="preserve">: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LCA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 </w:t>
            </w:r>
          </w:p>
        </w:tc>
      </w:tr>
    </w:tbl>
    <w:p>
      <w:pPr>
        <w:pStyle w:val="TextBody"/>
        <w:spacing w:before="120" w:after="0"/>
        <w:jc w:val="left"/>
        <w:rPr>
          <w:rFonts w:ascii="Times New Roman" w:hAnsi="Times New Roman"/>
          <w:sz w:val="20"/>
        </w:rPr>
      </w:pPr>
      <w:r>
        <w:rPr>
          <w:rFonts w:ascii="Times New Roman" w:hAnsi="Times New Roman"/>
          <w:sz w:val="20"/>
        </w:rPr>
        <w:t xml:space="preserve">Polestar is constantly looking to be honest with itself and its stakeholders and improve. For example, Polestar recognizes it uses materials with high risks of human rights and animal welfare violations, and negative environmental impacts in the supply chain to create its vehicles. Cobalt, for example, is a key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risk materials used throughout Polestar’s supply chain. Additionally, Polestar maintains a parts and components sourcing partnership with Volvo Cars in which suppliers are analyzed using sustainability questionnaires and a risk assessment tool developed by Responsible Business Alliance.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Inclusion</w:t>
            </w:r>
            <w:r>
              <w:rPr>
                <w:rFonts w:ascii="Times New Roman" w:hAnsi="Times New Roman"/>
                <w:sz w:val="20"/>
              </w:rPr>
              <w:t xml:space="preserve">: Inclusion is diversity, representation and equality working in harmony. By committing to this strategic focus area, Polestar stands up for the rights of people throughout its value chain—from the workers producing the material of its cars, to its employees in factories or spaces, to customers and consumers around the world. Departments like Human Resources, Customer Experience, Design and Procurement drive strategic initiatives on human rights and inclusion, addressing Polestar’s role as a responsible brand, employer and procurer. </w:t>
            </w:r>
          </w:p>
        </w:tc>
      </w:tr>
    </w:tbl>
    <w:p>
      <w:pPr>
        <w:pStyle w:val="TextBody"/>
        <w:spacing w:before="120" w:after="0"/>
        <w:jc w:val="left"/>
        <w:rPr>
          <w:rFonts w:ascii="Times New Roman" w:hAnsi="Times New Roman"/>
          <w:sz w:val="20"/>
        </w:rPr>
      </w:pPr>
      <w:r>
        <w:rPr>
          <w:rFonts w:ascii="Times New Roman" w:hAnsi="Times New Roman"/>
          <w:sz w:val="20"/>
        </w:rPr>
        <w:t xml:space="preserve">All employees and consultants working on behalf of Polestar must adhere to Polestar’s Code of Conduct and the applicable policies. Key compliance areas for Polestar include anti-corruption, data privacy, human rights, environmental compliance, and socioeconomic compliance including competition law, labor law and trade sanctions.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to Polestar’s Whistleblowing system SpeakUp with a guaranteed full anonymity. </w:t>
      </w:r>
    </w:p>
    <w:p>
      <w:pPr>
        <w:pStyle w:val="TextBody"/>
        <w:spacing w:before="360" w:after="0"/>
        <w:jc w:val="left"/>
        <w:rPr>
          <w:rFonts w:ascii="Times New Roman" w:hAnsi="Times New Roman"/>
          <w:b/>
          <w:sz w:val="20"/>
        </w:rPr>
      </w:pPr>
      <w:r>
        <w:rPr>
          <w:rFonts w:ascii="Times New Roman" w:hAnsi="Times New Roman"/>
          <w:b/>
          <w:sz w:val="20"/>
        </w:rPr>
        <w:t xml:space="preserve">Sales and Distribution </w:t>
      </w:r>
    </w:p>
    <w:p>
      <w:pPr>
        <w:pStyle w:val="TextBody"/>
        <w:spacing w:before="120" w:after="0"/>
        <w:jc w:val="left"/>
        <w:rPr>
          <w:rFonts w:ascii="Times New Roman" w:hAnsi="Times New Roman"/>
          <w:sz w:val="20"/>
        </w:rPr>
      </w:pPr>
      <w:r>
        <w:rPr>
          <w:rFonts w:ascii="Times New Roman" w:hAnsi="Times New Roman"/>
          <w:sz w:val="20"/>
        </w:rPr>
        <w:t xml:space="preserve">In 2019, Polestar commenced commercial sales of its vehicles with the Polestar 1, followed in 2020 with the Polestar 2. In addition, following its launch, Polestar began accepting orders for Polestar 3 in October 2022.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referred to as Polestar Spaces. Polestar Spaces range from smaller Polestar showrooms located in urban areas to larger Polestar showrooms located in peri-urban areas. Polestar Spaces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December 31, 2022, there were 158 Polestar Spaces. In addition, as Polestar continues with its international expansion, it uses third party importers to give it access to lower volume markets, rapidly and with lower investment. </w:t>
      </w:r>
    </w:p>
    <w:p>
      <w:pPr>
        <w:pStyle w:val="TextBody"/>
        <w:spacing w:before="240" w:after="0"/>
        <w:jc w:val="left"/>
        <w:rPr>
          <w:rFonts w:ascii="Times New Roman" w:hAnsi="Times New Roman"/>
          <w:sz w:val="20"/>
        </w:rPr>
      </w:pPr>
      <w:r>
        <w:rPr>
          <w:rFonts w:ascii="Times New Roman" w:hAnsi="Times New Roman"/>
          <w:sz w:val="20"/>
        </w:rPr>
        <w:t xml:space="preserve">Polestar enters into agreements with independent investors to establish Polestar Spaces.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 </w:t>
      </w:r>
    </w:p>
    <w:p>
      <w:pPr>
        <w:pStyle w:val="TextBody"/>
        <w:spacing w:before="240" w:after="0"/>
        <w:jc w:val="left"/>
        <w:rPr>
          <w:rFonts w:ascii="Times New Roman" w:hAnsi="Times New Roman"/>
          <w:sz w:val="20"/>
        </w:rPr>
      </w:pPr>
      <w:r>
        <w:rPr>
          <w:rFonts w:ascii="Times New Roman" w:hAnsi="Times New Roman"/>
          <w:sz w:val="20"/>
        </w:rPr>
        <w:t xml:space="preserve">In addition to Polestar and its subsidiaries’ direct-to-consumer and direct-to-business models, vehicles are also sold to dealerships and various fleet customers (e.g., rental car companies and corporate fleet managers). In 2022 Polestar entered into agreements with Hertz Global Holdings, Inc. (NASDAQ: HTZ) whereby Hertz committed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purchase 65,000 or more Polestar vehicles during a 5-year period. The Hertz agreements cover the United States, Canada, Europe, and Australia, and deliveries began in June 2022. </w:t>
      </w:r>
    </w:p>
    <w:p>
      <w:pPr>
        <w:pStyle w:val="TextBody"/>
        <w:spacing w:before="240" w:after="0"/>
        <w:jc w:val="left"/>
        <w:rPr>
          <w:rFonts w:ascii="Times New Roman" w:hAnsi="Times New Roman"/>
          <w:sz w:val="20"/>
        </w:rPr>
      </w:pPr>
      <w:r>
        <w:rPr>
          <w:rFonts w:ascii="Times New Roman" w:hAnsi="Times New Roman"/>
          <w:sz w:val="20"/>
        </w:rPr>
        <w:t xml:space="preserve">Polestar aims to deliver leading aftermarket services to its customers by leveraging Volvo Cars’ global service and repair network. Polestar is cooperating with Volvo Cars to develop their service center network, including the introduction of digital service booking, fault tracing, diagnostics and software download (Over-the-Air and in workshop). Polestar also utilizes the Volvo Cars service center network to supply its customers with a spare parts infrastructure. Polestar currently leverages the Volvo Cars service center network to provide access to 1,116 customer service points worldwide (as of December 31, 2022) in support of Polestar’s international operations. Polestar does not have a direct contractual relationship with the operators of its service points. Rather, Polestar relies on operators within the Volvo Cars network who sign, enter into, or amend, existing service contracts with Volvo Cars to add the service of Polestar vehicles to the scope of their dealer agreement. </w:t>
      </w:r>
    </w:p>
    <w:p>
      <w:pPr>
        <w:pStyle w:val="TextBody"/>
        <w:spacing w:before="240" w:after="0"/>
        <w:jc w:val="left"/>
        <w:rPr>
          <w:rFonts w:ascii="Times New Roman" w:hAnsi="Times New Roman"/>
          <w:sz w:val="20"/>
        </w:rPr>
      </w:pPr>
      <w:r>
        <w:rPr>
          <w:rFonts w:ascii="Times New Roman" w:hAnsi="Times New Roman"/>
          <w:sz w:val="20"/>
        </w:rPr>
        <w:t xml:space="preserve">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 </w:t>
      </w:r>
    </w:p>
    <w:p>
      <w:pPr>
        <w:pStyle w:val="TextBody"/>
        <w:spacing w:before="360" w:after="0"/>
        <w:jc w:val="left"/>
        <w:rPr>
          <w:rFonts w:ascii="Times New Roman" w:hAnsi="Times New Roman"/>
          <w:b/>
          <w:sz w:val="20"/>
        </w:rPr>
      </w:pPr>
      <w:r>
        <w:rPr>
          <w:rFonts w:ascii="Times New Roman" w:hAnsi="Times New Roman"/>
          <w:b/>
          <w:sz w:val="20"/>
        </w:rPr>
        <w:t xml:space="preserve">Manufacturing </w:t>
      </w:r>
    </w:p>
    <w:p>
      <w:pPr>
        <w:pStyle w:val="TextBody"/>
        <w:spacing w:before="12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 </w:t>
      </w:r>
    </w:p>
    <w:p>
      <w:pPr>
        <w:pStyle w:val="TextBody"/>
        <w:spacing w:before="240" w:after="0"/>
        <w:jc w:val="left"/>
        <w:rPr>
          <w:rFonts w:ascii="Times New Roman" w:hAnsi="Times New Roman"/>
          <w:sz w:val="20"/>
        </w:rPr>
      </w:pPr>
      <w:r>
        <w:rPr>
          <w:rFonts w:ascii="Times New Roman" w:hAnsi="Times New Roman"/>
          <w:sz w:val="20"/>
        </w:rPr>
        <w:t xml:space="preserve">Polestar has the benefit of being part of the larger global manufacturing footprint of Volvo Cars and Geely with access to a substantial combined installed production capacity. </w:t>
      </w:r>
    </w:p>
    <w:p>
      <w:pPr>
        <w:pStyle w:val="TextBody"/>
        <w:spacing w:before="240" w:after="0"/>
        <w:jc w:val="left"/>
        <w:rPr>
          <w:rFonts w:ascii="Times New Roman" w:hAnsi="Times New Roman"/>
          <w:sz w:val="20"/>
        </w:rPr>
      </w:pPr>
      <w:r>
        <w:rPr>
          <w:rFonts w:ascii="Times New Roman" w:hAnsi="Times New Roman"/>
          <w:sz w:val="20"/>
        </w:rPr>
        <w:t xml:space="preserve">Polestar intends to expand its contract manufacturing presence to facilities in the U.S. and potentially Europe. Commencing with the Polestar 3, Polestar intends to produce vehicles both in China at Volvo Cars’ Chengdu facility and in the United States at Volvo Cars’ facility in Charleston, South Carolina. </w:t>
      </w:r>
    </w:p>
    <w:p>
      <w:pPr>
        <w:pStyle w:val="TextBody"/>
        <w:spacing w:before="360" w:after="0"/>
        <w:jc w:val="left"/>
        <w:rPr>
          <w:rFonts w:ascii="Times New Roman" w:hAnsi="Times New Roman"/>
          <w:b/>
          <w:i/>
          <w:sz w:val="20"/>
        </w:rPr>
      </w:pPr>
      <w:r>
        <w:rPr>
          <w:rFonts w:ascii="Times New Roman" w:hAnsi="Times New Roman"/>
          <w:b/>
          <w:i/>
          <w:sz w:val="20"/>
        </w:rPr>
        <w:t xml:space="preserve">Chengdu facility </w:t>
      </w:r>
    </w:p>
    <w:p>
      <w:pPr>
        <w:pStyle w:val="TextBody"/>
        <w:spacing w:before="120" w:after="0"/>
        <w:jc w:val="left"/>
        <w:rPr>
          <w:rFonts w:ascii="Times New Roman" w:hAnsi="Times New Roman"/>
          <w:sz w:val="20"/>
        </w:rPr>
      </w:pPr>
      <w:r>
        <w:rPr>
          <w:rFonts w:ascii="Times New Roman" w:hAnsi="Times New Roman"/>
          <w:sz w:val="20"/>
        </w:rPr>
        <w:t xml:space="preserve">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has more recently used the Chengdu facility to create limited editions of Polestar 2 (“Beast” or “BST” edition) and also to support the early pre-production builds of future Polestar vehicles. Chengdu was the first LEED Gold-certified automotive production facility in China. It was designed by the Norwegian architecture firm Snøhetta to run on renewable electricity. As of the date of this prospectus, Polestar had committed to a plan to sell its Chengdu facility. Refer to “Note 26—Assets held for sale” in Polestar’s Consolidated Financial Statements for more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Luqiao facility </w:t>
      </w:r>
    </w:p>
    <w:p>
      <w:pPr>
        <w:pStyle w:val="TextBody"/>
        <w:spacing w:before="120" w:after="0"/>
        <w:jc w:val="left"/>
        <w:rPr>
          <w:rFonts w:ascii="Times New Roman" w:hAnsi="Times New Roman"/>
          <w:sz w:val="20"/>
        </w:rPr>
      </w:pPr>
      <w:r>
        <w:rPr>
          <w:rFonts w:ascii="Times New Roman" w:hAnsi="Times New Roman"/>
          <w:sz w:val="20"/>
        </w:rPr>
        <w:t xml:space="preserve">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 </w:t>
      </w:r>
    </w:p>
    <w:p>
      <w:pPr>
        <w:pStyle w:val="TextBody"/>
        <w:spacing w:before="360" w:after="0"/>
        <w:jc w:val="left"/>
        <w:rPr>
          <w:rFonts w:ascii="Times New Roman" w:hAnsi="Times New Roman"/>
          <w:b/>
          <w:i/>
          <w:sz w:val="20"/>
        </w:rPr>
      </w:pPr>
      <w:r>
        <w:rPr>
          <w:rFonts w:ascii="Times New Roman" w:hAnsi="Times New Roman"/>
          <w:b/>
          <w:i/>
          <w:sz w:val="20"/>
        </w:rPr>
        <w:t xml:space="preserve">Battery suppliers </w:t>
      </w:r>
    </w:p>
    <w:p>
      <w:pPr>
        <w:pStyle w:val="TextBody"/>
        <w:spacing w:before="120" w:after="0"/>
        <w:jc w:val="left"/>
        <w:rPr>
          <w:rFonts w:ascii="Times New Roman" w:hAnsi="Times New Roman"/>
          <w:sz w:val="20"/>
        </w:rPr>
      </w:pPr>
      <w:r>
        <w:rPr>
          <w:rFonts w:ascii="Times New Roman" w:hAnsi="Times New Roman"/>
          <w:sz w:val="20"/>
        </w:rPr>
        <w:t xml:space="preserve">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 a supply agreement with battery developer and manufacturer Northvolt, as well as a joint venture with Northvolt in relation to research and development and production in Gothenburg of battery cells that are tailored to power the next generation of fully electric Volvo Cars and Polestar cars. Polestar has also entered into a non-binding letter of intent to secure batteries from SK Innovation, expected to power the Polestar 5. Polestar continues to evaluate potential up and coming startups in this area. </w:t>
      </w:r>
    </w:p>
    <w:p>
      <w:pPr>
        <w:pStyle w:val="TextBody"/>
        <w:spacing w:before="360" w:after="0"/>
        <w:jc w:val="left"/>
        <w:rPr>
          <w:rFonts w:ascii="Times New Roman" w:hAnsi="Times New Roman"/>
          <w:b/>
          <w:i/>
          <w:sz w:val="20"/>
        </w:rPr>
      </w:pPr>
      <w:r>
        <w:rPr>
          <w:rFonts w:ascii="Times New Roman" w:hAnsi="Times New Roman"/>
          <w:b/>
          <w:i/>
          <w:sz w:val="20"/>
        </w:rPr>
        <w:t xml:space="preserve">Related Party Agreements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policy. Polestar has also established a number of steering committees to monitor compliance and performance of its agreements related to development, manufacturing, or service contracts with related parties (the “Steering Committees”).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2022, 2021 and 2020, see “Note 25—Related party transactions” in Polestar’s Consolidated Financial Statements included elsewhere herein. For a further description of Polestar’s contracts with related parties, see the section entitled “Certain Relationships and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Polestar’s agreements with Volvo Cars cover research and development services,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significant related party transactions, see the section entitled “Certain Relationships and Related Party Transactions.” </w:t>
      </w:r>
    </w:p>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services and intellectual property licenses </w:t>
      </w:r>
    </w:p>
    <w:p>
      <w:pPr>
        <w:pStyle w:val="TextBody"/>
        <w:spacing w:before="120" w:after="0"/>
        <w:jc w:val="left"/>
        <w:rPr>
          <w:rFonts w:ascii="Times New Roman" w:hAnsi="Times New Roman"/>
          <w:sz w:val="20"/>
        </w:rPr>
      </w:pPr>
      <w:r>
        <w:rPr>
          <w:rFonts w:ascii="Times New Roman" w:hAnsi="Times New Roman"/>
          <w:sz w:val="20"/>
        </w:rPr>
        <w:t xml:space="preserve">Polestar has entered into a number of agreements and licensing agreements with Volvo Cars and/or Geely with respect to research and development services and licensing of intellectual property in connection with the development and manufacture of the Polestar 1, Polestar 2, Polestar 3, Polestar 4, Polestar 5 and Polestar 6. These agreements provide Polestar will pay a fixed fee based on Polestar’s volume share of Volvo Car Corporation’s actual development cost. The development cost is calculated based on actual cost and an arm’s length hourly rate. For the Polestar 3, Polestar will pay a fixed price for the technology license and development services which is calculated on Polestar’s volume share of the development costs.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a development service agreement with Geely for the Polestar 4 between late 2021 and early 2022. </w:t>
      </w:r>
    </w:p>
    <w:p>
      <w:pPr>
        <w:pStyle w:val="TextBody"/>
        <w:spacing w:before="360" w:after="0"/>
        <w:jc w:val="left"/>
        <w:rPr>
          <w:rFonts w:ascii="Times New Roman" w:hAnsi="Times New Roman"/>
          <w:b/>
          <w:i/>
          <w:sz w:val="20"/>
        </w:rPr>
      </w:pPr>
      <w:r>
        <w:rPr>
          <w:rFonts w:ascii="Times New Roman" w:hAnsi="Times New Roman"/>
          <w:b/>
          <w:i/>
          <w:sz w:val="20"/>
        </w:rPr>
        <w:t xml:space="preserve">Purchasing Agreements </w:t>
      </w:r>
    </w:p>
    <w:p>
      <w:pPr>
        <w:pStyle w:val="TextBody"/>
        <w:spacing w:before="120" w:after="0"/>
        <w:jc w:val="left"/>
        <w:rPr>
          <w:rFonts w:ascii="Times New Roman" w:hAnsi="Times New Roman"/>
          <w:sz w:val="20"/>
        </w:rPr>
      </w:pPr>
      <w:r>
        <w:rPr>
          <w:rFonts w:ascii="Times New Roman" w:hAnsi="Times New Roman"/>
          <w:sz w:val="20"/>
        </w:rPr>
        <w:t xml:space="preserve">Polestar has entered into several sourcing service agreements and maintenance agreements with Volvo Cars in connection with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 </w:t>
      </w:r>
    </w:p>
    <w:p>
      <w:pPr>
        <w:pStyle w:val="TextBody"/>
        <w:spacing w:before="360" w:after="0"/>
        <w:jc w:val="left"/>
        <w:rPr>
          <w:rFonts w:ascii="Times New Roman" w:hAnsi="Times New Roman"/>
          <w:b/>
          <w:i/>
          <w:sz w:val="20"/>
        </w:rPr>
      </w:pPr>
      <w:r>
        <w:rPr>
          <w:rFonts w:ascii="Times New Roman" w:hAnsi="Times New Roman"/>
          <w:b/>
          <w:i/>
          <w:sz w:val="20"/>
        </w:rPr>
        <w:t xml:space="preserve">Manufacturing engineering and logistics engineering </w:t>
      </w:r>
    </w:p>
    <w:p>
      <w:pPr>
        <w:pStyle w:val="TextBody"/>
        <w:spacing w:before="120" w:after="0"/>
        <w:jc w:val="left"/>
        <w:rPr>
          <w:rFonts w:ascii="Times New Roman" w:hAnsi="Times New Roman"/>
          <w:sz w:val="20"/>
        </w:rPr>
      </w:pPr>
      <w:r>
        <w:rPr>
          <w:rFonts w:ascii="Times New Roman" w:hAnsi="Times New Roman"/>
          <w:sz w:val="20"/>
        </w:rPr>
        <w:t xml:space="preserve">Polestar has entered into manufacturing engineering service agreements with Volvo Cars in connection with the production of Polestar 2 and Polestar 3. These agreements provide that Volvo Cars will provide industrial engineering services and manufacturing services with respect to the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 </w:t>
      </w:r>
    </w:p>
    <w:p>
      <w:pPr>
        <w:pStyle w:val="TextBody"/>
        <w:spacing w:before="360" w:after="0"/>
        <w:jc w:val="left"/>
        <w:rPr>
          <w:rFonts w:ascii="Times New Roman" w:hAnsi="Times New Roman"/>
          <w:b/>
          <w:i/>
          <w:sz w:val="20"/>
        </w:rPr>
      </w:pPr>
      <w:r>
        <w:rPr>
          <w:rFonts w:ascii="Times New Roman" w:hAnsi="Times New Roman"/>
          <w:b/>
          <w:i/>
          <w:sz w:val="20"/>
        </w:rPr>
        <w:t xml:space="preserve">Manufacturing </w:t>
      </w:r>
    </w:p>
    <w:p>
      <w:pPr>
        <w:pStyle w:val="TextBody"/>
        <w:spacing w:before="120" w:after="0"/>
        <w:jc w:val="left"/>
        <w:rPr>
          <w:rFonts w:ascii="Times New Roman" w:hAnsi="Times New Roman"/>
          <w:sz w:val="20"/>
        </w:rPr>
      </w:pPr>
      <w:r>
        <w:rPr>
          <w:rFonts w:ascii="Times New Roman" w:hAnsi="Times New Roman"/>
          <w:sz w:val="20"/>
        </w:rPr>
        <w:t xml:space="preserve">For the manufacturing of Polestar 2, Polestar has entered into contract manufacturing agreements with the Luqiao (or “Taizhou”) plant, which is owned and operated by Volvo Cars. Further, Polestar has entered into financial undertaking agreements with Volvo Cars for investments for Polestar 3 production in a Volvo Cars plant in Chengdu, China as well as at a plant in Charleston, South Carolina. Production for initial launch markets in North America and Europe is planned to begin in Volvo Cars’ facility in Chengdu, China, in an incremental ramp-up phase starting in mid-2023, with first deliveries expected in the fourth quarter of 2023. Delivery schedules for secondary launch markets in Asia Pacific and the Middle East are not yet finalized but are expected in 2024. Additional manufacturing at Volvo Cars’ Charleston, South Carolina facility in the United States, is expected to follow towards the middle of 2024 – from which point supply to North American and other left-hand drive markets is planned to switch from China to the United States. Initial deliveries from the Volvo Cars’ Charleston facility in South Carolina are expected around the middle of 2024. Polestar and Volvo Cars expect to have the detailed agreements for production of Polestar vehicles in Chengdu and in Charleston signed in the second quarter of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Agreements </w:t>
      </w:r>
    </w:p>
    <w:p>
      <w:pPr>
        <w:pStyle w:val="TextBody"/>
        <w:spacing w:before="120" w:after="0"/>
        <w:jc w:val="left"/>
        <w:rPr>
          <w:rFonts w:ascii="Times New Roman" w:hAnsi="Times New Roman"/>
          <w:sz w:val="20"/>
        </w:rPr>
      </w:pPr>
      <w:r>
        <w:rPr>
          <w:rFonts w:ascii="Times New Roman" w:hAnsi="Times New Roman"/>
          <w:sz w:val="20"/>
        </w:rPr>
        <w:t xml:space="preserve">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 </w:t>
      </w:r>
    </w:p>
    <w:p>
      <w:pPr>
        <w:pStyle w:val="TextBody"/>
        <w:spacing w:before="360" w:after="0"/>
        <w:jc w:val="left"/>
        <w:rPr>
          <w:rFonts w:ascii="Times New Roman" w:hAnsi="Times New Roman"/>
          <w:b/>
          <w:i/>
          <w:sz w:val="20"/>
        </w:rPr>
      </w:pPr>
      <w:r>
        <w:rPr>
          <w:rFonts w:ascii="Times New Roman" w:hAnsi="Times New Roman"/>
          <w:b/>
          <w:i/>
          <w:sz w:val="20"/>
        </w:rPr>
        <w:t xml:space="preserve">Charging Network </w:t>
      </w:r>
    </w:p>
    <w:p>
      <w:pPr>
        <w:pStyle w:val="TextBody"/>
        <w:spacing w:before="120" w:after="0"/>
        <w:jc w:val="left"/>
        <w:rPr>
          <w:rFonts w:ascii="Times New Roman" w:hAnsi="Times New Roman"/>
          <w:sz w:val="20"/>
        </w:rPr>
      </w:pPr>
      <w:r>
        <w:rPr>
          <w:rFonts w:ascii="Times New Roman" w:hAnsi="Times New Roman"/>
          <w:sz w:val="20"/>
        </w:rPr>
        <w:t xml:space="preserve">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 </w:t>
      </w:r>
    </w:p>
    <w:p>
      <w:pPr>
        <w:pStyle w:val="TextBody"/>
        <w:spacing w:before="240" w:after="0"/>
        <w:jc w:val="left"/>
        <w:rPr>
          <w:rFonts w:ascii="Times New Roman" w:hAnsi="Times New Roman"/>
          <w:sz w:val="20"/>
        </w:rPr>
      </w:pPr>
      <w:r>
        <w:rPr>
          <w:rFonts w:ascii="Times New Roman" w:hAnsi="Times New Roman"/>
          <w:sz w:val="20"/>
        </w:rPr>
        <w:t xml:space="preserve">Polestar provides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 </w:t>
      </w:r>
    </w:p>
    <w:p>
      <w:pPr>
        <w:pStyle w:val="TextBody"/>
        <w:spacing w:before="360" w:after="0"/>
        <w:jc w:val="left"/>
        <w:rPr>
          <w:rFonts w:ascii="Times New Roman" w:hAnsi="Times New Roman"/>
          <w:b/>
          <w:i/>
          <w:sz w:val="20"/>
        </w:rPr>
      </w:pPr>
      <w:r>
        <w:rPr>
          <w:rFonts w:ascii="Times New Roman" w:hAnsi="Times New Roman"/>
          <w:b/>
          <w:i/>
          <w:sz w:val="20"/>
        </w:rPr>
        <w:t xml:space="preserve">Competition </w:t>
      </w:r>
    </w:p>
    <w:p>
      <w:pPr>
        <w:pStyle w:val="TextBody"/>
        <w:spacing w:before="120" w:after="0"/>
        <w:jc w:val="left"/>
        <w:rPr>
          <w:rFonts w:ascii="Times New Roman" w:hAnsi="Times New Roman"/>
          <w:sz w:val="20"/>
        </w:rPr>
      </w:pPr>
      <w:r>
        <w:rPr>
          <w:rFonts w:ascii="Times New Roman" w:hAnsi="Times New Roman"/>
          <w:sz w:val="20"/>
        </w:rPr>
        <w:t xml:space="preserve">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 towards low-emission, zero-emission or carbon neutral solutions. In addition, numerous manufacturers offer hybrid vehicles, including plug-in versions, with which Polestar’s vehicles also compete. </w:t>
      </w:r>
    </w:p>
    <w:p>
      <w:pPr>
        <w:pStyle w:val="TextBody"/>
        <w:spacing w:before="240" w:after="0"/>
        <w:jc w:val="left"/>
        <w:rPr>
          <w:rFonts w:ascii="Times New Roman" w:hAnsi="Times New Roman"/>
          <w:sz w:val="20"/>
        </w:rPr>
      </w:pPr>
      <w:r>
        <w:rPr>
          <w:rFonts w:ascii="Times New Roman" w:hAnsi="Times New Roman"/>
          <w:sz w:val="20"/>
        </w:rPr>
        <w:t xml:space="preserve">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can differentiate itself from its competitors due to its focus on design, technology and sustainability its global presence and ability to leverage an established production ecosystem due to its relationships with its founding partners. </w:t>
      </w:r>
    </w:p>
    <w:p>
      <w:pPr>
        <w:pStyle w:val="TextBody"/>
        <w:spacing w:before="240" w:after="0"/>
        <w:jc w:val="left"/>
        <w:rPr>
          <w:rFonts w:ascii="Times New Roman" w:hAnsi="Times New Roman"/>
          <w:sz w:val="20"/>
        </w:rPr>
      </w:pPr>
      <w:r>
        <w:rPr>
          <w:rFonts w:ascii="Times New Roman" w:hAnsi="Times New Roman"/>
          <w:sz w:val="20"/>
        </w:rPr>
        <w:t xml:space="preserve">On a global basis, Polestar’s principal EV competitor is Tesla. Based on production numbers,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Model Y, a crossover SUV based on the Model 3. Model Y will also become more relevant with the launch of Polestar 4. Lucid, a US vertically-integrated technology and automotive company headquartered in California, is a potential competitor. While Lucid is engaged in the design, engineering, and construction of electric vehicles, electric vehicle powertrains and battery systems, its Lucid Air sales only started at the end of October 2021. In addition, Lucid does not currently have an SUV model and has focused recent efforts on promoting the Lucid Air, its large luxury sedan offering that is being offered at higher price points than many Polestar offerings.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The forthcoming electric Macan is considered a key competitor to Polestar 4. Porsche is also a benchmark brand for future Polestar vehicles in terms of size and segments. </w:t>
      </w:r>
    </w:p>
    <w:p>
      <w:pPr>
        <w:pStyle w:val="TextBody"/>
        <w:spacing w:before="240" w:after="0"/>
        <w:jc w:val="left"/>
        <w:rPr>
          <w:rFonts w:ascii="Times New Roman" w:hAnsi="Times New Roman"/>
          <w:sz w:val="20"/>
        </w:rPr>
      </w:pPr>
      <w:r>
        <w:rPr>
          <w:rFonts w:ascii="Times New Roman" w:hAnsi="Times New Roman"/>
          <w:sz w:val="20"/>
        </w:rPr>
        <w:t xml:space="preserve">Other competition within the electric vehicle segment of the market, includes other pure play electric vehicle producers, such as Nio, Xpeng, Rivian and Fisker. </w:t>
      </w:r>
    </w:p>
    <w:p>
      <w:pPr>
        <w:pStyle w:val="TextBody"/>
        <w:spacing w:before="360" w:after="0"/>
        <w:jc w:val="left"/>
        <w:rPr>
          <w:rFonts w:ascii="Times New Roman" w:hAnsi="Times New Roman"/>
          <w:b/>
          <w:i/>
          <w:sz w:val="20"/>
        </w:rPr>
      </w:pPr>
      <w:r>
        <w:rPr>
          <w:rFonts w:ascii="Times New Roman" w:hAnsi="Times New Roman"/>
          <w:b/>
          <w:i/>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Research and development, conducted with strategic partners such as Volvo Cars,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and control its proprietary design, technology and other intellectual property assets. Polestar relies on a combination of intellectual property rights, such as patents, design and trademark registrations, to protect and preserve its proprietary technology and intellectual property assets. In addition, Polestar enters into employee, contractor, consultant and third-party non-disclosure and invention assignment agreements and other contractual arrangements to protect its proprietary technology and intellectual property assets. </w:t>
      </w:r>
    </w:p>
    <w:p>
      <w:pPr>
        <w:pStyle w:val="TextBody"/>
        <w:spacing w:before="240" w:after="0"/>
        <w:jc w:val="left"/>
        <w:rPr>
          <w:rFonts w:ascii="Times New Roman" w:hAnsi="Times New Roman"/>
          <w:sz w:val="20"/>
        </w:rPr>
      </w:pPr>
      <w:r>
        <w:rPr>
          <w:rFonts w:ascii="Times New Roman" w:hAnsi="Times New Roman"/>
          <w:sz w:val="20"/>
        </w:rPr>
        <w:t xml:space="preserve">As of December 31, 2022, Polestar owned 118 issued U.S. patents and 97, 60, and 192 issued patents in Europe, China and other jurisdictions (including European Patent Organisation (“EPO”) validation states and UK), respectively. Those patents are related to Polestar’s core proprietary technology. In addition, Polestar had 60 pending U.S. patent applications and 34, 30, and 20 pending patent applications in the EPO, China and other jurisdictions, respectively. In addition to patents covering Polestar’s core proprietary technology, Polestar had 81 pending U.S. design patent applications, plus 61, 96 and 35 issued design or industrial design patents in the U.S., EU and China, respectively, and 166 issued design or industrial design patents issued in other jurisdictions. Another 57 and 44 design applications were pending in the EU (EU filing) and China, respectively, and there were 70 pending design applications in other jurisdictions. As of December 31, 2022, Polestar owned 6 registered U.S. trademarks, 13 pending U.S. trademark applications, as well as 19 and 17 registered trademarks in the EU and China, respectively. Further, 4 and 10 trademark applications were pending in the EU (and UK) and China, respectively. </w:t>
      </w:r>
    </w:p>
    <w:p>
      <w:pPr>
        <w:pStyle w:val="TextBody"/>
        <w:spacing w:before="240" w:after="0"/>
        <w:jc w:val="left"/>
        <w:rPr>
          <w:rFonts w:ascii="Times New Roman" w:hAnsi="Times New Roman"/>
          <w:sz w:val="20"/>
        </w:rPr>
      </w:pPr>
      <w:r>
        <w:rPr>
          <w:rFonts w:ascii="Times New Roman" w:hAnsi="Times New Roman"/>
          <w:sz w:val="20"/>
        </w:rPr>
        <w:t xml:space="preserve">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 </w:t>
      </w:r>
    </w:p>
    <w:p>
      <w:pPr>
        <w:pStyle w:val="TextBody"/>
        <w:spacing w:before="240" w:after="0"/>
        <w:jc w:val="left"/>
        <w:rPr>
          <w:rFonts w:ascii="Times New Roman" w:hAnsi="Times New Roman"/>
          <w:sz w:val="20"/>
        </w:rPr>
      </w:pPr>
      <w:r>
        <w:rPr>
          <w:rFonts w:ascii="Times New Roman" w:hAnsi="Times New Roman"/>
          <w:sz w:val="20"/>
        </w:rPr>
        <w:t xml:space="preserve">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build its intellectual property portfolio, including by pursuing patent and other intellectual property protection when Polestar believes it is possible, cost-effective, beneficial and consistent with its overall intellectual property protection strategy. </w:t>
      </w:r>
    </w:p>
    <w:p>
      <w:pPr>
        <w:pStyle w:val="TextBody"/>
        <w:spacing w:before="240" w:after="0"/>
        <w:jc w:val="left"/>
        <w:rPr>
          <w:rFonts w:ascii="Times New Roman" w:hAnsi="Times New Roman"/>
          <w:sz w:val="20"/>
        </w:rPr>
      </w:pPr>
      <w:r>
        <w:rPr>
          <w:rFonts w:ascii="Times New Roman" w:hAnsi="Times New Roman"/>
          <w:sz w:val="20"/>
        </w:rPr>
        <w:t xml:space="preserve">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 </w:t>
      </w:r>
    </w:p>
    <w:p>
      <w:pPr>
        <w:pStyle w:val="TextBody"/>
        <w:spacing w:before="240" w:after="0"/>
        <w:jc w:val="left"/>
        <w:rPr>
          <w:rFonts w:ascii="Times New Roman" w:hAnsi="Times New Roman"/>
          <w:sz w:val="20"/>
        </w:rPr>
      </w:pPr>
      <w:r>
        <w:rPr>
          <w:rFonts w:ascii="Times New Roman" w:hAnsi="Times New Roman"/>
          <w:sz w:val="20"/>
        </w:rPr>
        <w:t xml:space="preserve">In addition to Polestar’s proprietary technology and intellectual property assets, it has also acquired, licensed or sub-licensed material portions of the intellectual property that is relevant to its products from Volvo Cars, Geely and Zhejiang Zeekr Automobile Research and Development Co., Ltd. For example, it has acquired intellectual property with respect to fully electrical platform technology, motor vehicle drive units with electric vehicle motors, motor assemblies for operating electric powertrains, and structures specifically designed to protect electric vehicle components, and intellectual property relating to infotainment and connectivity. Polestar has also entered into agreements providing for a license relating to certain technology and features to be introduced in its model year programs. </w:t>
      </w:r>
    </w:p>
    <w:p>
      <w:pPr>
        <w:pStyle w:val="TextBody"/>
        <w:spacing w:before="360" w:after="0"/>
        <w:jc w:val="left"/>
        <w:rPr>
          <w:rFonts w:ascii="Times New Roman" w:hAnsi="Times New Roman"/>
          <w:b/>
          <w:i/>
          <w:sz w:val="20"/>
        </w:rPr>
      </w:pPr>
      <w:r>
        <w:rPr>
          <w:rFonts w:ascii="Times New Roman" w:hAnsi="Times New Roman"/>
          <w:b/>
          <w:i/>
          <w:sz w:val="20"/>
        </w:rPr>
        <w:t xml:space="preserve">Regulation </w:t>
      </w:r>
    </w:p>
    <w:p>
      <w:pPr>
        <w:pStyle w:val="TextBody"/>
        <w:spacing w:before="120" w:after="0"/>
        <w:jc w:val="left"/>
        <w:rPr>
          <w:rFonts w:ascii="Times New Roman" w:hAnsi="Times New Roman"/>
          <w:sz w:val="20"/>
        </w:rPr>
      </w:pPr>
      <w:r>
        <w:rPr>
          <w:rFonts w:ascii="Times New Roman" w:hAnsi="Times New Roman"/>
          <w:sz w:val="20"/>
        </w:rPr>
        <w:t xml:space="preserve">Polestar’s products are designed to comply with all applicable regulations in the markets where it operates. As of December 31, 2022, Polestar operates in 27 markets in Europe, the Middle-East,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 </w:t>
      </w:r>
    </w:p>
    <w:p>
      <w:pPr>
        <w:pStyle w:val="TextBody"/>
        <w:spacing w:before="240" w:after="0"/>
        <w:jc w:val="left"/>
        <w:rPr>
          <w:rFonts w:ascii="Times New Roman" w:hAnsi="Times New Roman"/>
          <w:sz w:val="20"/>
        </w:rPr>
      </w:pPr>
      <w:r>
        <w:rPr>
          <w:rFonts w:ascii="Times New Roman" w:hAnsi="Times New Roman"/>
          <w:sz w:val="20"/>
        </w:rPr>
        <w:t xml:space="preserve">Polestar believes that the following regulations are material to its business: </w:t>
      </w:r>
    </w:p>
    <w:p>
      <w:pPr>
        <w:pStyle w:val="TextBody"/>
        <w:spacing w:before="360" w:after="0"/>
        <w:jc w:val="left"/>
        <w:rPr>
          <w:rFonts w:ascii="Times New Roman" w:hAnsi="Times New Roman"/>
          <w:i/>
          <w:sz w:val="20"/>
        </w:rPr>
      </w:pPr>
      <w:r>
        <w:rPr>
          <w:rFonts w:ascii="Times New Roman" w:hAnsi="Times New Roman"/>
          <w:i/>
          <w:sz w:val="20"/>
        </w:rPr>
        <w:t xml:space="preserve">UNECE </w:t>
      </w:r>
    </w:p>
    <w:p>
      <w:pPr>
        <w:pStyle w:val="TextBody"/>
        <w:spacing w:before="120" w:after="0"/>
        <w:jc w:val="left"/>
        <w:rPr>
          <w:rFonts w:ascii="Times New Roman" w:hAnsi="Times New Roman"/>
          <w:sz w:val="20"/>
        </w:rPr>
      </w:pPr>
      <w:r>
        <w:rPr>
          <w:rFonts w:ascii="Times New Roman" w:hAnsi="Times New Roman"/>
          <w:sz w:val="20"/>
        </w:rPr>
        <w:t xml:space="preserve">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 </w:t>
      </w:r>
    </w:p>
    <w:p>
      <w:pPr>
        <w:pStyle w:val="TextBody"/>
        <w:spacing w:before="360" w:after="0"/>
        <w:jc w:val="left"/>
        <w:rPr>
          <w:rFonts w:ascii="Times New Roman" w:hAnsi="Times New Roman"/>
          <w:i/>
          <w:sz w:val="20"/>
        </w:rPr>
      </w:pPr>
      <w:r>
        <w:rPr>
          <w:rFonts w:ascii="Times New Roman" w:hAnsi="Times New Roman"/>
          <w:i/>
          <w:sz w:val="20"/>
        </w:rPr>
        <w:t xml:space="preserve">EU </w:t>
      </w:r>
    </w:p>
    <w:p>
      <w:pPr>
        <w:pStyle w:val="TextBody"/>
        <w:spacing w:before="120" w:after="0"/>
        <w:jc w:val="left"/>
        <w:rPr>
          <w:rFonts w:ascii="Times New Roman" w:hAnsi="Times New Roman"/>
          <w:sz w:val="20"/>
        </w:rPr>
      </w:pPr>
      <w:r>
        <w:rPr>
          <w:rFonts w:ascii="Times New Roman" w:hAnsi="Times New Roman"/>
          <w:sz w:val="20"/>
        </w:rPr>
        <w:t xml:space="preserve">Manufacturers of passenger vehicles in the EU that wish to benefit from the Single Market are required to comply with EU Regulation 2018/858 (the Whole Vehicle Type Approval), which requires that vehicles that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 </w:t>
      </w:r>
    </w:p>
    <w:p>
      <w:pPr>
        <w:pStyle w:val="TextBody"/>
        <w:spacing w:before="360" w:after="0"/>
        <w:jc w:val="left"/>
        <w:rPr>
          <w:rFonts w:ascii="Times New Roman" w:hAnsi="Times New Roman"/>
          <w:i/>
          <w:sz w:val="20"/>
        </w:rPr>
      </w:pPr>
      <w:r>
        <w:rPr>
          <w:rFonts w:ascii="Times New Roman" w:hAnsi="Times New Roman"/>
          <w:i/>
          <w:sz w:val="20"/>
        </w:rPr>
        <w:t xml:space="preserve">USA </w:t>
      </w:r>
    </w:p>
    <w:p>
      <w:pPr>
        <w:pStyle w:val="TextBody"/>
        <w:spacing w:before="120" w:after="0"/>
        <w:jc w:val="left"/>
        <w:rPr>
          <w:rFonts w:ascii="Times New Roman" w:hAnsi="Times New Roman"/>
          <w:sz w:val="20"/>
        </w:rPr>
      </w:pPr>
      <w:r>
        <w:rPr>
          <w:rFonts w:ascii="Times New Roman" w:hAnsi="Times New Roman"/>
          <w:sz w:val="20"/>
        </w:rPr>
        <w:t xml:space="preserve">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 </w:t>
      </w:r>
    </w:p>
    <w:p>
      <w:pPr>
        <w:pStyle w:val="TextBody"/>
        <w:spacing w:before="240" w:after="0"/>
        <w:jc w:val="left"/>
        <w:rPr>
          <w:rFonts w:ascii="Times New Roman" w:hAnsi="Times New Roman"/>
          <w:sz w:val="20"/>
        </w:rPr>
      </w:pPr>
      <w:r>
        <w:rPr>
          <w:rFonts w:ascii="Times New Roman" w:hAnsi="Times New Roman"/>
          <w:sz w:val="20"/>
        </w:rPr>
        <w:t xml:space="preserve">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requires cars and equipment sold in the United States to fulfill safety standards that are continuously updated to meet new technologies and needs. </w:t>
      </w:r>
    </w:p>
    <w:p>
      <w:pPr>
        <w:pStyle w:val="TextBody"/>
        <w:spacing w:before="240" w:after="0"/>
        <w:jc w:val="left"/>
        <w:rPr>
          <w:rFonts w:ascii="Times New Roman" w:hAnsi="Times New Roman"/>
          <w:sz w:val="20"/>
        </w:rPr>
      </w:pPr>
      <w:r>
        <w:rPr>
          <w:rFonts w:ascii="Times New Roman" w:hAnsi="Times New Roman"/>
          <w:sz w:val="20"/>
        </w:rPr>
        <w:t xml:space="preserve">Polestar’s vehicles fulfill the applicable product requirements stipulated by the NHTSA and the EPA on a federal level, and similarly the CARB who is a major regulator on the state level. </w:t>
      </w:r>
    </w:p>
    <w:p>
      <w:pPr>
        <w:pStyle w:val="TextBody"/>
        <w:spacing w:before="360" w:after="0"/>
        <w:jc w:val="left"/>
        <w:rPr>
          <w:rFonts w:ascii="Times New Roman" w:hAnsi="Times New Roman"/>
          <w:i/>
          <w:sz w:val="20"/>
        </w:rPr>
      </w:pPr>
      <w:r>
        <w:rPr>
          <w:rFonts w:ascii="Times New Roman" w:hAnsi="Times New Roman"/>
          <w:i/>
          <w:sz w:val="20"/>
        </w:rPr>
        <w:t xml:space="preserve">China </w:t>
      </w:r>
    </w:p>
    <w:p>
      <w:pPr>
        <w:pStyle w:val="TextBody"/>
        <w:spacing w:before="120" w:after="0"/>
        <w:jc w:val="left"/>
        <w:rPr>
          <w:rFonts w:ascii="Times New Roman" w:hAnsi="Times New Roman"/>
          <w:sz w:val="20"/>
        </w:rPr>
      </w:pPr>
      <w:r>
        <w:rPr>
          <w:rFonts w:ascii="Times New Roman" w:hAnsi="Times New Roman"/>
          <w:sz w:val="20"/>
        </w:rPr>
        <w:t xml:space="preserve">The regulatory system in China applies type approval for Polestar’s vehicles under three regulatory bodies: </w:t>
      </w:r>
    </w:p>
    <w:p>
      <w:pPr>
        <w:pStyle w:val="TextBody"/>
        <w:spacing w:before="0" w:after="0"/>
        <w:jc w:val="left"/>
        <w:rPr/>
      </w:pPr>
      <w:r>
        <w:rPr/>
        <w:t> </w:t>
      </w:r>
    </w:p>
    <w:tbl>
      <w:tblPr>
        <w:tblW w:w="9145" w:type="dxa"/>
        <w:jc w:val="left"/>
        <w:tblInd w:w="0" w:type="dxa"/>
        <w:tblCellMar>
          <w:top w:w="0" w:type="dxa"/>
          <w:left w:w="0" w:type="dxa"/>
          <w:bottom w:w="0" w:type="dxa"/>
          <w:right w:w="0" w:type="dxa"/>
        </w:tblCellMar>
      </w:tblPr>
      <w:tblGrid>
        <w:gridCol w:w="75"/>
        <w:gridCol w:w="110"/>
        <w:gridCol w:w="60"/>
        <w:gridCol w:w="8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Ministry of Industry and Information Technology (“MIIT”)—regulates the approval to manufacture vehicles; </w:t>
            </w:r>
          </w:p>
        </w:tc>
      </w:tr>
    </w:tbl>
    <w:p>
      <w:pPr>
        <w:pStyle w:val="TextBody"/>
        <w:spacing w:before="0" w:after="0"/>
        <w:jc w:val="left"/>
        <w:rPr/>
      </w:pPr>
      <w:r>
        <w:rPr/>
        <w:t> </w:t>
      </w:r>
    </w:p>
    <w:tbl>
      <w:tblPr>
        <w:tblW w:w="7270" w:type="dxa"/>
        <w:jc w:val="left"/>
        <w:tblInd w:w="0" w:type="dxa"/>
        <w:tblCellMar>
          <w:top w:w="0" w:type="dxa"/>
          <w:left w:w="0" w:type="dxa"/>
          <w:bottom w:w="0" w:type="dxa"/>
          <w:right w:w="0" w:type="dxa"/>
        </w:tblCellMar>
      </w:tblPr>
      <w:tblGrid>
        <w:gridCol w:w="75"/>
        <w:gridCol w:w="110"/>
        <w:gridCol w:w="60"/>
        <w:gridCol w:w="7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State Administration for Market Regulation (“SAMR”)—regulates vehicle safety; and </w:t>
            </w:r>
          </w:p>
        </w:tc>
      </w:tr>
    </w:tbl>
    <w:p>
      <w:pPr>
        <w:pStyle w:val="TextBody"/>
        <w:spacing w:before="0" w:after="0"/>
        <w:jc w:val="left"/>
        <w:rPr/>
      </w:pPr>
      <w:r>
        <w:rPr/>
        <w:t> </w:t>
      </w:r>
    </w:p>
    <w:tbl>
      <w:tblPr>
        <w:tblW w:w="7450" w:type="dxa"/>
        <w:jc w:val="left"/>
        <w:tblInd w:w="0" w:type="dxa"/>
        <w:tblCellMar>
          <w:top w:w="0" w:type="dxa"/>
          <w:left w:w="0" w:type="dxa"/>
          <w:bottom w:w="0" w:type="dxa"/>
          <w:right w:w="0" w:type="dxa"/>
        </w:tblCellMar>
      </w:tblPr>
      <w:tblGrid>
        <w:gridCol w:w="75"/>
        <w:gridCol w:w="110"/>
        <w:gridCol w:w="60"/>
        <w:gridCol w:w="7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Ministry of Ecology and Environment (“MEP”)—regulates range and energy efficiency. </w:t>
            </w:r>
          </w:p>
        </w:tc>
      </w:tr>
    </w:tbl>
    <w:p>
      <w:pPr>
        <w:pStyle w:val="TextBody"/>
        <w:spacing w:before="240" w:after="0"/>
        <w:jc w:val="left"/>
        <w:rPr>
          <w:rFonts w:ascii="Times New Roman" w:hAnsi="Times New Roman"/>
          <w:sz w:val="20"/>
        </w:rPr>
      </w:pPr>
      <w:r>
        <w:rPr>
          <w:rFonts w:ascii="Times New Roman" w:hAnsi="Times New Roman"/>
          <w:sz w:val="20"/>
        </w:rPr>
        <w:t xml:space="preserve">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 Additionally, considering the current large volumes of new energy vehicles in China, MIIT is also starting to strictly control contract manufacturing of new energy vehicles in PRC. As of result of such control, MIIT has possibilities not to approve car model homologation for contract manufacturing, especially foreign related. </w:t>
      </w:r>
    </w:p>
    <w:p>
      <w:pPr>
        <w:pStyle w:val="TextBody"/>
        <w:spacing w:before="240" w:after="0"/>
        <w:jc w:val="left"/>
        <w:rPr>
          <w:rFonts w:ascii="Times New Roman" w:hAnsi="Times New Roman"/>
          <w:sz w:val="20"/>
        </w:rPr>
      </w:pPr>
      <w:r>
        <w:rPr>
          <w:rFonts w:ascii="Times New Roman" w:hAnsi="Times New Roman"/>
          <w:sz w:val="20"/>
        </w:rPr>
        <w:t xml:space="preserve">Further, in order to be able to operate in China, Polestar and its subsidiaries are subject to permission requirements from the following regulatory bodies: </w:t>
      </w:r>
    </w:p>
    <w:p>
      <w:pPr>
        <w:pStyle w:val="TextBody"/>
        <w:spacing w:before="0" w:after="0"/>
        <w:jc w:val="left"/>
        <w:rPr/>
      </w:pPr>
      <w:r>
        <w:rPr/>
        <w:t> </w:t>
      </w:r>
    </w:p>
    <w:tbl>
      <w:tblPr>
        <w:tblW w:w="940" w:type="dxa"/>
        <w:jc w:val="left"/>
        <w:tblInd w:w="0" w:type="dxa"/>
        <w:tblCellMar>
          <w:top w:w="0" w:type="dxa"/>
          <w:left w:w="0" w:type="dxa"/>
          <w:bottom w:w="0" w:type="dxa"/>
          <w:right w:w="0" w:type="dxa"/>
        </w:tblCellMar>
      </w:tblPr>
      <w:tblGrid>
        <w:gridCol w:w="75"/>
        <w:gridCol w:w="110"/>
        <w:gridCol w:w="60"/>
        <w:gridCol w:w="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SAMR; </w:t>
            </w:r>
          </w:p>
        </w:tc>
      </w:tr>
    </w:tbl>
    <w:p>
      <w:pPr>
        <w:pStyle w:val="TextBody"/>
        <w:spacing w:before="0" w:after="0"/>
        <w:jc w:val="left"/>
        <w:rPr/>
      </w:pPr>
      <w:r>
        <w:rPr/>
        <w:t> </w:t>
      </w:r>
    </w:p>
    <w:tbl>
      <w:tblPr>
        <w:tblW w:w="1135" w:type="dxa"/>
        <w:jc w:val="left"/>
        <w:tblInd w:w="0" w:type="dxa"/>
        <w:tblCellMar>
          <w:top w:w="0" w:type="dxa"/>
          <w:left w:w="0" w:type="dxa"/>
          <w:bottom w:w="0" w:type="dxa"/>
          <w:right w:w="0" w:type="dxa"/>
        </w:tblCellMar>
      </w:tblPr>
      <w:tblGrid>
        <w:gridCol w:w="75"/>
        <w:gridCol w:w="110"/>
        <w:gridCol w:w="60"/>
        <w:gridCol w:w="8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MEP; and </w:t>
            </w:r>
          </w:p>
        </w:tc>
      </w:tr>
    </w:tbl>
    <w:p>
      <w:pPr>
        <w:pStyle w:val="TextBody"/>
        <w:spacing w:before="0" w:after="0"/>
        <w:jc w:val="left"/>
        <w:rPr/>
      </w:pPr>
      <w:r>
        <w:rPr/>
        <w:t> </w:t>
      </w:r>
    </w:p>
    <w:tbl>
      <w:tblPr>
        <w:tblW w:w="3235" w:type="dxa"/>
        <w:jc w:val="left"/>
        <w:tblInd w:w="0" w:type="dxa"/>
        <w:tblCellMar>
          <w:top w:w="0" w:type="dxa"/>
          <w:left w:w="0" w:type="dxa"/>
          <w:bottom w:w="0" w:type="dxa"/>
          <w:right w:w="0" w:type="dxa"/>
        </w:tblCellMar>
      </w:tblPr>
      <w:tblGrid>
        <w:gridCol w:w="75"/>
        <w:gridCol w:w="110"/>
        <w:gridCol w:w="60"/>
        <w:gridCol w:w="2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Administration of Customs. </w:t>
            </w:r>
          </w:p>
        </w:tc>
      </w:tr>
    </w:tbl>
    <w:p>
      <w:pPr>
        <w:pStyle w:val="TextBody"/>
        <w:spacing w:before="240" w:after="0"/>
        <w:jc w:val="left"/>
        <w:rPr>
          <w:rFonts w:ascii="Times New Roman" w:hAnsi="Times New Roman"/>
          <w:sz w:val="20"/>
        </w:rPr>
      </w:pPr>
      <w:r>
        <w:rPr>
          <w:rFonts w:ascii="Times New Roman" w:hAnsi="Times New Roman"/>
          <w:sz w:val="20"/>
        </w:rPr>
        <w:t xml:space="preserve">Polestar and its subsidiaries have received all requisite permissions to operate in China and have not been denied any permissions in the past. These permissions include the following: </w:t>
      </w:r>
    </w:p>
    <w:p>
      <w:pPr>
        <w:pStyle w:val="TextBody"/>
        <w:spacing w:before="0" w:after="0"/>
        <w:jc w:val="left"/>
        <w:rPr/>
      </w:pPr>
      <w:r>
        <w:rPr/>
        <w:t> </w:t>
      </w:r>
    </w:p>
    <w:tbl>
      <w:tblPr>
        <w:tblW w:w="1780" w:type="dxa"/>
        <w:jc w:val="left"/>
        <w:tblInd w:w="0" w:type="dxa"/>
        <w:tblCellMar>
          <w:top w:w="0" w:type="dxa"/>
          <w:left w:w="0" w:type="dxa"/>
          <w:bottom w:w="0" w:type="dxa"/>
          <w:right w:w="0" w:type="dxa"/>
        </w:tblCellMar>
      </w:tblPr>
      <w:tblGrid>
        <w:gridCol w:w="75"/>
        <w:gridCol w:w="110"/>
        <w:gridCol w:w="60"/>
        <w:gridCol w:w="1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Business License;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rPr/>
      </w:pPr>
      <w:r>
        <w:rPr/>
      </w:r>
    </w:p>
    <w:p>
      <w:pPr>
        <w:pStyle w:val="Heading5"/>
        <w:rPr/>
      </w:pPr>
      <w:hyperlink w:anchor="toc">
        <w:r>
          <w:rPr>
            <w:rStyle w:val="InternetLink"/>
          </w:rPr>
          <w:t>Table of Contents</w:t>
        </w:r>
      </w:hyperlink>
    </w:p>
    <w:tbl>
      <w:tblPr>
        <w:tblW w:w="2980" w:type="dxa"/>
        <w:jc w:val="left"/>
        <w:tblInd w:w="0" w:type="dxa"/>
        <w:tblCellMar>
          <w:top w:w="0" w:type="dxa"/>
          <w:left w:w="0" w:type="dxa"/>
          <w:bottom w:w="0" w:type="dxa"/>
          <w:right w:w="0" w:type="dxa"/>
        </w:tblCellMar>
      </w:tblPr>
      <w:tblGrid>
        <w:gridCol w:w="75"/>
        <w:gridCol w:w="110"/>
        <w:gridCol w:w="60"/>
        <w:gridCol w:w="2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Pollutants Discharge Permit; and </w:t>
            </w:r>
          </w:p>
        </w:tc>
      </w:tr>
    </w:tbl>
    <w:p>
      <w:pPr>
        <w:pStyle w:val="TextBody"/>
        <w:spacing w:before="0" w:after="0"/>
        <w:jc w:val="left"/>
        <w:rPr/>
      </w:pPr>
      <w:r>
        <w:rPr/>
        <w:t> </w:t>
      </w:r>
    </w:p>
    <w:tbl>
      <w:tblPr>
        <w:tblW w:w="8140" w:type="dxa"/>
        <w:jc w:val="left"/>
        <w:tblInd w:w="0" w:type="dxa"/>
        <w:tblCellMar>
          <w:top w:w="0" w:type="dxa"/>
          <w:left w:w="0" w:type="dxa"/>
          <w:bottom w:w="0" w:type="dxa"/>
          <w:right w:w="0" w:type="dxa"/>
        </w:tblCellMar>
      </w:tblPr>
      <w:tblGrid>
        <w:gridCol w:w="75"/>
        <w:gridCol w:w="110"/>
        <w:gridCol w:w="60"/>
        <w:gridCol w:w="7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Customs Declaration Registration Certificate or Customs Declaration Enterprise Record Receipt. </w:t>
            </w:r>
          </w:p>
        </w:tc>
      </w:tr>
    </w:tbl>
    <w:p>
      <w:pPr>
        <w:pStyle w:val="TextBody"/>
        <w:spacing w:before="240" w:after="0"/>
        <w:jc w:val="left"/>
        <w:rPr>
          <w:rFonts w:ascii="Times New Roman" w:hAnsi="Times New Roman"/>
          <w:sz w:val="20"/>
        </w:rPr>
      </w:pPr>
      <w:r>
        <w:rPr>
          <w:rFonts w:ascii="Times New Roman" w:hAnsi="Times New Roman"/>
          <w:sz w:val="20"/>
        </w:rPr>
        <w:t xml:space="preserve">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 </w:t>
      </w:r>
    </w:p>
    <w:p>
      <w:pPr>
        <w:pStyle w:val="TextBody"/>
        <w:spacing w:before="360" w:after="0"/>
        <w:jc w:val="left"/>
        <w:rPr>
          <w:rFonts w:ascii="Times New Roman" w:hAnsi="Times New Roman"/>
          <w:b/>
          <w:sz w:val="20"/>
        </w:rPr>
      </w:pPr>
      <w:r>
        <w:rPr>
          <w:rFonts w:ascii="Times New Roman" w:hAnsi="Times New Roman"/>
          <w:b/>
          <w:sz w:val="20"/>
        </w:rPr>
        <w:t xml:space="preserve">Focused regulatory areas </w:t>
      </w:r>
    </w:p>
    <w:p>
      <w:pPr>
        <w:pStyle w:val="TextBody"/>
        <w:spacing w:before="120" w:after="0"/>
        <w:jc w:val="left"/>
        <w:rPr>
          <w:rFonts w:ascii="Times New Roman" w:hAnsi="Times New Roman"/>
          <w:sz w:val="20"/>
        </w:rPr>
      </w:pPr>
      <w:r>
        <w:rPr>
          <w:rFonts w:ascii="Times New Roman" w:hAnsi="Times New Roman"/>
          <w:sz w:val="20"/>
        </w:rPr>
        <w:t xml:space="preserve">Some regulatory areas are rapidly changing within all the above-mentioned regulatory frameworks. The ones listed below are of key importance to Polestars products moving forward. </w:t>
      </w:r>
    </w:p>
    <w:p>
      <w:pPr>
        <w:pStyle w:val="TextBody"/>
        <w:spacing w:before="0" w:after="0"/>
        <w:jc w:val="left"/>
        <w:rPr/>
      </w:pPr>
      <w:r>
        <w:rPr/>
        <w:t> </w:t>
      </w:r>
    </w:p>
    <w:tbl>
      <w:tblPr>
        <w:tblW w:w="2515" w:type="dxa"/>
        <w:jc w:val="left"/>
        <w:tblInd w:w="0" w:type="dxa"/>
        <w:tblCellMar>
          <w:top w:w="0" w:type="dxa"/>
          <w:left w:w="0" w:type="dxa"/>
          <w:bottom w:w="0" w:type="dxa"/>
          <w:right w:w="0" w:type="dxa"/>
        </w:tblCellMar>
      </w:tblPr>
      <w:tblGrid>
        <w:gridCol w:w="75"/>
        <w:gridCol w:w="110"/>
        <w:gridCol w:w="60"/>
        <w:gridCol w:w="2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Cyber security and privacy </w:t>
            </w:r>
          </w:p>
        </w:tc>
      </w:tr>
    </w:tbl>
    <w:p>
      <w:pPr>
        <w:pStyle w:val="TextBody"/>
        <w:spacing w:before="0" w:after="0"/>
        <w:jc w:val="left"/>
        <w:rPr/>
      </w:pPr>
      <w:r>
        <w:rPr/>
        <w:t> </w:t>
      </w:r>
    </w:p>
    <w:tbl>
      <w:tblPr>
        <w:tblW w:w="2125" w:type="dxa"/>
        <w:jc w:val="left"/>
        <w:tblInd w:w="0" w:type="dxa"/>
        <w:tblCellMar>
          <w:top w:w="0" w:type="dxa"/>
          <w:left w:w="0" w:type="dxa"/>
          <w:bottom w:w="0" w:type="dxa"/>
          <w:right w:w="0" w:type="dxa"/>
        </w:tblCellMar>
      </w:tblPr>
      <w:tblGrid>
        <w:gridCol w:w="75"/>
        <w:gridCol w:w="110"/>
        <w:gridCol w:w="60"/>
        <w:gridCol w:w="18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Electric vehicle safety </w:t>
            </w:r>
          </w:p>
        </w:tc>
      </w:tr>
    </w:tbl>
    <w:p>
      <w:pPr>
        <w:pStyle w:val="TextBody"/>
        <w:spacing w:before="0" w:after="0"/>
        <w:jc w:val="left"/>
        <w:rPr/>
      </w:pPr>
      <w:r>
        <w:rPr/>
        <w:t> </w:t>
      </w:r>
    </w:p>
    <w:tbl>
      <w:tblPr>
        <w:tblW w:w="1840" w:type="dxa"/>
        <w:jc w:val="left"/>
        <w:tblInd w:w="0" w:type="dxa"/>
        <w:tblCellMar>
          <w:top w:w="0" w:type="dxa"/>
          <w:left w:w="0" w:type="dxa"/>
          <w:bottom w:w="0" w:type="dxa"/>
          <w:right w:w="0" w:type="dxa"/>
        </w:tblCellMar>
      </w:tblPr>
      <w:tblGrid>
        <w:gridCol w:w="75"/>
        <w:gridCol w:w="110"/>
        <w:gridCol w:w="60"/>
        <w:gridCol w:w="1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Autonomous drive </w:t>
            </w:r>
          </w:p>
        </w:tc>
      </w:tr>
    </w:tbl>
    <w:p>
      <w:pPr>
        <w:pStyle w:val="TextBody"/>
        <w:spacing w:before="240" w:after="0"/>
        <w:jc w:val="left"/>
        <w:rPr>
          <w:rFonts w:ascii="Times New Roman" w:hAnsi="Times New Roman"/>
          <w:sz w:val="20"/>
        </w:rPr>
      </w:pPr>
      <w:r>
        <w:rPr>
          <w:rFonts w:ascii="Times New Roman" w:hAnsi="Times New Roman"/>
          <w:sz w:val="20"/>
        </w:rPr>
        <w:t xml:space="preserve">In some of the relevant markets new requirements are enforced as guidelines and policies rather than regulations. Polestar’s ambition is always to meet relevant requirements for each product, market, and time frame. </w:t>
      </w:r>
    </w:p>
    <w:p>
      <w:pPr>
        <w:pStyle w:val="TextBody"/>
        <w:spacing w:before="360" w:after="0"/>
        <w:jc w:val="left"/>
        <w:rPr>
          <w:rFonts w:ascii="Times New Roman" w:hAnsi="Times New Roman"/>
          <w:i/>
          <w:sz w:val="20"/>
        </w:rPr>
      </w:pPr>
      <w:r>
        <w:rPr>
          <w:rFonts w:ascii="Times New Roman" w:hAnsi="Times New Roman"/>
          <w:i/>
          <w:sz w:val="20"/>
        </w:rPr>
        <w:t xml:space="preserve">Cyber security and privacy </w:t>
      </w:r>
    </w:p>
    <w:p>
      <w:pPr>
        <w:pStyle w:val="TextBody"/>
        <w:spacing w:before="120" w:after="0"/>
        <w:jc w:val="left"/>
        <w:rPr>
          <w:rFonts w:ascii="Times New Roman" w:hAnsi="Times New Roman"/>
          <w:sz w:val="20"/>
        </w:rPr>
      </w:pPr>
      <w:r>
        <w:rPr>
          <w:rFonts w:ascii="Times New Roman" w:hAnsi="Times New Roman"/>
          <w:sz w:val="20"/>
        </w:rPr>
        <w:t xml:space="preserve">Cybersecurity and cybersecurity management systems are being regulated in many markets to enhance data security protection measures and to minimize the risks associated with cyber threats. </w:t>
      </w:r>
    </w:p>
    <w:p>
      <w:pPr>
        <w:pStyle w:val="TextBody"/>
        <w:spacing w:before="240" w:after="0"/>
        <w:jc w:val="left"/>
        <w:rPr>
          <w:rFonts w:ascii="Times New Roman" w:hAnsi="Times New Roman"/>
          <w:sz w:val="20"/>
        </w:rPr>
      </w:pPr>
      <w:r>
        <w:rPr>
          <w:rFonts w:ascii="Times New Roman" w:hAnsi="Times New Roman"/>
          <w:sz w:val="20"/>
        </w:rPr>
        <w:t xml:space="preserve">Data privacy and data protection laws in the markets where Polestar operates influence Polestar’s abilities to collect and use personal information. For most markets, Polestar’s connected vehicle services, as well as its sales and marketing activities, are subject to European laws, including the EU General Data Protection Regulation 2016/679 (GDPR), in addition to applicable national law in each market, which impose requirements on processing of personal information. Following general guidance from the European Data Protection Board, much of the data in the context of connected vehicles may be viewed as personal data and therefore subject to the EU GDPR. In the US, Polestar needs to comply with the California Consumer Privacy Act (CCPA) and similar state-level comprehensive privacy laws which enter into force starting from 2023 in e.g. Virginia, Colorado and other states. </w:t>
      </w:r>
    </w:p>
    <w:p>
      <w:pPr>
        <w:pStyle w:val="TextBody"/>
        <w:spacing w:before="240" w:after="0"/>
        <w:jc w:val="left"/>
        <w:rPr>
          <w:rFonts w:ascii="Times New Roman" w:hAnsi="Times New Roman"/>
          <w:sz w:val="20"/>
        </w:rPr>
      </w:pPr>
      <w:r>
        <w:rPr>
          <w:rFonts w:ascii="Times New Roman" w:hAnsi="Times New Roman"/>
          <w:sz w:val="20"/>
        </w:rPr>
        <w:t xml:space="preserve">Violations of data privacy and data protection laws may result in consequences such as substantial fines, damages, ceasing with the infringing activity and deletion of erroneously collected information. </w:t>
      </w:r>
    </w:p>
    <w:p>
      <w:pPr>
        <w:pStyle w:val="TextBody"/>
        <w:spacing w:before="240" w:after="0"/>
        <w:jc w:val="left"/>
        <w:rPr>
          <w:rFonts w:ascii="Times New Roman" w:hAnsi="Times New Roman"/>
          <w:sz w:val="20"/>
        </w:rPr>
      </w:pPr>
      <w:r>
        <w:rPr>
          <w:rFonts w:ascii="Times New Roman" w:hAnsi="Times New Roman"/>
          <w:sz w:val="20"/>
        </w:rPr>
        <w:t xml:space="preserve">In China, several pieces of legislation have been adopted in recent years, applicable in part or in full to Polestar’s operations in China. These include the Data Security Law and the Personal Information Protection Law, which entered into force in 2021. Both laws impose requirements on data activities or personal information processing activities, including security reviews and specific requirements on activities on data regarding Chinese persons carried out outside of China. The Several Measures on the Automobile Data Security Management (for Trial Implementation) from the CAC, which entered into force in October 2021, imposes requirements on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or in case overseas transfers are necessary, to go through the data export security assessment organized by the CAC in accordance with such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Cybersecurity Review Measures from the CAC, which came into effect in February 2022, requires data processors in China who hold more than one million users’ personal information and plan to list on a stock exchange in a foreign country to apply for a cybersecurity review. It also gives the CAC the power to initiate cybersecurity review in certain situations. </w:t>
      </w:r>
    </w:p>
    <w:p>
      <w:pPr>
        <w:pStyle w:val="TextBody"/>
        <w:spacing w:before="240" w:after="0"/>
        <w:jc w:val="left"/>
        <w:rPr>
          <w:rFonts w:ascii="Times New Roman" w:hAnsi="Times New Roman"/>
          <w:sz w:val="20"/>
        </w:rPr>
      </w:pPr>
      <w:r>
        <w:rPr>
          <w:rFonts w:ascii="Times New Roman" w:hAnsi="Times New Roman"/>
          <w:sz w:val="20"/>
        </w:rPr>
        <w:t xml:space="preserve">The Cross-border Data Transfer Security Measures (the “Security Assessment Measures”) from the CAC, effective from September 2022, require security assessment for data being exported. Data handlers must submit application materials to the CAC offices at the provincial level for the security assessment within a six-month “rectification period.” </w:t>
      </w:r>
    </w:p>
    <w:p>
      <w:pPr>
        <w:pStyle w:val="TextBody"/>
        <w:spacing w:before="240" w:after="0"/>
        <w:jc w:val="left"/>
        <w:rPr>
          <w:rFonts w:ascii="Times New Roman" w:hAnsi="Times New Roman"/>
          <w:sz w:val="20"/>
        </w:rPr>
      </w:pPr>
      <w:r>
        <w:rPr>
          <w:rFonts w:ascii="Times New Roman" w:hAnsi="Times New Roman"/>
          <w:sz w:val="20"/>
        </w:rPr>
        <w:t xml:space="preserve">The Industry and Information Technology Field Data Security Administrative Measures (for Trial Implementation) promulgated by the Ministry of Industry and Information Technology of China, which became effective on January 1, 2023, regulate the data processing activities of certain industrial and technology businesses operating in the PRC. Data handlers that fall within this legislation are required to take certain steps to classify, appropriately process and protect the subject data, as well as to submit a catalog of important and core data to the local industrial regulatory department. As Polestar is not a registered manufacturer in the PRC it believes the legal obligations arising from this legislation will primarily sit with its contract manufacturing partners. However, Polestar may nonetheless be negatively impacted should its contract manufacturing partners not meet their obligations under this legislation. </w:t>
      </w:r>
    </w:p>
    <w:p>
      <w:pPr>
        <w:pStyle w:val="TextBody"/>
        <w:spacing w:before="360" w:after="0"/>
        <w:jc w:val="left"/>
        <w:rPr>
          <w:rFonts w:ascii="Times New Roman" w:hAnsi="Times New Roman"/>
          <w:i/>
          <w:sz w:val="20"/>
        </w:rPr>
      </w:pPr>
      <w:r>
        <w:rPr>
          <w:rFonts w:ascii="Times New Roman" w:hAnsi="Times New Roman"/>
          <w:i/>
          <w:sz w:val="20"/>
        </w:rPr>
        <w:t xml:space="preserve">Electric vehicle safety </w:t>
      </w:r>
    </w:p>
    <w:p>
      <w:pPr>
        <w:pStyle w:val="TextBody"/>
        <w:spacing w:before="120" w:after="0"/>
        <w:jc w:val="left"/>
        <w:rPr>
          <w:rFonts w:ascii="Times New Roman" w:hAnsi="Times New Roman"/>
          <w:sz w:val="20"/>
        </w:rPr>
      </w:pPr>
      <w:r>
        <w:rPr>
          <w:rFonts w:ascii="Times New Roman" w:hAnsi="Times New Roman"/>
          <w:sz w:val="20"/>
        </w:rPr>
        <w:t xml:space="preserve">Upcoming Safety Regulations include requirements concerning driver drowsiness and distraction, intelligent speed assistance, reversing safely with the aid of cameras or sensors, data recording in case of an accident (black box), lane-keeping assistance, advanced emergency braking, and crash-test improved safety. Specifically for battery electric vehicles there are requirements for vehicle-mounted rechargeable electrical energy storage systems, operation safety and fault protection and protection against electric shock, on both component and vehicle level. </w:t>
      </w:r>
    </w:p>
    <w:p>
      <w:pPr>
        <w:pStyle w:val="TextBody"/>
        <w:spacing w:before="360" w:after="0"/>
        <w:jc w:val="left"/>
        <w:rPr>
          <w:rFonts w:ascii="Times New Roman" w:hAnsi="Times New Roman"/>
          <w:i/>
          <w:sz w:val="20"/>
        </w:rPr>
      </w:pPr>
      <w:r>
        <w:rPr>
          <w:rFonts w:ascii="Times New Roman" w:hAnsi="Times New Roman"/>
          <w:i/>
          <w:sz w:val="20"/>
        </w:rPr>
        <w:t xml:space="preserve">AD/ADAS Regulations </w:t>
      </w:r>
    </w:p>
    <w:p>
      <w:pPr>
        <w:pStyle w:val="TextBody"/>
        <w:spacing w:before="120" w:after="0"/>
        <w:jc w:val="left"/>
        <w:rPr>
          <w:rFonts w:ascii="Times New Roman" w:hAnsi="Times New Roman"/>
          <w:sz w:val="20"/>
        </w:rPr>
      </w:pPr>
      <w:r>
        <w:rPr>
          <w:rFonts w:ascii="Times New Roman" w:hAnsi="Times New Roman"/>
          <w:sz w:val="20"/>
        </w:rPr>
        <w:t xml:space="preserve">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w:t>
      </w:r>
    </w:p>
    <w:p>
      <w:pPr>
        <w:pStyle w:val="TextBody"/>
        <w:spacing w:before="360" w:after="0"/>
        <w:jc w:val="left"/>
        <w:rPr>
          <w:rFonts w:ascii="Times New Roman" w:hAnsi="Times New Roman"/>
          <w:b/>
          <w:i/>
          <w:sz w:val="20"/>
        </w:rPr>
      </w:pPr>
      <w:r>
        <w:rPr>
          <w:rFonts w:ascii="Times New Roman" w:hAnsi="Times New Roman"/>
          <w:b/>
          <w:i/>
          <w:sz w:val="20"/>
        </w:rPr>
        <w:t xml:space="preserve">Sustainability and Environmental Regulations </w:t>
      </w:r>
    </w:p>
    <w:p>
      <w:pPr>
        <w:pStyle w:val="TextBody"/>
        <w:spacing w:before="120" w:after="0"/>
        <w:jc w:val="left"/>
        <w:rPr>
          <w:rFonts w:ascii="Times New Roman" w:hAnsi="Times New Roman"/>
          <w:sz w:val="20"/>
        </w:rPr>
      </w:pPr>
      <w:r>
        <w:rPr>
          <w:rFonts w:ascii="Times New Roman" w:hAnsi="Times New Roman"/>
          <w:sz w:val="20"/>
        </w:rPr>
        <w:t xml:space="preserve">Polestar operates in an industry that is subject to extensive sustainability and environmental-related regulations, which have become more stringent over time. The laws and regulations to which Polestar is or may become subject govern, among other things, water use; air emissions; use of recycled materials; energy sources; the release, 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 </w:t>
      </w:r>
    </w:p>
    <w:p>
      <w:pPr>
        <w:pStyle w:val="TextBody"/>
        <w:spacing w:before="240" w:after="0"/>
        <w:jc w:val="left"/>
        <w:rPr>
          <w:rFonts w:ascii="Times New Roman" w:hAnsi="Times New Roman"/>
          <w:sz w:val="20"/>
        </w:rPr>
      </w:pPr>
      <w:r>
        <w:rPr>
          <w:rFonts w:ascii="Times New Roman" w:hAnsi="Times New Roman"/>
          <w:sz w:val="20"/>
        </w:rPr>
        <w:t xml:space="preserve">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w:t>
      </w:r>
    </w:p>
    <w:p>
      <w:pPr>
        <w:pStyle w:val="TextBody"/>
        <w:spacing w:before="360" w:after="0"/>
        <w:jc w:val="left"/>
        <w:rPr>
          <w:rFonts w:ascii="Times New Roman" w:hAnsi="Times New Roman"/>
          <w:b/>
          <w:sz w:val="20"/>
        </w:rPr>
      </w:pPr>
      <w:r>
        <w:rPr>
          <w:rFonts w:ascii="Times New Roman" w:hAnsi="Times New Roman"/>
          <w:b/>
          <w:sz w:val="20"/>
        </w:rPr>
        <w:t xml:space="preserve">Emissions Credits </w:t>
      </w:r>
    </w:p>
    <w:p>
      <w:pPr>
        <w:pStyle w:val="TextBody"/>
        <w:spacing w:before="120" w:after="0"/>
        <w:jc w:val="left"/>
        <w:rPr>
          <w:rFonts w:ascii="Times New Roman" w:hAnsi="Times New Roman"/>
          <w:sz w:val="20"/>
        </w:rPr>
      </w:pPr>
      <w:r>
        <w:rPr>
          <w:rFonts w:ascii="Times New Roman" w:hAnsi="Times New Roman"/>
          <w:sz w:val="20"/>
        </w:rPr>
        <w:t xml:space="preserve">All manufacturers are required to comply with the applicable emission regulations in each jurisdiction in which they operate. Furthermore, since Polestar’s electric vehicles have zero or limited emissions compared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internal combustion engine vehicles, it earns emission grams or credits that may be sold to and used by other manufacturers to cover or offset their emissions footprint. </w:t>
      </w:r>
    </w:p>
    <w:p>
      <w:pPr>
        <w:pStyle w:val="TextBody"/>
        <w:spacing w:before="240" w:after="0"/>
        <w:jc w:val="left"/>
        <w:rPr>
          <w:rFonts w:ascii="Times New Roman" w:hAnsi="Times New Roman"/>
          <w:sz w:val="20"/>
        </w:rPr>
      </w:pPr>
      <w:r>
        <w:rPr>
          <w:rFonts w:ascii="Times New Roman" w:hAnsi="Times New Roman"/>
          <w:sz w:val="20"/>
        </w:rPr>
        <w:t xml:space="preserve">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 </w:t>
      </w:r>
    </w:p>
    <w:p>
      <w:pPr>
        <w:pStyle w:val="TextBody"/>
        <w:spacing w:before="360" w:after="0"/>
        <w:jc w:val="left"/>
        <w:rPr>
          <w:rFonts w:ascii="Times New Roman" w:hAnsi="Times New Roman"/>
          <w:b/>
          <w:sz w:val="20"/>
        </w:rPr>
      </w:pPr>
      <w:r>
        <w:rPr>
          <w:rFonts w:ascii="Times New Roman" w:hAnsi="Times New Roman"/>
          <w:b/>
          <w:sz w:val="20"/>
        </w:rPr>
        <w:t xml:space="preserve">Recall activities </w:t>
      </w:r>
    </w:p>
    <w:p>
      <w:pPr>
        <w:pStyle w:val="TextBody"/>
        <w:spacing w:before="120" w:after="0"/>
        <w:jc w:val="left"/>
        <w:rPr>
          <w:rFonts w:ascii="Times New Roman" w:hAnsi="Times New Roman"/>
          <w:sz w:val="20"/>
        </w:rPr>
      </w:pPr>
      <w:r>
        <w:rPr>
          <w:rFonts w:ascii="Times New Roman" w:hAnsi="Times New Roman"/>
          <w:sz w:val="20"/>
        </w:rPr>
        <w:t xml:space="preserve">If Polestar vehicles need to be recalled or updated due to quality issues or not fulfilling applicable legal requirements in a market, decisions will be taken according to delegation of authority within Polestar. Reporting to authorities according to local requirements applies.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Organizational Structure </w:t>
      </w:r>
    </w:p>
    <w:p>
      <w:pPr>
        <w:pStyle w:val="TextBody"/>
        <w:spacing w:before="120" w:after="0"/>
        <w:jc w:val="left"/>
        <w:rPr>
          <w:rFonts w:ascii="Times New Roman" w:hAnsi="Times New Roman"/>
          <w:sz w:val="20"/>
        </w:rPr>
      </w:pPr>
      <w:r>
        <w:rPr>
          <w:rFonts w:ascii="Times New Roman" w:hAnsi="Times New Roman"/>
          <w:sz w:val="20"/>
        </w:rPr>
        <w:t xml:space="preserve">The following diagram depicts the organizational structure of the Company as of the date hereof: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35610" cy="580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5610" cy="58039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significant subsidiaries of the Company as of the date of this prospectus are listed below. </w:t>
      </w:r>
    </w:p>
    <w:p>
      <w:pPr>
        <w:pStyle w:val="TextBody"/>
        <w:spacing w:before="0" w:after="0"/>
        <w:jc w:val="left"/>
        <w:rPr/>
      </w:pPr>
      <w:r>
        <w:rPr/>
        <w:t> </w:t>
      </w:r>
    </w:p>
    <w:tbl>
      <w:tblPr>
        <w:tblW w:w="10040" w:type="dxa"/>
        <w:jc w:val="left"/>
        <w:tblInd w:w="0" w:type="dxa"/>
        <w:tblCellMar>
          <w:top w:w="0" w:type="dxa"/>
          <w:left w:w="0" w:type="dxa"/>
          <w:bottom w:w="0" w:type="dxa"/>
          <w:right w:w="0" w:type="dxa"/>
        </w:tblCellMar>
      </w:tblPr>
      <w:tblGrid>
        <w:gridCol w:w="4985"/>
        <w:gridCol w:w="120"/>
        <w:gridCol w:w="2960"/>
        <w:gridCol w:w="120"/>
        <w:gridCol w:w="213"/>
        <w:gridCol w:w="1352"/>
        <w:gridCol w:w="290"/>
      </w:tblGrid>
      <w:tr>
        <w:trPr/>
        <w:tc>
          <w:tcPr>
            <w:tcW w:w="4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985" w:type="dxa"/>
            <w:tcBorders/>
            <w:shd w:fill="auto" w:val="clear"/>
            <w:vAlign w:val="center"/>
          </w:tcPr>
          <w:p>
            <w:pPr>
              <w:pStyle w:val="TableContents"/>
              <w:spacing w:before="0" w:after="283"/>
              <w:jc w:val="center"/>
              <w:rPr>
                <w:b/>
              </w:rPr>
            </w:pPr>
            <w:r>
              <w:rPr>
                <w:b/>
              </w:rPr>
              <w:t>Legal Name</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jc w:val="center"/>
              <w:rPr>
                <w:b/>
              </w:rPr>
            </w:pPr>
            <w:r>
              <w:rPr>
                <w:b/>
              </w:rPr>
              <w:t>Jurisdiction of Incorporation</w:t>
            </w:r>
          </w:p>
        </w:tc>
        <w:tc>
          <w:tcPr>
            <w:tcW w:w="120" w:type="dxa"/>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jc w:val="center"/>
              <w:rPr>
                <w:b/>
              </w:rPr>
            </w:pPr>
            <w:r>
              <w:rPr>
                <w:b/>
              </w:rPr>
              <w:t>Proportion of</w:t>
              <w:br/>
              <w:t>Ordinary</w:t>
              <w:br/>
              <w:t>Shares Held by</w:t>
              <w:br/>
              <w:t>the Company</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Holding AB</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Sweden</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(Singapore) Pte. Ltd.</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Singapore</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Performance AB</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Sweden</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Canada Inc.</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Alberta, Canada</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USA Inc.</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Delaware, USA</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Gores Guggenheim, Inc.</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Delaware, USA</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Belgium BV</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Belgium</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Germany GmbH</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Germany</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Netherlands BV</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Netherlands</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Sweden AB</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Sweden</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Austria GmbH</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Austria</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Denmark ApS</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Denmark</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Finland Oy</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Finland</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Switzerland GmbH</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Switzerland</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Norway A/S</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Norway</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Korea Limited</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South Korea</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Australia PTY Ltd</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Australia</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(Singapore) Distribution Pte. Ltd.</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Singapore</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Ireland Limited</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Republic Ireland</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PLSTR Automotive Portugal Unipessoal Lda</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Portugal</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Poland sp. zo. o</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Poland</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UK Limited</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United Kingdom</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Spain S.L</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Spain</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Luxembourg SARL</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Luxembourg</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Czech Republic s.r.o</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Czech Republic</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Italy s.r.l.</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Italy</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Shanghai Co., Ltd.</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People’s Republic of China</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New Energy Vehicle Co., Ltd.</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People’s Republic of China</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China Distribution Co., Ltd.</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People’s Republic of China</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49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Polestar Automotive Consulting Service (Shanghai) Co., Ltd.</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People’s Republic of China</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352"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Polestar Automotive (Chongqing) Co., Ltd.</w:t>
            </w:r>
          </w:p>
        </w:tc>
        <w:tc>
          <w:tcPr>
            <w:tcW w:w="120" w:type="dxa"/>
            <w:tcBorders/>
            <w:shd w:fill="CCEEFF" w:val="clear"/>
            <w:vAlign w:val="center"/>
          </w:tcPr>
          <w:p>
            <w:pPr>
              <w:pStyle w:val="TableContents"/>
              <w:spacing w:before="0" w:after="283"/>
              <w:rPr/>
            </w:pPr>
            <w:r>
              <w:rPr/>
              <w:t>  </w:t>
            </w:r>
          </w:p>
        </w:tc>
        <w:tc>
          <w:tcPr>
            <w:tcW w:w="2960" w:type="dxa"/>
            <w:tcBorders/>
            <w:shd w:fill="CCEEFF" w:val="clear"/>
            <w:vAlign w:val="center"/>
          </w:tcPr>
          <w:p>
            <w:pPr>
              <w:pStyle w:val="TableContents"/>
              <w:spacing w:before="0" w:after="283"/>
              <w:rPr/>
            </w:pPr>
            <w:r>
              <w:rPr/>
              <w:t>People’s Republic of China</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352"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Property, Plants and Equipment </w:t>
      </w:r>
    </w:p>
    <w:p>
      <w:pPr>
        <w:pStyle w:val="TextBody"/>
        <w:spacing w:before="120" w:after="0"/>
        <w:jc w:val="left"/>
        <w:rPr>
          <w:rFonts w:ascii="Times New Roman" w:hAnsi="Times New Roman"/>
          <w:sz w:val="20"/>
        </w:rPr>
      </w:pPr>
      <w:r>
        <w:rPr>
          <w:rFonts w:ascii="Times New Roman" w:hAnsi="Times New Roman"/>
          <w:sz w:val="20"/>
        </w:rPr>
        <w:t xml:space="preserve">Polestar is headquartered in Gothenburg, Sweden. Polestar’s research and development teams are located in Sweden and the United Kingdom. In Sweden, Polestar’s headquarters and research and development team are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 uses a digital first, direct to consumer approach that enables its customers to browse Polestar’s products, configure their preferred vehicle and, where permitted, place their order on-line. Alternatively, Polestar Spaces are where customers can see, feel and test drive Polestar’s vehicles prior to making an on-line purchase.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before="24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w:t>
      </w:r>
    </w:p>
    <w:p>
      <w:pPr>
        <w:pStyle w:val="TextBody"/>
        <w:spacing w:before="240" w:after="0"/>
        <w:jc w:val="left"/>
        <w:rPr>
          <w:rFonts w:ascii="Times New Roman" w:hAnsi="Times New Roman"/>
          <w:sz w:val="20"/>
        </w:rPr>
      </w:pPr>
      <w:r>
        <w:rPr>
          <w:rFonts w:ascii="Times New Roman" w:hAnsi="Times New Roman"/>
          <w:sz w:val="20"/>
        </w:rPr>
        <w:t xml:space="preserve">Polestar has the benefit of being part of the larger global manufacturing footprint of Volvo Cars and Geely with access to a substantial combined installed production capacity across three continents. Polestar intends to expand its contract manufacturing presence to facilities in the U.S. and potentially Europe. Commencing with the Polestar 3, Polestar intends to produce vehicles both in China at Volvo Cars’ Chengdu facility and in the United States at Volvo Cars’ facility in Charleston, South Carolina. Polestar is also exploring the feasibility of producing the Polestar 2 in Europe for sales in the US market. </w:t>
      </w:r>
    </w:p>
    <w:p>
      <w:pPr>
        <w:pStyle w:val="TextBody"/>
        <w:spacing w:before="360" w:after="0"/>
        <w:jc w:val="left"/>
        <w:rPr>
          <w:rFonts w:ascii="Times New Roman" w:hAnsi="Times New Roman"/>
          <w:b/>
          <w:sz w:val="20"/>
        </w:rPr>
      </w:pPr>
      <w:r>
        <w:rPr>
          <w:rFonts w:ascii="Times New Roman" w:hAnsi="Times New Roman"/>
          <w:b/>
          <w:sz w:val="20"/>
        </w:rPr>
        <w:t xml:space="preserve">Chengdu facility </w:t>
      </w:r>
    </w:p>
    <w:p>
      <w:pPr>
        <w:pStyle w:val="TextBody"/>
        <w:spacing w:before="120" w:after="0"/>
        <w:jc w:val="left"/>
        <w:rPr>
          <w:rFonts w:ascii="Times New Roman" w:hAnsi="Times New Roman"/>
          <w:sz w:val="20"/>
        </w:rPr>
      </w:pPr>
      <w:r>
        <w:rPr>
          <w:rFonts w:ascii="Times New Roman" w:hAnsi="Times New Roman"/>
          <w:sz w:val="20"/>
        </w:rPr>
        <w:t xml:space="preserve">Polestar opened its Chengdu facility in 2019, which is separate from Volvo Cars’ Chengdu facility.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has more recently used the Chengdu facility to create limited editions of Polestar 2 (BST) and also to support the early pre-production builds of future Polestar vehicles. </w:t>
      </w:r>
    </w:p>
    <w:p>
      <w:pPr>
        <w:pStyle w:val="TextBody"/>
        <w:spacing w:before="240" w:after="0"/>
        <w:jc w:val="left"/>
        <w:rPr>
          <w:rFonts w:ascii="Times New Roman" w:hAnsi="Times New Roman"/>
          <w:sz w:val="20"/>
        </w:rPr>
      </w:pPr>
      <w:r>
        <w:rPr>
          <w:rFonts w:ascii="Times New Roman" w:hAnsi="Times New Roman"/>
          <w:sz w:val="20"/>
        </w:rPr>
        <w:t xml:space="preserve">Chengdu was the first LEED Gold-certified automotive production facility in China. It was designed by the Norwegian architecture firm Snøhetta to run on renewable electricity. As of the date of this prospectus, Polestar had committed to a plan to sell its Chengdu facility. Refer to “Note 26—Assets held for sale” in Polestar’s Consolidated Financial Statements for more information. </w:t>
      </w:r>
    </w:p>
    <w:p>
      <w:pPr>
        <w:pStyle w:val="TextBody"/>
        <w:spacing w:before="360" w:after="0"/>
        <w:jc w:val="left"/>
        <w:rPr>
          <w:rFonts w:ascii="Times New Roman" w:hAnsi="Times New Roman"/>
          <w:b/>
          <w:sz w:val="20"/>
        </w:rPr>
      </w:pPr>
      <w:r>
        <w:rPr>
          <w:rFonts w:ascii="Times New Roman" w:hAnsi="Times New Roman"/>
          <w:b/>
          <w:sz w:val="20"/>
        </w:rPr>
        <w:t xml:space="preserve">Luqiao facility </w:t>
      </w:r>
    </w:p>
    <w:p>
      <w:pPr>
        <w:pStyle w:val="TextBody"/>
        <w:spacing w:before="120" w:after="0"/>
        <w:jc w:val="left"/>
        <w:rPr>
          <w:rFonts w:ascii="Times New Roman" w:hAnsi="Times New Roman"/>
          <w:sz w:val="20"/>
        </w:rPr>
      </w:pPr>
      <w:r>
        <w:rPr>
          <w:rFonts w:ascii="Times New Roman" w:hAnsi="Times New Roman"/>
          <w:sz w:val="20"/>
        </w:rPr>
        <w:t xml:space="preserve">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 </w:t>
      </w:r>
    </w:p>
    <w:p>
      <w:pPr>
        <w:pStyle w:val="TextBody"/>
        <w:spacing w:before="240" w:after="0"/>
        <w:jc w:val="left"/>
        <w:rPr>
          <w:rFonts w:ascii="Times New Roman" w:hAnsi="Times New Roman"/>
          <w:sz w:val="20"/>
        </w:rPr>
      </w:pPr>
      <w:r>
        <w:rPr>
          <w:rFonts w:ascii="Times New Roman" w:hAnsi="Times New Roman"/>
          <w:sz w:val="20"/>
        </w:rPr>
        <w:t xml:space="preserve">We believe that our facilities are adequate to meet our needs for the immediate future and that suitable additional space will be procured to accommodate any expansion of our operations, as needed.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Employees </w:t>
      </w:r>
    </w:p>
    <w:p>
      <w:pPr>
        <w:pStyle w:val="TextBody"/>
        <w:spacing w:before="120" w:after="0"/>
        <w:jc w:val="left"/>
        <w:rPr>
          <w:rFonts w:ascii="Times New Roman" w:hAnsi="Times New Roman"/>
          <w:sz w:val="20"/>
        </w:rPr>
      </w:pPr>
      <w:r>
        <w:rPr>
          <w:rFonts w:ascii="Times New Roman" w:hAnsi="Times New Roman"/>
          <w:sz w:val="20"/>
        </w:rPr>
        <w:t>As of December 31, 2022, Polestar had 2,377 employees. Polestar’s employees are mainly located in Sweden, China, UK and USA.</w:t>
      </w:r>
    </w:p>
    <w:p>
      <w:pPr>
        <w:pStyle w:val="TextBody"/>
        <w:spacing w:before="240" w:after="0"/>
        <w:jc w:val="left"/>
        <w:rPr>
          <w:rFonts w:ascii="Times New Roman" w:hAnsi="Times New Roman"/>
          <w:sz w:val="20"/>
        </w:rPr>
      </w:pPr>
      <w:r>
        <w:rPr>
          <w:rFonts w:ascii="Times New Roman" w:hAnsi="Times New Roman"/>
          <w:sz w:val="20"/>
        </w:rPr>
        <w:t xml:space="preserve">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rom472016_15"/>
      <w:bookmarkEnd w:id="17"/>
      <w:r>
        <w:rPr>
          <w:rFonts w:ascii="Times New Roman" w:hAnsi="Times New Roman"/>
          <w:b/>
          <w:sz w:val="20"/>
        </w:rPr>
        <w:t xml:space="preserve">OPERATING AND FINANCIAL REVIEW AND PROSPECTS </w:t>
      </w:r>
    </w:p>
    <w:p>
      <w:pPr>
        <w:pStyle w:val="TextBody"/>
        <w:spacing w:before="240" w:after="0"/>
        <w:jc w:val="left"/>
        <w:rPr>
          <w:rFonts w:ascii="Times New Roman" w:hAnsi="Times New Roman"/>
          <w:i/>
          <w:sz w:val="20"/>
        </w:rPr>
      </w:pPr>
      <w:r>
        <w:rPr>
          <w:rFonts w:ascii="Times New Roman" w:hAnsi="Times New Roman"/>
          <w:i/>
          <w:sz w:val="20"/>
        </w:rPr>
        <w:t xml:space="preserve">The following discussion includes information that Polestar’s management believes is relevant to an assessment and understanding of Polestar’s financial condition and results of operations. </w:t>
      </w:r>
    </w:p>
    <w:p>
      <w:pPr>
        <w:pStyle w:val="TextBody"/>
        <w:spacing w:before="240" w:after="0"/>
        <w:jc w:val="left"/>
        <w:rPr>
          <w:rFonts w:ascii="Times New Roman" w:hAnsi="Times New Roman"/>
          <w:i/>
          <w:sz w:val="20"/>
        </w:rPr>
      </w:pPr>
      <w:r>
        <w:rPr>
          <w:rFonts w:ascii="Times New Roman" w:hAnsi="Times New Roman"/>
          <w:i/>
          <w:sz w:val="20"/>
        </w:rPr>
        <w:t xml:space="preserve">On June 23, 2022, Polestar closed the Business Combination with GGI described elsewhere in this prospectus. The discussion should be read together with (i) the financial statements of Polestar Automotive Holding UK PLC as of December 31, 2022 and 2021, and for each of the three years in the period ended December 31, 2022 and the related notes thereto, included elsewhere in this prospectus. All financial numbers in this discussion are presented in thousands of U.S. dollars unless otherwise noted. </w:t>
      </w:r>
    </w:p>
    <w:p>
      <w:pPr>
        <w:pStyle w:val="TextBody"/>
        <w:spacing w:before="240" w:after="0"/>
        <w:jc w:val="left"/>
        <w:rPr>
          <w:rFonts w:ascii="Times New Roman" w:hAnsi="Times New Roman"/>
          <w:i/>
          <w:sz w:val="20"/>
        </w:rPr>
      </w:pPr>
      <w:r>
        <w:rPr>
          <w:rFonts w:ascii="Times New Roman" w:hAnsi="Times New Roman"/>
          <w:i/>
          <w:sz w:val="20"/>
        </w:rPr>
        <w:t xml:space="preserve">Polestar’s actual results may differ materially from those anticipated in these forward-looking statements as a result of various factors, including those discussed in the sections titled “Risk Factors” and “Cautionary Note Regarding Forward-Looking Statements” included elsewhere in this prospectus. Certain amounts may not foot due to rounding. </w:t>
      </w:r>
    </w:p>
    <w:p>
      <w:pPr>
        <w:pStyle w:val="TextBody"/>
        <w:spacing w:before="360" w:after="0"/>
        <w:jc w:val="left"/>
        <w:rPr>
          <w:rFonts w:ascii="Times New Roman" w:hAnsi="Times New Roman"/>
          <w:b/>
          <w:sz w:val="20"/>
        </w:rPr>
      </w:pPr>
      <w:r>
        <w:rPr>
          <w:rFonts w:ascii="Times New Roman" w:hAnsi="Times New Roman"/>
          <w:b/>
          <w:sz w:val="20"/>
        </w:rPr>
        <w:t xml:space="preserve">Polestar Automotive Holding UK PLC </w:t>
      </w:r>
    </w:p>
    <w:p>
      <w:pPr>
        <w:pStyle w:val="TextBody"/>
        <w:spacing w:before="12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Former Parent and its subsidiaries are collectively referred to herein as “Polestar,” “we,” “our,” or “us.” </w:t>
      </w:r>
    </w:p>
    <w:p>
      <w:pPr>
        <w:pStyle w:val="TextBody"/>
        <w:spacing w:before="240" w:after="0"/>
        <w:jc w:val="left"/>
        <w:rPr>
          <w:rFonts w:ascii="Times New Roman" w:hAnsi="Times New Roman"/>
          <w:sz w:val="20"/>
        </w:rPr>
      </w:pPr>
      <w:r>
        <w:rPr>
          <w:rFonts w:ascii="Times New Roman" w:hAnsi="Times New Roman"/>
          <w:sz w:val="20"/>
        </w:rPr>
        <w:t xml:space="preserve">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 Production of a third performance vehicle model, the Polestar 3, is scheduled to begin during second half of the year ending December 31, 2023. On June 23, 2022, Polestar consummated a capital reorganization via the merger with GGI, a special purpose acquisition company. Polestar subsequently began trading on the Nasdaq on June 24, 2022, under the ticker symbol PSNY. </w:t>
      </w:r>
    </w:p>
    <w:p>
      <w:pPr>
        <w:pStyle w:val="TextBody"/>
        <w:spacing w:before="24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Under contract manufacturing agreements with Volvo Cars, Polestar intends to expand its manufacturing presence to facilities in the U.S. and in Europe. Polestar’s ability to leverage the manufacturing footprint of both Volvo Cars and Geely gives Polestar’s highly scalable business model immediate operating leverage. </w:t>
      </w:r>
    </w:p>
    <w:p>
      <w:pPr>
        <w:pStyle w:val="TextBody"/>
        <w:spacing w:before="240" w:after="0"/>
        <w:jc w:val="left"/>
        <w:rPr>
          <w:rFonts w:ascii="Times New Roman" w:hAnsi="Times New Roman"/>
          <w:sz w:val="20"/>
        </w:rPr>
      </w:pPr>
      <w:r>
        <w:rPr>
          <w:rFonts w:ascii="Times New Roman" w:hAnsi="Times New Roman"/>
          <w:sz w:val="20"/>
        </w:rPr>
        <w:t xml:space="preserve">Polestar’s retail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 </w:t>
      </w:r>
    </w:p>
    <w:p>
      <w:pPr>
        <w:pStyle w:val="TextBody"/>
        <w:spacing w:before="240" w:after="0"/>
        <w:jc w:val="left"/>
        <w:rPr>
          <w:rFonts w:ascii="Times New Roman" w:hAnsi="Times New Roman"/>
          <w:sz w:val="20"/>
        </w:rPr>
      </w:pPr>
      <w:r>
        <w:rPr>
          <w:rFonts w:ascii="Times New Roman" w:hAnsi="Times New Roman"/>
          <w:sz w:val="20"/>
        </w:rPr>
        <w:t xml:space="preserve">Polestar Spaces are where customers can see, feel and test drive Polestar’s vehicles prior to making an online purchase. Polestar believes this combination of digital and physical retail presence delivers a seamless experience for its customers. Polestar currently has 158 Spaces across 27 markets. </w:t>
      </w:r>
    </w:p>
    <w:p>
      <w:pPr>
        <w:pStyle w:val="TextBody"/>
        <w:spacing w:before="240" w:after="0"/>
        <w:jc w:val="left"/>
        <w:rPr>
          <w:rFonts w:ascii="Times New Roman" w:hAnsi="Times New Roman"/>
          <w:sz w:val="20"/>
        </w:rPr>
      </w:pPr>
      <w:r>
        <w:rPr>
          <w:rFonts w:ascii="Times New Roman" w:hAnsi="Times New Roman"/>
          <w:sz w:val="20"/>
        </w:rPr>
        <w:t xml:space="preserve">Polestar’s customer experience is further enhanced by its comprehensive service network that leverages the existing Volvo Cars service center network.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 </w:t>
      </w:r>
    </w:p>
    <w:p>
      <w:pPr>
        <w:pStyle w:val="TextBody"/>
        <w:spacing w:before="240" w:after="0"/>
        <w:jc w:val="left"/>
        <w:rPr>
          <w:rFonts w:ascii="Times New Roman" w:hAnsi="Times New Roman"/>
          <w:sz w:val="20"/>
        </w:rPr>
      </w:pPr>
      <w:r>
        <w:rPr>
          <w:rFonts w:ascii="Times New Roman" w:hAnsi="Times New Roman"/>
          <w:sz w:val="20"/>
        </w:rPr>
        <w:t xml:space="preserve">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 </w:t>
      </w:r>
    </w:p>
    <w:p>
      <w:pPr>
        <w:pStyle w:val="TextBody"/>
        <w:spacing w:before="360" w:after="0"/>
        <w:jc w:val="left"/>
        <w:rPr>
          <w:rFonts w:ascii="Times New Roman" w:hAnsi="Times New Roman"/>
          <w:b/>
          <w:sz w:val="20"/>
        </w:rPr>
      </w:pPr>
      <w:r>
        <w:rPr>
          <w:rFonts w:ascii="Times New Roman" w:hAnsi="Times New Roman"/>
          <w:b/>
          <w:sz w:val="20"/>
        </w:rPr>
        <w:t xml:space="preserve">Key factors affecting performance </w:t>
      </w:r>
    </w:p>
    <w:p>
      <w:pPr>
        <w:pStyle w:val="TextBody"/>
        <w:spacing w:before="120" w:after="0"/>
        <w:jc w:val="left"/>
        <w:rPr>
          <w:rFonts w:ascii="Times New Roman" w:hAnsi="Times New Roman"/>
          <w:sz w:val="20"/>
        </w:rPr>
      </w:pPr>
      <w:r>
        <w:rPr>
          <w:rFonts w:ascii="Times New Roman" w:hAnsi="Times New Roman"/>
          <w:sz w:val="20"/>
        </w:rPr>
        <w:t xml:space="preserve">Polestar’s growth and success over the past five years has depended on numerous factors and trends. While these factors and trends provide opportunities for Polestar, they also pose risks and challenges such as those discussed in the section entitled “Risk Factors” in this prospectus. The following paragraphs explain the key factors that continue to have a notable impact on Polestar. </w:t>
      </w:r>
    </w:p>
    <w:p>
      <w:pPr>
        <w:pStyle w:val="TextBody"/>
        <w:spacing w:before="360" w:after="0"/>
        <w:jc w:val="left"/>
        <w:rPr>
          <w:rFonts w:ascii="Times New Roman" w:hAnsi="Times New Roman"/>
          <w:i/>
          <w:sz w:val="20"/>
        </w:rPr>
      </w:pPr>
      <w:r>
        <w:rPr>
          <w:rFonts w:ascii="Times New Roman" w:hAnsi="Times New Roman"/>
          <w:i/>
          <w:sz w:val="20"/>
        </w:rPr>
        <w:t xml:space="preserve">Partnerships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 </w:t>
      </w:r>
    </w:p>
    <w:p>
      <w:pPr>
        <w:pStyle w:val="TextBody"/>
        <w:spacing w:before="240" w:after="0"/>
        <w:jc w:val="left"/>
        <w:rPr>
          <w:rFonts w:ascii="Times New Roman" w:hAnsi="Times New Roman"/>
          <w:sz w:val="20"/>
        </w:rPr>
      </w:pPr>
      <w:r>
        <w:rPr>
          <w:rFonts w:ascii="Times New Roman" w:hAnsi="Times New Roman"/>
          <w:sz w:val="20"/>
        </w:rPr>
        <w:t xml:space="preserve">Utilizing Volvo Cars’ Luqiao facility in China has allowed Polestar to ramp production of its Polestar 2 with over 100,000 units produced by December 31, 2022, while simultaneously producing limited edition variants utilizing Polestar’s Chengdu facility. Going forward, Polestar 3 is planned to be produced both in China at Volvo Cars’ Chengdu facility and in the United States at Volvo Cars’ facility in Charleston, South Carolina, with Polestar 4 and Polestar 5 expected to be manufactured at Geely’s Hangzhou Bay and currently under contstruction Chongquing (expected to be opened in 2024) facilities in China, respectively. Having access to the global manufacturing footprint of Volvo Cars and Geely has and will continue to provide Polestar some flexibility to adjust and optimize its manufacturing plans in response factors such as particular market demand, relative production cost, changing shipping and logistic expenses and the availability of market-specific tax credit schemes. </w:t>
      </w:r>
    </w:p>
    <w:p>
      <w:pPr>
        <w:pStyle w:val="TextBody"/>
        <w:spacing w:before="360" w:after="0"/>
        <w:jc w:val="left"/>
        <w:rPr>
          <w:rFonts w:ascii="Times New Roman" w:hAnsi="Times New Roman"/>
          <w:i/>
          <w:sz w:val="20"/>
        </w:rPr>
      </w:pPr>
      <w:r>
        <w:rPr>
          <w:rFonts w:ascii="Times New Roman" w:hAnsi="Times New Roman"/>
          <w:i/>
          <w:sz w:val="20"/>
        </w:rPr>
        <w:t xml:space="preserve">Premium electric vehicle portfolio </w:t>
      </w:r>
    </w:p>
    <w:p>
      <w:pPr>
        <w:pStyle w:val="TextBody"/>
        <w:spacing w:before="120" w:after="0"/>
        <w:jc w:val="left"/>
        <w:rPr>
          <w:rFonts w:ascii="Times New Roman" w:hAnsi="Times New Roman"/>
          <w:sz w:val="20"/>
        </w:rPr>
      </w:pPr>
      <w:r>
        <w:rPr>
          <w:rFonts w:ascii="Times New Roman" w:hAnsi="Times New Roman"/>
          <w:sz w:val="20"/>
        </w:rPr>
        <w:t xml:space="preserve">Following the launch of the Polestar 3 in 2022 and the expected launches of Polestar 4 in 2023, Polestar 5 in 2024 and Polestar 6 in 2026, Polestar’s all-electric portfolio will comprise a fastback, an SUV, an SUV coupe, a 4-door GT and a roadster. This portfolio has been carefully developed to address the tastes and preferences of premium vehicle customers, one of the fastest growing segments of the global electric car market. The limited edition higher specification Polestar 2 variant, which sells at a higher price point has also received a favorable response from customers. Polestar plans to continue offering higher specification variants, sometimes in limited production runs, for its future models, which it expects will further establish its brand within the premium electric segment and allow for pricing variability within certain markets. </w:t>
      </w:r>
    </w:p>
    <w:p>
      <w:pPr>
        <w:pStyle w:val="TextBody"/>
        <w:spacing w:before="240" w:after="0"/>
        <w:jc w:val="left"/>
        <w:rPr>
          <w:rFonts w:ascii="Times New Roman" w:hAnsi="Times New Roman"/>
          <w:sz w:val="20"/>
        </w:rPr>
      </w:pPr>
      <w:r>
        <w:rPr>
          <w:rFonts w:ascii="Times New Roman" w:hAnsi="Times New Roman"/>
          <w:sz w:val="20"/>
        </w:rPr>
        <w:t xml:space="preserve">As a premium electric car company, Polestar does not intend to offer models priced below Polestar 2 and does not currently foresee the need to adjust its pricing strategy in response to recent price cuts announced by competitors who are pursuing a different strategy to address the wider electric car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Innovative automotive technologies and design </w:t>
      </w:r>
    </w:p>
    <w:p>
      <w:pPr>
        <w:pStyle w:val="TextBody"/>
        <w:spacing w:before="120" w:after="0"/>
        <w:jc w:val="left"/>
        <w:rPr>
          <w:rFonts w:ascii="Times New Roman" w:hAnsi="Times New Roman"/>
          <w:sz w:val="20"/>
        </w:rPr>
      </w:pPr>
      <w:r>
        <w:rPr>
          <w:rFonts w:ascii="Times New Roman" w:hAnsi="Times New Roman"/>
          <w:sz w:val="20"/>
        </w:rPr>
        <w:t xml:space="preserve">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United Kingdom. Internal development programs such as the Polestar Precept and P10 electric powertrain have advanced Polestar’s organic intellectual property. Further, Polestar continues to display ambition to create industry-leading technologies through partnerships with Volvo Cars, Geely, Nvidia, Luminar, and Zenseact,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In the years ended December 31, 2022, 2021 and 2020, $313,244, $462,731, and $338,093, respectively, were invested in new intellectual property. These investments have primarily impacted Polestar’s results of operations through higher amortization expense. </w:t>
      </w:r>
    </w:p>
    <w:p>
      <w:pPr>
        <w:pStyle w:val="TextBody"/>
        <w:spacing w:before="360" w:after="0"/>
        <w:jc w:val="left"/>
        <w:rPr>
          <w:rFonts w:ascii="Times New Roman" w:hAnsi="Times New Roman"/>
          <w:i/>
          <w:sz w:val="20"/>
        </w:rPr>
      </w:pPr>
      <w:r>
        <w:rPr>
          <w:rFonts w:ascii="Times New Roman" w:hAnsi="Times New Roman"/>
          <w:i/>
          <w:sz w:val="20"/>
        </w:rPr>
        <w:t xml:space="preserve">Direct-to-consumer business model </w:t>
      </w:r>
    </w:p>
    <w:p>
      <w:pPr>
        <w:pStyle w:val="TextBody"/>
        <w:spacing w:before="120" w:after="0"/>
        <w:jc w:val="left"/>
        <w:rPr>
          <w:rFonts w:ascii="Times New Roman" w:hAnsi="Times New Roman"/>
          <w:sz w:val="20"/>
        </w:rPr>
      </w:pPr>
      <w:r>
        <w:rPr>
          <w:rFonts w:ascii="Times New Roman" w:hAnsi="Times New Roman"/>
          <w:sz w:val="20"/>
        </w:rPr>
        <w:t xml:space="preserve">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 </w:t>
      </w:r>
    </w:p>
    <w:p>
      <w:pPr>
        <w:pStyle w:val="TextBody"/>
        <w:spacing w:before="360" w:after="0"/>
        <w:jc w:val="left"/>
        <w:rPr>
          <w:rFonts w:ascii="Times New Roman" w:hAnsi="Times New Roman"/>
          <w:i/>
          <w:sz w:val="20"/>
        </w:rPr>
      </w:pPr>
      <w:r>
        <w:rPr>
          <w:rFonts w:ascii="Times New Roman" w:hAnsi="Times New Roman"/>
          <w:i/>
          <w:sz w:val="20"/>
        </w:rPr>
        <w:t xml:space="preserve">Direct-to-business model </w:t>
      </w:r>
    </w:p>
    <w:p>
      <w:pPr>
        <w:pStyle w:val="TextBody"/>
        <w:spacing w:before="120" w:after="0"/>
        <w:jc w:val="left"/>
        <w:rPr>
          <w:rFonts w:ascii="Times New Roman" w:hAnsi="Times New Roman"/>
          <w:sz w:val="20"/>
        </w:rPr>
      </w:pPr>
      <w:r>
        <w:rPr>
          <w:rFonts w:ascii="Times New Roman" w:hAnsi="Times New Roman"/>
          <w:sz w:val="20"/>
        </w:rPr>
        <w:t xml:space="preserve">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 </w:t>
      </w:r>
    </w:p>
    <w:p>
      <w:pPr>
        <w:pStyle w:val="TextBody"/>
        <w:spacing w:before="360" w:after="0"/>
        <w:jc w:val="left"/>
        <w:rPr>
          <w:rFonts w:ascii="Times New Roman" w:hAnsi="Times New Roman"/>
          <w:i/>
          <w:sz w:val="20"/>
        </w:rPr>
      </w:pPr>
      <w:r>
        <w:rPr>
          <w:rFonts w:ascii="Times New Roman" w:hAnsi="Times New Roman"/>
          <w:i/>
          <w:sz w:val="20"/>
        </w:rPr>
        <w:t xml:space="preserve">Fleet sales </w:t>
      </w:r>
    </w:p>
    <w:p>
      <w:pPr>
        <w:pStyle w:val="TextBody"/>
        <w:spacing w:before="120" w:after="0"/>
        <w:jc w:val="left"/>
        <w:rPr>
          <w:rFonts w:ascii="Times New Roman" w:hAnsi="Times New Roman"/>
          <w:sz w:val="20"/>
        </w:rPr>
      </w:pPr>
      <w:r>
        <w:rPr>
          <w:rFonts w:ascii="Times New Roman" w:hAnsi="Times New Roman"/>
          <w:sz w:val="20"/>
        </w:rPr>
        <w:t xml:space="preserve">In addition to Polestar and its subsidiaries’ direct-to-consumer and direct-to-business models, vehicles are also sold to dealerships and various fleet customers (e.g., rental car companies and corporate fleet managers). As an incentive for high-volume purchases, sales to fleet customers often include certain discounts in the form of annual rebates based on the number of vehicles ordered during the year. </w:t>
      </w:r>
    </w:p>
    <w:p>
      <w:pPr>
        <w:pStyle w:val="TextBody"/>
        <w:spacing w:before="360" w:after="0"/>
        <w:jc w:val="left"/>
        <w:rPr>
          <w:rFonts w:ascii="Times New Roman" w:hAnsi="Times New Roman"/>
          <w:i/>
          <w:sz w:val="20"/>
        </w:rPr>
      </w:pPr>
      <w:r>
        <w:rPr>
          <w:rFonts w:ascii="Times New Roman" w:hAnsi="Times New Roman"/>
          <w:i/>
          <w:sz w:val="20"/>
        </w:rPr>
        <w:t xml:space="preserve">Importer markets </w:t>
      </w:r>
    </w:p>
    <w:p>
      <w:pPr>
        <w:pStyle w:val="TextBody"/>
        <w:spacing w:before="120" w:after="0"/>
        <w:jc w:val="left"/>
        <w:rPr>
          <w:rFonts w:ascii="Times New Roman" w:hAnsi="Times New Roman"/>
          <w:sz w:val="20"/>
        </w:rPr>
      </w:pPr>
      <w:r>
        <w:rPr>
          <w:rFonts w:ascii="Times New Roman" w:hAnsi="Times New Roman"/>
          <w:sz w:val="20"/>
        </w:rPr>
        <w:t xml:space="preserve">During the first half of 2022, Polestar expanded by entering into new importer agreements that cover Hong Kong, New Zealand, Israel, UAE (United Arab Emirates), and Kuwait. This expansion allows Polestar to create a global footprint and tap potential opportunities which may lead to increased sales. </w:t>
      </w:r>
    </w:p>
    <w:p>
      <w:pPr>
        <w:pStyle w:val="TextBody"/>
        <w:spacing w:before="360" w:after="0"/>
        <w:jc w:val="left"/>
        <w:rPr>
          <w:rFonts w:ascii="Times New Roman" w:hAnsi="Times New Roman"/>
          <w:i/>
          <w:sz w:val="20"/>
        </w:rPr>
      </w:pPr>
      <w:r>
        <w:rPr>
          <w:rFonts w:ascii="Times New Roman" w:hAnsi="Times New Roman"/>
          <w:i/>
          <w:sz w:val="20"/>
        </w:rPr>
        <w:t xml:space="preserve">Reverse recapitalization </w:t>
      </w:r>
    </w:p>
    <w:p>
      <w:pPr>
        <w:pStyle w:val="TextBody"/>
        <w:spacing w:before="120" w:after="0"/>
        <w:jc w:val="left"/>
        <w:rPr>
          <w:rFonts w:ascii="Times New Roman" w:hAnsi="Times New Roman"/>
          <w:sz w:val="20"/>
        </w:rPr>
      </w:pPr>
      <w:r>
        <w:rPr>
          <w:rFonts w:ascii="Times New Roman" w:hAnsi="Times New Roman"/>
          <w:sz w:val="20"/>
        </w:rPr>
        <w:t xml:space="preserve">On June 23, 2022, Polestar consummated a capital reorganization via the merger with GGI, a special purpose acquisition company. Polestar subsequently began trading on the Nasdaq on June 24, 2022 under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ticker symbol “PSNY.” In addition to providing Polestar with access to new funding sources in the United States capital markets, the merger, including all related arrangements, raised net cash proceeds of $1,417,973. Gross proceeds of $638,197 was assumed from GGI, $250,000 was sourced from a private placement in public equity (“PIPE”), and $588,826 was sourced from a preferential share subscription with Volvo Cars. Total transaction costs of $97,953 were incurred in connection with the merger, of which $59,050 had been recognized by GGI and deducted from the gross proceeds raised. The remaining $38,903 were costs attributable to the Former Parent. </w:t>
      </w:r>
    </w:p>
    <w:p>
      <w:pPr>
        <w:pStyle w:val="TextBody"/>
        <w:spacing w:before="240" w:after="0"/>
        <w:jc w:val="left"/>
        <w:rPr>
          <w:rFonts w:ascii="Times New Roman" w:hAnsi="Times New Roman"/>
          <w:sz w:val="20"/>
        </w:rPr>
      </w:pPr>
      <w:r>
        <w:rPr>
          <w:rFonts w:ascii="Times New Roman" w:hAnsi="Times New Roman"/>
          <w:sz w:val="20"/>
        </w:rPr>
        <w:t xml:space="preserve">The merger was accounted for as a reverse recapitalization in accordance with IFRS 2, Share-based Payment, under which Polestar obtained a listing service in exchange for the issuance of 5.1% equity ownership. Accordingly, Polestar recorded a non-recurring as well as non-cash share-based listing expense of $372,318 that was calculated based on the excess of the fair value of equity ownership in Polestar issued to GGI and third-party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reflected in operating loss. </w:t>
      </w:r>
    </w:p>
    <w:p>
      <w:pPr>
        <w:pStyle w:val="TextBody"/>
        <w:spacing w:before="240" w:after="0"/>
        <w:jc w:val="left"/>
        <w:rPr>
          <w:rFonts w:ascii="Times New Roman" w:hAnsi="Times New Roman"/>
          <w:sz w:val="20"/>
        </w:rPr>
      </w:pPr>
      <w:r>
        <w:rPr>
          <w:rFonts w:ascii="Times New Roman" w:hAnsi="Times New Roman"/>
          <w:sz w:val="20"/>
        </w:rPr>
        <w:t xml:space="preserve">As part of the merger, Polestar exchanged rights and obligations to the public and private warrant instruments of GGI, which maintained fair values of $40,320 and $22,770, respectively, on June 23, 2022. Polestar also issued certain rights to earn out shares to existing owners with a fair value of $1,500,638 on June 23, 2022. These earn out rights were granted to existing owners of Polestar as stipulated by the business combination agreement with GGI, dated on September 27, 2021. These instruments are accounted for as derivative liabilities under International Accounting Standards (“IAS”) 32, Financial Instruments: Presentation, and IFRS 9, Financial Instruments, that are carried at fair value with subsequent changes in fair value recognized in the Consolidated Statement of Loss at each reporting date. On June 23, 2022, the day of the merger, these earn out rights were recorded as a reduction of equity (and a derivative liability) with an amount of $1,500,638. </w:t>
      </w:r>
    </w:p>
    <w:p>
      <w:pPr>
        <w:pStyle w:val="TextBody"/>
        <w:spacing w:before="360" w:after="0"/>
        <w:jc w:val="left"/>
        <w:rPr>
          <w:rFonts w:ascii="Times New Roman" w:hAnsi="Times New Roman"/>
          <w:i/>
          <w:sz w:val="20"/>
        </w:rPr>
      </w:pPr>
      <w:r>
        <w:rPr>
          <w:rFonts w:ascii="Times New Roman" w:hAnsi="Times New Roman"/>
          <w:i/>
          <w:sz w:val="20"/>
        </w:rPr>
        <w:t xml:space="preserve">Impact of COVID-19 and the Russo-Ukrainian War </w:t>
      </w:r>
    </w:p>
    <w:p>
      <w:pPr>
        <w:pStyle w:val="TextBody"/>
        <w:spacing w:before="120" w:after="0"/>
        <w:jc w:val="left"/>
        <w:rPr>
          <w:rFonts w:ascii="Times New Roman" w:hAnsi="Times New Roman"/>
          <w:sz w:val="20"/>
        </w:rPr>
      </w:pPr>
      <w:r>
        <w:rPr>
          <w:rFonts w:ascii="Times New Roman" w:hAnsi="Times New Roman"/>
          <w:sz w:val="20"/>
        </w:rPr>
        <w:t xml:space="preserve">In certain instances, Polestar’s suppliers and business partners have experienced delays or disruptions from COVID-19, resulting in negative impacts to Polestar. Specifically, the prolonged government mandated quarantines and lockdowns in eastern China during the twelve months ended December 31, 2022 delayed production and delivery of critical components for the Polestar 2. </w:t>
      </w:r>
    </w:p>
    <w:p>
      <w:pPr>
        <w:pStyle w:val="TextBody"/>
        <w:spacing w:before="240" w:after="0"/>
        <w:jc w:val="left"/>
        <w:rPr>
          <w:rFonts w:ascii="Times New Roman" w:hAnsi="Times New Roman"/>
          <w:sz w:val="20"/>
        </w:rPr>
      </w:pPr>
      <w:r>
        <w:rPr>
          <w:rFonts w:ascii="Times New Roman" w:hAnsi="Times New Roman"/>
          <w:sz w:val="20"/>
        </w:rPr>
        <w:t xml:space="preserve">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 </w:t>
      </w:r>
    </w:p>
    <w:p>
      <w:pPr>
        <w:pStyle w:val="TextBody"/>
        <w:spacing w:before="240" w:after="0"/>
        <w:jc w:val="left"/>
        <w:rPr>
          <w:rFonts w:ascii="Times New Roman" w:hAnsi="Times New Roman"/>
          <w:sz w:val="20"/>
        </w:rPr>
      </w:pPr>
      <w:r>
        <w:rPr>
          <w:rFonts w:ascii="Times New Roman" w:hAnsi="Times New Roman"/>
          <w:sz w:val="20"/>
        </w:rPr>
        <w:t xml:space="preserve">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 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 Refer to the section entitled “Risk Factors” in this prospectus for information on risks posed by the Russia and Ukraine conflict.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Inflation </w:t>
      </w:r>
    </w:p>
    <w:p>
      <w:pPr>
        <w:pStyle w:val="TextBody"/>
        <w:spacing w:before="120" w:after="0"/>
        <w:jc w:val="left"/>
        <w:rPr>
          <w:rFonts w:ascii="Times New Roman" w:hAnsi="Times New Roman"/>
          <w:sz w:val="20"/>
        </w:rPr>
      </w:pPr>
      <w:r>
        <w:rPr>
          <w:rFonts w:ascii="Times New Roman" w:hAnsi="Times New Roman"/>
          <w:sz w:val="20"/>
        </w:rPr>
        <w:t xml:space="preserve">Global economic conditions have caused rising inflationary pressures on prices of components, materials, labor, and equipment used in the production of Polestar vehicles. Particularly, increases in battery prices due to the increased prices of lithium, cobalt, and nickel have started contributing to increased cost of goods sold and are expected to lead to higher costs of goods sold in the future.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conducts business under one operating segment with primary commercial operations in Europe and the U.S. While Europe and the U.S. represent Polestar’s primary geographic markets, Polestar’s presence is quickly expanding in Asia. Refer to “Note 1—Significant accounting policies and judgements” in Polestar’s Consolidated Financial Statements included elsewhere in this prospectus for more information on the basis of presentation and segment reporting. The following paragraphs describe the key components of revenue and expenses as presented in our Consolidated Statement of Loss. </w:t>
      </w:r>
    </w:p>
    <w:p>
      <w:pPr>
        <w:pStyle w:val="TextBody"/>
        <w:spacing w:before="360" w:after="0"/>
        <w:jc w:val="left"/>
        <w:rPr>
          <w:rFonts w:ascii="Times New Roman" w:hAnsi="Times New Roman"/>
          <w:b/>
          <w:sz w:val="20"/>
        </w:rPr>
      </w:pPr>
      <w:r>
        <w:rPr>
          <w:rFonts w:ascii="Times New Roman" w:hAnsi="Times New Roman"/>
          <w:b/>
          <w:sz w:val="20"/>
        </w:rPr>
        <w:t xml:space="preserve">Revenue </w:t>
      </w:r>
    </w:p>
    <w:p>
      <w:pPr>
        <w:pStyle w:val="TextBody"/>
        <w:spacing w:before="120" w:after="0"/>
        <w:jc w:val="left"/>
        <w:rPr>
          <w:rFonts w:ascii="Times New Roman" w:hAnsi="Times New Roman"/>
          <w:sz w:val="20"/>
        </w:rPr>
      </w:pPr>
      <w:r>
        <w:rPr>
          <w:rFonts w:ascii="Times New Roman" w:hAnsi="Times New Roman"/>
          <w:sz w:val="20"/>
        </w:rPr>
        <w:t xml:space="preserve">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or related parties.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 </w:t>
      </w:r>
    </w:p>
    <w:p>
      <w:pPr>
        <w:pStyle w:val="TextBody"/>
        <w:spacing w:before="360" w:after="0"/>
        <w:jc w:val="left"/>
        <w:rPr>
          <w:rFonts w:ascii="Times New Roman" w:hAnsi="Times New Roman"/>
          <w:b/>
          <w:sz w:val="20"/>
        </w:rPr>
      </w:pPr>
      <w:r>
        <w:rPr>
          <w:rFonts w:ascii="Times New Roman" w:hAnsi="Times New Roman"/>
          <w:b/>
          <w:sz w:val="20"/>
        </w:rPr>
        <w:t xml:space="preserve">Cost of sales </w:t>
      </w:r>
    </w:p>
    <w:p>
      <w:pPr>
        <w:pStyle w:val="TextBody"/>
        <w:spacing w:before="120" w:after="0"/>
        <w:jc w:val="left"/>
        <w:rPr>
          <w:rFonts w:ascii="Times New Roman" w:hAnsi="Times New Roman"/>
          <w:sz w:val="20"/>
        </w:rPr>
      </w:pPr>
      <w:r>
        <w:rPr>
          <w:rFonts w:ascii="Times New Roman" w:hAnsi="Times New Roman"/>
          <w:sz w:val="20"/>
        </w:rPr>
        <w:t xml:space="preserve">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for the years ended December 31, 2021 and December 31, 2020 also include costs related to direct parts and materials, direct labor, and manufacturing overhead for the Polestar 1, which was manufactured at Polestar’s facility in Chengdu, China.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and incentive programs.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consist of personnel expenses for Polestar’s internal engineering, research, and development functions, amortization of intangible assets related to intellectual property used in the PS1 and PS2 and internal development 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 </w:t>
      </w:r>
    </w:p>
    <w:p>
      <w:pPr>
        <w:pStyle w:val="TextBody"/>
        <w:spacing w:before="240" w:after="0"/>
        <w:jc w:val="left"/>
        <w:rPr>
          <w:rFonts w:ascii="Times New Roman" w:hAnsi="Times New Roman"/>
          <w:sz w:val="20"/>
        </w:rPr>
      </w:pPr>
      <w:r>
        <w:rPr>
          <w:rFonts w:ascii="Times New Roman" w:hAnsi="Times New Roman"/>
          <w:sz w:val="20"/>
        </w:rPr>
        <w:t xml:space="preserve">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 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 </w:t>
      </w:r>
    </w:p>
    <w:p>
      <w:pPr>
        <w:pStyle w:val="TextBody"/>
        <w:spacing w:before="360" w:after="0"/>
        <w:jc w:val="left"/>
        <w:rPr>
          <w:rFonts w:ascii="Times New Roman" w:hAnsi="Times New Roman"/>
          <w:b/>
          <w:sz w:val="20"/>
        </w:rPr>
      </w:pPr>
      <w:r>
        <w:rPr>
          <w:rFonts w:ascii="Times New Roman" w:hAnsi="Times New Roman"/>
          <w:b/>
          <w:sz w:val="20"/>
        </w:rPr>
        <w:t xml:space="preserve">Finance income and expenses </w:t>
      </w:r>
    </w:p>
    <w:p>
      <w:pPr>
        <w:pStyle w:val="TextBody"/>
        <w:spacing w:before="120" w:after="0"/>
        <w:jc w:val="left"/>
        <w:rPr>
          <w:rFonts w:ascii="Times New Roman" w:hAnsi="Times New Roman"/>
          <w:sz w:val="20"/>
        </w:rPr>
      </w:pPr>
      <w:r>
        <w:rPr>
          <w:rFonts w:ascii="Times New Roman" w:hAnsi="Times New Roman"/>
          <w:sz w:val="20"/>
        </w:rPr>
        <w:t xml:space="preserve">Finance income consists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 </w:t>
      </w:r>
    </w:p>
    <w:p>
      <w:pPr>
        <w:pStyle w:val="TextBody"/>
        <w:spacing w:before="360" w:after="0"/>
        <w:jc w:val="left"/>
        <w:rPr>
          <w:rFonts w:ascii="Times New Roman" w:hAnsi="Times New Roman"/>
          <w:b/>
          <w:sz w:val="20"/>
        </w:rPr>
      </w:pPr>
      <w:r>
        <w:rPr>
          <w:rFonts w:ascii="Times New Roman" w:hAnsi="Times New Roman"/>
          <w:b/>
          <w:sz w:val="20"/>
        </w:rPr>
        <w:t xml:space="preserve">Fair value change—Earn out rights </w:t>
      </w:r>
    </w:p>
    <w:p>
      <w:pPr>
        <w:pStyle w:val="TextBody"/>
        <w:spacing w:before="120" w:after="0"/>
        <w:jc w:val="left"/>
        <w:rPr>
          <w:rFonts w:ascii="Times New Roman" w:hAnsi="Times New Roman"/>
          <w:sz w:val="20"/>
        </w:rPr>
      </w:pPr>
      <w:r>
        <w:rPr>
          <w:rFonts w:ascii="Times New Roman" w:hAnsi="Times New Roman"/>
          <w:sz w:val="20"/>
        </w:rPr>
        <w:t xml:space="preserve">Fair value change in earn out rights consists of changes in fair value to the contingent right to receive earn outs of Class A and B shares that were issued to the Former Parent upon the completion of the Business Combination. The value of the earn out rights change with the Polestar share price and other macroeconomic conditions, creating fair value gain or loss. </w:t>
      </w:r>
    </w:p>
    <w:p>
      <w:pPr>
        <w:pStyle w:val="TextBody"/>
        <w:spacing w:before="360" w:after="0"/>
        <w:jc w:val="left"/>
        <w:rPr>
          <w:rFonts w:ascii="Times New Roman" w:hAnsi="Times New Roman"/>
          <w:b/>
          <w:sz w:val="20"/>
        </w:rPr>
      </w:pPr>
      <w:r>
        <w:rPr>
          <w:rFonts w:ascii="Times New Roman" w:hAnsi="Times New Roman"/>
          <w:b/>
          <w:sz w:val="20"/>
        </w:rPr>
        <w:t xml:space="preserve">Fair value change—Class C shares </w:t>
      </w:r>
    </w:p>
    <w:p>
      <w:pPr>
        <w:pStyle w:val="TextBody"/>
        <w:spacing w:before="120" w:after="0"/>
        <w:jc w:val="left"/>
        <w:rPr>
          <w:rFonts w:ascii="Times New Roman" w:hAnsi="Times New Roman"/>
          <w:sz w:val="20"/>
        </w:rPr>
      </w:pPr>
      <w:r>
        <w:rPr>
          <w:rFonts w:ascii="Times New Roman" w:hAnsi="Times New Roman"/>
          <w:sz w:val="20"/>
        </w:rPr>
        <w:t xml:space="preserve">Fair value change in class C shares consists of changes in fair value to the Class C-1 Shares and Class C-2 Shares that were issued to the Former Parent upon the completion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Income tax expenses </w:t>
      </w:r>
    </w:p>
    <w:p>
      <w:pPr>
        <w:pStyle w:val="TextBody"/>
        <w:spacing w:before="120" w:after="0"/>
        <w:jc w:val="left"/>
        <w:rPr>
          <w:rFonts w:ascii="Times New Roman" w:hAnsi="Times New Roman"/>
          <w:sz w:val="20"/>
        </w:rPr>
      </w:pPr>
      <w:r>
        <w:rPr>
          <w:rFonts w:ascii="Times New Roman" w:hAnsi="Times New Roman"/>
          <w:sz w:val="20"/>
        </w:rPr>
        <w:t xml:space="preserve">Income tax expenses consist of current and deferred income tax expenses. Current income tax expenses primarily represent income taxes generated on income sourced in multiple foreign jurisdictions. Deferred income tax expenses represent differences generated between book carrying values and the corresponding tax basis for assets or liabilities, multiplied by the applicable jurisdiction’s income tax 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Comparison of the years ended December 31, 2022, 2021 and 2020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Polestar’s historical Consolidated Statement of Loss for the years ended December 31, 2022, 2021 and 2020: </w:t>
      </w:r>
    </w:p>
    <w:p>
      <w:pPr>
        <w:pStyle w:val="TextBody"/>
        <w:spacing w:before="0" w:after="0"/>
        <w:jc w:val="left"/>
        <w:rPr/>
      </w:pPr>
      <w:r>
        <w:rPr/>
        <w:t> </w:t>
      </w:r>
    </w:p>
    <w:tbl>
      <w:tblPr>
        <w:tblW w:w="11325" w:type="dxa"/>
        <w:jc w:val="left"/>
        <w:tblInd w:w="0" w:type="dxa"/>
        <w:tblCellMar>
          <w:top w:w="0" w:type="dxa"/>
          <w:left w:w="0" w:type="dxa"/>
          <w:bottom w:w="0" w:type="dxa"/>
          <w:right w:w="0" w:type="dxa"/>
        </w:tblCellMar>
      </w:tblPr>
      <w:tblGrid>
        <w:gridCol w:w="1205"/>
        <w:gridCol w:w="60"/>
        <w:gridCol w:w="77"/>
        <w:gridCol w:w="1368"/>
        <w:gridCol w:w="155"/>
        <w:gridCol w:w="60"/>
        <w:gridCol w:w="77"/>
        <w:gridCol w:w="1368"/>
        <w:gridCol w:w="155"/>
        <w:gridCol w:w="60"/>
        <w:gridCol w:w="92"/>
        <w:gridCol w:w="1353"/>
        <w:gridCol w:w="155"/>
        <w:gridCol w:w="60"/>
        <w:gridCol w:w="77"/>
        <w:gridCol w:w="1368"/>
        <w:gridCol w:w="155"/>
        <w:gridCol w:w="60"/>
        <w:gridCol w:w="60"/>
        <w:gridCol w:w="680"/>
        <w:gridCol w:w="155"/>
        <w:gridCol w:w="60"/>
        <w:gridCol w:w="92"/>
        <w:gridCol w:w="1353"/>
        <w:gridCol w:w="155"/>
        <w:gridCol w:w="60"/>
        <w:gridCol w:w="60"/>
        <w:gridCol w:w="575"/>
        <w:gridCol w:w="170"/>
      </w:tblGrid>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6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2022 vs 2021</w:t>
              <w:br/>
              <w:t>Variance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2021 vs 2020</w:t>
              <w:br/>
              <w:t>Variance</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2,461,896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1,337,181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610,245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1,124,715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726,936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119</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Cost of sales</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(2,342,453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(1,336,321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(553,724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(1,006,132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(782,597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141</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Gross profit</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119,443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860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b/>
              </w:rPr>
            </w:pPr>
            <w:r>
              <w:rPr>
                <w:b/>
              </w:rPr>
              <w:t>56,521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118,583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b/>
              </w:rPr>
            </w:pPr>
            <w:r>
              <w:rPr>
                <w:b/>
              </w:rPr>
              <w:t>13,789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b/>
              </w:rPr>
            </w:pPr>
            <w:r>
              <w:rPr>
                <w:b/>
              </w:rPr>
              <w:t>(55,661</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b/>
              </w:rPr>
            </w:pPr>
            <w:r>
              <w:rPr>
                <w:b/>
              </w:rPr>
              <w:t>(98</w:t>
            </w:r>
          </w:p>
        </w:tc>
        <w:tc>
          <w:tcPr>
            <w:tcW w:w="170" w:type="dxa"/>
            <w:tcBorders/>
            <w:shd w:fill="CCEEFF" w:val="clear"/>
            <w:vAlign w:val="center"/>
          </w:tcPr>
          <w:p>
            <w:pPr>
              <w:pStyle w:val="TableContents"/>
              <w:spacing w:before="0" w:after="283"/>
              <w:rPr>
                <w:b/>
              </w:rPr>
            </w:pPr>
            <w:r>
              <w:rPr>
                <w:b/>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(864,598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(714,724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(314,926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(149,874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(399,798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127</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(167,242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(232,922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(183,849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65,680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(49,073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27</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income and expenses, net</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(1,565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(48,053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1,766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46,488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(49,819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(2821</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(372,318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(372,318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n/a</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Operating loss</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b/>
              </w:rPr>
            </w:pPr>
            <w:r>
              <w:rPr>
                <w:b/>
              </w:rPr>
              <w:t>(1,286,280</w:t>
            </w:r>
          </w:p>
        </w:tc>
        <w:tc>
          <w:tcPr>
            <w:tcW w:w="155" w:type="dxa"/>
            <w:tcBorders/>
            <w:shd w:fill="auto" w:val="cle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b/>
              </w:rPr>
            </w:pPr>
            <w:r>
              <w:rPr>
                <w:b/>
              </w:rPr>
              <w:t>(994,839</w:t>
            </w:r>
          </w:p>
        </w:tc>
        <w:tc>
          <w:tcPr>
            <w:tcW w:w="155" w:type="dxa"/>
            <w:tcBorders/>
            <w:shd w:fill="auto" w:val="cle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b/>
              </w:rPr>
            </w:pPr>
            <w:r>
              <w:rPr>
                <w:b/>
              </w:rPr>
              <w:t>(440,488</w:t>
            </w:r>
          </w:p>
        </w:tc>
        <w:tc>
          <w:tcPr>
            <w:tcW w:w="155" w:type="dxa"/>
            <w:tcBorders/>
            <w:shd w:fill="auto" w:val="cle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b/>
              </w:rPr>
            </w:pPr>
            <w:r>
              <w:rPr>
                <w:b/>
              </w:rPr>
              <w:t>(291,441</w:t>
            </w:r>
          </w:p>
        </w:tc>
        <w:tc>
          <w:tcPr>
            <w:tcW w:w="155" w:type="dxa"/>
            <w:tcBorders/>
            <w:shd w:fill="auto" w:val="cle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b/>
              </w:rPr>
            </w:pPr>
            <w:r>
              <w:rPr>
                <w:b/>
              </w:rPr>
              <w:t>29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b/>
              </w:rPr>
            </w:pPr>
            <w:r>
              <w:rPr>
                <w:b/>
              </w:rPr>
              <w:t>(554,351</w:t>
            </w:r>
          </w:p>
        </w:tc>
        <w:tc>
          <w:tcPr>
            <w:tcW w:w="155" w:type="dxa"/>
            <w:tcBorders/>
            <w:shd w:fill="auto" w:val="cle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b/>
              </w:rPr>
            </w:pPr>
            <w:r>
              <w:rPr>
                <w:b/>
              </w:rPr>
              <w:t>126</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Finance income</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8,552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32,970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3,199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(24,418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29,771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931</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Finance expense</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(108,435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(45,249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(34,034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(63,186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(11,215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33</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Fair value change—Earn out rights</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902,068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902,068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n/a</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Fair value change—Class C Shares</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35,090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35,090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n/a</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(449,005</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(1,007,118</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b/>
              </w:rPr>
            </w:pPr>
            <w:r>
              <w:rPr>
                <w:b/>
              </w:rPr>
              <w:t>(471,323</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558,113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b/>
              </w:rPr>
            </w:pPr>
            <w:r>
              <w:rPr>
                <w:b/>
              </w:rPr>
              <w:t>(55</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b/>
              </w:rPr>
            </w:pPr>
            <w:r>
              <w:rPr>
                <w:b/>
              </w:rPr>
              <w:t>(535,795</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b/>
              </w:rPr>
            </w:pPr>
            <w:r>
              <w:rPr>
                <w:b/>
              </w:rPr>
              <w:t>114</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(16,784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(336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(13,535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(16,448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4,895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13,199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(98</w:t>
            </w:r>
          </w:p>
        </w:tc>
        <w:tc>
          <w:tcPr>
            <w:tcW w:w="17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loss</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(465,789</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(1,007,454</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b/>
              </w:rPr>
            </w:pPr>
            <w:r>
              <w:rPr>
                <w:b/>
              </w:rPr>
              <w:t>(484,858</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b/>
              </w:rPr>
            </w:pPr>
            <w:r>
              <w:rPr>
                <w:b/>
              </w:rPr>
              <w:t>541,665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b/>
              </w:rPr>
            </w:pPr>
            <w:r>
              <w:rPr>
                <w:b/>
              </w:rPr>
              <w:t>(54</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b/>
              </w:rPr>
            </w:pPr>
            <w:r>
              <w:rPr>
                <w:b/>
              </w:rPr>
              <w:t>(522,596</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b/>
              </w:rPr>
            </w:pPr>
            <w:r>
              <w:rPr>
                <w:b/>
              </w:rPr>
              <w:t>108</w:t>
            </w:r>
          </w:p>
        </w:tc>
        <w:tc>
          <w:tcPr>
            <w:tcW w:w="170" w:type="dxa"/>
            <w:tcBorders/>
            <w:shd w:fill="CCEEFF"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pBdr>
                <w:top w:val="single" w:sz="2" w:space="1" w:color="000000"/>
              </w:pBdr>
              <w:spacing w:before="0" w:after="0"/>
              <w:rPr/>
            </w:pPr>
            <w:r>
              <w:rPr/>
              <w:t> </w:t>
            </w:r>
          </w:p>
        </w:tc>
        <w:tc>
          <w:tcPr>
            <w:tcW w:w="1368"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pBdr>
                <w:top w:val="single" w:sz="2" w:space="1" w:color="000000"/>
              </w:pBdr>
              <w:spacing w:before="0" w:after="0"/>
              <w:rPr/>
            </w:pPr>
            <w:r>
              <w:rPr/>
              <w:t> </w:t>
            </w:r>
          </w:p>
        </w:tc>
        <w:tc>
          <w:tcPr>
            <w:tcW w:w="1353"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Polestar’s revenue increased by $1,124,715, or 84.1%, from $1,337,181 for the year ended December 31, 2021 to $2,461,896 for the year ended December 31, 2022. Revenue from related parties increased by $10,602, or 8%, from $128,980 for the year ended December 31, 2021 to $139,582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summarizes changes in the components of revenue and related changes between annual periods: </w:t>
      </w:r>
    </w:p>
    <w:p>
      <w:pPr>
        <w:pStyle w:val="TextBody"/>
        <w:spacing w:before="0" w:after="0"/>
        <w:jc w:val="left"/>
        <w:rPr/>
      </w:pPr>
      <w:r>
        <w:rPr/>
        <w:t> </w:t>
      </w:r>
    </w:p>
    <w:tbl>
      <w:tblPr>
        <w:tblW w:w="10380" w:type="dxa"/>
        <w:jc w:val="left"/>
        <w:tblInd w:w="0" w:type="dxa"/>
        <w:tblCellMar>
          <w:top w:w="0" w:type="dxa"/>
          <w:left w:w="0" w:type="dxa"/>
          <w:bottom w:w="0" w:type="dxa"/>
          <w:right w:w="0" w:type="dxa"/>
        </w:tblCellMar>
      </w:tblPr>
      <w:tblGrid>
        <w:gridCol w:w="1040"/>
        <w:gridCol w:w="60"/>
        <w:gridCol w:w="83"/>
        <w:gridCol w:w="1362"/>
        <w:gridCol w:w="60"/>
        <w:gridCol w:w="60"/>
        <w:gridCol w:w="83"/>
        <w:gridCol w:w="1362"/>
        <w:gridCol w:w="60"/>
        <w:gridCol w:w="60"/>
        <w:gridCol w:w="100"/>
        <w:gridCol w:w="1345"/>
        <w:gridCol w:w="60"/>
        <w:gridCol w:w="60"/>
        <w:gridCol w:w="83"/>
        <w:gridCol w:w="1362"/>
        <w:gridCol w:w="155"/>
        <w:gridCol w:w="60"/>
        <w:gridCol w:w="60"/>
        <w:gridCol w:w="380"/>
        <w:gridCol w:w="155"/>
        <w:gridCol w:w="60"/>
        <w:gridCol w:w="100"/>
        <w:gridCol w:w="1345"/>
        <w:gridCol w:w="155"/>
        <w:gridCol w:w="60"/>
        <w:gridCol w:w="60"/>
        <w:gridCol w:w="380"/>
        <w:gridCol w:w="170"/>
      </w:tblGrid>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7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2022 vs 2021</w:t>
              <w:br/>
              <w:t>Variance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2021 vs 2020</w:t>
              <w:br/>
              <w:t>Variance</w:t>
            </w:r>
          </w:p>
        </w:tc>
        <w:tc>
          <w:tcPr>
            <w:tcW w:w="170"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170"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10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Revenues</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sz w:val="4"/>
                <w:szCs w:val="4"/>
              </w:rPr>
            </w:pPr>
            <w:r>
              <w:rPr>
                <w:sz w:val="4"/>
                <w:szCs w:val="4"/>
              </w:rPr>
            </w:r>
          </w:p>
        </w:tc>
        <w:tc>
          <w:tcPr>
            <w:tcW w:w="134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sz w:val="4"/>
                <w:szCs w:val="4"/>
              </w:rPr>
            </w:pPr>
            <w:r>
              <w:rPr>
                <w:sz w:val="4"/>
                <w:szCs w:val="4"/>
              </w:rPr>
            </w:r>
          </w:p>
        </w:tc>
        <w:tc>
          <w:tcPr>
            <w:tcW w:w="134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8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Sales of vehicles</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2,404,246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1,290,031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542,783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1,114,215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747,248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138</w:t>
            </w:r>
          </w:p>
        </w:tc>
        <w:tc>
          <w:tcPr>
            <w:tcW w:w="170" w:type="dxa"/>
            <w:tcBorders/>
            <w:shd w:fill="auto" w:val="clear"/>
            <w:vAlign w:val="center"/>
          </w:tcPr>
          <w:p>
            <w:pPr>
              <w:pStyle w:val="TableContents"/>
              <w:spacing w:before="0" w:after="283"/>
              <w:rPr/>
            </w:pPr>
            <w:r>
              <w:rPr/>
              <w:t> </w:t>
            </w:r>
          </w:p>
        </w:tc>
      </w:tr>
      <w:tr>
        <w:trPr/>
        <w:tc>
          <w:tcPr>
            <w:tcW w:w="10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21,308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25,881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35,434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(4,573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(9,553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(27</w:t>
            </w:r>
          </w:p>
        </w:tc>
        <w:tc>
          <w:tcPr>
            <w:tcW w:w="170" w:type="dxa"/>
            <w:tcBorders/>
            <w:shd w:fill="CCEEFF"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Sales of carbon credits</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10,984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6,299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27,141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4,685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(20,842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(77</w:t>
            </w:r>
          </w:p>
        </w:tc>
        <w:tc>
          <w:tcPr>
            <w:tcW w:w="170" w:type="dxa"/>
            <w:tcBorders/>
            <w:shd w:fill="auto" w:val="clear"/>
            <w:vAlign w:val="center"/>
          </w:tcPr>
          <w:p>
            <w:pPr>
              <w:pStyle w:val="TableContents"/>
              <w:spacing w:before="0" w:after="283"/>
              <w:rPr/>
            </w:pPr>
            <w:r>
              <w:rPr/>
              <w:t>) </w:t>
            </w:r>
          </w:p>
        </w:tc>
      </w:tr>
      <w:tr>
        <w:trPr/>
        <w:tc>
          <w:tcPr>
            <w:tcW w:w="10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Vehicle leasing revenue</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16,719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6,217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10,502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169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6,217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100</w:t>
            </w:r>
          </w:p>
        </w:tc>
        <w:tc>
          <w:tcPr>
            <w:tcW w:w="170" w:type="dxa"/>
            <w:tcBorders/>
            <w:shd w:fill="CCEEFF"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revenue</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8,639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8,753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4,887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(114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3,866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79</w:t>
            </w:r>
          </w:p>
        </w:tc>
        <w:tc>
          <w:tcPr>
            <w:tcW w:w="170"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pBdr>
                <w:top w:val="single" w:sz="2" w:space="1" w:color="000000"/>
              </w:pBdr>
              <w:spacing w:before="0" w:after="0"/>
              <w:rPr/>
            </w:pPr>
            <w:r>
              <w:rPr/>
              <w:t> </w:t>
            </w:r>
          </w:p>
        </w:tc>
        <w:tc>
          <w:tcPr>
            <w:tcW w:w="136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pBdr>
                <w:top w:val="single" w:sz="2" w:space="1" w:color="000000"/>
              </w:pBdr>
              <w:spacing w:before="0" w:after="0"/>
              <w:rPr/>
            </w:pPr>
            <w:r>
              <w:rPr/>
              <w:t> </w:t>
            </w:r>
          </w:p>
        </w:tc>
        <w:tc>
          <w:tcPr>
            <w:tcW w:w="136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pBdr>
                <w:top w:val="single" w:sz="2" w:space="1" w:color="000000"/>
              </w:pBdr>
              <w:spacing w:before="0" w:after="0"/>
              <w:rPr/>
            </w:pPr>
            <w:r>
              <w:rPr/>
              <w:t> </w:t>
            </w:r>
          </w:p>
        </w:tc>
        <w:tc>
          <w:tcPr>
            <w:tcW w:w="134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pBdr>
                <w:top w:val="single" w:sz="2" w:space="1" w:color="000000"/>
              </w:pBdr>
              <w:spacing w:before="0" w:after="0"/>
              <w:rPr/>
            </w:pPr>
            <w:r>
              <w:rPr/>
              <w:t> </w:t>
            </w:r>
          </w:p>
        </w:tc>
        <w:tc>
          <w:tcPr>
            <w:tcW w:w="1362"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3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pBdr>
                <w:top w:val="single" w:sz="2" w:space="1" w:color="000000"/>
              </w:pBdr>
              <w:spacing w:before="0" w:after="0"/>
              <w:rPr/>
            </w:pPr>
            <w:r>
              <w:rPr/>
              <w:t> </w:t>
            </w:r>
          </w:p>
        </w:tc>
        <w:tc>
          <w:tcPr>
            <w:tcW w:w="134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38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10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b/>
              </w:rPr>
            </w:pPr>
            <w:r>
              <w:rPr>
                <w:b/>
              </w:rPr>
              <w:t>2,461,896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b/>
              </w:rPr>
            </w:pPr>
            <w:r>
              <w:rPr>
                <w:b/>
              </w:rPr>
              <w:t>1,337,181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b/>
              </w:rPr>
            </w:pPr>
            <w:r>
              <w:rPr>
                <w:b/>
              </w:rPr>
              <w:t>610,245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b/>
              </w:rPr>
            </w:pPr>
            <w:r>
              <w:rPr>
                <w:b/>
              </w:rPr>
              <w:t>1,124,715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b/>
              </w:rPr>
            </w:pPr>
            <w:r>
              <w:rPr>
                <w:b/>
              </w:rPr>
              <w:t>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b/>
              </w:rPr>
            </w:pPr>
            <w:r>
              <w:rPr>
                <w:b/>
              </w:rPr>
              <w:t>726,936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b/>
              </w:rPr>
            </w:pPr>
            <w:r>
              <w:rPr>
                <w:b/>
              </w:rPr>
              <w:t>119</w:t>
            </w:r>
          </w:p>
        </w:tc>
        <w:tc>
          <w:tcPr>
            <w:tcW w:w="170" w:type="dxa"/>
            <w:tcBorders/>
            <w:shd w:fill="CCEEFF"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pBdr>
                <w:top w:val="single" w:sz="2" w:space="1" w:color="000000"/>
              </w:pBdr>
              <w:spacing w:before="0" w:after="0"/>
              <w:rPr/>
            </w:pPr>
            <w:r>
              <w:rPr/>
              <w:t> </w:t>
            </w:r>
          </w:p>
        </w:tc>
        <w:tc>
          <w:tcPr>
            <w:tcW w:w="136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pBdr>
                <w:top w:val="single" w:sz="2" w:space="1" w:color="000000"/>
              </w:pBdr>
              <w:spacing w:before="0" w:after="0"/>
              <w:rPr/>
            </w:pPr>
            <w:r>
              <w:rPr/>
              <w:t> </w:t>
            </w:r>
          </w:p>
        </w:tc>
        <w:tc>
          <w:tcPr>
            <w:tcW w:w="136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pBdr>
                <w:top w:val="single" w:sz="2" w:space="1" w:color="000000"/>
              </w:pBdr>
              <w:spacing w:before="0" w:after="0"/>
              <w:rPr/>
            </w:pPr>
            <w:r>
              <w:rPr/>
              <w:t> </w:t>
            </w:r>
          </w:p>
        </w:tc>
        <w:tc>
          <w:tcPr>
            <w:tcW w:w="134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pBdr>
                <w:top w:val="single" w:sz="2" w:space="1" w:color="000000"/>
              </w:pBdr>
              <w:spacing w:before="0" w:after="0"/>
              <w:rPr/>
            </w:pPr>
            <w:r>
              <w:rPr/>
              <w:t> </w:t>
            </w:r>
          </w:p>
        </w:tc>
        <w:tc>
          <w:tcPr>
            <w:tcW w:w="1362"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3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pBdr>
                <w:top w:val="single" w:sz="2" w:space="1" w:color="000000"/>
              </w:pBdr>
              <w:spacing w:before="0" w:after="0"/>
              <w:rPr/>
            </w:pPr>
            <w:r>
              <w:rPr/>
              <w:t> </w:t>
            </w:r>
          </w:p>
        </w:tc>
        <w:tc>
          <w:tcPr>
            <w:tcW w:w="134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38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Sales of vehicles increased by $1,114,215, or 86%, from $1,290,031 for the year ended December 31, 2021 to $2,404,246 for the year ended December 31, 2022. The increase was driven by greater volumes of Polestar 2 sales across major geographic markets such as the United States, the United Kingdom, Germany, Sweden, and South Korea. Revenue per vehicle decreased year-over-year primarily due to model mix and market mix. During the year ended December 31, 2021, the majority of vehicles sold were long-range dual motor variants of the Polestar 2 while the lower priced long-range single motor and standard range motor variants represented a greater share of revenue for the year ended December 31, 2022. This was partially offset by price increases implemented during the summer that were reflected in selling prices during the latter part of the year. Sales of vehicles increased by $747,248, or 138%, from $542,783 for the year ended December 31, 2020 to $1,290,031 for the year ended December 31, 2021. This increase is primarily due to a full year of commercial sales in 2021, compared to slightly more than three months in 2020 (as commercialization of the Polestar 2 didn’t commence until the third quarter of 2020), as well as Polestar’s further expansion into new markets in 2021. </w:t>
      </w:r>
    </w:p>
    <w:p>
      <w:pPr>
        <w:pStyle w:val="TextBody"/>
        <w:spacing w:before="240" w:after="0"/>
        <w:jc w:val="left"/>
        <w:rPr>
          <w:rFonts w:ascii="Times New Roman" w:hAnsi="Times New Roman"/>
          <w:sz w:val="20"/>
        </w:rPr>
      </w:pPr>
      <w:r>
        <w:rPr>
          <w:rFonts w:ascii="Times New Roman" w:hAnsi="Times New Roman"/>
          <w:sz w:val="20"/>
        </w:rPr>
        <w:t xml:space="preserve">Sales of software and performance engineered kits decreased by $4,573, or 18%, from $25,881 for the year ended December 31, 2021 to $21,308 for the year ended December 31, 2022. The decrease is a result of Polestar’s shifting focus to its own vehicles and a decrease in Volvo Cars’ sales of Polestar’s performance engineered kits. 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 </w:t>
      </w:r>
    </w:p>
    <w:p>
      <w:pPr>
        <w:pStyle w:val="TextBody"/>
        <w:spacing w:before="240" w:after="0"/>
        <w:jc w:val="left"/>
        <w:rPr>
          <w:rFonts w:ascii="Times New Roman" w:hAnsi="Times New Roman"/>
          <w:sz w:val="20"/>
        </w:rPr>
      </w:pPr>
      <w:r>
        <w:rPr>
          <w:rFonts w:ascii="Times New Roman" w:hAnsi="Times New Roman"/>
          <w:sz w:val="20"/>
        </w:rPr>
        <w:t xml:space="preserve">Sales of carbon credits increased by $4,685, or 74%, from $6,299 for the year ended December 31, 2021 to $10,984 for the year ended December 31, 2022. This increase is due to Polestar entering into a new agreement to sell their excess carbon credits to a third party during the year ended December 31, 2022. Sales of carbon credits decreased by $20,842, or 77%, from $27,141 for the year ended for the year ended December 31, 2020 to $6,299 for the year ended December 31, 2021 This decrease is due to prevailing market conditions and lower demand for carbon credits from Volvo Cars and third party OEMs. </w:t>
      </w:r>
    </w:p>
    <w:p>
      <w:pPr>
        <w:pStyle w:val="TextBody"/>
        <w:spacing w:before="240" w:after="0"/>
        <w:jc w:val="left"/>
        <w:rPr>
          <w:rFonts w:ascii="Times New Roman" w:hAnsi="Times New Roman"/>
          <w:sz w:val="20"/>
        </w:rPr>
      </w:pPr>
      <w:r>
        <w:rPr>
          <w:rFonts w:ascii="Times New Roman" w:hAnsi="Times New Roman"/>
          <w:sz w:val="20"/>
        </w:rPr>
        <w:t xml:space="preserve">Vehicle leasing revenue increased by $10,502, or 169%, from $6,217 for the year ended December 31, 2021 to $16,719 for the year ended December 31, 2022. Polestar began selling vehicles with repurchase obligations during the first half of 2021 and continued to increase the number of vehicles sold with repurchase obligations in the subsequent periods. This resulted in the increase to vehicle leasing revenue during the year ended December 31, 2022. Vehicle leasing revenue increased by $6,217, or 100%, from nil for the year ended December 31, 2020 to $6,217 for the year ended December 31, 2021. The increase was the result of Polestar entering into operating leases for the first time in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revenue decreased by $114, or 1%, from $8,753 for the year ended December 31, 2021 to $8,639 for the year ended December 31, 2022. 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w:t>
      </w:r>
    </w:p>
    <w:p>
      <w:pPr>
        <w:pStyle w:val="TextBody"/>
        <w:spacing w:before="360" w:after="0"/>
        <w:jc w:val="left"/>
        <w:rPr>
          <w:rFonts w:ascii="Times New Roman" w:hAnsi="Times New Roman"/>
          <w:b/>
          <w:sz w:val="20"/>
        </w:rPr>
      </w:pPr>
      <w:r>
        <w:rPr>
          <w:rFonts w:ascii="Times New Roman" w:hAnsi="Times New Roman"/>
          <w:b/>
          <w:sz w:val="20"/>
        </w:rPr>
        <w:t xml:space="preserve">Cost of sales and gross profit </w:t>
      </w:r>
    </w:p>
    <w:p>
      <w:pPr>
        <w:pStyle w:val="TextBody"/>
        <w:spacing w:before="120" w:after="0"/>
        <w:jc w:val="left"/>
        <w:rPr>
          <w:rFonts w:ascii="Times New Roman" w:hAnsi="Times New Roman"/>
          <w:sz w:val="20"/>
        </w:rPr>
      </w:pPr>
      <w:r>
        <w:rPr>
          <w:rFonts w:ascii="Times New Roman" w:hAnsi="Times New Roman"/>
          <w:sz w:val="20"/>
        </w:rPr>
        <w:t xml:space="preserve">Cost of sales increased by $1,006,132, or 75%, from $1,336,321 for the year ended December 31, 2021 to $2,342,453 for the year ended December 31, 2022. This was primarily due to higher vehicle sales volumes during the year ended December 31, 2022, resulting in increased warranty as well as freight and distribution expenses of $33,986 and $69,938, respectively. Additionally, material costs increased by $947,279 due to the higher sales volumes, combined with rising raw material costs commencing in the end of 2022. These higher material costs, combined with a deteriorating SEK/CNY foreign exchange rate discussed in the gross profit explanation below, have further contributed to the increase. The activity above was partially offset by decreased manufacturing related costs of $48,092 primarily due to the conclusion of tooling and machinery depreciation related to Polestar 1 in December 2021. </w:t>
      </w:r>
    </w:p>
    <w:p>
      <w:pPr>
        <w:pStyle w:val="TextBody"/>
        <w:spacing w:before="240" w:after="0"/>
        <w:jc w:val="left"/>
        <w:rPr>
          <w:rFonts w:ascii="Times New Roman" w:hAnsi="Times New Roman"/>
          <w:sz w:val="20"/>
        </w:rPr>
      </w:pPr>
      <w:r>
        <w:rPr>
          <w:rFonts w:ascii="Times New Roman" w:hAnsi="Times New Roman"/>
          <w:sz w:val="20"/>
        </w:rPr>
        <w:t xml:space="preserve">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w:t>
      </w:r>
    </w:p>
    <w:p>
      <w:pPr>
        <w:pStyle w:val="TextBody"/>
        <w:spacing w:before="240" w:after="0"/>
        <w:jc w:val="left"/>
        <w:rPr>
          <w:rFonts w:ascii="Times New Roman" w:hAnsi="Times New Roman"/>
          <w:sz w:val="20"/>
        </w:rPr>
      </w:pPr>
      <w:r>
        <w:rPr>
          <w:rFonts w:ascii="Times New Roman" w:hAnsi="Times New Roman"/>
          <w:sz w:val="20"/>
        </w:rPr>
        <w:t xml:space="preserve">Gross profit increased by $118,583, or 13,789%, from $860 for the year ended December 31, 2021 to $119,443 for the year ended December 31, 2022. This increase was primarily due to expanded production and commercialization of Polestar 2 vehicles, causing a higher fixed cost absorption when compared to previous periods. This was combined with positive impacts from the decreased fixed manufacturing costs caused by the conclusion of Polestar 1 related depreciation and amortization in December 2021. The increase in Gross profit for the year ended December 31, 2022 is partially offset by continued deterioration of the SEK/CNY foreign exchange rate. The SEK/CNY foreign exchange rate weakened by approximately 5.7% during the year ended December 31, 2022 from 0.70 on January 1, 2022 to 0.66 by December 31, 2022. During the comparative period, the SEK/CNY foreign exchange rate weakened by approximately 11.4% from 0.79 on January 1, 2021 to 0.70 by December 31, 2021. In total, the SEK/CNY foreign exchange rate has weakened by approximately 16% since January 1, 2021. This trend impacts Polestar’s gross profit as a transaction effect of contract manufacturing in China when Polestar’s purchasing entity is denominated in a functional currency that is weaker than CNY. </w:t>
      </w:r>
    </w:p>
    <w:p>
      <w:pPr>
        <w:pStyle w:val="TextBody"/>
        <w:spacing w:before="240" w:after="0"/>
        <w:jc w:val="left"/>
        <w:rPr>
          <w:rFonts w:ascii="Times New Roman" w:hAnsi="Times New Roman"/>
          <w:sz w:val="20"/>
        </w:rPr>
      </w:pPr>
      <w:r>
        <w:rPr>
          <w:rFonts w:ascii="Times New Roman" w:hAnsi="Times New Roman"/>
          <w:sz w:val="20"/>
        </w:rPr>
        <w:t xml:space="preserve">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 software and performance engineered kits and a negative gross profit impact of $4,887 related to reduced sales of research and development services to related parties.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expenses increased by $149,874, or 21%, from $714,724 for the year ended December 31, 2021 to $864,598 for the year ended December 31, 2022. This increase was primarily due to higher administration costs of $135,171 related to higher wages and salaries associated with scaling headcount across Polestar global operations to meet demands of the growing business. Selling, general and administrative expenses increased by $399,798, or 127%, from $314,926 for the year ended December 31, 2020 to $714,724 for the year ended December 31, 2021. The increase was primarily due to increased investments in advertising,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 </w:t>
      </w:r>
    </w:p>
    <w:p>
      <w:pPr>
        <w:pStyle w:val="TextBody"/>
        <w:spacing w:before="360" w:after="0"/>
        <w:jc w:val="left"/>
        <w:rPr>
          <w:rFonts w:ascii="Times New Roman" w:hAnsi="Times New Roman"/>
          <w:b/>
          <w:sz w:val="20"/>
        </w:rPr>
      </w:pPr>
      <w:r>
        <w:rPr>
          <w:rFonts w:ascii="Times New Roman" w:hAnsi="Times New Roman"/>
          <w:b/>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decreased by $65,680, or 28%, from $232,922 for the year ended December 31, 2021 to $167,242 for the year ended December 31, 2022. This decrease was primarily due to a decrease in amortization of product development costs of $118,659 mainly related to the conclusion of Polestar 1 amortization in December 2021. This activity was partially offset by increased R&amp;D personnel costs of $55,267 due to continuing product development for future vehicles and technologies. 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 </w:t>
      </w:r>
    </w:p>
    <w:p>
      <w:pPr>
        <w:pStyle w:val="TextBody"/>
        <w:spacing w:before="360" w:after="0"/>
        <w:jc w:val="left"/>
        <w:rPr>
          <w:rFonts w:ascii="Times New Roman" w:hAnsi="Times New Roman"/>
          <w:b/>
          <w:sz w:val="20"/>
        </w:rPr>
      </w:pPr>
      <w:r>
        <w:rPr>
          <w:rFonts w:ascii="Times New Roman" w:hAnsi="Times New Roman"/>
          <w:b/>
          <w:sz w:val="20"/>
        </w:rPr>
        <w:t xml:space="preserve">Other operating income (expenses), net </w:t>
      </w:r>
    </w:p>
    <w:p>
      <w:pPr>
        <w:pStyle w:val="TextBody"/>
        <w:spacing w:before="120" w:after="0"/>
        <w:jc w:val="left"/>
        <w:rPr>
          <w:rFonts w:ascii="Times New Roman" w:hAnsi="Times New Roman"/>
          <w:sz w:val="20"/>
        </w:rPr>
      </w:pPr>
      <w:r>
        <w:rPr>
          <w:rFonts w:ascii="Times New Roman" w:hAnsi="Times New Roman"/>
          <w:sz w:val="20"/>
        </w:rPr>
        <w:t xml:space="preserve">Other operating income (expenses), net increased by $46,488 from an expense of $48,053 for the year ended December 31, 2021 to an expense of $1,565 for the year ended December 31, 2022. This increase was primarily driven by lower negative foreign exchange effects on working capital, comprised of unrealized gains of $29,506 and realized gains of $16,198. Other operating income (expenses), net decreased by $49,819 from $1,766 for the year ended December 31, 2020 to $48,053 for the year ended December 31, 2021. This decrease was primarily due to an increase in unrealized foreign exchange losses on conversions from the SEK and the Chinese Yuan (“CNY”) related to Polestar’s contract manufacturing agreements in China. </w:t>
      </w:r>
    </w:p>
    <w:p>
      <w:pPr>
        <w:pStyle w:val="TextBody"/>
        <w:spacing w:before="360" w:after="0"/>
        <w:jc w:val="left"/>
        <w:rPr>
          <w:rFonts w:ascii="Times New Roman" w:hAnsi="Times New Roman"/>
          <w:b/>
          <w:sz w:val="20"/>
        </w:rPr>
      </w:pPr>
      <w:r>
        <w:rPr>
          <w:rFonts w:ascii="Times New Roman" w:hAnsi="Times New Roman"/>
          <w:b/>
          <w:sz w:val="20"/>
        </w:rPr>
        <w:t xml:space="preserve">Finance income </w:t>
      </w:r>
    </w:p>
    <w:p>
      <w:pPr>
        <w:pStyle w:val="TextBody"/>
        <w:spacing w:before="120" w:after="0"/>
        <w:jc w:val="left"/>
        <w:rPr>
          <w:rFonts w:ascii="Times New Roman" w:hAnsi="Times New Roman"/>
          <w:sz w:val="20"/>
        </w:rPr>
      </w:pPr>
      <w:r>
        <w:rPr>
          <w:rFonts w:ascii="Times New Roman" w:hAnsi="Times New Roman"/>
          <w:sz w:val="20"/>
        </w:rPr>
        <w:t xml:space="preserve">Finance income decreased by $24,418, or 74%, from $32,970 for the year ended December 31, 2021 to $8,552 for the year ended December 31, 2022. This decrease was primarily the result of a negative net foreign exchange effect related to financial items for the year ended December 31, 2022. Finance income increased by $29,771, or 931%, from $3,199 for the year ended December 31, 2020 to $32,970 for the year ended December 31, 2021. This increase was primarily driven by net foreign exchange gains on financial activities. </w:t>
      </w:r>
    </w:p>
    <w:p>
      <w:pPr>
        <w:pStyle w:val="TextBody"/>
        <w:spacing w:before="360" w:after="0"/>
        <w:jc w:val="left"/>
        <w:rPr>
          <w:rFonts w:ascii="Times New Roman" w:hAnsi="Times New Roman"/>
          <w:b/>
          <w:sz w:val="20"/>
        </w:rPr>
      </w:pPr>
      <w:r>
        <w:rPr>
          <w:rFonts w:ascii="Times New Roman" w:hAnsi="Times New Roman"/>
          <w:b/>
          <w:sz w:val="20"/>
        </w:rPr>
        <w:t xml:space="preserve">Finance expenses </w:t>
      </w:r>
    </w:p>
    <w:p>
      <w:pPr>
        <w:pStyle w:val="TextBody"/>
        <w:spacing w:before="120" w:after="0"/>
        <w:jc w:val="left"/>
        <w:rPr>
          <w:rFonts w:ascii="Times New Roman" w:hAnsi="Times New Roman"/>
          <w:sz w:val="20"/>
        </w:rPr>
      </w:pPr>
      <w:r>
        <w:rPr>
          <w:rFonts w:ascii="Times New Roman" w:hAnsi="Times New Roman"/>
          <w:sz w:val="20"/>
        </w:rPr>
        <w:t xml:space="preserve">Finance expenses increased by $63,186, or 140%, from $45,249 for the year ended December 31, 2021 to $108,435 for the year ended December 31, 2022. This increase was primarily the result of interest expense associated with financing arrangements, overdue trade payables to Volvo Cars, and net foreign exchange losses on financial activities. Finance expenses increased by $11,215, or 33%, from $34,034 for the year ended December 31, 2020 to $45,249 for the year ended December 31, 2021. This increase was primarily driven by interest expense on past due payables to Geely and Volvo Cars and interest expense on related party loans with Volvo Cars. </w:t>
      </w:r>
    </w:p>
    <w:p>
      <w:pPr>
        <w:pStyle w:val="TextBody"/>
        <w:spacing w:before="360" w:after="0"/>
        <w:jc w:val="left"/>
        <w:rPr>
          <w:rFonts w:ascii="Times New Roman" w:hAnsi="Times New Roman"/>
          <w:b/>
          <w:sz w:val="20"/>
        </w:rPr>
      </w:pPr>
      <w:r>
        <w:rPr>
          <w:rFonts w:ascii="Times New Roman" w:hAnsi="Times New Roman"/>
          <w:b/>
          <w:sz w:val="20"/>
        </w:rPr>
        <w:t xml:space="preserve">Fair value change—Earn out rights </w:t>
      </w:r>
    </w:p>
    <w:p>
      <w:pPr>
        <w:pStyle w:val="TextBody"/>
        <w:spacing w:before="120" w:after="0"/>
        <w:jc w:val="left"/>
        <w:rPr>
          <w:rFonts w:ascii="Times New Roman" w:hAnsi="Times New Roman"/>
          <w:sz w:val="20"/>
        </w:rPr>
      </w:pPr>
      <w:r>
        <w:rPr>
          <w:rFonts w:ascii="Times New Roman" w:hAnsi="Times New Roman"/>
          <w:sz w:val="20"/>
        </w:rPr>
        <w:t xml:space="preserve">The earn out rights were issued in connection with the capital reorganization that was consummated on June 23, 2022. As such, there is no comparison figure for 2021. The gain on the fair value change of the earn out liability for the year ended December 31, 2022 was $902,068. These gains are primarily attributable to a decrease in Polestar’s share price from $11.23 on June 23, 2022 (i.e., closing of the merger with GGI and issuance of the earn out rights) to $5.31 on December 31, 2022 and increased market volatility. Leveraging on a benchmark of peers, the implied asset volatility used in the Monte Carlo simulation increased from 60% as of June 23, 2022 to 75% as of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Fair value change—Class C Shares </w:t>
      </w:r>
    </w:p>
    <w:p>
      <w:pPr>
        <w:pStyle w:val="TextBody"/>
        <w:spacing w:before="120" w:after="0"/>
        <w:jc w:val="left"/>
        <w:rPr>
          <w:rFonts w:ascii="Times New Roman" w:hAnsi="Times New Roman"/>
          <w:sz w:val="20"/>
        </w:rPr>
      </w:pPr>
      <w:r>
        <w:rPr>
          <w:rFonts w:ascii="Times New Roman" w:hAnsi="Times New Roman"/>
          <w:sz w:val="20"/>
        </w:rPr>
        <w:t xml:space="preserve">As part of the capital reorganization via the merger with GGI on June 23, 2022, Polestar exchanged rights and obligations to the public and private warrant instruments of GGI. The gain on the fair value change of these warrants (Class C Shares in Polestar) for the year ended December 31, 2022 was $35,090. These gains are primarily attributable to a decrease in the price of the Class C-1 Shares from $2.52 on June 23, 2022 (i.e., closing of the merger with GGI and exchange of the warrants) to $1.12 on December 31, 2022 and a decrease in the estimated value of the Class C-2 Shares from $2.53 to $1.12 over the same period. Polestar utilizes a binomial lattice model to calculate the value of the Class C-2 Shares which factors several inputs, including the changes in Polestar’s share price from $11.23 to $5.31, implied volatility of publicly traded Class C-1 Shares from 22.5% to 89%, and risk-free rate from 3.12% to 4.01% over the same period. </w:t>
      </w:r>
    </w:p>
    <w:p>
      <w:pPr>
        <w:pStyle w:val="TextBody"/>
        <w:spacing w:before="360" w:after="0"/>
        <w:jc w:val="left"/>
        <w:rPr>
          <w:rFonts w:ascii="Times New Roman" w:hAnsi="Times New Roman"/>
          <w:b/>
          <w:sz w:val="20"/>
        </w:rPr>
      </w:pPr>
      <w:r>
        <w:rPr>
          <w:rFonts w:ascii="Times New Roman" w:hAnsi="Times New Roman"/>
          <w:b/>
          <w:sz w:val="20"/>
        </w:rPr>
        <w:t xml:space="preserve">Income tax expense </w:t>
      </w:r>
    </w:p>
    <w:p>
      <w:pPr>
        <w:pStyle w:val="TextBody"/>
        <w:spacing w:before="120" w:after="0"/>
        <w:jc w:val="left"/>
        <w:rPr>
          <w:rFonts w:ascii="Times New Roman" w:hAnsi="Times New Roman"/>
          <w:sz w:val="20"/>
        </w:rPr>
      </w:pPr>
      <w:r>
        <w:rPr>
          <w:rFonts w:ascii="Times New Roman" w:hAnsi="Times New Roman"/>
          <w:sz w:val="20"/>
        </w:rPr>
        <w:t xml:space="preserve">Income tax expense increased by $16,448, or 4,895%, from $336 for the year ended December 31, 2021 to $16,784 for the year ended December 31, 2022. This increase was primarily driven by $13,941 in increased income tax expenses due to higher earnings in jurisdictions in which we have taxable income, an increase of $1,307 in income tax expenses related to recognition and derecognition of deferred tax assets on other temporary differences and an increase in foreign taxes of $1,200. Income tax expense decreased by $13,199, or 98%, from $13,535 for the year ended December 31, 2020 to $336 for the year ended December 31, 2021. This decrease was primarily driven by a decrease in deferred taxes on temporary differences, coupled with lower withholding taxes. This was offset by higher income tax expenses generated from the higher earnings at legal entity level for the year ended December 31, 2021. </w:t>
      </w:r>
    </w:p>
    <w:p>
      <w:pPr>
        <w:pStyle w:val="TextBody"/>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Polestar finances its operations primarily through the issuance of equity instruments, various short-term credit facilities, including working capital facilities, term loans with related parties, sale leaseback arrangements, and extended trade credit with related parties. The principal uses for liquidity and capital are funding operations, market expansion, sustaining access to additional capital via the repayment of existing credit facilities and investments in Polestar’s future vehicles and automotive technologies. </w:t>
      </w:r>
    </w:p>
    <w:p>
      <w:pPr>
        <w:pStyle w:val="TextBody"/>
        <w:spacing w:before="240" w:after="0"/>
        <w:jc w:val="left"/>
        <w:rPr>
          <w:rFonts w:ascii="Times New Roman" w:hAnsi="Times New Roman"/>
          <w:sz w:val="20"/>
        </w:rPr>
      </w:pPr>
      <w:r>
        <w:rPr>
          <w:rFonts w:ascii="Times New Roman" w:hAnsi="Times New Roman"/>
          <w:sz w:val="20"/>
        </w:rPr>
        <w:t xml:space="preserve">Polestar continues to generate negative operating and investing cash flows as a result of scaling up commercialization efforts globally and capital expenditures for the Polestar 2, Polestar 3, Polestar 4, and Polestar 5 and does not expect to achieve positive cash flow from operations for several years. Managing the company’s liquidity profile and funding needs remains one of Management’s key priorities. Substantial doubt about Polestar’s ability to continue as a going concern persists as timely realization of financing endeavors is necessary to cover forecasted operating and investing cash outflow. Refer to “Note 1—Significant accounting policies and judgements” in the accompanying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Polestar had cash and cash equivalents of $973,877 and $756,677, respectively. Cash and cash equivalents consist of cash in banks with an original term of three months or less. Polestar did not have any restricted cash as of December 31, 2022, and 2021. </w:t>
      </w:r>
    </w:p>
    <w:p>
      <w:pPr>
        <w:pStyle w:val="TextBody"/>
        <w:spacing w:before="240" w:after="0"/>
        <w:jc w:val="left"/>
        <w:rPr>
          <w:rFonts w:ascii="Times New Roman" w:hAnsi="Times New Roman"/>
          <w:sz w:val="20"/>
        </w:rPr>
      </w:pPr>
      <w:r>
        <w:rPr>
          <w:rFonts w:ascii="Times New Roman" w:hAnsi="Times New Roman"/>
          <w:sz w:val="20"/>
        </w:rPr>
        <w:t xml:space="preserve">If Polestar’s cash resources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Management’s intention is to continue to develop Polestar’s short-term working capital financing relationships with European and Chinese banking partners, including upsizing current facilities where applicable, while also continuing to explore potential equity or debt offerings. </w:t>
      </w:r>
    </w:p>
    <w:p>
      <w:pPr>
        <w:pStyle w:val="TextBody"/>
        <w:spacing w:before="360" w:after="0"/>
        <w:jc w:val="left"/>
        <w:rPr>
          <w:rFonts w:ascii="Times New Roman" w:hAnsi="Times New Roman"/>
          <w:i/>
          <w:sz w:val="20"/>
        </w:rPr>
      </w:pPr>
      <w:r>
        <w:rPr>
          <w:rFonts w:ascii="Times New Roman" w:hAnsi="Times New Roman"/>
          <w:i/>
          <w:sz w:val="20"/>
        </w:rPr>
        <w:t xml:space="preserve">Short-term Working Capital Facilities with European and Chinese Banking Partners </w:t>
      </w:r>
    </w:p>
    <w:p>
      <w:pPr>
        <w:pStyle w:val="TextBody"/>
        <w:spacing w:before="120" w:after="0"/>
        <w:jc w:val="left"/>
        <w:rPr>
          <w:rFonts w:ascii="Times New Roman" w:hAnsi="Times New Roman"/>
          <w:sz w:val="20"/>
        </w:rPr>
      </w:pPr>
      <w:r>
        <w:rPr>
          <w:rFonts w:ascii="Times New Roman" w:hAnsi="Times New Roman"/>
          <w:sz w:val="20"/>
        </w:rPr>
        <w:t xml:space="preserve">Polestar has long-standing relationships with its European and Chinese banking partners. Management expects Polestar to meet all covenants and be able to meet principal and interest payments as they come due during FY 2023. Polestar’s relationships with new and existing Chinese and European banking partners continue to provide a reliable source of short-term liquidity. </w:t>
      </w:r>
    </w:p>
    <w:p>
      <w:pPr>
        <w:pStyle w:val="TextBody"/>
        <w:spacing w:before="360" w:after="0"/>
        <w:jc w:val="left"/>
        <w:rPr>
          <w:rFonts w:ascii="Times New Roman" w:hAnsi="Times New Roman"/>
          <w:b/>
          <w:sz w:val="20"/>
        </w:rPr>
      </w:pPr>
      <w:r>
        <w:rPr>
          <w:rFonts w:ascii="Times New Roman" w:hAnsi="Times New Roman"/>
          <w:b/>
          <w:sz w:val="20"/>
        </w:rPr>
        <w:t xml:space="preserve">Debt and equity financing </w:t>
      </w:r>
    </w:p>
    <w:p>
      <w:pPr>
        <w:pStyle w:val="TextBody"/>
        <w:spacing w:before="120" w:after="0"/>
        <w:jc w:val="left"/>
        <w:rPr>
          <w:rFonts w:ascii="Times New Roman" w:hAnsi="Times New Roman"/>
          <w:i/>
          <w:sz w:val="20"/>
        </w:rPr>
      </w:pPr>
      <w:r>
        <w:rPr>
          <w:rFonts w:ascii="Times New Roman" w:hAnsi="Times New Roman"/>
          <w:i/>
          <w:sz w:val="20"/>
        </w:rPr>
        <w:t xml:space="preserve">Equity </w:t>
      </w:r>
    </w:p>
    <w:p>
      <w:pPr>
        <w:pStyle w:val="TextBody"/>
        <w:spacing w:before="120" w:after="0"/>
        <w:jc w:val="left"/>
        <w:rPr>
          <w:rFonts w:ascii="Times New Roman" w:hAnsi="Times New Roman"/>
          <w:sz w:val="20"/>
        </w:rPr>
      </w:pPr>
      <w:r>
        <w:rPr>
          <w:rFonts w:ascii="Times New Roman" w:hAnsi="Times New Roman"/>
          <w:sz w:val="20"/>
        </w:rPr>
        <w:t xml:space="preserve">In November 2020, Polestar issued 14,371,808 ordinary shares to Polestar’s principal owners at $6.15 per share for total proceeds of $438,340. </w:t>
      </w:r>
    </w:p>
    <w:p>
      <w:pPr>
        <w:pStyle w:val="TextBody"/>
        <w:spacing w:before="240" w:after="0"/>
        <w:jc w:val="left"/>
        <w:rPr>
          <w:rFonts w:ascii="Times New Roman" w:hAnsi="Times New Roman"/>
          <w:sz w:val="20"/>
        </w:rPr>
      </w:pPr>
      <w:r>
        <w:rPr>
          <w:rFonts w:ascii="Times New Roman" w:hAnsi="Times New Roman"/>
          <w:sz w:val="20"/>
        </w:rPr>
        <w:t xml:space="preserve">In March 2021, the Group’s Board of Directors distributed 18,032,787 shares of newly authorized Class B common shares at $30.50 (in ones) per share for proceeds of $550,000; related issuance costs amounted to $2,843. Of the 18,032,787 shares issued, 4,262,295 were issued to Geely. In July 2021, 17,345,079 Class A common shares were converted to Class B common shares. </w:t>
      </w:r>
    </w:p>
    <w:p>
      <w:pPr>
        <w:pStyle w:val="TextBody"/>
        <w:spacing w:before="240" w:after="0"/>
        <w:jc w:val="left"/>
        <w:rPr>
          <w:rFonts w:ascii="Times New Roman" w:hAnsi="Times New Roman"/>
          <w:sz w:val="20"/>
        </w:rPr>
      </w:pPr>
      <w:r>
        <w:rPr>
          <w:rFonts w:ascii="Times New Roman" w:hAnsi="Times New Roman"/>
          <w:sz w:val="20"/>
        </w:rPr>
        <w:t xml:space="preserve">On June 23, 2022, the Former Parent consummated a reverse recapitalization in which Polestar Holding AB and its subsidiaries became wholly owned subsidiaries of Polestar. US Merger Sub merged with GGI, pursuant to which the separate corporate existence of US Merger Sub ceased and GGI became a wholly owned subsidiary of Polestar. Convertible notes, different classes of common stock, public warrants, and private warrants were converted into various equity instruments of Polestar. For additional information, see “Note 16—Reverse recapitalization”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Liabilities to Credit Institutions </w:t>
      </w:r>
    </w:p>
    <w:p>
      <w:pPr>
        <w:pStyle w:val="TextBody"/>
        <w:spacing w:before="120" w:after="0"/>
        <w:jc w:val="left"/>
        <w:rPr>
          <w:rFonts w:ascii="Times New Roman" w:hAnsi="Times New Roman"/>
          <w:sz w:val="20"/>
        </w:rPr>
      </w:pPr>
      <w:r>
        <w:rPr>
          <w:rFonts w:ascii="Times New Roman" w:hAnsi="Times New Roman"/>
          <w:sz w:val="20"/>
        </w:rPr>
        <w:t xml:space="preserve">During the periods presented in the accompanying Consolidated Financial Statements, Polestar utilized several short-term working capital loans, one of which includes a covenant tied to the Group’s financial performance. All short-term working capital loans that have come due during the periods presented have been repaid on-time. </w:t>
      </w:r>
    </w:p>
    <w:p>
      <w:pPr>
        <w:pStyle w:val="TextBody"/>
        <w:spacing w:before="240" w:after="0"/>
        <w:jc w:val="left"/>
        <w:rPr>
          <w:rFonts w:ascii="Times New Roman" w:hAnsi="Times New Roman"/>
          <w:sz w:val="20"/>
        </w:rPr>
      </w:pPr>
      <w:r>
        <w:rPr>
          <w:rFonts w:ascii="Times New Roman" w:hAnsi="Times New Roman"/>
          <w:sz w:val="20"/>
        </w:rPr>
        <w:t xml:space="preserve">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 </w:t>
      </w:r>
    </w:p>
    <w:p>
      <w:pPr>
        <w:pStyle w:val="TextBody"/>
        <w:spacing w:before="240" w:after="0"/>
        <w:jc w:val="left"/>
        <w:rPr>
          <w:rFonts w:ascii="Times New Roman" w:hAnsi="Times New Roman"/>
          <w:sz w:val="20"/>
        </w:rPr>
      </w:pPr>
      <w:r>
        <w:rPr>
          <w:rFonts w:ascii="Times New Roman" w:hAnsi="Times New Roman"/>
          <w:sz w:val="20"/>
        </w:rPr>
        <w:t xml:space="preserve">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 </w:t>
      </w:r>
    </w:p>
    <w:p>
      <w:pPr>
        <w:pStyle w:val="TextBody"/>
        <w:spacing w:before="240" w:after="0"/>
        <w:jc w:val="left"/>
        <w:rPr>
          <w:rFonts w:ascii="Times New Roman" w:hAnsi="Times New Roman"/>
          <w:sz w:val="20"/>
        </w:rPr>
      </w:pPr>
      <w:r>
        <w:rPr>
          <w:rFonts w:ascii="Times New Roman" w:hAnsi="Times New Roman"/>
          <w:sz w:val="20"/>
        </w:rPr>
        <w:t xml:space="preserve">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 of 0.25% to be paid on the value of the facility payable. This loan was fully repaid as of December 31, 2021. </w:t>
      </w:r>
    </w:p>
    <w:p>
      <w:pPr>
        <w:pStyle w:val="TextBody"/>
        <w:spacing w:before="240" w:after="0"/>
        <w:jc w:val="left"/>
        <w:rPr>
          <w:rFonts w:ascii="Times New Roman" w:hAnsi="Times New Roman"/>
          <w:sz w:val="20"/>
        </w:rPr>
      </w:pPr>
      <w:r>
        <w:rPr>
          <w:rFonts w:ascii="Times New Roman" w:hAnsi="Times New Roman"/>
          <w:sz w:val="20"/>
        </w:rPr>
        <w:t xml:space="preserve">In June 2021, Polestar entered into a 12-month unsecured working capital loan agreement with a bank in China. The outstanding principal balance as of December 31, 2021 was $78,650. The loan carries interest at the latest 12-month national interbank loan prime offer rate plus 1.1%. This loan was fully repaid as of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July 2021, Polestar entered into a 12-month unsecured working capital loan agreement with a bank in China. The outstanding principal balance as of December 31, 2021 was $130,559. The loan carries interest at a rate of 3.915% per annum. This loan was fully repaid as of December 31, 2022. </w:t>
      </w:r>
    </w:p>
    <w:p>
      <w:pPr>
        <w:pStyle w:val="TextBody"/>
        <w:spacing w:before="240" w:after="0"/>
        <w:jc w:val="left"/>
        <w:rPr>
          <w:rFonts w:ascii="Times New Roman" w:hAnsi="Times New Roman"/>
          <w:sz w:val="20"/>
        </w:rPr>
      </w:pPr>
      <w:r>
        <w:rPr>
          <w:rFonts w:ascii="Times New Roman" w:hAnsi="Times New Roman"/>
          <w:sz w:val="20"/>
        </w:rPr>
        <w:t xml:space="preserve">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The outstanding principal balance as of December 31, 2021 was $400,000. The loan carries interest at a fixed rate of 1.883%. This loan was fully repaid as of December 31, 2022. </w:t>
      </w:r>
    </w:p>
    <w:p>
      <w:pPr>
        <w:pStyle w:val="TextBody"/>
        <w:spacing w:before="240" w:after="0"/>
        <w:jc w:val="left"/>
        <w:rPr>
          <w:rFonts w:ascii="Times New Roman" w:hAnsi="Times New Roman"/>
          <w:sz w:val="20"/>
        </w:rPr>
      </w:pPr>
      <w:r>
        <w:rPr>
          <w:rFonts w:ascii="Times New Roman" w:hAnsi="Times New Roman"/>
          <w:sz w:val="20"/>
        </w:rPr>
        <w:t xml:space="preserve">In February 2022, Polestar entered into a 12-month EUR 350,000,000 uncommitted secured green trade finance facility, including an accordion facility of up to EUR 250,000,000, with Standard Chartered Bank, Nordea Bank ABP, Citibank Europe PLC and ING Belgium SA/NV, which was amended and restated on February 26, 2023 to, among other things, extend the facility availability for a further 12 months. The outstanding principal balance as of December 31, 2022 and the date of this prospectus was EUR 270,000,000 and EUR 190,678,961, respectively. The initial facility carried interest at 3-month Euro Interbank Offering Rate plus 2.1%. Following the February 2023 amendment and restatement, the facility carries interest at 3-month Euro Interbank Offering Rate plus 2.3% per annum. The facility has a repayment period of 90 days and includes a covenant tied to Polestar’s cash and cash equivalents position and available commitments under committed credit facilities not falling below EUR 400,000,000. </w:t>
      </w:r>
    </w:p>
    <w:p>
      <w:pPr>
        <w:pStyle w:val="TextBody"/>
        <w:spacing w:before="240" w:after="0"/>
        <w:jc w:val="left"/>
        <w:rPr>
          <w:rFonts w:ascii="Times New Roman" w:hAnsi="Times New Roman"/>
          <w:sz w:val="20"/>
        </w:rPr>
      </w:pPr>
      <w:r>
        <w:rPr>
          <w:rFonts w:ascii="Times New Roman" w:hAnsi="Times New Roman"/>
          <w:sz w:val="20"/>
        </w:rPr>
        <w:t xml:space="preserve">In June 2022, Polestar entered into a 12-month unsecured working capital loan with a bank in China. The outstanding principal balance as of December 31, 2022 was $72,517. The loan carried interest at the interbank loan prime rate plus 1.25%. </w:t>
      </w:r>
    </w:p>
    <w:p>
      <w:pPr>
        <w:pStyle w:val="TextBody"/>
        <w:spacing w:before="240" w:after="0"/>
        <w:jc w:val="left"/>
        <w:rPr>
          <w:rFonts w:ascii="Times New Roman" w:hAnsi="Times New Roman"/>
          <w:sz w:val="20"/>
        </w:rPr>
      </w:pPr>
      <w:r>
        <w:rPr>
          <w:rFonts w:ascii="Times New Roman" w:hAnsi="Times New Roman"/>
          <w:sz w:val="20"/>
        </w:rPr>
        <w:t xml:space="preserve">In August 2022, Polestar entered into a 12-month unsecured working capital loan with a bank in China. The outstanding principal balance as of December 31, 2022 was $103,845. The loan carried interest at the interbank loan prime rate plus .05%. </w:t>
      </w:r>
    </w:p>
    <w:p>
      <w:pPr>
        <w:pStyle w:val="TextBody"/>
        <w:spacing w:before="240" w:after="0"/>
        <w:jc w:val="left"/>
        <w:rPr>
          <w:rFonts w:ascii="Times New Roman" w:hAnsi="Times New Roman"/>
          <w:sz w:val="20"/>
        </w:rPr>
      </w:pPr>
      <w:r>
        <w:rPr>
          <w:rFonts w:ascii="Times New Roman" w:hAnsi="Times New Roman"/>
          <w:sz w:val="20"/>
        </w:rPr>
        <w:t xml:space="preserve">In August 2022, Polestar entered into a 12-month unsecured working capital loan with a bank in China. The outstanding principal balance as of December 31, 2022 was $147,000. The loan carried interest at the interbank loan prime rate plus 2.3%. </w:t>
      </w:r>
    </w:p>
    <w:p>
      <w:pPr>
        <w:pStyle w:val="TextBody"/>
        <w:spacing w:before="240" w:after="0"/>
        <w:jc w:val="left"/>
        <w:rPr>
          <w:rFonts w:ascii="Times New Roman" w:hAnsi="Times New Roman"/>
          <w:sz w:val="20"/>
        </w:rPr>
      </w:pPr>
      <w:r>
        <w:rPr>
          <w:rFonts w:ascii="Times New Roman" w:hAnsi="Times New Roman"/>
          <w:sz w:val="20"/>
        </w:rPr>
        <w:t xml:space="preserve">In September 2022, Polestar entered into a 12-month unsecured working capital loan with a bank in China. The outstanding balance as of December 31, 2022 was $255,000. The loan carried interest at the interbank loan prime rate plus 2.3%. </w:t>
      </w:r>
    </w:p>
    <w:p>
      <w:pPr>
        <w:pStyle w:val="TextBody"/>
        <w:spacing w:before="240" w:after="0"/>
        <w:jc w:val="left"/>
        <w:rPr>
          <w:rFonts w:ascii="Times New Roman" w:hAnsi="Times New Roman"/>
          <w:sz w:val="20"/>
        </w:rPr>
      </w:pPr>
      <w:r>
        <w:rPr>
          <w:rFonts w:ascii="Times New Roman" w:hAnsi="Times New Roman"/>
          <w:sz w:val="20"/>
        </w:rPr>
        <w:t xml:space="preserve">In September 2022, Polestar entered into a 12-month secured working capital loan agreement with a bank in China. The outstanding principal balance as of December 31, 2022, was $133,000. The loan carries interest at 4.48% per annum. </w:t>
      </w:r>
    </w:p>
    <w:p>
      <w:pPr>
        <w:pStyle w:val="TextBody"/>
        <w:spacing w:before="240" w:after="0"/>
        <w:jc w:val="left"/>
        <w:rPr>
          <w:rFonts w:ascii="Times New Roman" w:hAnsi="Times New Roman"/>
          <w:sz w:val="20"/>
        </w:rPr>
      </w:pPr>
      <w:r>
        <w:rPr>
          <w:rFonts w:ascii="Times New Roman" w:hAnsi="Times New Roman"/>
          <w:sz w:val="20"/>
        </w:rPr>
        <w:t xml:space="preserve">In September 2022, Polestar entered into a 12-month unsecured working capital loan with a bank in China. The outstanding balance as of December 31, 2022 was $100,000. The loan carries interest at the 3-month secured overnight financing rate plus 2.4%. </w:t>
      </w:r>
    </w:p>
    <w:p>
      <w:pPr>
        <w:pStyle w:val="TextBody"/>
        <w:spacing w:before="240" w:after="0"/>
        <w:jc w:val="left"/>
        <w:rPr>
          <w:rFonts w:ascii="Times New Roman" w:hAnsi="Times New Roman"/>
          <w:sz w:val="20"/>
        </w:rPr>
      </w:pPr>
      <w:r>
        <w:rPr>
          <w:rFonts w:ascii="Times New Roman" w:hAnsi="Times New Roman"/>
          <w:sz w:val="20"/>
        </w:rPr>
        <w:t xml:space="preserve">In December 2022, Polestar entered into a 12-month unsecured working capital loan with a bank in China. The outstanding balance as of December 31, 2022 was $200,000. The loan carries interest at 7.50% per annum. </w:t>
      </w:r>
    </w:p>
    <w:p>
      <w:pPr>
        <w:pStyle w:val="TextBody"/>
        <w:spacing w:before="360" w:after="0"/>
        <w:jc w:val="left"/>
        <w:rPr>
          <w:rFonts w:ascii="Times New Roman" w:hAnsi="Times New Roman"/>
          <w:i/>
          <w:sz w:val="20"/>
        </w:rPr>
      </w:pPr>
      <w:r>
        <w:rPr>
          <w:rFonts w:ascii="Times New Roman" w:hAnsi="Times New Roman"/>
          <w:i/>
          <w:sz w:val="20"/>
        </w:rPr>
        <w:t xml:space="preserve">Related Party financing </w:t>
      </w:r>
    </w:p>
    <w:p>
      <w:pPr>
        <w:pStyle w:val="TextBody"/>
        <w:spacing w:before="120" w:after="0"/>
        <w:jc w:val="left"/>
        <w:rPr>
          <w:rFonts w:ascii="Times New Roman" w:hAnsi="Times New Roman"/>
          <w:sz w:val="20"/>
        </w:rPr>
      </w:pPr>
      <w:r>
        <w:rPr>
          <w:rFonts w:ascii="Times New Roman" w:hAnsi="Times New Roman"/>
          <w:sz w:val="20"/>
        </w:rPr>
        <w:t xml:space="preserve">In July 2021, Geely and two other third-parties invested in non-interest-bearing convertible notes of $35,231 from Polestar Group. Of the $35,231, $9,531 is held by Geely. The Group accounted for the convertible notes as equity upon issuance and classified them within other contributed capital. As of December 31, 2022, all $35,231 of the convertible notes have been converted into 4,306,466 Class A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November 3, 2022, Polestar entered into an 18-month Term Facility Agreement with one of its major shareholders, Volvo Cars, allowing multiple drawings for up to an aggregated principal amount of $800,000. As of December 31, 2022, Polestar had not drawn on the Term Facility Agreement, however, as of the date of this prospectus the drawn amount on the Term Facility Agreement was $300,000. Polestar is required to pay the loans, in full, 18 months from the date of the Term Facility Agreement. The Term Facility Agreement has an interest rate of floating 6-month Secured Overnight Financing Rate (“SOFR”) with 4.97% per annum. The rate of interest on each loan made under the Credit Facility is the aggregation of the SOFR rate and the 4.97% per annum for the 6-month interest period set on the Quotation Day which is defined as two additional business days before the relevant interest period. Under this agreement, if Polestar announces an offering of shares of any class in the share capital, with a proposed capital raising of at least $350,000, and no fewer than five institutional investors participating in the offering, then Volvo Cars has the right to convert the principal amount of any outstanding loans into equity. </w:t>
      </w:r>
    </w:p>
    <w:p>
      <w:pPr>
        <w:pStyle w:val="TextBody"/>
        <w:spacing w:before="360" w:after="0"/>
        <w:jc w:val="left"/>
        <w:rPr>
          <w:rFonts w:ascii="Times New Roman" w:hAnsi="Times New Roman"/>
          <w:i/>
          <w:sz w:val="20"/>
        </w:rPr>
      </w:pPr>
      <w:r>
        <w:rPr>
          <w:rFonts w:ascii="Times New Roman" w:hAnsi="Times New Roman"/>
          <w:i/>
          <w:sz w:val="20"/>
        </w:rPr>
        <w:t xml:space="preserve">Floor plan and related party facilities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on a market-by-market basis, enters into multiple low value credit facilities with various financial service providers to fund operations related to vehicle sales. The facilities are partially secured by the underlying assets on a market-by-market basis. As of December 31, 2022 and 2021, the aggregate amount outstanding under these arrangements to external credit institutions was $33,615 and $32,453, respectively. The Group maintains a working capital loan with the related party Volvo Cars that is presented separately in Interest bearing current liabilities—related parties within the Consolidated Statement of Financial Position. The aggregated amount outstanding as of December 31, 2022 and 2021 to related parties amounted to $16,690 and $13,789, respectively. </w:t>
      </w:r>
    </w:p>
    <w:p>
      <w:pPr>
        <w:pStyle w:val="TextBody"/>
        <w:spacing w:before="360" w:after="0"/>
        <w:jc w:val="left"/>
        <w:rPr>
          <w:rFonts w:ascii="Times New Roman" w:hAnsi="Times New Roman"/>
          <w:i/>
          <w:sz w:val="20"/>
        </w:rPr>
      </w:pPr>
      <w:r>
        <w:rPr>
          <w:rFonts w:ascii="Times New Roman" w:hAnsi="Times New Roman"/>
          <w:i/>
          <w:sz w:val="20"/>
        </w:rPr>
        <w:t xml:space="preserve">Sale leaseback facilities </w:t>
      </w:r>
    </w:p>
    <w:p>
      <w:pPr>
        <w:pStyle w:val="TextBody"/>
        <w:spacing w:before="120" w:after="0"/>
        <w:jc w:val="left"/>
        <w:rPr>
          <w:rFonts w:ascii="Times New Roman" w:hAnsi="Times New Roman"/>
          <w:sz w:val="20"/>
        </w:rPr>
      </w:pPr>
      <w:r>
        <w:rPr>
          <w:rFonts w:ascii="Times New Roman" w:hAnsi="Times New Roman"/>
          <w:sz w:val="20"/>
        </w:rPr>
        <w:t xml:space="preserve">Polestar has also entered into contracts to sell vehicles and then lease such vehicles back for a period of up to twelve months. At the end of the lease back period, Polestar is obligated to re-purchase the vehicles. Due to this repurchase obligation, these transactions are accounted for as financial liabilities. As such, consideration received for these transactions was recorded as a financing transaction. As of December 31, 2022 and December 31, 2021, $11,719 and $14,465 of this financing obligation was outstanding, respectively. </w:t>
      </w:r>
    </w:p>
    <w:p>
      <w:pPr>
        <w:pStyle w:val="TextBody"/>
        <w:spacing w:before="360" w:after="0"/>
        <w:jc w:val="left"/>
        <w:rPr>
          <w:rFonts w:ascii="Times New Roman" w:hAnsi="Times New Roman"/>
          <w:b/>
          <w:sz w:val="20"/>
        </w:rPr>
      </w:pPr>
      <w:r>
        <w:rPr>
          <w:rFonts w:ascii="Times New Roman" w:hAnsi="Times New Roman"/>
          <w:b/>
          <w:sz w:val="20"/>
        </w:rPr>
        <w:t xml:space="preserve">Cash flows </w:t>
      </w:r>
    </w:p>
    <w:p>
      <w:pPr>
        <w:pStyle w:val="TextBody"/>
        <w:spacing w:before="0" w:after="0"/>
        <w:jc w:val="left"/>
        <w:rPr/>
      </w:pPr>
      <w:r>
        <w:rPr/>
        <w:t> </w:t>
      </w:r>
    </w:p>
    <w:tbl>
      <w:tblPr>
        <w:tblW w:w="8270" w:type="dxa"/>
        <w:jc w:val="left"/>
        <w:tblInd w:w="0" w:type="dxa"/>
        <w:tblCellMar>
          <w:top w:w="0" w:type="dxa"/>
          <w:left w:w="0" w:type="dxa"/>
          <w:bottom w:w="0" w:type="dxa"/>
          <w:right w:w="0" w:type="dxa"/>
        </w:tblCellMar>
      </w:tblPr>
      <w:tblGrid>
        <w:gridCol w:w="3095"/>
        <w:gridCol w:w="120"/>
        <w:gridCol w:w="77"/>
        <w:gridCol w:w="1368"/>
        <w:gridCol w:w="155"/>
        <w:gridCol w:w="120"/>
        <w:gridCol w:w="92"/>
        <w:gridCol w:w="1353"/>
        <w:gridCol w:w="155"/>
        <w:gridCol w:w="120"/>
        <w:gridCol w:w="92"/>
        <w:gridCol w:w="1353"/>
        <w:gridCol w:w="170"/>
      </w:tblGrid>
      <w:tr>
        <w:trPr/>
        <w:tc>
          <w:tcPr>
            <w:tcW w:w="30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8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US’Thousand</w:t>
            </w:r>
          </w:p>
        </w:tc>
        <w:tc>
          <w:tcPr>
            <w:tcW w:w="170"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used for operating activities</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(1,083,423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(312,156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(57,050</w:t>
            </w:r>
          </w:p>
        </w:tc>
        <w:tc>
          <w:tcPr>
            <w:tcW w:w="170"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used for investing activities</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368" w:type="dxa"/>
            <w:tcBorders/>
            <w:shd w:fill="auto" w:val="clear"/>
            <w:vAlign w:val="center"/>
          </w:tcPr>
          <w:p>
            <w:pPr>
              <w:pStyle w:val="TableContents"/>
              <w:spacing w:before="0" w:after="283"/>
              <w:jc w:val="right"/>
              <w:rPr/>
            </w:pPr>
            <w:r>
              <w:rPr/>
              <w:t>(715,973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(129,672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jc w:val="right"/>
              <w:rPr/>
            </w:pPr>
            <w:r>
              <w:rPr/>
              <w:t>(243,707</w:t>
            </w:r>
          </w:p>
        </w:tc>
        <w:tc>
          <w:tcPr>
            <w:tcW w:w="170"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provided by financing activities</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368" w:type="dxa"/>
            <w:tcBorders/>
            <w:shd w:fill="CCEEFF" w:val="clear"/>
            <w:vAlign w:val="center"/>
          </w:tcPr>
          <w:p>
            <w:pPr>
              <w:pStyle w:val="TableContents"/>
              <w:spacing w:before="0" w:after="283"/>
              <w:jc w:val="right"/>
              <w:rPr/>
            </w:pPr>
            <w:r>
              <w:rPr/>
              <w:t>2,083,029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909,572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353" w:type="dxa"/>
            <w:tcBorders/>
            <w:shd w:fill="CCEEFF" w:val="clear"/>
            <w:vAlign w:val="center"/>
          </w:tcPr>
          <w:p>
            <w:pPr>
              <w:pStyle w:val="TableContents"/>
              <w:spacing w:before="0" w:after="283"/>
              <w:jc w:val="right"/>
              <w:rPr/>
            </w:pPr>
            <w:r>
              <w:rPr/>
              <w:t>359,643</w:t>
            </w:r>
          </w:p>
        </w:tc>
        <w:tc>
          <w:tcPr>
            <w:tcW w:w="170"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Cash used for operating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operating activities increased by $771,267, from $312,156 for the year ended December 31, 2021 to $1,083,423 for the year ended December 31, 2022. The change is primarily attributable to net loss adjusted for non-cash expenses as well as negative changes in working capital during the year ended December 31, 2022. Negative changes in working capital which led to operating cash outflows in 2022 are largely attributable to increased trade receivables, increased inventories, and higher interest payments related to liabilities to credit institutions and overdue trade payables with Volvo Cars. </w:t>
      </w:r>
    </w:p>
    <w:p>
      <w:pPr>
        <w:pStyle w:val="TextBody"/>
        <w:spacing w:before="240" w:after="0"/>
        <w:jc w:val="left"/>
        <w:rPr>
          <w:rFonts w:ascii="Times New Roman" w:hAnsi="Times New Roman"/>
          <w:sz w:val="20"/>
        </w:rPr>
      </w:pPr>
      <w:r>
        <w:rPr>
          <w:rFonts w:ascii="Times New Roman" w:hAnsi="Times New Roman"/>
          <w:sz w:val="20"/>
        </w:rPr>
        <w:t xml:space="preserve">Cash provided by changes in trade receivables, prepaid expenses, and other assets decreased by $268,692, from a cash inflow of $48,574 for the year ended December 31, 2021, to a cash outflow of $220,118 for the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ended December 31, 2022. The change from a cash inflow to a cash outflow is primarily due to an increase of $88,354 in third party trade receivables resulting from higher sales volumes, product mix and market mix, as well as an increase of related party trade receivables and accrued income from Volvo Cars of $104,845. </w:t>
      </w:r>
    </w:p>
    <w:p>
      <w:pPr>
        <w:pStyle w:val="TextBody"/>
        <w:spacing w:before="240" w:after="0"/>
        <w:jc w:val="left"/>
        <w:rPr>
          <w:rFonts w:ascii="Times New Roman" w:hAnsi="Times New Roman"/>
          <w:sz w:val="20"/>
        </w:rPr>
      </w:pPr>
      <w:r>
        <w:rPr>
          <w:rFonts w:ascii="Times New Roman" w:hAnsi="Times New Roman"/>
          <w:sz w:val="20"/>
        </w:rPr>
        <w:t xml:space="preserve">In 2022, change in inventory was a negative $226,638, as an effect of build-up in inventory following a general ramp up in business and a readiness to deliver on orders in 2023. </w:t>
      </w:r>
    </w:p>
    <w:p>
      <w:pPr>
        <w:pStyle w:val="TextBody"/>
        <w:spacing w:before="240" w:after="0"/>
        <w:jc w:val="left"/>
        <w:rPr>
          <w:rFonts w:ascii="Times New Roman" w:hAnsi="Times New Roman"/>
          <w:sz w:val="20"/>
        </w:rPr>
      </w:pPr>
      <w:r>
        <w:rPr>
          <w:rFonts w:ascii="Times New Roman" w:hAnsi="Times New Roman"/>
          <w:sz w:val="20"/>
        </w:rPr>
        <w:t xml:space="preserve">Cash provided by changes in interest paid increased by $55,566 from $12,564 for the year ended December 31, 2021, to $68,130 for the year ended December 31, 2022. The change is primarily due to $25,449 and $36,480 in interest paid to credit institutions related to working capital loans and Volvo Cars on past due payables, respectively. </w:t>
      </w:r>
    </w:p>
    <w:p>
      <w:pPr>
        <w:pStyle w:val="TextBody"/>
        <w:spacing w:before="240" w:after="0"/>
        <w:jc w:val="left"/>
        <w:rPr>
          <w:rFonts w:ascii="Times New Roman" w:hAnsi="Times New Roman"/>
          <w:sz w:val="20"/>
        </w:rPr>
      </w:pPr>
      <w:r>
        <w:rPr>
          <w:rFonts w:ascii="Times New Roman" w:hAnsi="Times New Roman"/>
          <w:sz w:val="20"/>
        </w:rPr>
        <w:t xml:space="preserve">Compared to 2021 cash-flow from changes in trade payables, accrued expenses, and other liabilities decreased by $466,875 from $519,676 for the year ended December 31, 2021 to $52,801 for the year ended December 31, 2022, primarily due to higher repayments of trade payables with Volvo Cars during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Cash used for operating activities decreased from $57,050 for the year ended December 31, 2020 to $312,156 for the year ended December 31, 2021. The change was primarily the result of Polestar fulfilling its provisions related to warranties, employee benefits, and other provisions, increased prepaid expenses, and higher levels of inventory due to market expansion, partially offset by higher collections of trade receivables from related parties. </w:t>
      </w:r>
    </w:p>
    <w:p>
      <w:pPr>
        <w:pStyle w:val="TextBody"/>
        <w:spacing w:before="360" w:after="0"/>
        <w:jc w:val="left"/>
        <w:rPr>
          <w:rFonts w:ascii="Times New Roman" w:hAnsi="Times New Roman"/>
          <w:b/>
          <w:sz w:val="20"/>
        </w:rPr>
      </w:pPr>
      <w:r>
        <w:rPr>
          <w:rFonts w:ascii="Times New Roman" w:hAnsi="Times New Roman"/>
          <w:b/>
          <w:sz w:val="20"/>
        </w:rPr>
        <w:t xml:space="preserve">Cash used for investing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investing activities increased by $586,301, from $129,672 for the year ended December 31, 2021 to $715,973 for the year ended December 31, 2022. The change was primarily the result of significantly more cash settlements with Volvo Cars and Geely for prior period investments in intellectual property related to the Polestar 2, Polestar 3 and Polestar 4. Polestar also made an investment of $2,500 in the fast-charging battery technology innovator, StoreDot, during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 </w:t>
      </w:r>
    </w:p>
    <w:p>
      <w:pPr>
        <w:pStyle w:val="TextBody"/>
        <w:spacing w:before="360" w:after="0"/>
        <w:jc w:val="left"/>
        <w:rPr>
          <w:rFonts w:ascii="Times New Roman" w:hAnsi="Times New Roman"/>
          <w:b/>
          <w:sz w:val="20"/>
        </w:rPr>
      </w:pPr>
      <w:r>
        <w:rPr>
          <w:rFonts w:ascii="Times New Roman" w:hAnsi="Times New Roman"/>
          <w:b/>
          <w:sz w:val="20"/>
        </w:rPr>
        <w:t xml:space="preserve">Cash provided by financing activities </w:t>
      </w:r>
    </w:p>
    <w:p>
      <w:pPr>
        <w:pStyle w:val="TextBody"/>
        <w:spacing w:before="120" w:after="0"/>
        <w:jc w:val="left"/>
        <w:rPr>
          <w:rFonts w:ascii="Times New Roman" w:hAnsi="Times New Roman"/>
          <w:sz w:val="20"/>
        </w:rPr>
      </w:pPr>
      <w:r>
        <w:rPr>
          <w:rFonts w:ascii="Times New Roman" w:hAnsi="Times New Roman"/>
          <w:sz w:val="20"/>
        </w:rPr>
        <w:t xml:space="preserve">Cash provided by financing activities increased by $1,173,457, from $909,572 for the year ended December 31, 2021 to $2,083,029 for the year ended December 31, 2022. The change was primarily the result of (1) the merger with GGI that occurred on June 23, 2022 resulting in total cash received in the transaction of $1,417,973 and (2) increased liquidity provided by eight short-term working capital facilities secured by Polestar during the year ended December 31, 2022. The merger with GGI and related arrangements provided Polestar with gross cash proceeds of $1,417,973, of which $588,826 was provided by Volvo Cars, $250,000 was provided by PIPE investors, and $638,197 was provided by transfer from GGI to the group at close, less transaction costs of $59,050. Polestar’s borrowings provided $2,149,799 in gross cash proceeds during the period, of which $1,018,517 was sourced from seven short-term working capital facilities with Chinese banking partners, $966,903 was sourced from a green trade revolving credit facility with a syndicate of European banks, and $160,976 was sourced from multiple low-value floorplan and sale-leaseback facilities, including a small credit facility with Volvo Cars. These gross cash proceeds were partially offset by principal repayments of $1,426,935 during the period, of which $600,722 was used to settle three short-term working capital facilities with Chinese banking partners, $669,582 was used to settle amounts due on the green trade revolving credit facility, and $152,559 was used to settle amounts due on the low-value floorplan and sale-leaseback facilities, including the credit facility with Volvo Cars.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Cash provided by financing activities increased from $359,643 for the year ended December 31, 2020 to $909,572 for the year ended December 31, 2021. The change was primarily the result of the issuance of Class B common shares to third-party investors, the issuance of convertible notes, and increased short-term borrowings, partially offset by principal repayments related to existing short-term credit facilities. </w:t>
      </w:r>
    </w:p>
    <w:p>
      <w:pPr>
        <w:pStyle w:val="TextBody"/>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“Note 10—Leases,” “Note 23—Liabilities to credit institutions,” and “Note 27—Commitments and contingencies” in the accompanying Consolidated financial statements for more detail on contractual obligations and commitments.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Polestar’s estimated future cash expenditures related to contractual obligations and commitments as of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141"/>
        <w:gridCol w:w="120"/>
        <w:gridCol w:w="82"/>
        <w:gridCol w:w="1348"/>
        <w:gridCol w:w="60"/>
        <w:gridCol w:w="120"/>
        <w:gridCol w:w="97"/>
        <w:gridCol w:w="1588"/>
        <w:gridCol w:w="60"/>
        <w:gridCol w:w="120"/>
        <w:gridCol w:w="128"/>
        <w:gridCol w:w="1655"/>
        <w:gridCol w:w="60"/>
        <w:gridCol w:w="120"/>
        <w:gridCol w:w="115"/>
        <w:gridCol w:w="1315"/>
        <w:gridCol w:w="76"/>
      </w:tblGrid>
      <w:tr>
        <w:trPr/>
        <w:tc>
          <w:tcPr>
            <w:tcW w:w="31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4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68"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Payments due by period</w:t>
            </w:r>
          </w:p>
        </w:tc>
        <w:tc>
          <w:tcPr>
            <w:tcW w:w="76" w:type="dxa"/>
            <w:tcBorders/>
            <w:shd w:fill="auto" w:val="clear"/>
            <w:vAlign w:val="center"/>
          </w:tcPr>
          <w:p>
            <w:pPr>
              <w:pStyle w:val="TableContents"/>
              <w:spacing w:before="0" w:after="283"/>
              <w:rPr/>
            </w:pPr>
            <w:r>
              <w:rPr/>
              <w:t> </w:t>
            </w:r>
          </w:p>
        </w:tc>
      </w:tr>
      <w:tr>
        <w:trPr/>
        <w:tc>
          <w:tcPr>
            <w:tcW w:w="314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Less than 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3"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Between 1-5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After 5 years</w:t>
            </w:r>
          </w:p>
        </w:tc>
        <w:tc>
          <w:tcPr>
            <w:tcW w:w="76" w:type="dxa"/>
            <w:tcBorders/>
            <w:shd w:fill="auto" w:val="clear"/>
            <w:vAlign w:val="center"/>
          </w:tcPr>
          <w:p>
            <w:pPr>
              <w:pStyle w:val="TableContents"/>
              <w:spacing w:before="0" w:after="283"/>
              <w:rPr/>
            </w:pPr>
            <w:r>
              <w:rPr/>
              <w:t> </w:t>
            </w:r>
          </w:p>
        </w:tc>
      </w:tr>
      <w:tr>
        <w:trPr/>
        <w:tc>
          <w:tcPr>
            <w:tcW w:w="314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jc w:val="center"/>
              <w:rPr>
                <w:b/>
              </w:rPr>
            </w:pPr>
            <w:r>
              <w:rPr>
                <w:b/>
              </w:rPr>
              <w:t>US Thousand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5" w:type="dxa"/>
            <w:gridSpan w:val="2"/>
            <w:tcBorders/>
            <w:shd w:fill="auto" w:val="clear"/>
            <w:vAlign w:val="center"/>
          </w:tcPr>
          <w:p>
            <w:pPr>
              <w:pStyle w:val="TableContents"/>
              <w:spacing w:before="0" w:after="283"/>
              <w:jc w:val="center"/>
              <w:rPr>
                <w:b/>
              </w:rPr>
            </w:pPr>
            <w:r>
              <w:rPr>
                <w:b/>
              </w:rPr>
              <w:t>US Thousand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3" w:type="dxa"/>
            <w:gridSpan w:val="2"/>
            <w:tcBorders/>
            <w:shd w:fill="auto" w:val="clear"/>
            <w:vAlign w:val="center"/>
          </w:tcPr>
          <w:p>
            <w:pPr>
              <w:pStyle w:val="TableContents"/>
              <w:spacing w:before="0" w:after="283"/>
              <w:jc w:val="center"/>
              <w:rPr>
                <w:b/>
              </w:rPr>
            </w:pPr>
            <w:r>
              <w:rPr>
                <w:b/>
              </w:rPr>
              <w:t>US Thousand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jc w:val="center"/>
              <w:rPr>
                <w:b/>
              </w:rPr>
            </w:pPr>
            <w:r>
              <w:rPr>
                <w:b/>
              </w:rPr>
              <w:t>US Thousand</w:t>
            </w:r>
          </w:p>
        </w:tc>
        <w:tc>
          <w:tcPr>
            <w:tcW w:w="76" w:type="dxa"/>
            <w:tcBorders/>
            <w:shd w:fill="auto" w:val="clear"/>
            <w:vAlign w:val="center"/>
          </w:tcPr>
          <w:p>
            <w:pPr>
              <w:pStyle w:val="TableContents"/>
              <w:spacing w:before="0" w:after="283"/>
              <w:rPr/>
            </w:pPr>
            <w:r>
              <w:rPr/>
              <w:t> </w:t>
            </w:r>
          </w:p>
        </w:tc>
      </w:tr>
      <w:tr>
        <w:trPr/>
        <w:tc>
          <w:tcPr>
            <w:tcW w:w="3141"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Contractual obligations and commitments</w:t>
            </w:r>
          </w:p>
        </w:tc>
        <w:tc>
          <w:tcPr>
            <w:tcW w:w="12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sz w:val="4"/>
                <w:szCs w:val="4"/>
              </w:rPr>
            </w:pPr>
            <w:r>
              <w:rPr>
                <w:sz w:val="4"/>
                <w:szCs w:val="4"/>
              </w:rPr>
            </w:r>
          </w:p>
        </w:tc>
        <w:tc>
          <w:tcPr>
            <w:tcW w:w="134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58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sz w:val="4"/>
                <w:szCs w:val="4"/>
              </w:rPr>
            </w:pPr>
            <w:r>
              <w:rPr>
                <w:sz w:val="4"/>
                <w:szCs w:val="4"/>
              </w:rPr>
            </w:r>
          </w:p>
        </w:tc>
        <w:tc>
          <w:tcPr>
            <w:tcW w:w="16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sz w:val="4"/>
                <w:szCs w:val="4"/>
              </w:rPr>
            </w:pPr>
            <w:r>
              <w:rPr>
                <w:sz w:val="4"/>
                <w:szCs w:val="4"/>
              </w:rPr>
            </w:r>
          </w:p>
        </w:tc>
        <w:tc>
          <w:tcPr>
            <w:tcW w:w="1315"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4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Capital commitments</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396,261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588" w:type="dxa"/>
            <w:tcBorders/>
            <w:shd w:fill="auto" w:val="clear"/>
            <w:vAlign w:val="center"/>
          </w:tcPr>
          <w:p>
            <w:pPr>
              <w:pStyle w:val="TableContents"/>
              <w:spacing w:before="0" w:after="283"/>
              <w:jc w:val="right"/>
              <w:rPr/>
            </w:pPr>
            <w:r>
              <w:rPr/>
              <w:t>283,400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jc w:val="right"/>
              <w:rPr/>
            </w:pPr>
            <w:r>
              <w:rPr/>
              <w:t>112,861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315" w:type="dxa"/>
            <w:tcBorders/>
            <w:shd w:fill="auto" w:val="cle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r>
      <w:tr>
        <w:trPr/>
        <w:tc>
          <w:tcPr>
            <w:tcW w:w="314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Credit facilities, including sale leasebacks</w:t>
            </w:r>
          </w:p>
        </w:tc>
        <w:tc>
          <w:tcPr>
            <w:tcW w:w="12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348" w:type="dxa"/>
            <w:tcBorders/>
            <w:shd w:fill="CCEEFF" w:val="clear"/>
            <w:vAlign w:val="center"/>
          </w:tcPr>
          <w:p>
            <w:pPr>
              <w:pStyle w:val="TableContents"/>
              <w:spacing w:before="0" w:after="283"/>
              <w:jc w:val="right"/>
              <w:rPr/>
            </w:pPr>
            <w:r>
              <w:rPr/>
              <w:t>1,328,752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588" w:type="dxa"/>
            <w:tcBorders/>
            <w:shd w:fill="CCEEFF" w:val="clear"/>
            <w:vAlign w:val="center"/>
          </w:tcPr>
          <w:p>
            <w:pPr>
              <w:pStyle w:val="TableContents"/>
              <w:spacing w:before="0" w:after="283"/>
              <w:jc w:val="right"/>
              <w:rPr/>
            </w:pPr>
            <w:r>
              <w:rPr/>
              <w:t>1,328,752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65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315"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rPr/>
            </w:pPr>
            <w:r>
              <w:rPr/>
              <w:t> </w:t>
            </w:r>
          </w:p>
        </w:tc>
      </w:tr>
      <w:tr>
        <w:trPr/>
        <w:tc>
          <w:tcPr>
            <w:tcW w:w="314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obligations</w:t>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348" w:type="dxa"/>
            <w:tcBorders/>
            <w:shd w:fill="auto" w:val="clear"/>
            <w:vAlign w:val="center"/>
          </w:tcPr>
          <w:p>
            <w:pPr>
              <w:pStyle w:val="TableContents"/>
              <w:spacing w:before="0" w:after="283"/>
              <w:jc w:val="right"/>
              <w:rPr/>
            </w:pPr>
            <w:r>
              <w:rPr/>
              <w:t>120,465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588" w:type="dxa"/>
            <w:tcBorders/>
            <w:shd w:fill="auto" w:val="clear"/>
            <w:vAlign w:val="center"/>
          </w:tcPr>
          <w:p>
            <w:pPr>
              <w:pStyle w:val="TableContents"/>
              <w:spacing w:before="0" w:after="283"/>
              <w:jc w:val="right"/>
              <w:rPr/>
            </w:pPr>
            <w:r>
              <w:rPr/>
              <w:t>21,717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655" w:type="dxa"/>
            <w:tcBorders/>
            <w:shd w:fill="auto" w:val="clear"/>
            <w:vAlign w:val="center"/>
          </w:tcPr>
          <w:p>
            <w:pPr>
              <w:pStyle w:val="TableContents"/>
              <w:spacing w:before="0" w:after="283"/>
              <w:jc w:val="right"/>
              <w:rPr/>
            </w:pPr>
            <w:r>
              <w:rPr/>
              <w:t>69,135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315" w:type="dxa"/>
            <w:tcBorders/>
            <w:shd w:fill="auto" w:val="clear"/>
            <w:vAlign w:val="center"/>
          </w:tcPr>
          <w:p>
            <w:pPr>
              <w:pStyle w:val="TableContents"/>
              <w:spacing w:before="0" w:after="283"/>
              <w:jc w:val="right"/>
              <w:rPr/>
            </w:pPr>
            <w:r>
              <w:rPr/>
              <w:t>29,613</w:t>
            </w:r>
          </w:p>
        </w:tc>
        <w:tc>
          <w:tcPr>
            <w:tcW w:w="76" w:type="dxa"/>
            <w:tcBorders/>
            <w:shd w:fill="auto" w:val="clear"/>
            <w:vAlign w:val="center"/>
          </w:tcPr>
          <w:p>
            <w:pPr>
              <w:pStyle w:val="TableContents"/>
              <w:spacing w:before="0" w:after="283"/>
              <w:rPr/>
            </w:pPr>
            <w:r>
              <w:rPr/>
              <w:t> </w:t>
            </w:r>
          </w:p>
        </w:tc>
      </w:tr>
      <w:tr>
        <w:trPr/>
        <w:tc>
          <w:tcPr>
            <w:tcW w:w="31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pBdr>
                <w:top w:val="single" w:sz="2" w:space="1" w:color="000000"/>
              </w:pBdr>
              <w:spacing w:before="0" w:after="0"/>
              <w:rPr/>
            </w:pPr>
            <w:r>
              <w:rPr/>
              <w:t> </w:t>
            </w:r>
          </w:p>
        </w:tc>
        <w:tc>
          <w:tcPr>
            <w:tcW w:w="1348"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single" w:sz="2" w:space="1" w:color="000000"/>
              </w:pBdr>
              <w:spacing w:before="0" w:after="0"/>
              <w:rPr/>
            </w:pPr>
            <w:r>
              <w:rPr/>
              <w:t> </w:t>
            </w:r>
          </w:p>
        </w:tc>
        <w:tc>
          <w:tcPr>
            <w:tcW w:w="1588"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pBdr>
                <w:top w:val="single" w:sz="2" w:space="1" w:color="000000"/>
              </w:pBdr>
              <w:spacing w:before="0" w:after="0"/>
              <w:rPr/>
            </w:pPr>
            <w:r>
              <w:rPr/>
              <w:t> </w:t>
            </w:r>
          </w:p>
        </w:tc>
        <w:tc>
          <w:tcPr>
            <w:tcW w:w="165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pBdr>
                <w:top w:val="single" w:sz="2" w:space="1" w:color="000000"/>
              </w:pBdr>
              <w:spacing w:before="0" w:after="0"/>
              <w:rPr/>
            </w:pPr>
            <w:r>
              <w:rPr/>
              <w:t> </w:t>
            </w:r>
          </w:p>
        </w:tc>
        <w:tc>
          <w:tcPr>
            <w:tcW w:w="1315" w:type="dxa"/>
            <w:tcBorders/>
            <w:shd w:fill="auto" w:val="clear"/>
            <w:vAlign w:val="center"/>
          </w:tcPr>
          <w:p>
            <w:pPr>
              <w:pStyle w:val="TableContents"/>
              <w:pBdr>
                <w:top w:val="single" w:sz="2"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r>
        <w:trPr/>
        <w:tc>
          <w:tcPr>
            <w:tcW w:w="3141"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348" w:type="dxa"/>
            <w:tcBorders/>
            <w:shd w:fill="CCEEFF" w:val="clear"/>
            <w:vAlign w:val="center"/>
          </w:tcPr>
          <w:p>
            <w:pPr>
              <w:pStyle w:val="TableContents"/>
              <w:spacing w:before="0" w:after="283"/>
              <w:jc w:val="right"/>
              <w:rPr/>
            </w:pPr>
            <w:r>
              <w:rPr/>
              <w:t>1,845,478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588" w:type="dxa"/>
            <w:tcBorders/>
            <w:shd w:fill="CCEEFF" w:val="clear"/>
            <w:vAlign w:val="center"/>
          </w:tcPr>
          <w:p>
            <w:pPr>
              <w:pStyle w:val="TableContents"/>
              <w:spacing w:before="0" w:after="283"/>
              <w:jc w:val="right"/>
              <w:rPr/>
            </w:pPr>
            <w:r>
              <w:rPr/>
              <w:t>1,633,869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655" w:type="dxa"/>
            <w:tcBorders/>
            <w:shd w:fill="CCEEFF" w:val="clear"/>
            <w:vAlign w:val="center"/>
          </w:tcPr>
          <w:p>
            <w:pPr>
              <w:pStyle w:val="TableContents"/>
              <w:spacing w:before="0" w:after="283"/>
              <w:jc w:val="right"/>
              <w:rPr/>
            </w:pPr>
            <w:r>
              <w:rPr/>
              <w:t>181,996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315" w:type="dxa"/>
            <w:tcBorders/>
            <w:shd w:fill="CCEEFF" w:val="clear"/>
            <w:vAlign w:val="center"/>
          </w:tcPr>
          <w:p>
            <w:pPr>
              <w:pStyle w:val="TableContents"/>
              <w:spacing w:before="0" w:after="283"/>
              <w:jc w:val="right"/>
              <w:rPr/>
            </w:pPr>
            <w:r>
              <w:rPr/>
              <w:t>29,613</w:t>
            </w:r>
          </w:p>
        </w:tc>
        <w:tc>
          <w:tcPr>
            <w:tcW w:w="76" w:type="dxa"/>
            <w:tcBorders/>
            <w:shd w:fill="CCEEFF" w:val="clear"/>
            <w:vAlign w:val="center"/>
          </w:tcPr>
          <w:p>
            <w:pPr>
              <w:pStyle w:val="TableContents"/>
              <w:spacing w:before="0" w:after="283"/>
              <w:rPr/>
            </w:pPr>
            <w:r>
              <w:rPr/>
              <w:t> </w:t>
            </w:r>
          </w:p>
        </w:tc>
      </w:tr>
      <w:tr>
        <w:trPr/>
        <w:tc>
          <w:tcPr>
            <w:tcW w:w="31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pBdr>
                <w:top w:val="single" w:sz="2" w:space="1" w:color="000000"/>
              </w:pBdr>
              <w:spacing w:before="0" w:after="0"/>
              <w:rPr/>
            </w:pPr>
            <w:r>
              <w:rPr/>
              <w:t> </w:t>
            </w:r>
          </w:p>
        </w:tc>
        <w:tc>
          <w:tcPr>
            <w:tcW w:w="1348"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single" w:sz="2" w:space="1" w:color="000000"/>
              </w:pBdr>
              <w:spacing w:before="0" w:after="0"/>
              <w:rPr/>
            </w:pPr>
            <w:r>
              <w:rPr/>
              <w:t> </w:t>
            </w:r>
          </w:p>
        </w:tc>
        <w:tc>
          <w:tcPr>
            <w:tcW w:w="1588"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pBdr>
                <w:top w:val="single" w:sz="2" w:space="1" w:color="000000"/>
              </w:pBdr>
              <w:spacing w:before="0" w:after="0"/>
              <w:rPr/>
            </w:pPr>
            <w:r>
              <w:rPr/>
              <w:t> </w:t>
            </w:r>
          </w:p>
        </w:tc>
        <w:tc>
          <w:tcPr>
            <w:tcW w:w="165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pBdr>
                <w:top w:val="single" w:sz="2" w:space="1" w:color="000000"/>
              </w:pBdr>
              <w:spacing w:before="0" w:after="0"/>
              <w:rPr/>
            </w:pPr>
            <w:r>
              <w:rPr/>
              <w:t> </w:t>
            </w:r>
          </w:p>
        </w:tc>
        <w:tc>
          <w:tcPr>
            <w:tcW w:w="1315" w:type="dxa"/>
            <w:tcBorders/>
            <w:shd w:fill="auto" w:val="clear"/>
            <w:vAlign w:val="center"/>
          </w:tcPr>
          <w:p>
            <w:pPr>
              <w:pStyle w:val="TableContents"/>
              <w:pBdr>
                <w:top w:val="single" w:sz="2"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spacing w:before="120" w:after="0"/>
        <w:jc w:val="left"/>
        <w:rPr>
          <w:rFonts w:ascii="Times New Roman" w:hAnsi="Times New Roman"/>
          <w:sz w:val="20"/>
        </w:rPr>
      </w:pPr>
      <w:r>
        <w:rPr>
          <w:rFonts w:ascii="Times New Roman" w:hAnsi="Times New Roman"/>
          <w:sz w:val="20"/>
        </w:rPr>
        <w:t>Other than the capital commitments mentioned in “Contractual obligations and commitments” in this “Operating and Financial Review and Prospectus,” 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pStyle w:val="TextBody"/>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spacing w:before="120" w:after="0"/>
        <w:jc w:val="left"/>
        <w:rPr>
          <w:rFonts w:ascii="Times New Roman" w:hAnsi="Times New Roman"/>
          <w:sz w:val="20"/>
        </w:rPr>
      </w:pPr>
      <w:r>
        <w:rPr>
          <w:rFonts w:ascii="Times New Roman" w:hAnsi="Times New Roman"/>
          <w:sz w:val="20"/>
        </w:rPr>
        <w:t xml:space="preserve">Polestar uses both generally accepted accounting principles (“GAAP,”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 </w:t>
      </w:r>
    </w:p>
    <w:p>
      <w:pPr>
        <w:pStyle w:val="TextBody"/>
        <w:spacing w:before="240" w:after="0"/>
        <w:jc w:val="left"/>
        <w:rPr>
          <w:rFonts w:ascii="Times New Roman" w:hAnsi="Times New Roman"/>
          <w:sz w:val="20"/>
        </w:rPr>
      </w:pPr>
      <w:r>
        <w:rPr>
          <w:rFonts w:ascii="Times New Roman" w:hAnsi="Times New Roman"/>
          <w:sz w:val="20"/>
        </w:rPr>
        <w:t xml:space="preserve">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w:t>
      </w:r>
    </w:p>
    <w:p>
      <w:pPr>
        <w:pStyle w:val="TextBody"/>
        <w:spacing w:before="240" w:after="0"/>
        <w:jc w:val="left"/>
        <w:rPr>
          <w:rFonts w:ascii="Times New Roman" w:hAnsi="Times New Roman"/>
          <w:sz w:val="20"/>
        </w:rPr>
      </w:pPr>
      <w:r>
        <w:rPr>
          <w:rFonts w:ascii="Times New Roman" w:hAnsi="Times New Roman"/>
          <w:sz w:val="20"/>
        </w:rPr>
        <w:t xml:space="preserve">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Non-GAAP financial measures include adjusted operating loss, adjusted EBITDA, adjusted net loss, and free cash flow. </w:t>
      </w:r>
    </w:p>
    <w:p>
      <w:pPr>
        <w:pStyle w:val="TextBody"/>
        <w:spacing w:before="36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120" w:after="0"/>
        <w:jc w:val="left"/>
        <w:rPr>
          <w:rFonts w:ascii="Times New Roman" w:hAnsi="Times New Roman"/>
          <w:sz w:val="20"/>
        </w:rPr>
      </w:pPr>
      <w:r>
        <w:rPr>
          <w:rFonts w:ascii="Times New Roman" w:hAnsi="Times New Roman"/>
          <w:sz w:val="20"/>
        </w:rPr>
        <w:t xml:space="preserve">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 </w:t>
      </w:r>
    </w:p>
    <w:p>
      <w:pPr>
        <w:pStyle w:val="TextBody"/>
        <w:spacing w:before="360" w:after="0"/>
        <w:jc w:val="left"/>
        <w:rPr>
          <w:rFonts w:ascii="Times New Roman" w:hAnsi="Times New Roman"/>
          <w:i/>
          <w:sz w:val="20"/>
        </w:rPr>
      </w:pPr>
      <w:r>
        <w:rPr>
          <w:rFonts w:ascii="Times New Roman" w:hAnsi="Times New Roman"/>
          <w:i/>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Adjusted EBITDA is calculated as Net loss, adjusted for listing expense, fair value change of earn out rights, fair value change of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 </w:t>
      </w:r>
    </w:p>
    <w:p>
      <w:pPr>
        <w:pStyle w:val="TextBody"/>
        <w:spacing w:before="360" w:after="0"/>
        <w:jc w:val="left"/>
        <w:rPr>
          <w:rFonts w:ascii="Times New Roman" w:hAnsi="Times New Roman"/>
          <w:i/>
          <w:sz w:val="20"/>
        </w:rPr>
      </w:pPr>
      <w:r>
        <w:rPr>
          <w:rFonts w:ascii="Times New Roman" w:hAnsi="Times New Roman"/>
          <w:i/>
          <w:sz w:val="20"/>
        </w:rPr>
        <w:t xml:space="preserve">Adjusted Net Loss </w:t>
      </w:r>
    </w:p>
    <w:p>
      <w:pPr>
        <w:pStyle w:val="TextBody"/>
        <w:spacing w:before="120" w:after="0"/>
        <w:jc w:val="left"/>
        <w:rPr>
          <w:rFonts w:ascii="Times New Roman" w:hAnsi="Times New Roman"/>
          <w:sz w:val="20"/>
        </w:rPr>
      </w:pPr>
      <w:r>
        <w:rPr>
          <w:rFonts w:ascii="Times New Roman" w:hAnsi="Times New Roman"/>
          <w:sz w:val="20"/>
        </w:rPr>
        <w:t xml:space="preserve">Adjusted net loss is calculated as Net loss, adjusted to exclude listing expense, fair value change of earn out rights, and fair value change of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 </w:t>
      </w:r>
    </w:p>
    <w:p>
      <w:pPr>
        <w:pStyle w:val="TextBody"/>
        <w:spacing w:before="360" w:after="0"/>
        <w:jc w:val="left"/>
        <w:rPr>
          <w:rFonts w:ascii="Times New Roman" w:hAnsi="Times New Roman"/>
          <w:i/>
          <w:sz w:val="20"/>
        </w:rPr>
      </w:pPr>
      <w:r>
        <w:rPr>
          <w:rFonts w:ascii="Times New Roman" w:hAnsi="Times New Roman"/>
          <w:i/>
          <w:sz w:val="20"/>
        </w:rPr>
        <w:t xml:space="preserve">Free Cash Flow </w:t>
      </w:r>
    </w:p>
    <w:p>
      <w:pPr>
        <w:pStyle w:val="TextBody"/>
        <w:spacing w:before="120" w:after="0"/>
        <w:jc w:val="left"/>
        <w:rPr>
          <w:rFonts w:ascii="Times New Roman" w:hAnsi="Times New Roman"/>
          <w:sz w:val="20"/>
        </w:rPr>
      </w:pPr>
      <w:r>
        <w:rPr>
          <w:rFonts w:ascii="Times New Roman" w:hAnsi="Times New Roman"/>
          <w:sz w:val="20"/>
        </w:rPr>
        <w:t xml:space="preserve">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 </w:t>
      </w:r>
    </w:p>
    <w:p>
      <w:pPr>
        <w:pStyle w:val="TextBody"/>
        <w:spacing w:before="36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spacing w:before="12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0" w:after="0"/>
        <w:jc w:val="left"/>
        <w:rPr/>
      </w:pPr>
      <w:r>
        <w:rPr/>
        <w:t> </w:t>
      </w:r>
    </w:p>
    <w:tbl>
      <w:tblPr>
        <w:tblW w:w="5825" w:type="dxa"/>
        <w:jc w:val="left"/>
        <w:tblInd w:w="0" w:type="dxa"/>
        <w:tblCellMar>
          <w:top w:w="0" w:type="dxa"/>
          <w:left w:w="0" w:type="dxa"/>
          <w:bottom w:w="0" w:type="dxa"/>
          <w:right w:w="0" w:type="dxa"/>
        </w:tblCellMar>
      </w:tblPr>
      <w:tblGrid>
        <w:gridCol w:w="2000"/>
        <w:gridCol w:w="120"/>
        <w:gridCol w:w="60"/>
        <w:gridCol w:w="1055"/>
        <w:gridCol w:w="155"/>
        <w:gridCol w:w="120"/>
        <w:gridCol w:w="60"/>
        <w:gridCol w:w="875"/>
        <w:gridCol w:w="155"/>
        <w:gridCol w:w="120"/>
        <w:gridCol w:w="60"/>
        <w:gridCol w:w="875"/>
        <w:gridCol w:w="170"/>
      </w:tblGrid>
      <w:tr>
        <w:trPr/>
        <w:tc>
          <w:tcPr>
            <w:tcW w:w="2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5" w:type="dxa"/>
            <w:gridSpan w:val="10"/>
            <w:tcBorders/>
            <w:shd w:fill="auto" w:val="cle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1225" w:type="dxa"/>
            <w:gridSpan w:val="4"/>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(1,286,280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(994,839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(440,488</w:t>
            </w:r>
          </w:p>
        </w:tc>
        <w:tc>
          <w:tcPr>
            <w:tcW w:w="170" w:type="dxa"/>
            <w:tcBorders/>
            <w:shd w:fill="CCEEFF"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372,318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Adjusted operating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b/>
              </w:rPr>
            </w:pPr>
            <w:r>
              <w:rPr>
                <w:b/>
              </w:rPr>
              <w:t>(913,962</w:t>
            </w:r>
          </w:p>
        </w:tc>
        <w:tc>
          <w:tcPr>
            <w:tcW w:w="155" w:type="dxa"/>
            <w:tcBorders/>
            <w:shd w:fill="CCEEFF" w:val="clear"/>
            <w:vAlign w:val="center"/>
          </w:tcPr>
          <w:p>
            <w:pPr>
              <w:pStyle w:val="TableContents"/>
              <w:spacing w:before="0" w:after="283"/>
              <w:rPr>
                <w:b/>
              </w:rPr>
            </w:pPr>
            <w:r>
              <w:rPr>
                <w:b/>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b/>
              </w:rPr>
            </w:pPr>
            <w:r>
              <w:rPr>
                <w:b/>
              </w:rPr>
              <w:t>(994,839</w:t>
            </w:r>
          </w:p>
        </w:tc>
        <w:tc>
          <w:tcPr>
            <w:tcW w:w="155" w:type="dxa"/>
            <w:tcBorders/>
            <w:shd w:fill="CCEEFF" w:val="clear"/>
            <w:vAlign w:val="center"/>
          </w:tcPr>
          <w:p>
            <w:pPr>
              <w:pStyle w:val="TableContents"/>
              <w:spacing w:before="0" w:after="283"/>
              <w:rPr>
                <w:b/>
              </w:rPr>
            </w:pPr>
            <w:r>
              <w:rPr>
                <w:b/>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b/>
              </w:rPr>
            </w:pPr>
            <w:r>
              <w:rPr>
                <w:b/>
              </w:rPr>
              <w:t>(440,488</w:t>
            </w:r>
          </w:p>
        </w:tc>
        <w:tc>
          <w:tcPr>
            <w:tcW w:w="170" w:type="dxa"/>
            <w:tcBorders/>
            <w:shd w:fill="CCEEFF" w:val="clear"/>
            <w:vAlign w:val="center"/>
          </w:tcPr>
          <w:p>
            <w:pPr>
              <w:pStyle w:val="TableContents"/>
              <w:spacing w:before="0" w:after="283"/>
              <w:rPr>
                <w:b/>
              </w:rPr>
            </w:pPr>
            <w:r>
              <w:rPr>
                <w:b/>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Adjusted EBITDA </w:t>
      </w:r>
    </w:p>
    <w:p>
      <w:pPr>
        <w:pStyle w:val="TextBody"/>
        <w:spacing w:before="0" w:after="0"/>
        <w:jc w:val="left"/>
        <w:rPr/>
      </w:pPr>
      <w:r>
        <w:rPr/>
        <w:t> </w:t>
      </w:r>
    </w:p>
    <w:tbl>
      <w:tblPr>
        <w:tblW w:w="6695" w:type="dxa"/>
        <w:jc w:val="left"/>
        <w:tblInd w:w="0" w:type="dxa"/>
        <w:tblCellMar>
          <w:top w:w="0" w:type="dxa"/>
          <w:left w:w="0" w:type="dxa"/>
          <w:bottom w:w="0" w:type="dxa"/>
          <w:right w:w="0" w:type="dxa"/>
        </w:tblCellMar>
      </w:tblPr>
      <w:tblGrid>
        <w:gridCol w:w="2870"/>
        <w:gridCol w:w="120"/>
        <w:gridCol w:w="60"/>
        <w:gridCol w:w="875"/>
        <w:gridCol w:w="155"/>
        <w:gridCol w:w="120"/>
        <w:gridCol w:w="60"/>
        <w:gridCol w:w="1055"/>
        <w:gridCol w:w="155"/>
        <w:gridCol w:w="120"/>
        <w:gridCol w:w="60"/>
        <w:gridCol w:w="875"/>
        <w:gridCol w:w="170"/>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5" w:type="dxa"/>
            <w:gridSpan w:val="10"/>
            <w:tcBorders/>
            <w:shd w:fill="auto" w:val="cle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22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(465,789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(1,007,454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(484,858</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372,318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Fair value change—Earn out rights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(902,068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Fair value change—Class C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(35,090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(7,658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(3,199</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expenses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77,510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44,859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26,501</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16,784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336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13,535</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158,392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239,163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216,076</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Adjusted EBITDA</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b/>
              </w:rPr>
            </w:pPr>
            <w:r>
              <w:rPr>
                <w:b/>
              </w:rPr>
              <w:t>(785,601</w:t>
            </w:r>
          </w:p>
        </w:tc>
        <w:tc>
          <w:tcPr>
            <w:tcW w:w="155" w:type="dxa"/>
            <w:tcBorders/>
            <w:shd w:fill="CCEEFF" w:val="clear"/>
            <w:vAlign w:val="center"/>
          </w:tcPr>
          <w:p>
            <w:pPr>
              <w:pStyle w:val="TableContents"/>
              <w:spacing w:before="0" w:after="283"/>
              <w:rPr>
                <w:b/>
              </w:rPr>
            </w:pPr>
            <w:r>
              <w:rPr>
                <w:b/>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b/>
              </w:rPr>
            </w:pPr>
            <w:r>
              <w:rPr>
                <w:b/>
              </w:rPr>
              <w:t>(724,492</w:t>
            </w:r>
          </w:p>
        </w:tc>
        <w:tc>
          <w:tcPr>
            <w:tcW w:w="155" w:type="dxa"/>
            <w:tcBorders/>
            <w:shd w:fill="CCEEFF" w:val="clear"/>
            <w:vAlign w:val="center"/>
          </w:tcPr>
          <w:p>
            <w:pPr>
              <w:pStyle w:val="TableContents"/>
              <w:spacing w:before="0" w:after="283"/>
              <w:rPr>
                <w:b/>
              </w:rPr>
            </w:pPr>
            <w:r>
              <w:rPr>
                <w:b/>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b/>
              </w:rPr>
            </w:pPr>
            <w:r>
              <w:rPr>
                <w:b/>
              </w:rPr>
              <w:t>(231,945</w:t>
            </w:r>
          </w:p>
        </w:tc>
        <w:tc>
          <w:tcPr>
            <w:tcW w:w="170" w:type="dxa"/>
            <w:tcBorders/>
            <w:shd w:fill="CCEEFF" w:val="clear"/>
            <w:vAlign w:val="center"/>
          </w:tcPr>
          <w:p>
            <w:pPr>
              <w:pStyle w:val="TableContents"/>
              <w:spacing w:before="0" w:after="283"/>
              <w:rPr>
                <w:b/>
              </w:rPr>
            </w:pPr>
            <w:r>
              <w:rPr>
                <w:b/>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Adjusted Net Loss </w:t>
      </w:r>
    </w:p>
    <w:p>
      <w:pPr>
        <w:pStyle w:val="TextBody"/>
        <w:spacing w:before="0" w:after="0"/>
        <w:jc w:val="left"/>
        <w:rPr/>
      </w:pPr>
      <w:r>
        <w:rPr/>
        <w:t> </w:t>
      </w:r>
    </w:p>
    <w:tbl>
      <w:tblPr>
        <w:tblW w:w="6875" w:type="dxa"/>
        <w:jc w:val="left"/>
        <w:tblInd w:w="0" w:type="dxa"/>
        <w:tblCellMar>
          <w:top w:w="0" w:type="dxa"/>
          <w:left w:w="0" w:type="dxa"/>
          <w:bottom w:w="0" w:type="dxa"/>
          <w:right w:w="0" w:type="dxa"/>
        </w:tblCellMar>
      </w:tblPr>
      <w:tblGrid>
        <w:gridCol w:w="2870"/>
        <w:gridCol w:w="120"/>
        <w:gridCol w:w="60"/>
        <w:gridCol w:w="1055"/>
        <w:gridCol w:w="155"/>
        <w:gridCol w:w="120"/>
        <w:gridCol w:w="60"/>
        <w:gridCol w:w="1055"/>
        <w:gridCol w:w="155"/>
        <w:gridCol w:w="120"/>
        <w:gridCol w:w="60"/>
        <w:gridCol w:w="875"/>
        <w:gridCol w:w="170"/>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15" w:type="dxa"/>
            <w:gridSpan w:val="10"/>
            <w:tcBorders/>
            <w:shd w:fill="auto" w:val="cle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22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(465,789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(1,007,454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(484,858</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372,318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Fair value change—Earn out rights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(902,068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Fair value change—Class C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(35,090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Adjusted 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b/>
              </w:rPr>
            </w:pPr>
            <w:r>
              <w:rPr>
                <w:b/>
              </w:rPr>
              <w:t>(1,030,629</w:t>
            </w:r>
          </w:p>
        </w:tc>
        <w:tc>
          <w:tcPr>
            <w:tcW w:w="155" w:type="dxa"/>
            <w:tcBorders/>
            <w:shd w:fill="CCEEFF" w:val="clear"/>
            <w:vAlign w:val="center"/>
          </w:tcPr>
          <w:p>
            <w:pPr>
              <w:pStyle w:val="TableContents"/>
              <w:spacing w:before="0" w:after="283"/>
              <w:rPr>
                <w:b/>
              </w:rPr>
            </w:pPr>
            <w:r>
              <w:rPr>
                <w:b/>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b/>
              </w:rPr>
            </w:pPr>
            <w:r>
              <w:rPr>
                <w:b/>
              </w:rPr>
              <w:t>(1,007,454</w:t>
            </w:r>
          </w:p>
        </w:tc>
        <w:tc>
          <w:tcPr>
            <w:tcW w:w="155" w:type="dxa"/>
            <w:tcBorders/>
            <w:shd w:fill="CCEEFF" w:val="clear"/>
            <w:vAlign w:val="center"/>
          </w:tcPr>
          <w:p>
            <w:pPr>
              <w:pStyle w:val="TableContents"/>
              <w:spacing w:before="0" w:after="283"/>
              <w:rPr>
                <w:b/>
              </w:rPr>
            </w:pPr>
            <w:r>
              <w:rPr>
                <w:b/>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b/>
              </w:rPr>
            </w:pPr>
            <w:r>
              <w:rPr>
                <w:b/>
              </w:rPr>
              <w:t>(484,858</w:t>
            </w:r>
          </w:p>
        </w:tc>
        <w:tc>
          <w:tcPr>
            <w:tcW w:w="170" w:type="dxa"/>
            <w:tcBorders/>
            <w:shd w:fill="CCEEFF" w:val="clear"/>
            <w:vAlign w:val="center"/>
          </w:tcPr>
          <w:p>
            <w:pPr>
              <w:pStyle w:val="TableContents"/>
              <w:spacing w:before="0" w:after="283"/>
              <w:rPr>
                <w:b/>
              </w:rPr>
            </w:pPr>
            <w:r>
              <w:rPr>
                <w:b/>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Free Cash Flow </w:t>
      </w:r>
    </w:p>
    <w:p>
      <w:pPr>
        <w:pStyle w:val="TextBody"/>
        <w:spacing w:before="0" w:after="0"/>
        <w:jc w:val="left"/>
        <w:rPr/>
      </w:pPr>
      <w:r>
        <w:rPr/>
        <w:t> </w:t>
      </w:r>
    </w:p>
    <w:tbl>
      <w:tblPr>
        <w:tblW w:w="7385" w:type="dxa"/>
        <w:jc w:val="left"/>
        <w:tblInd w:w="0" w:type="dxa"/>
        <w:tblCellMar>
          <w:top w:w="0" w:type="dxa"/>
          <w:left w:w="0" w:type="dxa"/>
          <w:bottom w:w="0" w:type="dxa"/>
          <w:right w:w="0" w:type="dxa"/>
        </w:tblCellMar>
      </w:tblPr>
      <w:tblGrid>
        <w:gridCol w:w="3560"/>
        <w:gridCol w:w="120"/>
        <w:gridCol w:w="60"/>
        <w:gridCol w:w="1055"/>
        <w:gridCol w:w="155"/>
        <w:gridCol w:w="120"/>
        <w:gridCol w:w="60"/>
        <w:gridCol w:w="875"/>
        <w:gridCol w:w="155"/>
        <w:gridCol w:w="120"/>
        <w:gridCol w:w="60"/>
        <w:gridCol w:w="875"/>
        <w:gridCol w:w="170"/>
      </w:tblGrid>
      <w:tr>
        <w:trPr/>
        <w:tc>
          <w:tcPr>
            <w:tcW w:w="3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5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5" w:type="dxa"/>
            <w:gridSpan w:val="10"/>
            <w:tcBorders/>
            <w:shd w:fill="auto" w:val="cle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3560" w:type="dxa"/>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210" w:type="dxa"/>
            <w:gridSpan w:val="4"/>
            <w:tcBorders/>
            <w:shd w:fill="auto" w:val="clear"/>
            <w:vAlign w:val="center"/>
          </w:tcPr>
          <w:p>
            <w:pPr>
              <w:pStyle w:val="TableContents"/>
              <w:spacing w:before="0" w:after="283"/>
              <w:rPr>
                <w:sz w:val="4"/>
                <w:szCs w:val="4"/>
              </w:rPr>
            </w:pPr>
            <w:r>
              <w:rPr>
                <w:sz w:val="4"/>
                <w:szCs w:val="4"/>
              </w:rPr>
            </w:r>
          </w:p>
        </w:tc>
        <w:tc>
          <w:tcPr>
            <w:tcW w:w="1225" w:type="dxa"/>
            <w:gridSpan w:val="4"/>
            <w:tcBorders/>
            <w:shd w:fill="auto" w:val="clear"/>
            <w:vAlign w:val="center"/>
          </w:tcPr>
          <w:p>
            <w:pPr>
              <w:pStyle w:val="TableContents"/>
              <w:spacing w:before="0" w:after="283"/>
              <w:rPr>
                <w:sz w:val="4"/>
                <w:szCs w:val="4"/>
              </w:rPr>
            </w:pPr>
            <w:r>
              <w:rPr>
                <w:sz w:val="4"/>
                <w:szCs w:val="4"/>
              </w:rPr>
            </w:r>
          </w:p>
        </w:tc>
      </w:tr>
      <w:tr>
        <w:trPr/>
        <w:tc>
          <w:tcPr>
            <w:tcW w:w="35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35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used for operating activities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(1,083,423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(312,156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(57,050</w:t>
            </w:r>
          </w:p>
        </w:tc>
        <w:tc>
          <w:tcPr>
            <w:tcW w:w="170" w:type="dxa"/>
            <w:tcBorders/>
            <w:shd w:fill="CCEEFF" w:val="clear"/>
            <w:vAlign w:val="center"/>
          </w:tcPr>
          <w:p>
            <w:pPr>
              <w:pStyle w:val="TableContents"/>
              <w:spacing w:before="0" w:after="283"/>
              <w:rPr/>
            </w:pPr>
            <w:r>
              <w:rPr/>
              <w:t>) </w:t>
            </w:r>
          </w:p>
        </w:tc>
      </w:tr>
      <w:tr>
        <w:trPr/>
        <w:tc>
          <w:tcPr>
            <w:tcW w:w="35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(32,269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(24,701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(49,599</w:t>
            </w:r>
          </w:p>
        </w:tc>
        <w:tc>
          <w:tcPr>
            <w:tcW w:w="170" w:type="dxa"/>
            <w:tcBorders/>
            <w:shd w:fill="auto" w:val="clear"/>
            <w:vAlign w:val="center"/>
          </w:tcPr>
          <w:p>
            <w:pPr>
              <w:pStyle w:val="TableContents"/>
              <w:spacing w:before="0" w:after="283"/>
              <w:rPr/>
            </w:pPr>
            <w:r>
              <w:rPr/>
              <w:t>) </w:t>
            </w:r>
          </w:p>
        </w:tc>
      </w:tr>
      <w:tr>
        <w:trPr/>
        <w:tc>
          <w:tcPr>
            <w:tcW w:w="35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(681,204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(104,971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(194,108</w:t>
            </w:r>
          </w:p>
        </w:tc>
        <w:tc>
          <w:tcPr>
            <w:tcW w:w="170" w:type="dxa"/>
            <w:tcBorders/>
            <w:shd w:fill="CCEEFF" w:val="clear"/>
            <w:vAlign w:val="center"/>
          </w:tcPr>
          <w:p>
            <w:pPr>
              <w:pStyle w:val="TableContents"/>
              <w:spacing w:before="0" w:after="283"/>
              <w:rPr/>
            </w:pPr>
            <w:r>
              <w:rPr/>
              <w:t>) </w:t>
            </w:r>
          </w:p>
        </w:tc>
      </w:tr>
      <w:tr>
        <w:trPr/>
        <w:tc>
          <w:tcPr>
            <w:tcW w:w="35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Free cash flow</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b/>
              </w:rPr>
            </w:pPr>
            <w:r>
              <w:rPr>
                <w:b/>
              </w:rPr>
              <w:t>(1,796,896</w:t>
            </w:r>
          </w:p>
        </w:tc>
        <w:tc>
          <w:tcPr>
            <w:tcW w:w="155" w:type="dxa"/>
            <w:tcBorders/>
            <w:shd w:fill="auto" w:val="clear"/>
            <w:vAlign w:val="center"/>
          </w:tcPr>
          <w:p>
            <w:pPr>
              <w:pStyle w:val="TableContents"/>
              <w:spacing w:before="0" w:after="283"/>
              <w:rPr>
                <w:b/>
              </w:rPr>
            </w:pPr>
            <w:r>
              <w:rPr>
                <w:b/>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b/>
              </w:rPr>
            </w:pPr>
            <w:r>
              <w:rPr>
                <w:b/>
              </w:rPr>
              <w:t>(441,828</w:t>
            </w:r>
          </w:p>
        </w:tc>
        <w:tc>
          <w:tcPr>
            <w:tcW w:w="155" w:type="dxa"/>
            <w:tcBorders/>
            <w:shd w:fill="auto" w:val="clear"/>
            <w:vAlign w:val="center"/>
          </w:tcPr>
          <w:p>
            <w:pPr>
              <w:pStyle w:val="TableContents"/>
              <w:spacing w:before="0" w:after="283"/>
              <w:rPr>
                <w:b/>
              </w:rPr>
            </w:pPr>
            <w:r>
              <w:rPr>
                <w:b/>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b/>
              </w:rPr>
            </w:pPr>
            <w:r>
              <w:rPr>
                <w:b/>
              </w:rPr>
              <w:t>(300,757</w:t>
            </w:r>
          </w:p>
        </w:tc>
        <w:tc>
          <w:tcPr>
            <w:tcW w:w="170" w:type="dxa"/>
            <w:tcBorders/>
            <w:shd w:fill="auto" w:val="clear"/>
            <w:vAlign w:val="center"/>
          </w:tcPr>
          <w:p>
            <w:pPr>
              <w:pStyle w:val="TableContents"/>
              <w:spacing w:before="0" w:after="283"/>
              <w:rPr>
                <w:b/>
              </w:rPr>
            </w:pPr>
            <w:r>
              <w:rPr>
                <w:b/>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Research and Development, Patents and Licenses, etc. </w:t>
      </w:r>
    </w:p>
    <w:p>
      <w:pPr>
        <w:pStyle w:val="TextBody"/>
        <w:spacing w:before="120" w:after="0"/>
        <w:jc w:val="left"/>
        <w:rPr>
          <w:rFonts w:ascii="Times New Roman" w:hAnsi="Times New Roman"/>
          <w:sz w:val="20"/>
        </w:rPr>
      </w:pPr>
      <w:r>
        <w:rPr>
          <w:rFonts w:ascii="Times New Roman" w:hAnsi="Times New Roman"/>
          <w:sz w:val="20"/>
        </w:rPr>
        <w:t xml:space="preserve">Full details of our research and development activities and expenditures are given under the description of the “Research and development expenses” in “Results of operations” within this “Operating and Financial Review and Prospects” section. </w:t>
      </w:r>
    </w:p>
    <w:p>
      <w:pPr>
        <w:pStyle w:val="TextBody"/>
        <w:spacing w:before="360" w:after="0"/>
        <w:jc w:val="left"/>
        <w:rPr>
          <w:rFonts w:ascii="Times New Roman" w:hAnsi="Times New Roman"/>
          <w:b/>
          <w:sz w:val="20"/>
        </w:rPr>
      </w:pPr>
      <w:r>
        <w:rPr>
          <w:rFonts w:ascii="Times New Roman" w:hAnsi="Times New Roman"/>
          <w:b/>
          <w:sz w:val="20"/>
        </w:rPr>
        <w:t xml:space="preserve">Trend information </w:t>
      </w:r>
    </w:p>
    <w:p>
      <w:pPr>
        <w:pStyle w:val="TextBody"/>
        <w:spacing w:before="120" w:after="0"/>
        <w:jc w:val="left"/>
        <w:rPr>
          <w:rFonts w:ascii="Times New Roman" w:hAnsi="Times New Roman"/>
          <w:sz w:val="20"/>
        </w:rPr>
      </w:pPr>
      <w:r>
        <w:rPr>
          <w:rFonts w:ascii="Times New Roman" w:hAnsi="Times New Roman"/>
          <w:sz w:val="20"/>
        </w:rPr>
        <w:t xml:space="preserve">Other than what is disclosed elsewhere in this prospectus, Polestar is not aware of any trends, uncertainties, demands, commitments, or events for the year ended December 31, 2022, that would reasonably be likely to have a material and adverse effect on revenues, income, profitability, liquidity, or capital resources or that would cause the disclosed financial information to be not necessarily indicative of future operating results or financial condition. </w:t>
      </w:r>
    </w:p>
    <w:p>
      <w:pPr>
        <w:pStyle w:val="TextBody"/>
        <w:spacing w:before="240" w:after="0"/>
        <w:jc w:val="left"/>
        <w:rPr>
          <w:rFonts w:ascii="Times New Roman" w:hAnsi="Times New Roman"/>
          <w:sz w:val="20"/>
        </w:rPr>
      </w:pPr>
      <w:r>
        <w:rPr>
          <w:rFonts w:ascii="Times New Roman" w:hAnsi="Times New Roman"/>
          <w:sz w:val="20"/>
        </w:rPr>
        <w:t xml:space="preserve">Please refer to “Key factors affecting operations” within this “Operating and Financial Review and Prospects” section for a discussion of known trends, uncertainties, demands, commitments, or events that are reasonably likely to have a material effect on revenues, income, profitability, liquidity, or capital resources that would cause the disclosed financial information to be not necessarily indicative of future operating results or financial condition. </w:t>
      </w:r>
    </w:p>
    <w:p>
      <w:pPr>
        <w:pStyle w:val="TextBody"/>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spacing w:before="120" w:after="0"/>
        <w:jc w:val="left"/>
        <w:rPr>
          <w:rFonts w:ascii="Times New Roman" w:hAnsi="Times New Roman"/>
          <w:sz w:val="20"/>
        </w:rPr>
      </w:pPr>
      <w:r>
        <w:rPr>
          <w:rFonts w:ascii="Times New Roman" w:hAnsi="Times New Roman"/>
          <w:sz w:val="20"/>
        </w:rPr>
        <w:t xml:space="preserve">Polestar prepares its Consolidated Financial Statements in accordance with the IFRS issued by the IASB.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 </w:t>
      </w:r>
    </w:p>
    <w:p>
      <w:pPr>
        <w:pStyle w:val="TextBody"/>
        <w:spacing w:before="240" w:after="0"/>
        <w:jc w:val="left"/>
        <w:rPr>
          <w:rFonts w:ascii="Times New Roman" w:hAnsi="Times New Roman"/>
          <w:sz w:val="20"/>
        </w:rPr>
      </w:pPr>
      <w:r>
        <w:rPr>
          <w:rFonts w:ascii="Times New Roman" w:hAnsi="Times New Roman"/>
          <w:sz w:val="20"/>
        </w:rPr>
        <w:t xml:space="preserve">Refer to “Note 1—Significant accounting policies and judgements”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Revenue recognition—determining the transaction price of performance obligations included with sales of vehicles and variable consideration for volume related discounts to fleet customers </w:t>
      </w:r>
    </w:p>
    <w:p>
      <w:pPr>
        <w:pStyle w:val="TextBody"/>
        <w:spacing w:before="120" w:after="0"/>
        <w:jc w:val="left"/>
        <w:rPr>
          <w:rFonts w:ascii="Times New Roman" w:hAnsi="Times New Roman"/>
          <w:sz w:val="20"/>
        </w:rPr>
      </w:pPr>
      <w:r>
        <w:rPr>
          <w:rFonts w:ascii="Times New Roman" w:hAnsi="Times New Roman"/>
          <w:sz w:val="20"/>
        </w:rPr>
        <w:t xml:space="preserve">Included with the sale of each Polestar vehicle are stand-ready obligations for the provision of certain services and maintenance (e.g., connected services and certified vehicle maintenance). Polestar utilizes an 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 (i) the vehicle represents the most valuable component of the contract, (ii) Polestar’s vehicles are not sold on a stand-alone basis such that an established price exists separate from the Services and Maintenance and (iii) there is wide variation in market price among the limited competitors in this new space. The estimated transaction price allocated to each stand-ready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2022 was related to transaction price allocated using the residual approach.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 </w:t>
      </w:r>
    </w:p>
    <w:p>
      <w:pPr>
        <w:pStyle w:val="TextBody"/>
        <w:spacing w:before="240" w:after="0"/>
        <w:jc w:val="left"/>
        <w:rPr>
          <w:rFonts w:ascii="Times New Roman" w:hAnsi="Times New Roman"/>
          <w:sz w:val="20"/>
        </w:rPr>
      </w:pPr>
      <w:r>
        <w:rPr>
          <w:rFonts w:ascii="Times New Roman" w:hAnsi="Times New Roman"/>
          <w:sz w:val="20"/>
        </w:rPr>
        <w:t xml:space="preserve">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 </w:t>
      </w:r>
    </w:p>
    <w:p>
      <w:pPr>
        <w:pStyle w:val="TextBody"/>
        <w:spacing w:before="360" w:after="0"/>
        <w:jc w:val="left"/>
        <w:rPr>
          <w:rFonts w:ascii="Times New Roman" w:hAnsi="Times New Roman"/>
          <w:i/>
          <w:sz w:val="20"/>
        </w:rPr>
      </w:pPr>
      <w:r>
        <w:rPr>
          <w:rFonts w:ascii="Times New Roman" w:hAnsi="Times New Roman"/>
          <w:i/>
          <w:sz w:val="20"/>
        </w:rPr>
        <w:t xml:space="preserve">Intangible assets—capitalizing internally developed intellectual property and determining the useful lives </w:t>
      </w:r>
    </w:p>
    <w:p>
      <w:pPr>
        <w:pStyle w:val="TextBody"/>
        <w:spacing w:before="120" w:after="0"/>
        <w:jc w:val="left"/>
        <w:rPr>
          <w:rFonts w:ascii="Times New Roman" w:hAnsi="Times New Roman"/>
          <w:sz w:val="20"/>
        </w:rPr>
      </w:pPr>
      <w:r>
        <w:rPr>
          <w:rFonts w:ascii="Times New Roman" w:hAnsi="Times New Roman"/>
          <w:sz w:val="20"/>
        </w:rPr>
        <w:t xml:space="preserve">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 </w:t>
      </w:r>
    </w:p>
    <w:p>
      <w:pPr>
        <w:pStyle w:val="TextBody"/>
        <w:spacing w:before="240" w:after="0"/>
        <w:jc w:val="left"/>
        <w:rPr>
          <w:rFonts w:ascii="Times New Roman" w:hAnsi="Times New Roman"/>
          <w:sz w:val="20"/>
        </w:rPr>
      </w:pPr>
      <w:r>
        <w:rPr>
          <w:rFonts w:ascii="Times New Roman" w:hAnsi="Times New Roman"/>
          <w:sz w:val="20"/>
        </w:rPr>
        <w:t xml:space="preserve">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 </w:t>
      </w:r>
    </w:p>
    <w:p>
      <w:pPr>
        <w:pStyle w:val="TextBody"/>
        <w:spacing w:before="360" w:after="0"/>
        <w:jc w:val="left"/>
        <w:rPr>
          <w:rFonts w:ascii="Times New Roman" w:hAnsi="Times New Roman"/>
          <w:i/>
          <w:sz w:val="20"/>
        </w:rPr>
      </w:pPr>
      <w:r>
        <w:rPr>
          <w:rFonts w:ascii="Times New Roman" w:hAnsi="Times New Roman"/>
          <w:i/>
          <w:sz w:val="20"/>
        </w:rPr>
        <w:t xml:space="preserve">Impairment testing </w:t>
      </w:r>
    </w:p>
    <w:p>
      <w:pPr>
        <w:pStyle w:val="TextBody"/>
        <w:spacing w:before="120" w:after="0"/>
        <w:jc w:val="left"/>
        <w:rPr>
          <w:rFonts w:ascii="Times New Roman" w:hAnsi="Times New Roman"/>
          <w:sz w:val="20"/>
        </w:rPr>
      </w:pPr>
      <w:r>
        <w:rPr>
          <w:rFonts w:ascii="Times New Roman" w:hAnsi="Times New Roman"/>
          <w:sz w:val="20"/>
        </w:rPr>
        <w:t xml:space="preserve">Polestar conducts routine evaluations of intangible assets and goodwill for evidence of impairment indicators. At least annually and when impairment indicators exist, Polestar conducts an impairment test at the cash generating unit level (Polestar Group constitutes a single CGU). The recoverable amount for cash generating units is established through a calculation of value in use under a discounted future cash flow model that uses significant estimations regarding future cash flows as seen in the 2023-2027 business plan, a terminal growth rate of 2.0% for cash flows through the next ten years, and an after-tax discount rate of 14.0%.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Valuation of loss carry-forwards </w:t>
      </w:r>
    </w:p>
    <w:p>
      <w:pPr>
        <w:pStyle w:val="TextBody"/>
        <w:spacing w:before="120" w:after="0"/>
        <w:jc w:val="left"/>
        <w:rPr>
          <w:rFonts w:ascii="Times New Roman" w:hAnsi="Times New Roman"/>
          <w:sz w:val="20"/>
        </w:rPr>
      </w:pPr>
      <w:r>
        <w:rPr>
          <w:rFonts w:ascii="Times New Roman" w:hAnsi="Times New Roman"/>
          <w:sz w:val="20"/>
        </w:rPr>
        <w:t xml:space="preserve">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 </w:t>
      </w:r>
    </w:p>
    <w:p>
      <w:pPr>
        <w:pStyle w:val="TextBody"/>
        <w:spacing w:before="360" w:after="0"/>
        <w:jc w:val="left"/>
        <w:rPr>
          <w:rFonts w:ascii="Times New Roman" w:hAnsi="Times New Roman"/>
          <w:i/>
          <w:sz w:val="20"/>
        </w:rPr>
      </w:pPr>
      <w:r>
        <w:rPr>
          <w:rFonts w:ascii="Times New Roman" w:hAnsi="Times New Roman"/>
          <w:i/>
          <w:sz w:val="20"/>
        </w:rPr>
        <w:t xml:space="preserve">Fair value measurement—methodologies for measuring the fair value of the financial liabilities related to the Class C-2 Shares and the contingent earn out rights </w:t>
      </w:r>
    </w:p>
    <w:p>
      <w:pPr>
        <w:pStyle w:val="TextBody"/>
        <w:spacing w:before="120" w:after="0"/>
        <w:jc w:val="left"/>
        <w:rPr>
          <w:rFonts w:ascii="Times New Roman" w:hAnsi="Times New Roman"/>
          <w:sz w:val="20"/>
        </w:rPr>
      </w:pPr>
      <w:r>
        <w:rPr>
          <w:rFonts w:ascii="Times New Roman" w:hAnsi="Times New Roman"/>
          <w:sz w:val="20"/>
        </w:rPr>
        <w:t xml:space="preserve">The Class C-2 Shares and the contingent earn 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w:t>
      </w:r>
    </w:p>
    <w:p>
      <w:pPr>
        <w:pStyle w:val="TextBody"/>
        <w:spacing w:before="240" w:after="0"/>
        <w:jc w:val="left"/>
        <w:rPr>
          <w:rFonts w:ascii="Times New Roman" w:hAnsi="Times New Roman"/>
          <w:sz w:val="20"/>
        </w:rPr>
      </w:pPr>
      <w:r>
        <w:rPr>
          <w:rFonts w:ascii="Times New Roman" w:hAnsi="Times New Roman"/>
          <w:sz w:val="20"/>
        </w:rPr>
        <w:t xml:space="preserve">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 </w:t>
      </w:r>
    </w:p>
    <w:p>
      <w:pPr>
        <w:pStyle w:val="TextBody"/>
        <w:spacing w:before="240" w:after="0"/>
        <w:jc w:val="left"/>
        <w:rPr>
          <w:rFonts w:ascii="Times New Roman" w:hAnsi="Times New Roman"/>
          <w:sz w:val="20"/>
        </w:rPr>
      </w:pPr>
      <w:r>
        <w:rPr>
          <w:rFonts w:ascii="Times New Roman" w:hAnsi="Times New Roman"/>
          <w:sz w:val="20"/>
        </w:rPr>
        <w:t xml:space="preserve">The fair value of the financial liability for the earn out rights is measured using a Monte Carlo simulation. The inputs for this valuation technique include (1) the remaining term of the instrument, (2) the five earn 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 </w:t>
      </w:r>
    </w:p>
    <w:p>
      <w:pPr>
        <w:pStyle w:val="TextBody"/>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spacing w:before="120" w:after="0"/>
        <w:jc w:val="left"/>
        <w:rPr>
          <w:rFonts w:ascii="Times New Roman" w:hAnsi="Times New Roman"/>
          <w:sz w:val="20"/>
        </w:rPr>
      </w:pPr>
      <w:r>
        <w:rPr>
          <w:rFonts w:ascii="Times New Roman" w:hAnsi="Times New Roman"/>
          <w:sz w:val="20"/>
        </w:rPr>
        <w:t xml:space="preserve">Certain new accounting standards and interpretations have been issued by the IASB but are not yet effective for the December 31, 2022 reporting period and have not been early adopted by the Polestar Group. These standards are not expected to have a material impact on Polestar’s Consolidated Financial Statements in current or future reporting periods. Refer to “Note 1—Significant accounting policies and judgements” in the accompanying Consolidated Financial Statements for information on the new standards. </w:t>
      </w:r>
    </w:p>
    <w:p>
      <w:pPr>
        <w:pStyle w:val="TextBody"/>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spacing w:before="120" w:after="0"/>
        <w:jc w:val="left"/>
        <w:rPr>
          <w:rFonts w:ascii="Times New Roman" w:hAnsi="Times New Roman"/>
          <w:sz w:val="20"/>
        </w:rPr>
      </w:pPr>
      <w:r>
        <w:rPr>
          <w:rFonts w:ascii="Times New Roman" w:hAnsi="Times New Roman"/>
          <w:sz w:val="20"/>
        </w:rPr>
        <w:t xml:space="preserve">Polestar is exposed to certain market risks in the ordinary course of business. These risks primarily consist of foreign exchange risk, interest rate risk, credit risk, and liquidity risk. Refer to “Note 2—Financial risk management” in the accompanying Consolidated Financial Statements for detailed discussion of these risks and sensitivity analyses. </w:t>
      </w:r>
    </w:p>
    <w:p>
      <w:pPr>
        <w:pStyle w:val="TextBody"/>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spacing w:before="120" w:after="0"/>
        <w:jc w:val="left"/>
        <w:rPr>
          <w:rFonts w:ascii="Times New Roman" w:hAnsi="Times New Roman"/>
          <w:sz w:val="20"/>
        </w:rPr>
      </w:pPr>
      <w:r>
        <w:rPr>
          <w:rFonts w:ascii="Times New Roman" w:hAnsi="Times New Roman"/>
          <w:sz w:val="20"/>
        </w:rPr>
        <w:t xml:space="preserve">The global nature of Polestar’s business exposes cash flows to risks arising from fluctuations in exchange rates. Relative changes in the currency rates have a direct impact on Polestar’s operating income, finance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finance expense, Consolidated Statement of Financial Position and Consolidated Statement of Cash Flows. To Group does not currently utilize hedging arrangements to mitigate the impact of currency exchange rate fluctuations for the business operations. Polestar continually assesses its exposure to exchange rate risks and will continue to explore mitigating arrangements. </w:t>
      </w:r>
    </w:p>
    <w:p>
      <w:pPr>
        <w:pStyle w:val="TextBody"/>
        <w:spacing w:before="360" w:after="0"/>
        <w:jc w:val="left"/>
        <w:rPr>
          <w:rFonts w:ascii="Times New Roman" w:hAnsi="Times New Roman"/>
          <w:i/>
          <w:sz w:val="20"/>
        </w:rPr>
      </w:pPr>
      <w:r>
        <w:rPr>
          <w:rFonts w:ascii="Times New Roman" w:hAnsi="Times New Roman"/>
          <w:i/>
          <w:sz w:val="20"/>
        </w:rPr>
        <w:t xml:space="preserve">Translation exposure risk </w:t>
      </w:r>
    </w:p>
    <w:p>
      <w:pPr>
        <w:pStyle w:val="TextBody"/>
        <w:spacing w:before="120" w:after="0"/>
        <w:jc w:val="left"/>
        <w:rPr>
          <w:rFonts w:ascii="Times New Roman" w:hAnsi="Times New Roman"/>
          <w:sz w:val="20"/>
        </w:rPr>
      </w:pPr>
      <w:r>
        <w:rPr>
          <w:rFonts w:ascii="Times New Roman" w:hAnsi="Times New Roman"/>
          <w:sz w:val="20"/>
        </w:rPr>
        <w:t xml:space="preserve">Currency translation risk arises from the consolidation of foreign subsidiaries that maintain net assets denominated in functional currencies other than USD (i.e., the functional currency of the Former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 </w:t>
      </w:r>
    </w:p>
    <w:p>
      <w:pPr>
        <w:pStyle w:val="TextBody"/>
        <w:spacing w:before="360" w:after="0"/>
        <w:jc w:val="left"/>
        <w:rPr>
          <w:rFonts w:ascii="Times New Roman" w:hAnsi="Times New Roman"/>
          <w:i/>
          <w:sz w:val="20"/>
        </w:rPr>
      </w:pPr>
      <w:r>
        <w:rPr>
          <w:rFonts w:ascii="Times New Roman" w:hAnsi="Times New Roman"/>
          <w:i/>
          <w:sz w:val="20"/>
        </w:rPr>
        <w:t xml:space="preserve">Transaction exposure risk </w:t>
      </w:r>
    </w:p>
    <w:p>
      <w:pPr>
        <w:pStyle w:val="TextBody"/>
        <w:spacing w:before="120" w:after="0"/>
        <w:jc w:val="left"/>
        <w:rPr>
          <w:rFonts w:ascii="Times New Roman" w:hAnsi="Times New Roman"/>
          <w:sz w:val="20"/>
        </w:rPr>
      </w:pPr>
      <w:r>
        <w:rPr>
          <w:rFonts w:ascii="Times New Roman" w:hAnsi="Times New Roman"/>
          <w:sz w:val="20"/>
        </w:rPr>
        <w:t xml:space="preserve">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 </w:t>
      </w:r>
    </w:p>
    <w:p>
      <w:pPr>
        <w:pStyle w:val="TextBody"/>
        <w:spacing w:before="360" w:after="0"/>
        <w:jc w:val="left"/>
        <w:rPr>
          <w:rFonts w:ascii="Times New Roman" w:hAnsi="Times New Roman"/>
          <w:b/>
          <w:i/>
          <w:sz w:val="20"/>
        </w:rPr>
      </w:pPr>
      <w:r>
        <w:rPr>
          <w:rFonts w:ascii="Times New Roman" w:hAnsi="Times New Roman"/>
          <w:b/>
          <w:i/>
          <w:sz w:val="20"/>
        </w:rPr>
        <w:t xml:space="preserve">Market volatility risk </w:t>
      </w:r>
    </w:p>
    <w:p>
      <w:pPr>
        <w:pStyle w:val="TextBody"/>
        <w:spacing w:before="120" w:after="0"/>
        <w:jc w:val="left"/>
        <w:rPr>
          <w:rFonts w:ascii="Times New Roman" w:hAnsi="Times New Roman"/>
          <w:sz w:val="20"/>
        </w:rPr>
      </w:pPr>
      <w:r>
        <w:rPr>
          <w:rFonts w:ascii="Times New Roman" w:hAnsi="Times New Roman"/>
          <w:sz w:val="20"/>
        </w:rPr>
        <w:t xml:space="preserve">Polestar is exposed to market volatility risk through the financial liabilities for the Class C Shares and earn out rights. These instruments are carried at fair value with subsequent changes in fair value recognized in the Consolidated Statement of Loss and Comprehensive Loss at each reporting date. The Class C-1 Shares are publicly traded on the Nasdaq. The Class C-2 Shares and earn out rights are not publicly traded and require Level 2 and Level 3 fair value measurements, respectively. As a result, market volatility has a direct impact on the changes in the fair value of these financial liabilities during each reporting period. </w:t>
      </w:r>
    </w:p>
    <w:p>
      <w:pPr>
        <w:pStyle w:val="TextBody"/>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Polestar’s main interest rate risk arises from short-term liabilities to credit institutions with variable and fixed rates, which exposes Polestar to cash flow interest rate risk. As of December 31, 2022 and 2021, the nominal amount of liabilities to credit institutions with floating interest rates was $819,390 and $642,338, respectively. Polestar closely monitors the effects of changes in the interest rates on its interest rate risk exposures, but Polestar currently does not take any measures to hedge interest rate risks. Interest rate risk associated with these loans is limited given their short-term duration. </w:t>
      </w:r>
    </w:p>
    <w:p>
      <w:pPr>
        <w:pStyle w:val="TextBody"/>
        <w:spacing w:before="360" w:after="0"/>
        <w:jc w:val="left"/>
        <w:rPr>
          <w:rFonts w:ascii="Times New Roman" w:hAnsi="Times New Roman"/>
          <w:b/>
          <w:i/>
          <w:sz w:val="20"/>
        </w:rPr>
      </w:pPr>
      <w:r>
        <w:rPr>
          <w:rFonts w:ascii="Times New Roman" w:hAnsi="Times New Roman"/>
          <w:b/>
          <w:i/>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 xml:space="preserve">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 </w:t>
      </w:r>
    </w:p>
    <w:p>
      <w:pPr>
        <w:pStyle w:val="TextBody"/>
        <w:spacing w:before="360" w:after="0"/>
        <w:jc w:val="left"/>
        <w:rPr>
          <w:rFonts w:ascii="Times New Roman" w:hAnsi="Times New Roman"/>
          <w:i/>
          <w:sz w:val="20"/>
        </w:rPr>
      </w:pPr>
      <w:r>
        <w:rPr>
          <w:rFonts w:ascii="Times New Roman" w:hAnsi="Times New Roman"/>
          <w:i/>
          <w:sz w:val="20"/>
        </w:rPr>
        <w:t xml:space="preserve">Financial credit risk </w:t>
      </w:r>
    </w:p>
    <w:p>
      <w:pPr>
        <w:pStyle w:val="TextBody"/>
        <w:spacing w:before="120" w:after="0"/>
        <w:jc w:val="left"/>
        <w:rPr>
          <w:rFonts w:ascii="Times New Roman" w:hAnsi="Times New Roman"/>
          <w:sz w:val="20"/>
        </w:rPr>
      </w:pPr>
      <w:r>
        <w:rPr>
          <w:rFonts w:ascii="Times New Roman" w:hAnsi="Times New Roman"/>
          <w:sz w:val="20"/>
        </w:rPr>
        <w:t xml:space="preserve">Financial credit risk on financial transactions is the risk that Polestar will incur losses as a result of non-payment by counterparties related to Polestar’s bank accounts, bank deposits, derivative transactions,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2022, 2021 and 2020 were in the range of BBB to A+. </w:t>
      </w:r>
    </w:p>
    <w:p>
      <w:pPr>
        <w:pStyle w:val="TextBody"/>
        <w:spacing w:before="360" w:after="0"/>
        <w:jc w:val="left"/>
        <w:rPr>
          <w:rFonts w:ascii="Times New Roman" w:hAnsi="Times New Roman"/>
          <w:i/>
          <w:sz w:val="20"/>
        </w:rPr>
      </w:pPr>
      <w:r>
        <w:rPr>
          <w:rFonts w:ascii="Times New Roman" w:hAnsi="Times New Roman"/>
          <w:i/>
          <w:sz w:val="20"/>
        </w:rPr>
        <w:t xml:space="preserve">Operational credit risk </w:t>
      </w:r>
    </w:p>
    <w:p>
      <w:pPr>
        <w:pStyle w:val="TextBody"/>
        <w:spacing w:before="120" w:after="0"/>
        <w:jc w:val="left"/>
        <w:rPr>
          <w:rFonts w:ascii="Times New Roman" w:hAnsi="Times New Roman"/>
          <w:sz w:val="20"/>
        </w:rPr>
      </w:pPr>
      <w:r>
        <w:rPr>
          <w:rFonts w:ascii="Times New Roman" w:hAnsi="Times New Roman"/>
          <w:sz w:val="20"/>
        </w:rPr>
        <w:t xml:space="preserve">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2022, an unrelated customer accounted for $26,649 (13.1%) of Polestar Group’s total trade receivables (i.e., trade receivables plus trade receivables—related parties). As of December 31, 2021, an unrelated party accounted for $23,031 (12.5%) of the Group’s total trade receivables. Historically, Polestar has not incurred any losses from these customers, and it does not have any contractual right to off-set its payables and receivables. </w:t>
      </w:r>
    </w:p>
    <w:p>
      <w:pPr>
        <w:pStyle w:val="TextBody"/>
        <w:spacing w:before="240" w:after="0"/>
        <w:jc w:val="left"/>
        <w:rPr>
          <w:rFonts w:ascii="Times New Roman" w:hAnsi="Times New Roman"/>
          <w:sz w:val="20"/>
        </w:rPr>
      </w:pPr>
      <w:r>
        <w:rPr>
          <w:rFonts w:ascii="Times New Roman" w:hAnsi="Times New Roman"/>
          <w:sz w:val="20"/>
        </w:rPr>
        <w:t xml:space="preserve">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w:t>
      </w:r>
    </w:p>
    <w:p>
      <w:pPr>
        <w:pStyle w:val="TextBody"/>
        <w:spacing w:before="360" w:after="0"/>
        <w:jc w:val="left"/>
        <w:rPr>
          <w:rFonts w:ascii="Times New Roman" w:hAnsi="Times New Roman"/>
          <w:b/>
          <w:i/>
          <w:sz w:val="20"/>
        </w:rPr>
      </w:pPr>
      <w:r>
        <w:rPr>
          <w:rFonts w:ascii="Times New Roman" w:hAnsi="Times New Roman"/>
          <w:b/>
          <w:i/>
          <w:sz w:val="20"/>
        </w:rPr>
        <w:t xml:space="preserve">Liquidity risk </w:t>
      </w:r>
    </w:p>
    <w:p>
      <w:pPr>
        <w:pStyle w:val="TextBody"/>
        <w:spacing w:before="120" w:after="0"/>
        <w:jc w:val="left"/>
        <w:rPr>
          <w:rFonts w:ascii="Times New Roman" w:hAnsi="Times New Roman"/>
          <w:sz w:val="20"/>
        </w:rPr>
      </w:pPr>
      <w:r>
        <w:rPr>
          <w:rFonts w:ascii="Times New Roman" w:hAnsi="Times New Roman"/>
          <w:sz w:val="20"/>
        </w:rPr>
        <w:t xml:space="preserve">Liquidity risk is the risk that Polestar is unable to meet ongoing financial obligations on time. Polestar faces liquidity risk as all loans from financial institutions are short-term in nature, generally with a credit term of one year or less. Trade payables with related parties represent working capital arrangements under which Polestar’s liquidity needs are highly dependent on the continued flexible payment terms offered to Polestar by its related parties. These flexible payment terms are not a contractual right and may be called upon in the future. Refer to “Note 25—Related party transactions” in the accompanying Consolidated Financial Statements for additional information on these arrangements. </w:t>
      </w:r>
    </w:p>
    <w:p>
      <w:pPr>
        <w:pStyle w:val="TextBody"/>
        <w:spacing w:before="240" w:after="0"/>
        <w:jc w:val="left"/>
        <w:rPr>
          <w:rFonts w:ascii="Times New Roman" w:hAnsi="Times New Roman"/>
          <w:sz w:val="20"/>
        </w:rPr>
      </w:pPr>
      <w:r>
        <w:rPr>
          <w:rFonts w:ascii="Times New Roman" w:hAnsi="Times New Roman"/>
          <w:sz w:val="20"/>
        </w:rPr>
        <w:t xml:space="preserve">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historical capital contributions from private equity investors.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Polestar held cash and cash equivalents of $973,877 and $756,677, respectively, that were available for managing liquidity risk. Polestar entered into short-term financing arrangements with credit institutions to enhance short term liquidity and financing needs. Refer to “Note 23—Liabilities to credit institutions” in the accompanying Consolidated Financial Statements for further details 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short-term borrowings. Polestar’s short-term and mid-term liquidity management takes into account the maturities of financial assets and financial liabilities and estimates of cash flows from business operations. </w:t>
      </w:r>
    </w:p>
    <w:p>
      <w:pPr>
        <w:pStyle w:val="TextBody"/>
        <w:spacing w:before="240" w:after="0"/>
        <w:jc w:val="left"/>
        <w:rPr>
          <w:rFonts w:ascii="Times New Roman" w:hAnsi="Times New Roman"/>
          <w:sz w:val="20"/>
        </w:rPr>
      </w:pPr>
      <w:r>
        <w:rPr>
          <w:rFonts w:ascii="Times New Roman" w:hAnsi="Times New Roman"/>
          <w:sz w:val="20"/>
        </w:rPr>
        <w:t xml:space="preserve">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 </w:t>
      </w:r>
    </w:p>
    <w:p>
      <w:pPr>
        <w:pStyle w:val="TextBody"/>
        <w:spacing w:before="360" w:after="0"/>
        <w:jc w:val="left"/>
        <w:rPr>
          <w:rFonts w:ascii="Times New Roman" w:hAnsi="Times New Roman"/>
          <w:b/>
          <w:sz w:val="20"/>
        </w:rPr>
      </w:pPr>
      <w:r>
        <w:rPr>
          <w:rFonts w:ascii="Times New Roman" w:hAnsi="Times New Roman"/>
          <w:b/>
          <w:sz w:val="20"/>
        </w:rPr>
        <w:t xml:space="preserve">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 </w:t>
      </w:r>
    </w:p>
    <w:p>
      <w:pPr>
        <w:pStyle w:val="TextBody"/>
        <w:spacing w:before="240" w:after="0"/>
        <w:jc w:val="left"/>
        <w:rPr>
          <w:rFonts w:ascii="Times New Roman" w:hAnsi="Times New Roman"/>
          <w:sz w:val="20"/>
        </w:rPr>
      </w:pPr>
      <w:r>
        <w:rPr>
          <w:rFonts w:ascii="Times New Roman" w:hAnsi="Times New Roman"/>
          <w:sz w:val="20"/>
        </w:rPr>
        <w:t xml:space="preserve">Polestar and its independent registered public accounting firm were not required to, and did not, perform an evaluation of Polestar’s internal controls over financial reporting as of December 31, 2022 or any prior period in accordance with the provisions of the Sarbanes-Oxley Act. </w:t>
      </w:r>
    </w:p>
    <w:p>
      <w:pPr>
        <w:pStyle w:val="TextBody"/>
        <w:spacing w:before="240" w:after="0"/>
        <w:jc w:val="left"/>
        <w:rPr>
          <w:rFonts w:ascii="Times New Roman" w:hAnsi="Times New Roman"/>
          <w:sz w:val="20"/>
        </w:rPr>
      </w:pPr>
      <w:r>
        <w:rPr>
          <w:rFonts w:ascii="Times New Roman" w:hAnsi="Times New Roman"/>
          <w:sz w:val="20"/>
        </w:rPr>
        <w:t xml:space="preserve">Polestar management, with the participation of our Chief Executive Officer and Chief Financial Officer, evaluated the effectiveness of our disclosure controls and procedures (as defined in Rule 13a-15(e) of the Exchange Act) as of December 31, 2022. Based on that evaluation, our Chief Executive Officer and Chief Financial Officer concluded that our disclosure controls and procedures as of December 31, 2022 were not effective for the reasons set forth below. In connection with the audit of Polestar’s financial statements as of the year ended December 31, 2022, management concluded that there were four material weaknesses in internal control over financial reporting as of December 31, 2022: (i) The controlling department does not have a sufficient number of qualified personnel connecting operations and finance and the accounting function does not have fully formalized accounting processes or a sufficient number of personnel with technical accounting and SEC regulatory reporting expertise to perform reviews of financial reporting matters and other key controls, including performing timely reviews of work performed by external advisors. This caused a failure to design and maintain an effective control environment with the appropriate associated control activities; (ii) A lack of appropriate processes and controls to recognize revenue in accordance with IFRS 15; (iii) A lack of appropriate processes and controls to properly recognize intangible assets at period end in accordance with service agreements for upcoming car models; and (iv) Insufficient processes and controls over the existence, completeness and valuation of inventory. </w:t>
      </w:r>
    </w:p>
    <w:p>
      <w:pPr>
        <w:pStyle w:val="TextBody"/>
        <w:spacing w:before="240" w:after="0"/>
        <w:jc w:val="left"/>
        <w:rPr>
          <w:rFonts w:ascii="Times New Roman" w:hAnsi="Times New Roman"/>
          <w:sz w:val="20"/>
        </w:rPr>
      </w:pPr>
      <w:r>
        <w:rPr>
          <w:rFonts w:ascii="Times New Roman" w:hAnsi="Times New Roman"/>
          <w:sz w:val="20"/>
        </w:rPr>
        <w:t xml:space="preserve">The material weaknesses related to the control environment and lack of sufficient qualified finance personnel within the controlling and accounting function resulted in material adjustments to certain accounts and disclosures. The Consolidated Statement of Financial Position was corrected prior to the issuance of Polestar’s Consolidated Financial Statements for the year ended December 31, 2022. While neither the deficiencies related to revenue recognition nor proper recognition of intangible assets as well as inventory count/inventory valuation resulted in any material adjustment to the Consolidated Statement of Financial Position for the year ended December 31, 2022, such deficiencies could result in misstatements potentially impacting financial statement accounts and disclosures that would not be prevented or detected in a timely manner.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management completed the following remediation actions: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24"/>
        <w:gridCol w:w="9906"/>
      </w:tblGrid>
      <w:tr>
        <w:trPr/>
        <w:tc>
          <w:tcPr>
            <w:tcW w:w="75"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(i)</w:t>
            </w:r>
          </w:p>
        </w:tc>
        <w:tc>
          <w:tcPr>
            <w:tcW w:w="990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designed and implemented internal control framework to cover entity level, business processes and information technology risks;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rPr/>
      </w:pPr>
      <w:r>
        <w:rPr/>
      </w:r>
    </w:p>
    <w:p>
      <w:pPr>
        <w:pStyle w:val="Heading5"/>
        <w:rPr/>
      </w:pPr>
      <w:hyperlink w:anchor="toc">
        <w:r>
          <w:rPr>
            <w:rStyle w:val="InternetLink"/>
          </w:rPr>
          <w:t>Table of Contents</w:t>
        </w:r>
      </w:hyperlink>
    </w:p>
    <w:tbl>
      <w:tblPr>
        <w:tblW w:w="10150" w:type="dxa"/>
        <w:jc w:val="left"/>
        <w:tblInd w:w="0" w:type="dxa"/>
        <w:tblCellMar>
          <w:top w:w="0" w:type="dxa"/>
          <w:left w:w="0" w:type="dxa"/>
          <w:bottom w:w="0" w:type="dxa"/>
          <w:right w:w="0" w:type="dxa"/>
        </w:tblCellMar>
      </w:tblPr>
      <w:tblGrid>
        <w:gridCol w:w="75"/>
        <w:gridCol w:w="290"/>
        <w:gridCol w:w="978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(ii)</w:t>
            </w:r>
          </w:p>
        </w:tc>
        <w:tc>
          <w:tcPr>
            <w:tcW w:w="9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strengthened finance function through the addition of accounting and financial compliance personnel and training; and </w:t>
            </w:r>
          </w:p>
        </w:tc>
      </w:tr>
    </w:tbl>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75"/>
        <w:gridCol w:w="350"/>
        <w:gridCol w:w="654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(iii)</w:t>
            </w:r>
          </w:p>
        </w:tc>
        <w:tc>
          <w:tcPr>
            <w:tcW w:w="6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designed and implemented controls to support appropriate revenue recognition.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the remediation activities performed to date, Polestar is considering the full extent of procedures to fully remediate the material weaknesses described above. The current remediation plan includes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9"/>
        <w:gridCol w:w="9931"/>
      </w:tblGrid>
      <w:tr>
        <w:trPr/>
        <w:tc>
          <w:tcPr>
            <w:tcW w:w="75"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jc w:val="left"/>
              <w:rPr/>
            </w:pPr>
            <w:r>
              <w:rPr/>
              <w:t>(i)</w:t>
            </w:r>
          </w:p>
        </w:tc>
        <w:tc>
          <w:tcPr>
            <w:tcW w:w="99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continue hiring additional accounting and finance resources with appropriate technical accounting and reporting experience to execute key controls related to various financial reporting processes;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4"/>
        <w:gridCol w:w="9876"/>
      </w:tblGrid>
      <w:tr>
        <w:trPr/>
        <w:tc>
          <w:tcPr>
            <w:tcW w:w="7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(ii)</w:t>
            </w:r>
          </w:p>
        </w:tc>
        <w:tc>
          <w:tcPr>
            <w:tcW w:w="987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continue to document, evaluate, remediate, and test internal controls over financial reporting, including those that operate at a sufficient level of precision and frequency or that evidence the performance of the control;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342"/>
        <w:gridCol w:w="9788"/>
      </w:tblGrid>
      <w:tr>
        <w:trPr/>
        <w:tc>
          <w:tcPr>
            <w:tcW w:w="75" w:type="dxa"/>
            <w:tcBorders/>
            <w:shd w:fill="auto" w:val="clear"/>
            <w:vAlign w:val="center"/>
          </w:tcPr>
          <w:p>
            <w:pPr>
              <w:pStyle w:val="TableContents"/>
              <w:spacing w:before="0" w:after="283"/>
              <w:rPr/>
            </w:pPr>
            <w:r>
              <w:rPr/>
              <w:t> </w:t>
            </w:r>
          </w:p>
        </w:tc>
        <w:tc>
          <w:tcPr>
            <w:tcW w:w="342" w:type="dxa"/>
            <w:tcBorders/>
            <w:shd w:fill="auto" w:val="clear"/>
            <w:vAlign w:val="center"/>
          </w:tcPr>
          <w:p>
            <w:pPr>
              <w:pStyle w:val="TableContents"/>
              <w:spacing w:before="0" w:after="283"/>
              <w:jc w:val="left"/>
              <w:rPr/>
            </w:pPr>
            <w:r>
              <w:rPr/>
              <w:t>(iii)</w:t>
            </w:r>
          </w:p>
        </w:tc>
        <w:tc>
          <w:tcPr>
            <w:tcW w:w="978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continue to assess information technology general controls and, as necessary, design and implement enhancements to such controls. </w:t>
            </w:r>
          </w:p>
        </w:tc>
      </w:tr>
    </w:tbl>
    <w:p>
      <w:pPr>
        <w:pStyle w:val="TextBody"/>
        <w:spacing w:before="240" w:after="0"/>
        <w:jc w:val="left"/>
        <w:rPr>
          <w:rFonts w:ascii="Times New Roman" w:hAnsi="Times New Roman"/>
          <w:sz w:val="20"/>
        </w:rPr>
      </w:pPr>
      <w:r>
        <w:rPr>
          <w:rFonts w:ascii="Times New Roman" w:hAnsi="Times New Roman"/>
          <w:sz w:val="20"/>
        </w:rPr>
        <w:t xml:space="preserve">Polestar will monitor the effectiveness of internal control over financial reporting in the areas affected by the material weaknesses described above and will continue to perform additional procedures prescribed by management. Refer to “Risk Factors” for more information on risks related to material weakness in Polestar’s internal controls.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rom472016_16"/>
      <w:bookmarkEnd w:id="18"/>
      <w:r>
        <w:rPr>
          <w:rFonts w:ascii="Times New Roman" w:hAnsi="Times New Roman"/>
          <w:b/>
          <w:sz w:val="20"/>
        </w:rPr>
        <w:t xml:space="preserve">BOARD OF DIRECTORS AND MANAGEMENT </w:t>
      </w:r>
    </w:p>
    <w:p>
      <w:pPr>
        <w:pStyle w:val="TextBody"/>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The directors and executive officers of Polestar are as follows: </w:t>
      </w:r>
    </w:p>
    <w:p>
      <w:pPr>
        <w:pStyle w:val="TextBody"/>
        <w:spacing w:before="0" w:after="0"/>
        <w:jc w:val="left"/>
        <w:rPr/>
      </w:pPr>
      <w:r>
        <w:rPr/>
        <w:t> </w:t>
      </w:r>
    </w:p>
    <w:tbl>
      <w:tblPr>
        <w:tblW w:w="6405" w:type="dxa"/>
        <w:jc w:val="left"/>
        <w:tblInd w:w="0" w:type="dxa"/>
        <w:tblCellMar>
          <w:top w:w="0" w:type="dxa"/>
          <w:left w:w="0" w:type="dxa"/>
          <w:bottom w:w="0" w:type="dxa"/>
          <w:right w:w="0" w:type="dxa"/>
        </w:tblCellMar>
      </w:tblPr>
      <w:tblGrid>
        <w:gridCol w:w="2195"/>
        <w:gridCol w:w="120"/>
        <w:gridCol w:w="425"/>
        <w:gridCol w:w="120"/>
        <w:gridCol w:w="3545"/>
      </w:tblGrid>
      <w:tr>
        <w:trPr/>
        <w:tc>
          <w:tcPr>
            <w:tcW w:w="21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45" w:type="dxa"/>
            <w:tcBorders/>
            <w:shd w:fill="auto" w:val="clear"/>
            <w:vAlign w:val="center"/>
          </w:tcPr>
          <w:p>
            <w:pPr>
              <w:pStyle w:val="TableContents"/>
              <w:spacing w:before="0" w:after="283"/>
              <w:rPr>
                <w:sz w:val="4"/>
                <w:szCs w:val="4"/>
              </w:rPr>
            </w:pPr>
            <w:r>
              <w:rPr>
                <w:sz w:val="4"/>
                <w:szCs w:val="4"/>
              </w:rPr>
            </w:r>
          </w:p>
        </w:tc>
      </w:tr>
      <w:tr>
        <w:trPr/>
        <w:tc>
          <w:tcPr>
            <w:tcW w:w="219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354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w:t>
            </w:r>
          </w:p>
        </w:tc>
      </w:tr>
      <w:tr>
        <w:trPr/>
        <w:tc>
          <w:tcPr>
            <w:tcW w:w="21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Håkan Samuelsson</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72</w:t>
            </w:r>
          </w:p>
        </w:tc>
        <w:tc>
          <w:tcPr>
            <w:tcW w:w="12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Director (Chairman)</w:t>
            </w:r>
          </w:p>
        </w:tc>
      </w:tr>
      <w:tr>
        <w:trPr/>
        <w:tc>
          <w:tcPr>
            <w:tcW w:w="21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Ingenlath</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59</w:t>
            </w:r>
          </w:p>
        </w:tc>
        <w:tc>
          <w:tcPr>
            <w:tcW w:w="12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Chief Executive Officer and Director</w:t>
            </w:r>
          </w:p>
        </w:tc>
      </w:tr>
      <w:tr>
        <w:trPr/>
        <w:tc>
          <w:tcPr>
            <w:tcW w:w="21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Johan Malmqvist</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47</w:t>
            </w:r>
          </w:p>
        </w:tc>
        <w:tc>
          <w:tcPr>
            <w:tcW w:w="12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Chief Financial Officer</w:t>
            </w:r>
          </w:p>
        </w:tc>
      </w:tr>
      <w:tr>
        <w:trPr/>
        <w:tc>
          <w:tcPr>
            <w:tcW w:w="21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Dennis Nobelius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50</w:t>
            </w:r>
          </w:p>
        </w:tc>
        <w:tc>
          <w:tcPr>
            <w:tcW w:w="12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Chief Operating Officer</w:t>
            </w:r>
          </w:p>
        </w:tc>
      </w:tr>
      <w:tr>
        <w:trPr/>
        <w:tc>
          <w:tcPr>
            <w:tcW w:w="21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Carla De Geyseleer</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54</w:t>
            </w:r>
          </w:p>
        </w:tc>
        <w:tc>
          <w:tcPr>
            <w:tcW w:w="12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Director</w:t>
            </w:r>
          </w:p>
        </w:tc>
      </w:tr>
      <w:tr>
        <w:trPr/>
        <w:tc>
          <w:tcPr>
            <w:tcW w:w="21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Karen C. Francis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60</w:t>
            </w:r>
          </w:p>
        </w:tc>
        <w:tc>
          <w:tcPr>
            <w:tcW w:w="12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Director</w:t>
            </w:r>
          </w:p>
        </w:tc>
      </w:tr>
      <w:tr>
        <w:trPr/>
        <w:tc>
          <w:tcPr>
            <w:tcW w:w="21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Donghui (Daniel) Li</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52</w:t>
            </w:r>
          </w:p>
        </w:tc>
        <w:tc>
          <w:tcPr>
            <w:tcW w:w="12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Director</w:t>
            </w:r>
          </w:p>
        </w:tc>
      </w:tr>
      <w:tr>
        <w:trPr/>
        <w:tc>
          <w:tcPr>
            <w:tcW w:w="21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Dr. Karl-Thomas Neumann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62</w:t>
            </w:r>
          </w:p>
        </w:tc>
        <w:tc>
          <w:tcPr>
            <w:tcW w:w="12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Director</w:t>
            </w:r>
          </w:p>
        </w:tc>
      </w:tr>
      <w:tr>
        <w:trPr/>
        <w:tc>
          <w:tcPr>
            <w:tcW w:w="21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Richter</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55</w:t>
            </w:r>
          </w:p>
        </w:tc>
        <w:tc>
          <w:tcPr>
            <w:tcW w:w="12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Director</w:t>
            </w:r>
          </w:p>
        </w:tc>
      </w:tr>
      <w:tr>
        <w:trPr/>
        <w:tc>
          <w:tcPr>
            <w:tcW w:w="21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(Jim) Rowan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57</w:t>
            </w:r>
          </w:p>
        </w:tc>
        <w:tc>
          <w:tcPr>
            <w:tcW w:w="12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Director</w:t>
            </w:r>
          </w:p>
        </w:tc>
      </w:tr>
      <w:tr>
        <w:trPr/>
        <w:tc>
          <w:tcPr>
            <w:tcW w:w="21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Zhe (David) Wei</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52</w:t>
            </w:r>
          </w:p>
        </w:tc>
        <w:tc>
          <w:tcPr>
            <w:tcW w:w="120" w:type="dxa"/>
            <w:tcBorders/>
            <w:shd w:fill="CCEEFF" w:val="clear"/>
            <w:vAlign w:val="center"/>
          </w:tcPr>
          <w:p>
            <w:pPr>
              <w:pStyle w:val="TableContents"/>
              <w:spacing w:before="0" w:after="283"/>
              <w:rPr/>
            </w:pPr>
            <w:r>
              <w:rPr/>
              <w:t>  </w:t>
            </w:r>
          </w:p>
        </w:tc>
        <w:tc>
          <w:tcPr>
            <w:tcW w:w="3545" w:type="dxa"/>
            <w:tcBorders/>
            <w:shd w:fill="CCEEFF" w:val="clear"/>
            <w:vAlign w:val="center"/>
          </w:tcPr>
          <w:p>
            <w:pPr>
              <w:pStyle w:val="TableContents"/>
              <w:spacing w:before="0" w:after="283"/>
              <w:rPr/>
            </w:pPr>
            <w:r>
              <w:rPr/>
              <w:t>Director</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Officers </w:t>
      </w:r>
    </w:p>
    <w:p>
      <w:pPr>
        <w:pStyle w:val="TextBody"/>
        <w:spacing w:before="120" w:after="0"/>
        <w:jc w:val="left"/>
        <w:rPr>
          <w:rFonts w:ascii="Times New Roman" w:hAnsi="Times New Roman"/>
          <w:sz w:val="20"/>
        </w:rPr>
      </w:pPr>
      <w:r>
        <w:rPr>
          <w:rFonts w:ascii="Times New Roman" w:hAnsi="Times New Roman"/>
          <w:b/>
          <w:sz w:val="20"/>
        </w:rPr>
        <w:t>Thomas Ingenlath</w:t>
      </w:r>
      <w:r>
        <w:rPr>
          <w:rFonts w:ascii="Times New Roman" w:hAnsi="Times New Roman"/>
          <w:sz w:val="20"/>
        </w:rPr>
        <w:t xml:space="preserve"> joined Polestar as its Chief Executive Officer in July 2017 from Volvo Cars, where he served as the Senior Vice President of Design from July 2012. Mr. Ingenlath has also been a member of the Board since April 2022. Prior to joining Polestar, he held various design management roles at Škoda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Ingenlath is qualified to serve on the Board based on his significant executive experience at Polestar and in the automobile industry. </w:t>
      </w:r>
    </w:p>
    <w:p>
      <w:pPr>
        <w:pStyle w:val="TextBody"/>
        <w:spacing w:before="240" w:after="0"/>
        <w:jc w:val="left"/>
        <w:rPr>
          <w:rFonts w:ascii="Times New Roman" w:hAnsi="Times New Roman"/>
          <w:sz w:val="20"/>
        </w:rPr>
      </w:pPr>
      <w:r>
        <w:rPr>
          <w:rFonts w:ascii="Times New Roman" w:hAnsi="Times New Roman"/>
          <w:b/>
          <w:sz w:val="20"/>
        </w:rPr>
        <w:t>Johan Malmqvist</w:t>
      </w:r>
      <w:r>
        <w:rPr>
          <w:rFonts w:ascii="Times New Roman" w:hAnsi="Times New Roman"/>
          <w:sz w:val="20"/>
        </w:rPr>
        <w:t xml:space="preserve"> joined Polestar as its Chief Financial Officer in September 2021 from Dole Food Company, where he served as Chief Financial 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a specialization in Finance. </w:t>
      </w:r>
    </w:p>
    <w:p>
      <w:pPr>
        <w:pStyle w:val="TextBody"/>
        <w:spacing w:before="240" w:after="0"/>
        <w:jc w:val="left"/>
        <w:rPr>
          <w:rFonts w:ascii="Times New Roman" w:hAnsi="Times New Roman"/>
          <w:sz w:val="20"/>
        </w:rPr>
      </w:pPr>
      <w:r>
        <w:rPr>
          <w:rFonts w:ascii="Times New Roman" w:hAnsi="Times New Roman"/>
          <w:b/>
          <w:sz w:val="20"/>
        </w:rPr>
        <w:t>Dennis Nobelius</w:t>
      </w:r>
      <w:r>
        <w:rPr>
          <w:rFonts w:ascii="Times New Roman" w:hAnsi="Times New Roman"/>
          <w:sz w:val="20"/>
        </w:rPr>
        <w:t xml:space="preserve"> joined Polestar as Chief Operating Officer in September 2020. Since June 2021, Mr. Nobelius also serves on the Advisory Board 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 for the start-up Expoplanet from May 2000 to September 2001. Mr. Nobelius holds a Ph.D. in R&amp;D Management and a MSc in Industrial Engineering &amp; Management from Chalmers University of Technology.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Non-Employee Directors </w:t>
      </w:r>
    </w:p>
    <w:p>
      <w:pPr>
        <w:pStyle w:val="TextBody"/>
        <w:spacing w:before="120" w:after="0"/>
        <w:jc w:val="left"/>
        <w:rPr>
          <w:rFonts w:ascii="Times New Roman" w:hAnsi="Times New Roman"/>
          <w:sz w:val="20"/>
        </w:rPr>
      </w:pPr>
      <w:r>
        <w:rPr>
          <w:rFonts w:ascii="Times New Roman" w:hAnsi="Times New Roman"/>
          <w:b/>
          <w:sz w:val="20"/>
        </w:rPr>
        <w:t>Håkan Samuelsson</w:t>
      </w:r>
      <w:r>
        <w:rPr>
          <w:rFonts w:ascii="Times New Roman" w:hAnsi="Times New Roman"/>
          <w:sz w:val="20"/>
        </w:rPr>
        <w:t xml:space="preserve"> has served as Chairman of the Board since June 2022 and joined the Former Parent Board in May 2020. Mr. Samuelsson also served 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has also served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 Mr. Samuelsson was a director at AB Volvo from April 2016 to May 2018, a director at China-Euro Vehicle Technology Aktiebolag from May 2013 to March 2019, a director at Zenuity from May 2017 to July 2018, a director at Lynk &amp; Co Europe AB from November 2018 to September 2020. Mr. Samuelsson holds a Master of Science Degree in Mechanical Engineering from KTH Royal Institute of Technology, Sweden.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Samuelsson is qualified to serve on the Board based on his significant executive experience in the automotive sector. </w:t>
      </w:r>
    </w:p>
    <w:p>
      <w:pPr>
        <w:pStyle w:val="TextBody"/>
        <w:spacing w:before="240" w:after="0"/>
        <w:jc w:val="left"/>
        <w:rPr>
          <w:rFonts w:ascii="Times New Roman" w:hAnsi="Times New Roman"/>
          <w:sz w:val="20"/>
        </w:rPr>
      </w:pPr>
      <w:r>
        <w:rPr>
          <w:rFonts w:ascii="Times New Roman" w:hAnsi="Times New Roman"/>
          <w:b/>
          <w:sz w:val="20"/>
        </w:rPr>
        <w:t>Carla De Geyseleer</w:t>
      </w:r>
      <w:r>
        <w:rPr>
          <w:rFonts w:ascii="Times New Roman" w:hAnsi="Times New Roman"/>
          <w:sz w:val="20"/>
        </w:rPr>
        <w:t xml:space="preserve"> has served on the Board since June 2022 and joined the Former Parent Board in September 2020. Since September 2022, Ms. De Geyseleer also serves as the Chief Financial Officer of Schindler Holding Ltd. Ms. De Geyseleer served as the 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a specialization in Accounting, and an Executive MBA from the Institute for Management Development in Lausanne, Switzerland.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Ms. De Geyseleer is qualified to serve on the Board based on her significant experience as a financial executive of publicly listed companies and her experience in the automotive sector. </w:t>
      </w:r>
    </w:p>
    <w:p>
      <w:pPr>
        <w:pStyle w:val="TextBody"/>
        <w:spacing w:before="240" w:after="0"/>
        <w:jc w:val="left"/>
        <w:rPr>
          <w:rFonts w:ascii="Times New Roman" w:hAnsi="Times New Roman"/>
          <w:sz w:val="20"/>
        </w:rPr>
      </w:pPr>
      <w:r>
        <w:rPr>
          <w:rFonts w:ascii="Times New Roman" w:hAnsi="Times New Roman"/>
          <w:b/>
          <w:sz w:val="20"/>
        </w:rPr>
        <w:t>Karen C. Francis</w:t>
      </w:r>
      <w:r>
        <w:rPr>
          <w:rFonts w:ascii="Times New Roman" w:hAnsi="Times New Roman"/>
          <w:sz w:val="20"/>
        </w:rPr>
        <w:t xml:space="preserve"> has served on the Board since June 2022. Ms. Francis has served as the Chair of the board of directors of Vontier Corporation (NYSE: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from December 2020 to November 2022, where she also served on the Audit and Compensation Committees.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Compensation Committee and a member of the Nominating and Governance 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Ms. Francis is qualified to serve on the Board based on her significant experience in the automotive sector, her knowledge in corporate governance and her track record of successfully building companies and businesses across multiple industries. </w:t>
      </w:r>
    </w:p>
    <w:p>
      <w:pPr>
        <w:pStyle w:val="TextBody"/>
        <w:spacing w:before="240" w:after="0"/>
        <w:jc w:val="left"/>
        <w:rPr>
          <w:rFonts w:ascii="Times New Roman" w:hAnsi="Times New Roman"/>
          <w:sz w:val="20"/>
        </w:rPr>
      </w:pPr>
      <w:r>
        <w:rPr>
          <w:rFonts w:ascii="Times New Roman" w:hAnsi="Times New Roman"/>
          <w:b/>
          <w:sz w:val="20"/>
        </w:rPr>
        <w:t xml:space="preserve">Donghui (Daniel) Li </w:t>
      </w:r>
      <w:r>
        <w:rPr>
          <w:rFonts w:ascii="Times New Roman" w:hAnsi="Times New Roman"/>
          <w:sz w:val="20"/>
        </w:rPr>
        <w:t xml:space="preserve">has served on the Board since June 2022 and joined the Former Parent Board in May 2020. Mr. Li serves as the Chief 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Li is qualified to serve on the Board based on his significant executive experience in the automotive sector and his experience in operational management in China. </w:t>
      </w:r>
    </w:p>
    <w:p>
      <w:pPr>
        <w:pStyle w:val="TextBody"/>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Karl-Thomas Neumann</w:t>
      </w:r>
      <w:r>
        <w:rPr>
          <w:rFonts w:ascii="Times New Roman" w:hAnsi="Times New Roman"/>
          <w:sz w:val="20"/>
        </w:rPr>
        <w:t> has served on the Board since June 2022. Dr. Neumann joined the Former Parent Board in February 2022. Dr. Neumann is 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believes that Dr. Neumann is qualified to serve on the Board based on his significant executive experience in the automotive sector. </w:t>
      </w:r>
    </w:p>
    <w:p>
      <w:pPr>
        <w:pStyle w:val="TextBody"/>
        <w:spacing w:before="240" w:after="0"/>
        <w:jc w:val="left"/>
        <w:rPr>
          <w:rFonts w:ascii="Times New Roman" w:hAnsi="Times New Roman"/>
          <w:sz w:val="20"/>
        </w:rPr>
      </w:pPr>
      <w:r>
        <w:rPr>
          <w:rFonts w:ascii="Times New Roman" w:hAnsi="Times New Roman"/>
          <w:b/>
          <w:sz w:val="20"/>
        </w:rPr>
        <w:t>David Richter</w:t>
      </w:r>
      <w:r>
        <w:rPr>
          <w:rFonts w:ascii="Times New Roman" w:hAnsi="Times New Roman"/>
          <w:sz w:val="20"/>
        </w:rPr>
        <w:t xml:space="preserve"> has served on the Board since June 2022 and joined the Former Parent Board in May 2020. Mr. Richter has wide experience at high-growth technology companies, including leading business development, corporate development, legal, finance and product teams. Mr. Richter has been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Richter is qualified to serve on the Board based on his significant experience in the fast-moving shared mobility industry and as a business development and start-up executive. </w:t>
      </w:r>
    </w:p>
    <w:p>
      <w:pPr>
        <w:pStyle w:val="TextBody"/>
        <w:spacing w:before="240" w:after="0"/>
        <w:jc w:val="left"/>
        <w:rPr>
          <w:rFonts w:ascii="Times New Roman" w:hAnsi="Times New Roman"/>
          <w:sz w:val="20"/>
        </w:rPr>
      </w:pPr>
      <w:r>
        <w:rPr>
          <w:rFonts w:ascii="Times New Roman" w:hAnsi="Times New Roman"/>
          <w:b/>
          <w:sz w:val="20"/>
        </w:rPr>
        <w:t xml:space="preserve">James (Jim) Rowan </w:t>
      </w:r>
      <w:r>
        <w:rPr>
          <w:rFonts w:ascii="Times New Roman" w:hAnsi="Times New Roman"/>
          <w:sz w:val="20"/>
        </w:rPr>
        <w:t xml:space="preserve">has served on the Board since June 2022. Mr. Rowan joined Volvo Cars as its Chief Executive Officer in 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was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specializations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Rowan is qualified to serve on the Board based on his significant global experience as a technology executive. </w:t>
      </w:r>
    </w:p>
    <w:p>
      <w:pPr>
        <w:pStyle w:val="TextBody"/>
        <w:spacing w:before="240" w:after="0"/>
        <w:jc w:val="left"/>
        <w:rPr>
          <w:rFonts w:ascii="Times New Roman" w:hAnsi="Times New Roman"/>
          <w:sz w:val="20"/>
        </w:rPr>
      </w:pPr>
      <w:r>
        <w:rPr>
          <w:rFonts w:ascii="Times New Roman" w:hAnsi="Times New Roman"/>
          <w:b/>
          <w:sz w:val="20"/>
        </w:rPr>
        <w:t>Zhe (David) Wei</w:t>
      </w:r>
      <w:r>
        <w:rPr>
          <w:rFonts w:ascii="Times New Roman" w:hAnsi="Times New Roman"/>
          <w:sz w:val="20"/>
        </w:rPr>
        <w:t xml:space="preserve"> has served on the Board since June 2022. Mr. Wei has over 20 years of experience in both investment and 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as a non-executive director of PCCW in May 2012. Mr. Wei has also served as a director of Zall Smart Commerce Group Ltd. (HKSE: 02098) since April 2016 and as a director at JNBY Design Limited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(HKSE: 03306) since June 2013. Mr. Wei was a director of Informa PLC (LON: INF) from June 2018 to May 2019, a director of 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Wei is qualified to serve on the Board based on his significant experience in investment and operational management in China. </w:t>
      </w:r>
    </w:p>
    <w:p>
      <w:pPr>
        <w:pStyle w:val="TextBody"/>
        <w:spacing w:before="360" w:after="0"/>
        <w:jc w:val="left"/>
        <w:rPr>
          <w:rFonts w:ascii="Times New Roman" w:hAnsi="Times New Roman"/>
          <w:b/>
          <w:sz w:val="20"/>
        </w:rPr>
      </w:pPr>
      <w:r>
        <w:rPr>
          <w:rFonts w:ascii="Times New Roman" w:hAnsi="Times New Roman"/>
          <w:b/>
          <w:sz w:val="20"/>
        </w:rPr>
        <w:t xml:space="preserve">Board Practices </w:t>
      </w:r>
    </w:p>
    <w:p>
      <w:pPr>
        <w:pStyle w:val="TextBody"/>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spacing w:before="120" w:after="0"/>
        <w:jc w:val="left"/>
        <w:rPr>
          <w:rFonts w:ascii="Times New Roman" w:hAnsi="Times New Roman"/>
          <w:sz w:val="20"/>
        </w:rPr>
      </w:pPr>
      <w:r>
        <w:rPr>
          <w:rFonts w:ascii="Times New Roman" w:hAnsi="Times New Roman"/>
          <w:sz w:val="20"/>
        </w:rPr>
        <w:t xml:space="preserve">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Business Combination Closing, directors will be elected to serve for a term of three years to succeed the directors of the class whose terms expire at such annual general meeting. </w:t>
      </w:r>
    </w:p>
    <w:p>
      <w:pPr>
        <w:pStyle w:val="TextBody"/>
        <w:spacing w:before="240" w:after="0"/>
        <w:jc w:val="left"/>
        <w:rPr>
          <w:rFonts w:ascii="Times New Roman" w:hAnsi="Times New Roman"/>
          <w:sz w:val="20"/>
        </w:rPr>
      </w:pPr>
      <w:r>
        <w:rPr>
          <w:rFonts w:ascii="Times New Roman" w:hAnsi="Times New Roman"/>
          <w:sz w:val="20"/>
        </w:rPr>
        <w:t xml:space="preserve">For a period of three years following the Business Combination Closing, a majority of the Board will be (i) independent under applicable stock exchange rules and (ii) unaffiliated with Volvo Cars/Geely. In addition, for a period of three years following the Business Combination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 </w:t>
      </w:r>
    </w:p>
    <w:p>
      <w:pPr>
        <w:pStyle w:val="TextBody"/>
        <w:spacing w:before="240" w:after="0"/>
        <w:jc w:val="left"/>
        <w:rPr>
          <w:rFonts w:ascii="Times New Roman" w:hAnsi="Times New Roman"/>
          <w:sz w:val="20"/>
        </w:rPr>
      </w:pPr>
      <w:r>
        <w:rPr>
          <w:rFonts w:ascii="Times New Roman" w:hAnsi="Times New Roman"/>
          <w:sz w:val="20"/>
        </w:rPr>
        <w:t xml:space="preserve">In addition, pursuant to the Shareholder Acknowledgement Agreement, Former Parent and the Former Parent Shareholders have undertaken that (i) the initial Board after the Business Combination Closing will include nine directors, a majority of whom will be independent directors, (ii) for a period of three years following the Business Combination Closing, Former Parent and the Former Parent Shareholders will not vote in favor of the removal of any independent director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vote in favor of any amendment to the Polestar Articles relating to the composition of the Board or the appointment or removal of Company directors. The GGI Sponsor has third party beneficiary rights to enforce the aforementioned undertakings. </w:t>
      </w:r>
    </w:p>
    <w:p>
      <w:pPr>
        <w:pStyle w:val="TextBody"/>
        <w:spacing w:before="240" w:after="0"/>
        <w:jc w:val="left"/>
        <w:rPr>
          <w:rFonts w:ascii="Times New Roman" w:hAnsi="Times New Roman"/>
          <w:sz w:val="20"/>
        </w:rPr>
      </w:pPr>
      <w:r>
        <w:rPr>
          <w:rFonts w:ascii="Times New Roman" w:hAnsi="Times New Roman"/>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Karen Francis, Carla De Geyseleer, Karl-Thomas Neumann, David Richter and David Wei qualify as independent, as defined under the listing rules of Nasdaq. </w:t>
      </w:r>
    </w:p>
    <w:p>
      <w:pPr>
        <w:pStyle w:val="TextBody"/>
        <w:spacing w:before="360" w:after="0"/>
        <w:jc w:val="left"/>
        <w:rPr>
          <w:rFonts w:ascii="Times New Roman" w:hAnsi="Times New Roman"/>
          <w:b/>
          <w:i/>
          <w:sz w:val="20"/>
        </w:rPr>
      </w:pPr>
      <w:r>
        <w:rPr>
          <w:rFonts w:ascii="Times New Roman" w:hAnsi="Times New Roman"/>
          <w:b/>
          <w:i/>
          <w:sz w:val="20"/>
        </w:rPr>
        <w:t xml:space="preserve">Election of Directors </w:t>
      </w:r>
    </w:p>
    <w:p>
      <w:pPr>
        <w:pStyle w:val="TextBody"/>
        <w:spacing w:before="120" w:after="0"/>
        <w:jc w:val="left"/>
        <w:rPr>
          <w:rFonts w:ascii="Times New Roman" w:hAnsi="Times New Roman"/>
          <w:sz w:val="20"/>
        </w:rPr>
      </w:pPr>
      <w:r>
        <w:rPr>
          <w:rFonts w:ascii="Times New Roman" w:hAnsi="Times New Roman"/>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spacing w:before="360" w:after="0"/>
        <w:jc w:val="left"/>
        <w:rPr>
          <w:rFonts w:ascii="Times New Roman" w:hAnsi="Times New Roman"/>
          <w:b/>
          <w:i/>
          <w:sz w:val="20"/>
        </w:rPr>
      </w:pPr>
      <w:r>
        <w:rPr>
          <w:rFonts w:ascii="Times New Roman" w:hAnsi="Times New Roman"/>
          <w:b/>
          <w:i/>
          <w:sz w:val="20"/>
        </w:rPr>
        <w:t xml:space="preserve">Service Contracts of Directors </w:t>
      </w:r>
    </w:p>
    <w:p>
      <w:pPr>
        <w:pStyle w:val="TextBody"/>
        <w:spacing w:before="120" w:after="0"/>
        <w:jc w:val="left"/>
        <w:rPr>
          <w:rFonts w:ascii="Times New Roman" w:hAnsi="Times New Roman"/>
          <w:sz w:val="20"/>
        </w:rPr>
      </w:pPr>
      <w:r>
        <w:rPr>
          <w:rFonts w:ascii="Times New Roman" w:hAnsi="Times New Roman"/>
          <w:sz w:val="20"/>
        </w:rPr>
        <w:t xml:space="preserve">There are no service contracts between the Company and any of its current non-employee directors providing for benefits upon termination of their service. For a discussion of compensation, including post-termination benefits, of employee directors, see section titled “Compensation.” </w:t>
      </w:r>
    </w:p>
    <w:p>
      <w:pPr>
        <w:pStyle w:val="TextBody"/>
        <w:spacing w:before="360" w:after="0"/>
        <w:jc w:val="left"/>
        <w:rPr>
          <w:rFonts w:ascii="Times New Roman" w:hAnsi="Times New Roman"/>
          <w:b/>
          <w:i/>
          <w:sz w:val="20"/>
        </w:rPr>
      </w:pPr>
      <w:r>
        <w:rPr>
          <w:rFonts w:ascii="Times New Roman" w:hAnsi="Times New Roman"/>
          <w:b/>
          <w:i/>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 </w:t>
      </w:r>
    </w:p>
    <w:p>
      <w:pPr>
        <w:pStyle w:val="TextBody"/>
        <w:spacing w:before="360" w:after="0"/>
        <w:jc w:val="left"/>
        <w:rPr>
          <w:rFonts w:ascii="Times New Roman" w:hAnsi="Times New Roman"/>
          <w:i/>
          <w:sz w:val="20"/>
        </w:rPr>
      </w:pPr>
      <w:r>
        <w:rPr>
          <w:rFonts w:ascii="Times New Roman" w:hAnsi="Times New Roman"/>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 </w:t>
      </w:r>
    </w:p>
    <w:p>
      <w:pPr>
        <w:pStyle w:val="TextBody"/>
        <w:spacing w:before="240" w:after="0"/>
        <w:jc w:val="left"/>
        <w:rPr>
          <w:rFonts w:ascii="Times New Roman" w:hAnsi="Times New Roman"/>
          <w:sz w:val="20"/>
        </w:rPr>
      </w:pPr>
      <w:r>
        <w:rPr>
          <w:rFonts w:ascii="Times New Roman" w:hAnsi="Times New Roman"/>
          <w:sz w:val="20"/>
        </w:rPr>
        <w:t xml:space="preserve">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 </w:t>
      </w:r>
    </w:p>
    <w:p>
      <w:pPr>
        <w:pStyle w:val="TextBody"/>
        <w:spacing w:before="240" w:after="0"/>
        <w:jc w:val="left"/>
        <w:rPr>
          <w:rFonts w:ascii="Times New Roman" w:hAnsi="Times New Roman"/>
          <w:sz w:val="20"/>
        </w:rPr>
      </w:pPr>
      <w:r>
        <w:rPr>
          <w:rFonts w:ascii="Times New Roman" w:hAnsi="Times New Roman"/>
          <w:sz w:val="20"/>
        </w:rPr>
        <w:t xml:space="preserve">Duties of the audit committee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annually reviewing and assessing the adequacy of the audit committee charter and reviewing the performance of the audit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being responsible for recommending the appointment, retention and termination of the Company’s independent auditors and determining the compensation of the Company’s independent auditors; </w:t>
            </w:r>
          </w:p>
        </w:tc>
      </w:tr>
    </w:tbl>
    <w:p>
      <w:pPr>
        <w:pStyle w:val="TextBody"/>
        <w:spacing w:before="0" w:after="0"/>
        <w:jc w:val="left"/>
        <w:rPr/>
      </w:pPr>
      <w:r>
        <w:rPr/>
        <w:t> </w:t>
      </w:r>
    </w:p>
    <w:tbl>
      <w:tblPr>
        <w:tblW w:w="7375" w:type="dxa"/>
        <w:jc w:val="left"/>
        <w:tblInd w:w="0" w:type="dxa"/>
        <w:tblCellMar>
          <w:top w:w="0" w:type="dxa"/>
          <w:left w:w="0" w:type="dxa"/>
          <w:bottom w:w="0" w:type="dxa"/>
          <w:right w:w="0" w:type="dxa"/>
        </w:tblCellMar>
      </w:tblPr>
      <w:tblGrid>
        <w:gridCol w:w="75"/>
        <w:gridCol w:w="110"/>
        <w:gridCol w:w="60"/>
        <w:gridCol w:w="71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the plans and results of the audit engagement with the independent auditors;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75"/>
        <w:gridCol w:w="110"/>
        <w:gridCol w:w="6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evaluating the qualifications, performance and independence of the Company’s independent auditors;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having the authority to approve in advance all audit and non-audit services by the Company’s independent auditors, the scope and terms thereof and the fees therefor; reviewing the adequacy of the Company’s internal accounting controls;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ensuring the Company maintains a robust risk management function, including in respect of IT and cybersecurity risk management; and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110"/>
        <w:gridCol w:w="60"/>
        <w:gridCol w:w="9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meeting at least quarterly with the Company’s Chief Financial Officer and the Company’s independent auditors. </w:t>
            </w:r>
          </w:p>
        </w:tc>
      </w:tr>
    </w:tbl>
    <w:p>
      <w:pPr>
        <w:pStyle w:val="TextBody"/>
        <w:spacing w:before="240" w:after="0"/>
        <w:jc w:val="left"/>
        <w:rPr>
          <w:rFonts w:ascii="Times New Roman" w:hAnsi="Times New Roman"/>
          <w:sz w:val="20"/>
        </w:rPr>
      </w:pPr>
      <w:r>
        <w:rPr>
          <w:rFonts w:ascii="Times New Roman" w:hAnsi="Times New Roman"/>
          <w:sz w:val="20"/>
        </w:rPr>
        <w:t xml:space="preserve">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 </w:t>
      </w:r>
    </w:p>
    <w:p>
      <w:pPr>
        <w:pStyle w:val="TextBody"/>
        <w:spacing w:before="240" w:after="0"/>
        <w:jc w:val="left"/>
        <w:rPr>
          <w:rFonts w:ascii="Times New Roman" w:hAnsi="Times New Roman"/>
          <w:sz w:val="20"/>
        </w:rPr>
      </w:pPr>
      <w:r>
        <w:rPr>
          <w:rFonts w:ascii="Times New Roman" w:hAnsi="Times New Roman"/>
          <w:sz w:val="20"/>
        </w:rPr>
        <w:t xml:space="preserve">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The Company’s compensation committee consists of Karen Francis, Daniel Li, Jim Rowan and Karl-Thomas Neumann, with Karen Francis serving as the chair of the compensation committee.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the request of the Board, reviewing and making recommendations to the Board relating to management succession planning; </w:t>
            </w:r>
          </w:p>
        </w:tc>
      </w:tr>
    </w:tbl>
    <w:p>
      <w:pPr>
        <w:pStyle w:val="TextBody"/>
        <w:spacing w:before="0" w:after="0"/>
        <w:jc w:val="left"/>
        <w:rPr/>
      </w:pPr>
      <w:r>
        <w:rPr/>
        <w:t> </w:t>
      </w:r>
    </w:p>
    <w:tbl>
      <w:tblPr>
        <w:tblW w:w="9715" w:type="dxa"/>
        <w:jc w:val="left"/>
        <w:tblInd w:w="0" w:type="dxa"/>
        <w:tblCellMar>
          <w:top w:w="0" w:type="dxa"/>
          <w:left w:w="0" w:type="dxa"/>
          <w:bottom w:w="0" w:type="dxa"/>
          <w:right w:w="0" w:type="dxa"/>
        </w:tblCellMar>
      </w:tblPr>
      <w:tblGrid>
        <w:gridCol w:w="75"/>
        <w:gridCol w:w="110"/>
        <w:gridCol w:w="60"/>
        <w:gridCol w:w="9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administering, reviewing and making recommendations to the Board regarding the Company’s compensation plans;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providing oversight of management’s decisions regarding the performance, evaluation and compensation of other officers. </w:t>
            </w:r>
          </w:p>
        </w:tc>
      </w:tr>
    </w:tbl>
    <w:p>
      <w:pPr>
        <w:pStyle w:val="TextBody"/>
        <w:spacing w:before="240" w:after="0"/>
        <w:jc w:val="left"/>
        <w:rPr>
          <w:rFonts w:ascii="Times New Roman" w:hAnsi="Times New Roman"/>
          <w:sz w:val="20"/>
        </w:rPr>
      </w:pPr>
      <w:r>
        <w:rPr>
          <w:rFonts w:ascii="Times New Roman" w:hAnsi="Times New Roman"/>
          <w:sz w:val="20"/>
        </w:rPr>
        <w:t xml:space="preserve">The compensation committee operates under a written charter, which satisfies the applicable rules of the SEC and Nasdaq listing standards, and is available on the Company’s website. Information contained on the Company’s website is not incorporated by reference into this prospectus, and you should not consider information contained on the Company’s website to be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Nominating and Governance Committee </w:t>
      </w:r>
    </w:p>
    <w:p>
      <w:pPr>
        <w:pStyle w:val="TextBody"/>
        <w:spacing w:before="120" w:after="0"/>
        <w:jc w:val="left"/>
        <w:rPr>
          <w:rFonts w:ascii="Times New Roman" w:hAnsi="Times New Roman"/>
          <w:sz w:val="20"/>
        </w:rPr>
      </w:pPr>
      <w:r>
        <w:rPr>
          <w:rFonts w:ascii="Times New Roman" w:hAnsi="Times New Roman"/>
          <w:sz w:val="20"/>
        </w:rPr>
        <w:t xml:space="preserve">The Company’s nominating and governance committee consists of Karen Francis, Daniel Li, Jim Rowan and Håkan Samuelsson, with Håkan Samuelsson serving as the chair of the nominating and governance committee. The nominating and governance committee’s duties include, among other matters: </w:t>
      </w:r>
    </w:p>
    <w:p>
      <w:pPr>
        <w:pStyle w:val="TextBody"/>
        <w:spacing w:before="0" w:after="0"/>
        <w:jc w:val="left"/>
        <w:rPr/>
      </w:pPr>
      <w:r>
        <w:rPr/>
        <w:t> </w:t>
      </w:r>
    </w:p>
    <w:tbl>
      <w:tblPr>
        <w:tblW w:w="9580" w:type="dxa"/>
        <w:jc w:val="left"/>
        <w:tblInd w:w="0" w:type="dxa"/>
        <w:tblCellMar>
          <w:top w:w="0" w:type="dxa"/>
          <w:left w:w="0" w:type="dxa"/>
          <w:bottom w:w="0" w:type="dxa"/>
          <w:right w:w="0" w:type="dxa"/>
        </w:tblCellMar>
      </w:tblPr>
      <w:tblGrid>
        <w:gridCol w:w="75"/>
        <w:gridCol w:w="110"/>
        <w:gridCol w:w="60"/>
        <w:gridCol w:w="9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selecting and recommending to the Board nominees for election by the shareholders or appointment by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annually reviewing with the Board the composition of the board with regards to characteristics such as independence, knowledge, skills, experience and diversity of the Board members;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making recommendations on the frequency and structure of board meetings and monitoring the functioning of the committees of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the Board a set of corporate governance guidelines applicable to the Company and periodically reviewing such guidelines and recommending changes to the Board for approval as necessary; and </w:t>
            </w:r>
          </w:p>
        </w:tc>
      </w:tr>
    </w:tbl>
    <w:p>
      <w:pPr>
        <w:pStyle w:val="TextBody"/>
        <w:spacing w:before="0" w:after="0"/>
        <w:jc w:val="left"/>
        <w:rPr/>
      </w:pPr>
      <w:r>
        <w:rPr/>
        <w:t> </w:t>
      </w:r>
    </w:p>
    <w:tbl>
      <w:tblPr>
        <w:tblW w:w="4465" w:type="dxa"/>
        <w:jc w:val="left"/>
        <w:tblInd w:w="0" w:type="dxa"/>
        <w:tblCellMar>
          <w:top w:w="0" w:type="dxa"/>
          <w:left w:w="0" w:type="dxa"/>
          <w:bottom w:w="0" w:type="dxa"/>
          <w:right w:w="0" w:type="dxa"/>
        </w:tblCellMar>
      </w:tblPr>
      <w:tblGrid>
        <w:gridCol w:w="75"/>
        <w:gridCol w:w="110"/>
        <w:gridCol w:w="60"/>
        <w:gridCol w:w="4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annual self-evaluation of the Board. </w:t>
            </w:r>
          </w:p>
        </w:tc>
      </w:tr>
    </w:tbl>
    <w:p>
      <w:pPr>
        <w:pStyle w:val="TextBody"/>
        <w:spacing w:before="240" w:after="0"/>
        <w:jc w:val="left"/>
        <w:rPr>
          <w:rFonts w:ascii="Times New Roman" w:hAnsi="Times New Roman"/>
          <w:sz w:val="20"/>
        </w:rPr>
      </w:pPr>
      <w:r>
        <w:rPr>
          <w:rFonts w:ascii="Times New Roman" w:hAnsi="Times New Roman"/>
          <w:sz w:val="20"/>
        </w:rPr>
        <w:t xml:space="preserve">The nominating and governance committee operates under a written charter, which satisfies the applicable rules of the SEC and the Nasdaq listing standards and is available on the Company’s website.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b/>
          <w:sz w:val="20"/>
        </w:rPr>
      </w:pPr>
      <w:r>
        <w:rPr>
          <w:rFonts w:ascii="Times New Roman" w:hAnsi="Times New Roman"/>
          <w:b/>
          <w:sz w:val="20"/>
        </w:rPr>
        <w:t xml:space="preserve">Code of Conduct </w:t>
      </w:r>
    </w:p>
    <w:p>
      <w:pPr>
        <w:pStyle w:val="TextBody"/>
        <w:spacing w:before="120" w:after="0"/>
        <w:jc w:val="left"/>
        <w:rPr>
          <w:rFonts w:ascii="Times New Roman" w:hAnsi="Times New Roman"/>
          <w:sz w:val="20"/>
        </w:rPr>
      </w:pPr>
      <w:r>
        <w:rPr>
          <w:rFonts w:ascii="Times New Roman" w:hAnsi="Times New Roman"/>
          <w:sz w:val="20"/>
        </w:rPr>
        <w:t xml:space="preserve">The Board has adopted a code of conduct that establishes the standards of ethical conduct applicable to all of the Company’s directors, officers, employees, and, as applicable, consultants and contractors. Key compliance areas for Polestar include anti-corruption, data privacy, human rights, environmental compliance, and socioeconomic compliance including competition law, labor law and trade sanctions. The code of conduct addresses, among other things, competition, intellectual property, conflicts of interest, compliance with applicable governmental laws, rules and regulations, company assets, confidentiality requirements and the process for reporting violations of the code of conduct.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through Polestar’s whistleblowing system SpeakUp with a guaranteed full anonymity. </w:t>
      </w:r>
    </w:p>
    <w:p>
      <w:pPr>
        <w:pStyle w:val="TextBody"/>
        <w:spacing w:before="240" w:after="0"/>
        <w:jc w:val="left"/>
        <w:rPr>
          <w:rFonts w:ascii="Times New Roman" w:hAnsi="Times New Roman"/>
          <w:sz w:val="20"/>
        </w:rPr>
      </w:pPr>
      <w:r>
        <w:rPr>
          <w:rFonts w:ascii="Times New Roman" w:hAnsi="Times New Roman"/>
          <w:sz w:val="20"/>
        </w:rPr>
        <w:t xml:space="preserve">Any waiver of the code of conduct with respect to any director or executive officer will be promptly disclosed and posted on the Company’s website. Amendments to the code will be promptly disclosed and posted on the Company’s website. The code of conduct is available on Polestar’s website.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b/>
          <w:sz w:val="20"/>
        </w:rPr>
      </w:pPr>
      <w:r>
        <w:rPr>
          <w:rFonts w:ascii="Times New Roman" w:hAnsi="Times New Roman"/>
          <w:b/>
          <w:sz w:val="20"/>
        </w:rPr>
        <w:t xml:space="preserve">Foreign Private Issuer </w:t>
      </w:r>
    </w:p>
    <w:p>
      <w:pPr>
        <w:pStyle w:val="TextBody"/>
        <w:spacing w:before="120" w:after="0"/>
        <w:jc w:val="left"/>
        <w:rPr>
          <w:rFonts w:ascii="Times New Roman" w:hAnsi="Times New Roman"/>
          <w:sz w:val="20"/>
        </w:rPr>
      </w:pPr>
      <w:r>
        <w:rPr>
          <w:rFonts w:ascii="Times New Roman" w:hAnsi="Times New Roman"/>
          <w:sz w:val="20"/>
        </w:rPr>
        <w:t xml:space="preserve">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before="240" w:after="0"/>
        <w:jc w:val="left"/>
        <w:rPr>
          <w:rFonts w:ascii="Times New Roman" w:hAnsi="Times New Roman"/>
          <w:sz w:val="20"/>
        </w:rPr>
      </w:pPr>
      <w:r>
        <w:rPr>
          <w:rFonts w:ascii="Times New Roman" w:hAnsi="Times New Roman"/>
          <w:sz w:val="20"/>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pStyle w:val="TextBody"/>
        <w:spacing w:before="240" w:after="0"/>
        <w:jc w:val="left"/>
        <w:rPr>
          <w:rFonts w:ascii="Times New Roman" w:hAnsi="Times New Roman"/>
          <w:sz w:val="20"/>
        </w:rPr>
      </w:pPr>
      <w:r>
        <w:rPr>
          <w:rFonts w:ascii="Times New Roman" w:hAnsi="Times New Roman"/>
          <w:sz w:val="20"/>
        </w:rPr>
        <w:t xml:space="preserve">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if not required by the laws of England and Wales, elect not to obtain shareholders’ approval prior to any further issuance of its Class A ADSs or prior to adopting or materially revising equity compensation plans or share incentive plans. </w:t>
      </w:r>
    </w:p>
    <w:p>
      <w:pPr>
        <w:pStyle w:val="TextBody"/>
        <w:spacing w:before="240" w:after="0"/>
        <w:jc w:val="left"/>
        <w:rPr>
          <w:rFonts w:ascii="Times New Roman" w:hAnsi="Times New Roman"/>
          <w:sz w:val="20"/>
        </w:rPr>
      </w:pPr>
      <w:r>
        <w:rPr>
          <w:rFonts w:ascii="Times New Roman" w:hAnsi="Times New Roman"/>
          <w:sz w:val="20"/>
        </w:rPr>
        <w:t xml:space="preserve">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sz w:val="20"/>
        </w:rPr>
      </w:pPr>
      <w:r>
        <w:rPr>
          <w:rFonts w:ascii="Times New Roman" w:hAnsi="Times New Roman"/>
          <w:b/>
          <w:sz w:val="20"/>
        </w:rPr>
        <w:t xml:space="preserve">Controlled Company </w:t>
      </w:r>
    </w:p>
    <w:p>
      <w:pPr>
        <w:pStyle w:val="TextBody"/>
        <w:spacing w:before="120" w:after="0"/>
        <w:jc w:val="left"/>
        <w:rPr>
          <w:rFonts w:ascii="Times New Roman" w:hAnsi="Times New Roman"/>
          <w:sz w:val="20"/>
        </w:rPr>
      </w:pPr>
      <w:r>
        <w:rPr>
          <w:rFonts w:ascii="Times New Roman" w:hAnsi="Times New Roman"/>
          <w:sz w:val="20"/>
        </w:rPr>
        <w:t xml:space="preserve">By virtue of being a controlled company under Nasdaq listing rules, the Company may elect not to comply with certain Nasdaq corporate governance requirements, including that: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nominating and governance committee be composed entirely of independent directors with a written charter addressing the committee’s purpose and responsibilities; and </w:t>
            </w:r>
          </w:p>
        </w:tc>
      </w:tr>
    </w:tbl>
    <w:p>
      <w:pPr>
        <w:pStyle w:val="TextBody"/>
        <w:spacing w:before="0" w:after="0"/>
        <w:jc w:val="left"/>
        <w:rPr/>
      </w:pPr>
      <w:r>
        <w:rPr/>
        <w:t> </w:t>
      </w:r>
    </w:p>
    <w:tbl>
      <w:tblPr>
        <w:tblW w:w="9160" w:type="dxa"/>
        <w:jc w:val="left"/>
        <w:tblInd w:w="0" w:type="dxa"/>
        <w:tblCellMar>
          <w:top w:w="0" w:type="dxa"/>
          <w:left w:w="0" w:type="dxa"/>
          <w:bottom w:w="0" w:type="dxa"/>
          <w:right w:w="0" w:type="dxa"/>
        </w:tblCellMar>
      </w:tblPr>
      <w:tblGrid>
        <w:gridCol w:w="75"/>
        <w:gridCol w:w="110"/>
        <w:gridCol w:w="60"/>
        <w:gridCol w:w="8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there be an annual performance evaluation of the compensation and nominating and governance committees. </w:t>
            </w:r>
          </w:p>
        </w:tc>
      </w:tr>
    </w:tbl>
    <w:p>
      <w:pPr>
        <w:pStyle w:val="TextBody"/>
        <w:spacing w:before="240" w:after="0"/>
        <w:jc w:val="left"/>
        <w:rPr>
          <w:rFonts w:ascii="Times New Roman" w:hAnsi="Times New Roman"/>
          <w:sz w:val="20"/>
        </w:rPr>
      </w:pPr>
      <w:r>
        <w:rPr>
          <w:rFonts w:ascii="Times New Roman" w:hAnsi="Times New Roman"/>
          <w:sz w:val="2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472016_17"/>
      <w:bookmarkEnd w:id="19"/>
      <w:r>
        <w:rPr>
          <w:rFonts w:ascii="Times New Roman" w:hAnsi="Times New Roman"/>
          <w:b/>
          <w:sz w:val="20"/>
        </w:rPr>
        <w:t xml:space="preserve">COMPENSATION </w:t>
      </w:r>
    </w:p>
    <w:p>
      <w:pPr>
        <w:pStyle w:val="TextBody"/>
        <w:spacing w:before="240" w:after="0"/>
        <w:jc w:val="left"/>
        <w:rPr>
          <w:rFonts w:ascii="Times New Roman" w:hAnsi="Times New Roman"/>
          <w:b/>
          <w:sz w:val="20"/>
        </w:rPr>
      </w:pPr>
      <w:r>
        <w:rPr>
          <w:rFonts w:ascii="Times New Roman" w:hAnsi="Times New Roman"/>
          <w:b/>
          <w:sz w:val="20"/>
        </w:rPr>
        <w:t xml:space="preserve">Compensation of Polestar’s Key Management and Directors </w:t>
      </w:r>
    </w:p>
    <w:p>
      <w:pPr>
        <w:pStyle w:val="TextBody"/>
        <w:spacing w:before="120" w:after="0"/>
        <w:jc w:val="left"/>
        <w:rPr>
          <w:rFonts w:ascii="Times New Roman" w:hAnsi="Times New Roman"/>
          <w:sz w:val="20"/>
        </w:rPr>
      </w:pPr>
      <w:r>
        <w:rPr>
          <w:rFonts w:ascii="Times New Roman" w:hAnsi="Times New Roman"/>
          <w:sz w:val="20"/>
        </w:rPr>
        <w:t xml:space="preserve">The aggregate amount of compensation, including cash, equity awards and other benefits the Company’s executive officers (Thomas Ingenlath, Johan Malmqvist and Dennis Nobelius) received from Polestar for the year ended December 31, 2022 was approximately SEK 35,445,650 (or TUSD3,374). The compensation paid to Polestar’s executive officers in fiscal year 2022 consisted of base salary, short-term variable pay, equity awards and the value of pension benefits and other employee benefits. </w:t>
      </w:r>
    </w:p>
    <w:p>
      <w:pPr>
        <w:pStyle w:val="TextBody"/>
        <w:spacing w:before="360" w:after="0"/>
        <w:jc w:val="left"/>
        <w:rPr>
          <w:rFonts w:ascii="Times New Roman" w:hAnsi="Times New Roman"/>
          <w:b/>
          <w:sz w:val="20"/>
        </w:rPr>
      </w:pPr>
      <w:r>
        <w:rPr>
          <w:rFonts w:ascii="Times New Roman" w:hAnsi="Times New Roman"/>
          <w:b/>
          <w:sz w:val="20"/>
        </w:rPr>
        <w:t xml:space="preserve">Incentive Programs </w:t>
      </w:r>
    </w:p>
    <w:p>
      <w:pPr>
        <w:pStyle w:val="TextBody"/>
        <w:spacing w:before="120" w:after="0"/>
        <w:jc w:val="left"/>
        <w:rPr>
          <w:rFonts w:ascii="Times New Roman" w:hAnsi="Times New Roman"/>
          <w:i/>
          <w:sz w:val="20"/>
        </w:rPr>
      </w:pPr>
      <w:r>
        <w:rPr>
          <w:rFonts w:ascii="Times New Roman" w:hAnsi="Times New Roman"/>
          <w:i/>
          <w:sz w:val="20"/>
        </w:rPr>
        <w:t xml:space="preserve">Polestar Bonus Program </w:t>
      </w:r>
    </w:p>
    <w:p>
      <w:pPr>
        <w:pStyle w:val="TextBody"/>
        <w:spacing w:before="120" w:after="0"/>
        <w:jc w:val="left"/>
        <w:rPr>
          <w:rFonts w:ascii="Times New Roman" w:hAnsi="Times New Roman"/>
          <w:sz w:val="20"/>
        </w:rPr>
      </w:pPr>
      <w:r>
        <w:rPr>
          <w:rFonts w:ascii="Times New Roman" w:hAnsi="Times New Roman"/>
          <w:sz w:val="20"/>
        </w:rPr>
        <w:t xml:space="preserve">All employees of Polestar, including each of the Company’s executive officers, participate in the Polestar Bonus Program, a short-term cash incentive program, for which key performance indicators (“KPIs”) and the pay-outs are approved by the Board annually. Under the Polestar Bonus Program, employees are eligible to receive an annual cash bonus based on generally applicable and market-specific KPIs. At the end of the applicable performance period, the Board determines the achievement of the relevant performance metrics. </w:t>
      </w:r>
    </w:p>
    <w:p>
      <w:pPr>
        <w:pStyle w:val="TextBody"/>
        <w:spacing w:before="240" w:after="0"/>
        <w:jc w:val="left"/>
        <w:rPr>
          <w:rFonts w:ascii="Times New Roman" w:hAnsi="Times New Roman"/>
          <w:sz w:val="20"/>
        </w:rPr>
      </w:pPr>
      <w:r>
        <w:rPr>
          <w:rFonts w:ascii="Times New Roman" w:hAnsi="Times New Roman"/>
          <w:sz w:val="20"/>
        </w:rPr>
        <w:t xml:space="preserve">For fiscal year 2022, the Polestar Bonus Program was based on the following five KPIs: (i) operational growth and retail deliveries volume; (ii) financial growth; (iii) customer experience; (iv) market expansion and (v) retail expansion. After the conclusion of the fiscal year 2022 performance period on December 31, 2022, the Board determined that the KPIs were achieved at 106% of target levels on a weighted basis, resulting in a payout equal to 106% of target bonus levels, as shown below. </w:t>
      </w:r>
    </w:p>
    <w:p>
      <w:pPr>
        <w:pStyle w:val="TextBody"/>
        <w:spacing w:before="0" w:after="0"/>
        <w:jc w:val="left"/>
        <w:rPr/>
      </w:pPr>
      <w:r>
        <w:rPr/>
        <w:t> </w:t>
      </w:r>
    </w:p>
    <w:tbl>
      <w:tblPr>
        <w:tblW w:w="10350" w:type="dxa"/>
        <w:jc w:val="left"/>
        <w:tblInd w:w="0" w:type="dxa"/>
        <w:tblCellMar>
          <w:top w:w="0" w:type="dxa"/>
          <w:left w:w="0" w:type="dxa"/>
          <w:bottom w:w="0" w:type="dxa"/>
          <w:right w:w="0" w:type="dxa"/>
        </w:tblCellMar>
      </w:tblPr>
      <w:tblGrid>
        <w:gridCol w:w="995"/>
        <w:gridCol w:w="120"/>
        <w:gridCol w:w="200"/>
        <w:gridCol w:w="870"/>
        <w:gridCol w:w="275"/>
        <w:gridCol w:w="60"/>
        <w:gridCol w:w="200"/>
        <w:gridCol w:w="870"/>
        <w:gridCol w:w="275"/>
        <w:gridCol w:w="60"/>
        <w:gridCol w:w="84"/>
        <w:gridCol w:w="536"/>
        <w:gridCol w:w="275"/>
        <w:gridCol w:w="60"/>
        <w:gridCol w:w="145"/>
        <w:gridCol w:w="925"/>
        <w:gridCol w:w="275"/>
        <w:gridCol w:w="60"/>
        <w:gridCol w:w="83"/>
        <w:gridCol w:w="612"/>
        <w:gridCol w:w="275"/>
        <w:gridCol w:w="60"/>
        <w:gridCol w:w="130"/>
        <w:gridCol w:w="955"/>
        <w:gridCol w:w="320"/>
        <w:gridCol w:w="60"/>
        <w:gridCol w:w="148"/>
        <w:gridCol w:w="1087"/>
        <w:gridCol w:w="335"/>
      </w:tblGrid>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10015" w:type="dxa"/>
            <w:gridSpan w:val="28"/>
            <w:tcBorders/>
            <w:shd w:fill="auto" w:val="clear"/>
            <w:vAlign w:val="center"/>
          </w:tcPr>
          <w:p>
            <w:pPr>
              <w:pStyle w:val="TableContents"/>
              <w:spacing w:before="0" w:after="283"/>
              <w:jc w:val="center"/>
              <w:rPr>
                <w:b/>
              </w:rPr>
            </w:pPr>
            <w:r>
              <w:rPr>
                <w:b/>
              </w:rPr>
              <w:t>Performance Targets</w:t>
            </w:r>
          </w:p>
        </w:tc>
        <w:tc>
          <w:tcPr>
            <w:tcW w:w="33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jc w:val="center"/>
              <w:rPr>
                <w:b/>
              </w:rPr>
            </w:pPr>
            <w:r>
              <w:rPr>
                <w:b/>
              </w:rPr>
              <w:t>Metric</w:t>
            </w:r>
          </w:p>
        </w:tc>
        <w:tc>
          <w:tcPr>
            <w:tcW w:w="12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283"/>
              <w:jc w:val="center"/>
              <w:rPr>
                <w:b/>
              </w:rPr>
            </w:pPr>
            <w:r>
              <w:rPr>
                <w:b/>
              </w:rPr>
              <w:t>Weighting</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283"/>
              <w:jc w:val="center"/>
              <w:rPr>
                <w:b/>
              </w:rPr>
            </w:pPr>
            <w:r>
              <w:rPr>
                <w:b/>
              </w:rPr>
              <w:t>Threshold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b/>
              </w:rPr>
            </w:pPr>
            <w:r>
              <w:rPr>
                <w:b/>
              </w:rPr>
              <w:t>On</w:t>
              <w:br/>
              <w:t>target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283"/>
              <w:jc w:val="center"/>
              <w:rPr>
                <w:b/>
              </w:rPr>
            </w:pPr>
            <w:r>
              <w:rPr>
                <w:b/>
              </w:rPr>
              <w:t>Maximum</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b/>
              </w:rPr>
            </w:pPr>
            <w:r>
              <w:rPr>
                <w:b/>
              </w:rPr>
              <w:t>Actual</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gridSpan w:val="2"/>
            <w:tcBorders/>
            <w:shd w:fill="auto" w:val="clear"/>
            <w:vAlign w:val="center"/>
          </w:tcPr>
          <w:p>
            <w:pPr>
              <w:pStyle w:val="TableContents"/>
              <w:spacing w:before="0" w:after="283"/>
              <w:jc w:val="center"/>
              <w:rPr>
                <w:b/>
              </w:rPr>
            </w:pPr>
            <w:r>
              <w:rPr>
                <w:b/>
              </w:rPr>
              <w:t>% Vesting</w:t>
            </w:r>
          </w:p>
        </w:tc>
        <w:tc>
          <w:tcPr>
            <w:tcW w:w="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jc w:val="center"/>
              <w:rPr>
                <w:b/>
              </w:rPr>
            </w:pPr>
            <w:r>
              <w:rPr>
                <w:b/>
              </w:rPr>
              <w:t>% Of max</w:t>
              <w:br/>
              <w:t>bonus</w:t>
              <w:br/>
              <w:t>opportunity</w:t>
            </w:r>
          </w:p>
        </w:tc>
        <w:tc>
          <w:tcPr>
            <w:tcW w:w="33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Operational Growth</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75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200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12" w:type="dxa"/>
            <w:tcBorders/>
            <w:shd w:fill="CCEEFF" w:val="clear"/>
            <w:vAlign w:val="center"/>
          </w:tcPr>
          <w:p>
            <w:pPr>
              <w:pStyle w:val="TableContents"/>
              <w:spacing w:before="0" w:after="283"/>
              <w:jc w:val="right"/>
              <w:rPr/>
            </w:pPr>
            <w:r>
              <w:rPr/>
              <w:t>77.5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55" w:type="dxa"/>
            <w:tcBorders/>
            <w:shd w:fill="CCEEFF" w:val="clear"/>
            <w:vAlign w:val="center"/>
          </w:tcPr>
          <w:p>
            <w:pPr>
              <w:pStyle w:val="TableContents"/>
              <w:spacing w:before="0" w:after="283"/>
              <w:jc w:val="right"/>
              <w:rPr/>
            </w:pPr>
            <w:r>
              <w:rPr/>
              <w:t>77.5</w:t>
            </w:r>
          </w:p>
        </w:tc>
        <w:tc>
          <w:tcPr>
            <w:tcW w:w="3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087" w:type="dxa"/>
            <w:tcBorders/>
            <w:shd w:fill="CCEEFF" w:val="clear"/>
            <w:vAlign w:val="center"/>
          </w:tcPr>
          <w:p>
            <w:pPr>
              <w:pStyle w:val="TableContents"/>
              <w:spacing w:before="0" w:after="283"/>
              <w:jc w:val="right"/>
              <w:rPr/>
            </w:pPr>
            <w:r>
              <w:rPr/>
              <w:t>38.6</w:t>
            </w:r>
          </w:p>
        </w:tc>
        <w:tc>
          <w:tcPr>
            <w:tcW w:w="335" w:type="dxa"/>
            <w:tcBorders/>
            <w:shd w:fill="CCEE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Financial Growth</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100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200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612" w:type="dxa"/>
            <w:tcBorders/>
            <w:shd w:fill="auto" w:val="clear"/>
            <w:vAlign w:val="center"/>
          </w:tcPr>
          <w:p>
            <w:pPr>
              <w:pStyle w:val="TableContents"/>
              <w:spacing w:before="0" w:after="283"/>
              <w:jc w:val="right"/>
              <w:rPr/>
            </w:pPr>
            <w:r>
              <w:rPr/>
              <w:t>86.5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86.5</w:t>
            </w:r>
          </w:p>
        </w:tc>
        <w:tc>
          <w:tcPr>
            <w:tcW w:w="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087" w:type="dxa"/>
            <w:tcBorders/>
            <w:shd w:fill="auto" w:val="clear"/>
            <w:vAlign w:val="center"/>
          </w:tcPr>
          <w:p>
            <w:pPr>
              <w:pStyle w:val="TableContents"/>
              <w:spacing w:before="0" w:after="283"/>
              <w:jc w:val="right"/>
              <w:rPr/>
            </w:pPr>
            <w:r>
              <w:rPr/>
              <w:t>43.3</w:t>
            </w:r>
          </w:p>
        </w:tc>
        <w:tc>
          <w:tcPr>
            <w:tcW w:w="33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Customer Experience</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75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200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12" w:type="dxa"/>
            <w:tcBorders/>
            <w:shd w:fill="CCEEFF" w:val="clear"/>
            <w:vAlign w:val="center"/>
          </w:tcPr>
          <w:p>
            <w:pPr>
              <w:pStyle w:val="TableContents"/>
              <w:spacing w:before="0" w:after="283"/>
              <w:jc w:val="right"/>
              <w:rPr/>
            </w:pPr>
            <w:r>
              <w:rPr/>
              <w:t>140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55" w:type="dxa"/>
            <w:tcBorders/>
            <w:shd w:fill="CCEEFF" w:val="clear"/>
            <w:vAlign w:val="center"/>
          </w:tcPr>
          <w:p>
            <w:pPr>
              <w:pStyle w:val="TableContents"/>
              <w:spacing w:before="0" w:after="283"/>
              <w:jc w:val="right"/>
              <w:rPr/>
            </w:pPr>
            <w:r>
              <w:rPr/>
              <w:t>140</w:t>
            </w:r>
          </w:p>
        </w:tc>
        <w:tc>
          <w:tcPr>
            <w:tcW w:w="3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087" w:type="dxa"/>
            <w:tcBorders/>
            <w:shd w:fill="CCEEFF" w:val="clear"/>
            <w:vAlign w:val="center"/>
          </w:tcPr>
          <w:p>
            <w:pPr>
              <w:pStyle w:val="TableContents"/>
              <w:spacing w:before="0" w:after="283"/>
              <w:jc w:val="right"/>
              <w:rPr/>
            </w:pPr>
            <w:r>
              <w:rPr/>
              <w:t>70</w:t>
            </w:r>
          </w:p>
        </w:tc>
        <w:tc>
          <w:tcPr>
            <w:tcW w:w="335" w:type="dxa"/>
            <w:tcBorders/>
            <w:shd w:fill="CCEE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 Expansion</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right"/>
              <w:rPr/>
            </w:pPr>
            <w:r>
              <w:rPr/>
              <w:t>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536" w:type="dxa"/>
            <w:tcBorders/>
            <w:shd w:fill="auto" w:val="clear"/>
            <w:vAlign w:val="center"/>
          </w:tcPr>
          <w:p>
            <w:pPr>
              <w:pStyle w:val="TableContents"/>
              <w:spacing w:before="0" w:after="283"/>
              <w:jc w:val="right"/>
              <w:rPr/>
            </w:pPr>
            <w:r>
              <w:rPr/>
              <w:t>100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200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612" w:type="dxa"/>
            <w:tcBorders/>
            <w:shd w:fill="auto" w:val="clear"/>
            <w:vAlign w:val="center"/>
          </w:tcPr>
          <w:p>
            <w:pPr>
              <w:pStyle w:val="TableContents"/>
              <w:spacing w:before="0" w:after="283"/>
              <w:jc w:val="right"/>
              <w:rPr/>
            </w:pPr>
            <w:r>
              <w:rPr/>
              <w:t>100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100</w:t>
            </w:r>
          </w:p>
        </w:tc>
        <w:tc>
          <w:tcPr>
            <w:tcW w:w="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087" w:type="dxa"/>
            <w:tcBorders/>
            <w:shd w:fill="auto" w:val="clear"/>
            <w:vAlign w:val="center"/>
          </w:tcPr>
          <w:p>
            <w:pPr>
              <w:pStyle w:val="TableContents"/>
              <w:spacing w:before="0" w:after="283"/>
              <w:jc w:val="right"/>
              <w:rPr/>
            </w:pPr>
            <w:r>
              <w:rPr/>
              <w:t>50</w:t>
            </w:r>
          </w:p>
        </w:tc>
        <w:tc>
          <w:tcPr>
            <w:tcW w:w="33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Retail Expansion</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right"/>
              <w:rPr/>
            </w:pPr>
            <w:r>
              <w:rPr/>
              <w:t>75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536"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200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612"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55" w:type="dxa"/>
            <w:tcBorders/>
            <w:shd w:fill="CCEEFF" w:val="clear"/>
            <w:vAlign w:val="center"/>
          </w:tcPr>
          <w:p>
            <w:pPr>
              <w:pStyle w:val="TableContents"/>
              <w:spacing w:before="0" w:after="283"/>
              <w:jc w:val="right"/>
              <w:rPr/>
            </w:pPr>
            <w:r>
              <w:rPr/>
              <w:t>100</w:t>
            </w:r>
          </w:p>
        </w:tc>
        <w:tc>
          <w:tcPr>
            <w:tcW w:w="3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087" w:type="dxa"/>
            <w:tcBorders/>
            <w:shd w:fill="CCEEFF" w:val="clear"/>
            <w:vAlign w:val="center"/>
          </w:tcPr>
          <w:p>
            <w:pPr>
              <w:pStyle w:val="TableContents"/>
              <w:spacing w:before="0" w:after="283"/>
              <w:jc w:val="right"/>
              <w:rPr/>
            </w:pPr>
            <w:r>
              <w:rPr/>
              <w:t>50</w:t>
            </w:r>
          </w:p>
        </w:tc>
        <w:tc>
          <w:tcPr>
            <w:tcW w:w="335" w:type="dxa"/>
            <w:tcBorders/>
            <w:shd w:fill="CCEEFF" w:val="clear"/>
            <w:vAlign w:val="center"/>
          </w:tcPr>
          <w:p>
            <w:pPr>
              <w:pStyle w:val="TableContents"/>
              <w:spacing w:before="0" w:after="283"/>
              <w:rPr/>
            </w:pPr>
            <w:r>
              <w:rPr/>
              <w:t>% </w:t>
            </w:r>
          </w:p>
        </w:tc>
      </w:tr>
      <w:tr>
        <w:trPr/>
        <w:tc>
          <w:tcPr>
            <w:tcW w:w="6980" w:type="dxa"/>
            <w:gridSpan w:val="2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Total</w:t>
            </w:r>
          </w:p>
        </w:tc>
        <w:tc>
          <w:tcPr>
            <w:tcW w:w="2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b/>
              </w:rPr>
            </w:pPr>
            <w:r>
              <w:rPr>
                <w:b/>
              </w:rPr>
              <w:t>106</w:t>
            </w:r>
          </w:p>
        </w:tc>
        <w:tc>
          <w:tcPr>
            <w:tcW w:w="320" w:type="dxa"/>
            <w:tcBorders/>
            <w:shd w:fill="auto" w:val="cle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087" w:type="dxa"/>
            <w:tcBorders/>
            <w:shd w:fill="auto" w:val="clear"/>
            <w:vAlign w:val="center"/>
          </w:tcPr>
          <w:p>
            <w:pPr>
              <w:pStyle w:val="TableContents"/>
              <w:spacing w:before="0" w:after="283"/>
              <w:jc w:val="right"/>
              <w:rPr>
                <w:b/>
              </w:rPr>
            </w:pPr>
            <w:r>
              <w:rPr>
                <w:b/>
              </w:rPr>
              <w:t>53</w:t>
            </w:r>
          </w:p>
        </w:tc>
        <w:tc>
          <w:tcPr>
            <w:tcW w:w="335" w:type="dxa"/>
            <w:tcBorders/>
            <w:shd w:fill="auto" w:val="clear"/>
            <w:vAlign w:val="center"/>
          </w:tcPr>
          <w:p>
            <w:pPr>
              <w:pStyle w:val="TableContents"/>
              <w:spacing w:before="0" w:after="283"/>
              <w:rPr>
                <w:b/>
              </w:rPr>
            </w:pPr>
            <w:r>
              <w:rPr>
                <w:b/>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5"/>
        <w:gridCol w:w="120"/>
        <w:gridCol w:w="666"/>
        <w:gridCol w:w="666"/>
        <w:gridCol w:w="668"/>
        <w:gridCol w:w="120"/>
        <w:gridCol w:w="181"/>
        <w:gridCol w:w="1704"/>
        <w:gridCol w:w="275"/>
        <w:gridCol w:w="60"/>
        <w:gridCol w:w="458"/>
        <w:gridCol w:w="458"/>
        <w:gridCol w:w="461"/>
        <w:gridCol w:w="120"/>
        <w:gridCol w:w="186"/>
        <w:gridCol w:w="1184"/>
        <w:gridCol w:w="275"/>
        <w:gridCol w:w="60"/>
        <w:gridCol w:w="82"/>
        <w:gridCol w:w="1355"/>
        <w:gridCol w:w="81"/>
      </w:tblGrid>
      <w:tr>
        <w:trPr/>
        <w:tc>
          <w:tcPr>
            <w:tcW w:w="1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r>
      <w:tr>
        <w:trPr/>
        <w:tc>
          <w:tcPr>
            <w:tcW w:w="1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00" w:type="dxa"/>
            <w:gridSpan w:val="3"/>
            <w:tcBorders/>
            <w:shd w:fill="auto" w:val="clear"/>
            <w:vAlign w:val="center"/>
          </w:tcPr>
          <w:p>
            <w:pPr>
              <w:pStyle w:val="TableContents"/>
              <w:spacing w:before="0" w:after="283"/>
              <w:jc w:val="center"/>
              <w:rPr/>
            </w:pPr>
            <w:r>
              <w:rPr>
                <w:b/>
              </w:rPr>
              <w:t>Financial measures</w:t>
              <w:br/>
            </w:r>
            <w:r>
              <w:rPr/>
              <w:t>(% of bonus</w:t>
              <w:br/>
              <w:t>achieved, max 100%)</w:t>
            </w:r>
          </w:p>
        </w:tc>
        <w:tc>
          <w:tcPr>
            <w:tcW w:w="120" w:type="dxa"/>
            <w:tcBorders/>
            <w:shd w:fill="auto" w:val="clear"/>
            <w:vAlign w:val="center"/>
          </w:tcPr>
          <w:p>
            <w:pPr>
              <w:pStyle w:val="TableContents"/>
              <w:spacing w:before="0" w:after="283"/>
              <w:rPr/>
            </w:pPr>
            <w:r>
              <w:rPr/>
              <w:t>  </w:t>
            </w:r>
          </w:p>
        </w:tc>
        <w:tc>
          <w:tcPr>
            <w:tcW w:w="1885" w:type="dxa"/>
            <w:gridSpan w:val="2"/>
            <w:tcBorders/>
            <w:shd w:fill="auto" w:val="clear"/>
            <w:vAlign w:val="center"/>
          </w:tcPr>
          <w:p>
            <w:pPr>
              <w:pStyle w:val="TableContents"/>
              <w:spacing w:before="0" w:after="283"/>
              <w:jc w:val="center"/>
              <w:rPr/>
            </w:pPr>
            <w:r>
              <w:rPr>
                <w:b/>
              </w:rPr>
              <w:t>Non-financial</w:t>
              <w:br/>
              <w:t>measures</w:t>
              <w:br/>
            </w:r>
            <w:r>
              <w:rPr/>
              <w:t>(% of bonus</w:t>
              <w:br/>
              <w:t>achieved, max 100%)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7" w:type="dxa"/>
            <w:gridSpan w:val="3"/>
            <w:tcBorders/>
            <w:shd w:fill="auto" w:val="clear"/>
            <w:vAlign w:val="center"/>
          </w:tcPr>
          <w:p>
            <w:pPr>
              <w:pStyle w:val="TableContents"/>
              <w:spacing w:before="0" w:after="283"/>
              <w:jc w:val="center"/>
              <w:rPr/>
            </w:pPr>
            <w:r>
              <w:rPr>
                <w:b/>
              </w:rPr>
              <w:t>Total vesting</w:t>
              <w:br/>
              <w:t>percentage</w:t>
              <w:br/>
            </w:r>
            <w:r>
              <w:rPr/>
              <w:t>(%, max 100%)</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b/>
              </w:rPr>
            </w:pPr>
            <w:r>
              <w:rPr>
                <w:b/>
              </w:rPr>
              <w:t>Vesting</w:t>
              <w:br/>
              <w:t>amount as %</w:t>
              <w:br/>
              <w:t>of salary</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7" w:type="dxa"/>
            <w:gridSpan w:val="2"/>
            <w:tcBorders/>
            <w:shd w:fill="auto" w:val="clear"/>
            <w:vAlign w:val="center"/>
          </w:tcPr>
          <w:p>
            <w:pPr>
              <w:pStyle w:val="TableContents"/>
              <w:spacing w:before="0" w:after="283"/>
              <w:jc w:val="center"/>
              <w:rPr>
                <w:b/>
              </w:rPr>
            </w:pPr>
            <w:r>
              <w:rPr>
                <w:b/>
              </w:rPr>
              <w:t>Bonus</w:t>
              <w:br/>
              <w:t>amount (SEK)</w:t>
            </w:r>
          </w:p>
        </w:tc>
        <w:tc>
          <w:tcPr>
            <w:tcW w:w="81"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Thomas Ingenlath</w:t>
            </w:r>
          </w:p>
        </w:tc>
        <w:tc>
          <w:tcPr>
            <w:tcW w:w="120" w:type="dxa"/>
            <w:tcBorders/>
            <w:shd w:fill="CCEEFF" w:val="clear"/>
            <w:vAlign w:val="center"/>
          </w:tcPr>
          <w:p>
            <w:pPr>
              <w:pStyle w:val="TableContents"/>
              <w:spacing w:before="0" w:after="283"/>
              <w:rPr/>
            </w:pPr>
            <w:r>
              <w:rPr/>
              <w:t>  </w:t>
            </w:r>
          </w:p>
        </w:tc>
        <w:tc>
          <w:tcPr>
            <w:tcW w:w="2000" w:type="dxa"/>
            <w:gridSpan w:val="3"/>
            <w:tcBorders/>
            <w:shd w:fill="CCEEFF" w:val="clear"/>
            <w:vAlign w:val="center"/>
          </w:tcPr>
          <w:p>
            <w:pPr>
              <w:pStyle w:val="TableContents"/>
              <w:spacing w:before="0" w:after="283"/>
              <w:jc w:val="right"/>
              <w:rPr/>
            </w:pPr>
            <w:r>
              <w:rPr/>
              <w:t>40.95%</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704" w:type="dxa"/>
            <w:tcBorders/>
            <w:shd w:fill="CCEEFF" w:val="clear"/>
            <w:vAlign w:val="center"/>
          </w:tcPr>
          <w:p>
            <w:pPr>
              <w:pStyle w:val="TableContents"/>
              <w:spacing w:before="0" w:after="283"/>
              <w:jc w:val="right"/>
              <w:rPr/>
            </w:pPr>
            <w:r>
              <w:rPr/>
              <w:t>56.66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7" w:type="dxa"/>
            <w:gridSpan w:val="3"/>
            <w:tcBorders/>
            <w:shd w:fill="CCEEFF" w:val="clear"/>
            <w:vAlign w:val="center"/>
          </w:tcPr>
          <w:p>
            <w:pPr>
              <w:pStyle w:val="TableContents"/>
              <w:spacing w:before="0" w:after="283"/>
              <w:jc w:val="right"/>
              <w:rPr/>
            </w:pPr>
            <w:r>
              <w:rPr/>
              <w:t>53%</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184" w:type="dxa"/>
            <w:tcBorders/>
            <w:shd w:fill="CCEEFF" w:val="clear"/>
            <w:vAlign w:val="center"/>
          </w:tcPr>
          <w:p>
            <w:pPr>
              <w:pStyle w:val="TableContents"/>
              <w:spacing w:before="0" w:after="283"/>
              <w:jc w:val="right"/>
              <w:rPr/>
            </w:pPr>
            <w:r>
              <w:rPr/>
              <w:t>106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right"/>
              <w:rPr/>
            </w:pPr>
            <w:r>
              <w:rPr/>
              <w:t>7,568,400</w:t>
            </w:r>
          </w:p>
        </w:tc>
        <w:tc>
          <w:tcPr>
            <w:tcW w:w="81"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LTVP Program </w:t>
      </w:r>
    </w:p>
    <w:p>
      <w:pPr>
        <w:pStyle w:val="TextBody"/>
        <w:spacing w:before="120" w:after="0"/>
        <w:jc w:val="left"/>
        <w:rPr>
          <w:rFonts w:ascii="Times New Roman" w:hAnsi="Times New Roman"/>
          <w:sz w:val="20"/>
        </w:rPr>
      </w:pPr>
      <w:r>
        <w:rPr>
          <w:rFonts w:ascii="Times New Roman" w:hAnsi="Times New Roman"/>
          <w:sz w:val="20"/>
        </w:rPr>
        <w:t xml:space="preserve">The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For the avoidance of doubt, the LTVP Program is a Polestar program, with no recharges back to Volvo Cars. Awards under the LTVP Program are paid based on achievement of performance conditions and the market value of Volvo Car Group at the end of a three-year performance period. For fiscal year 2022, performance conditions under the LTVP Program were based on (i) value creation, as measured by an independent third-party valuation, and (ii) Volvo Cars Group performance, measured based on average three-year Operating Margin and average three-year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Revenue Growth. Fiscal year 2022 was the last year during which Polestar employees (including Messrs. Ingenlath and Nobelius) will participate in the LTVP Program. </w:t>
      </w:r>
    </w:p>
    <w:p>
      <w:pPr>
        <w:pStyle w:val="TextBody"/>
        <w:spacing w:before="360" w:after="0"/>
        <w:jc w:val="left"/>
        <w:rPr>
          <w:rFonts w:ascii="Times New Roman" w:hAnsi="Times New Roman"/>
          <w:b/>
          <w:sz w:val="20"/>
        </w:rPr>
      </w:pPr>
      <w:r>
        <w:rPr>
          <w:rFonts w:ascii="Times New Roman" w:hAnsi="Times New Roman"/>
          <w:b/>
          <w:sz w:val="20"/>
        </w:rPr>
        <w:t xml:space="preserve">Employee Agreements </w:t>
      </w:r>
    </w:p>
    <w:p>
      <w:pPr>
        <w:pStyle w:val="TextBody"/>
        <w:spacing w:before="120" w:after="0"/>
        <w:jc w:val="left"/>
        <w:rPr>
          <w:rFonts w:ascii="Times New Roman" w:hAnsi="Times New Roman"/>
          <w:sz w:val="20"/>
        </w:rPr>
      </w:pPr>
      <w:r>
        <w:rPr>
          <w:rFonts w:ascii="Times New Roman" w:hAnsi="Times New Roman"/>
          <w:sz w:val="20"/>
        </w:rPr>
        <w:t xml:space="preserve">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Ingenlath, Mr. Nobelius and Mr. Malmqvist are entitled to health care insurance at the expense of Polestar. Mr. Ingenlath was also entitled to a benefit in respect of family educational expenses during 2022. Mr. Malmqvist was also entitled to a housing benefit during 2022. </w:t>
      </w:r>
    </w:p>
    <w:p>
      <w:pPr>
        <w:pStyle w:val="TextBody"/>
        <w:spacing w:before="240" w:after="0"/>
        <w:jc w:val="left"/>
        <w:rPr>
          <w:rFonts w:ascii="Times New Roman" w:hAnsi="Times New Roman"/>
          <w:sz w:val="20"/>
        </w:rPr>
      </w:pPr>
      <w:r>
        <w:rPr>
          <w:rFonts w:ascii="Times New Roman" w:hAnsi="Times New Roman"/>
          <w:sz w:val="20"/>
        </w:rPr>
        <w:t xml:space="preserve">Messrs. Ingenlath, Malmqvist and Nobelius are each subject to restrictive covenants under their employment agreements relating to assignment of intellectual property and confidentiality. In addition, Messrs. Ingenlath, Malmqvist and Nobelius are subject to restrictive covenants relating to non-competition, non-solicitation of customers and non-solicitation and non-hire of employees during the term of their employment. In the event Mr. Ingenlath, Malmqvist or Nobelius breaches any restrictive covenant under their respective employment agreements, they may owe liquidated damages to Polestar in respect of each such breach in an amount equal to six times their average monthly gross salary. </w:t>
      </w:r>
    </w:p>
    <w:p>
      <w:pPr>
        <w:pStyle w:val="TextBody"/>
        <w:spacing w:before="240" w:after="0"/>
        <w:jc w:val="left"/>
        <w:rPr>
          <w:rFonts w:ascii="Times New Roman" w:hAnsi="Times New Roman"/>
          <w:sz w:val="20"/>
        </w:rPr>
      </w:pPr>
      <w:r>
        <w:rPr>
          <w:rFonts w:ascii="Times New Roman" w:hAnsi="Times New Roman"/>
          <w:sz w:val="20"/>
        </w:rPr>
        <w:t xml:space="preserve">Messrs. Ingenlath, Malmqvist and Nobelius’ employment may be terminated by Polestar subject to 12 months’ notice and be terminated by the executive subject to six months’ notice. In the event of termination of employment by Polestar, Messrs. Ingenlath, Malmqvist and Nobelius are each entitled to severance pay equal to 12 times monthly base salary, payable in installments. </w:t>
      </w:r>
    </w:p>
    <w:p>
      <w:pPr>
        <w:pStyle w:val="TextBody"/>
        <w:spacing w:before="360" w:after="0"/>
        <w:jc w:val="left"/>
        <w:rPr>
          <w:rFonts w:ascii="Times New Roman" w:hAnsi="Times New Roman"/>
          <w:b/>
          <w:sz w:val="20"/>
        </w:rPr>
      </w:pPr>
      <w:r>
        <w:rPr>
          <w:rFonts w:ascii="Times New Roman" w:hAnsi="Times New Roman"/>
          <w:b/>
          <w:sz w:val="20"/>
        </w:rPr>
        <w:t xml:space="preserve">Health and Welfare and Retirement Benefits </w:t>
      </w:r>
    </w:p>
    <w:p>
      <w:pPr>
        <w:pStyle w:val="TextBody"/>
        <w:spacing w:before="120" w:after="0"/>
        <w:jc w:val="left"/>
        <w:rPr>
          <w:rFonts w:ascii="Times New Roman" w:hAnsi="Times New Roman"/>
          <w:sz w:val="20"/>
        </w:rPr>
      </w:pPr>
      <w:r>
        <w:rPr>
          <w:rFonts w:ascii="Times New Roman" w:hAnsi="Times New Roman"/>
          <w:sz w:val="20"/>
        </w:rPr>
        <w:t xml:space="preserve">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 </w:t>
      </w:r>
    </w:p>
    <w:p>
      <w:pPr>
        <w:pStyle w:val="TextBody"/>
        <w:spacing w:before="240" w:after="0"/>
        <w:jc w:val="left"/>
        <w:rPr>
          <w:rFonts w:ascii="Times New Roman" w:hAnsi="Times New Roman"/>
          <w:sz w:val="20"/>
        </w:rPr>
      </w:pPr>
      <w:r>
        <w:rPr>
          <w:rFonts w:ascii="Times New Roman" w:hAnsi="Times New Roman"/>
          <w:sz w:val="20"/>
        </w:rPr>
        <w:t xml:space="preserve">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 </w:t>
      </w:r>
    </w:p>
    <w:p>
      <w:pPr>
        <w:pStyle w:val="TextBody"/>
        <w:spacing w:before="240" w:after="0"/>
        <w:jc w:val="left"/>
        <w:rPr>
          <w:rFonts w:ascii="Times New Roman" w:hAnsi="Times New Roman"/>
          <w:sz w:val="20"/>
        </w:rPr>
      </w:pPr>
      <w:r>
        <w:rPr>
          <w:rFonts w:ascii="Times New Roman" w:hAnsi="Times New Roman"/>
          <w:sz w:val="20"/>
        </w:rPr>
        <w:t xml:space="preserve">Messrs. Malmqvist and Nobelius are covered by the defined contribution pension plan (ITP 1) as per the Swedish collectively agreed “Avtal om ITP och TGL,” and the VFF pension (Volvo Företagspension), a defined contribution pension scheme. </w:t>
      </w:r>
    </w:p>
    <w:p>
      <w:pPr>
        <w:pStyle w:val="TextBody"/>
        <w:spacing w:before="240" w:after="0"/>
        <w:jc w:val="left"/>
        <w:rPr>
          <w:rFonts w:ascii="Times New Roman" w:hAnsi="Times New Roman"/>
          <w:sz w:val="20"/>
        </w:rPr>
      </w:pPr>
      <w:r>
        <w:rPr>
          <w:rFonts w:ascii="Times New Roman" w:hAnsi="Times New Roman"/>
          <w:sz w:val="20"/>
        </w:rPr>
        <w:t xml:space="preserve">Mr. Ingenlath is covered by the defined benefit pension plan (ITP 2) as per the Swedish collectively agreed “Avtal om ITP och TGL” and the Volvo Management Pension (VMP), a supplementary pension plan. </w:t>
      </w:r>
    </w:p>
    <w:p>
      <w:pPr>
        <w:pStyle w:val="TextBody"/>
        <w:spacing w:before="240" w:after="0"/>
        <w:jc w:val="left"/>
        <w:rPr>
          <w:rFonts w:ascii="Times New Roman" w:hAnsi="Times New Roman"/>
          <w:sz w:val="20"/>
        </w:rPr>
      </w:pPr>
      <w:r>
        <w:rPr>
          <w:rFonts w:ascii="Times New Roman" w:hAnsi="Times New Roman"/>
          <w:sz w:val="20"/>
        </w:rPr>
        <w:t xml:space="preserve">The defined benefit pension plan (i.e. the ITP 2 pension plan) through the Swedish ITP collective bargaining agreement is a final salary-based plan, and is funded through regular insurance payments. This plan is secured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with the mutual insurance company Alecta, and the portion secured through such insurance refers to a defined benefit plan that comprises several employers and is reported according to a pronouncement by the Swedish Financial Reporting Board, UFR 10. Polestar’s share of the total saving premiums for the ITP pension plan in Alecta as of December 31, 2022 amounted to 0.20597 per cent and Polestar’s share of the total number of active policy holders amounted to 0.07340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2022, the consolidation level amounts to 189 per cent.</w:t>
      </w:r>
    </w:p>
    <w:p>
      <w:pPr>
        <w:pStyle w:val="TextBody"/>
        <w:spacing w:before="360" w:after="0"/>
        <w:jc w:val="left"/>
        <w:rPr>
          <w:rFonts w:ascii="Times New Roman" w:hAnsi="Times New Roman"/>
          <w:b/>
          <w:sz w:val="20"/>
        </w:rPr>
      </w:pPr>
      <w:r>
        <w:rPr>
          <w:rFonts w:ascii="Times New Roman" w:hAnsi="Times New Roman"/>
          <w:b/>
          <w:sz w:val="20"/>
        </w:rPr>
        <w:t xml:space="preserve">Compensation of Non-Employee Directors </w:t>
      </w:r>
    </w:p>
    <w:p>
      <w:pPr>
        <w:pStyle w:val="TextBody"/>
        <w:spacing w:before="120" w:after="0"/>
        <w:jc w:val="left"/>
        <w:rPr>
          <w:rFonts w:ascii="Times New Roman" w:hAnsi="Times New Roman"/>
          <w:sz w:val="20"/>
        </w:rPr>
      </w:pPr>
      <w:r>
        <w:rPr>
          <w:rFonts w:ascii="Times New Roman" w:hAnsi="Times New Roman"/>
          <w:sz w:val="20"/>
        </w:rPr>
        <w:t>Polestar has established a compensation program for its non-employee directors.</w:t>
      </w:r>
    </w:p>
    <w:p>
      <w:pPr>
        <w:pStyle w:val="TextBody"/>
        <w:spacing w:before="240" w:after="0"/>
        <w:jc w:val="left"/>
        <w:rPr>
          <w:rFonts w:ascii="Times New Roman" w:hAnsi="Times New Roman"/>
          <w:sz w:val="20"/>
        </w:rPr>
      </w:pPr>
      <w:r>
        <w:rPr>
          <w:rFonts w:ascii="Times New Roman" w:hAnsi="Times New Roman"/>
          <w:sz w:val="20"/>
        </w:rPr>
        <w:t xml:space="preserve">The Company is party to letter agreements with the non-employee directors, pursuant to which non-employee directors are eligible to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50% of the net annual fee (but not including any additional annual fee described above) for each non-employee directors is used to purchase the maximum number of Class A ADSs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the aggregate amount of Polestar’s non-employee directors’ compensation paid to or earned by such directors for service on the Board of the Company or Former Parent (prior to June 2022) was approximately $1,121,000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 </w:t>
      </w:r>
    </w:p>
    <w:p>
      <w:pPr>
        <w:pStyle w:val="TextBody"/>
        <w:spacing w:before="360" w:after="0"/>
        <w:jc w:val="left"/>
        <w:rPr>
          <w:rFonts w:ascii="Times New Roman" w:hAnsi="Times New Roman"/>
          <w:b/>
          <w:sz w:val="20"/>
        </w:rPr>
      </w:pPr>
      <w:r>
        <w:rPr>
          <w:rFonts w:ascii="Times New Roman" w:hAnsi="Times New Roman"/>
          <w:b/>
          <w:sz w:val="20"/>
        </w:rPr>
        <w:t xml:space="preserve">Equity Plan </w:t>
      </w:r>
    </w:p>
    <w:p>
      <w:pPr>
        <w:pStyle w:val="TextBody"/>
        <w:spacing w:before="120" w:after="0"/>
        <w:jc w:val="left"/>
        <w:rPr>
          <w:rFonts w:ascii="Times New Roman" w:hAnsi="Times New Roman"/>
          <w:sz w:val="20"/>
        </w:rPr>
      </w:pPr>
      <w:r>
        <w:rPr>
          <w:rFonts w:ascii="Times New Roman" w:hAnsi="Times New Roman"/>
          <w:sz w:val="20"/>
        </w:rPr>
        <w:t xml:space="preserve">On June 23, 2022, the Company adopted the Polestar Automotive Holding UK PLC 2022 Omnibus Incentive Plan, pursuant to which employees of the Company and the Company’s affiliates performing services for the Company, including the Company’s executive officers, are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 </w:t>
      </w:r>
    </w:p>
    <w:p>
      <w:pPr>
        <w:pStyle w:val="TextBody"/>
        <w:spacing w:before="240" w:after="0"/>
        <w:jc w:val="left"/>
        <w:rPr>
          <w:rFonts w:ascii="Times New Roman" w:hAnsi="Times New Roman"/>
          <w:sz w:val="20"/>
        </w:rPr>
      </w:pPr>
      <w:r>
        <w:rPr>
          <w:rFonts w:ascii="Times New Roman" w:hAnsi="Times New Roman"/>
          <w:sz w:val="20"/>
        </w:rPr>
        <w:t xml:space="preserve">The following description of the Equity Plan is qualified in its entirety by reference to the Equity Plan, a copy of which is filed as an exhibit to the registration statement on form S-8 filed with the SEC on August 29, 2022. </w:t>
      </w:r>
    </w:p>
    <w:p>
      <w:pPr>
        <w:pStyle w:val="TextBody"/>
        <w:spacing w:before="360" w:after="0"/>
        <w:jc w:val="left"/>
        <w:rPr>
          <w:rFonts w:ascii="Times New Roman" w:hAnsi="Times New Roman"/>
          <w:i/>
          <w:sz w:val="20"/>
        </w:rPr>
      </w:pPr>
      <w:r>
        <w:rPr>
          <w:rFonts w:ascii="Times New Roman" w:hAnsi="Times New Roman"/>
          <w:i/>
          <w:sz w:val="20"/>
        </w:rPr>
        <w:t xml:space="preserve">Securities Offered </w:t>
      </w:r>
    </w:p>
    <w:p>
      <w:pPr>
        <w:pStyle w:val="TextBody"/>
        <w:spacing w:before="120" w:after="0"/>
        <w:jc w:val="left"/>
        <w:rPr>
          <w:rFonts w:ascii="Times New Roman" w:hAnsi="Times New Roman"/>
          <w:sz w:val="20"/>
        </w:rPr>
      </w:pPr>
      <w:r>
        <w:rPr>
          <w:rFonts w:ascii="Times New Roman" w:hAnsi="Times New Roman"/>
          <w:sz w:val="20"/>
        </w:rPr>
        <w:t xml:space="preserve">Subject to adjustment in the event of certain transactions or changes of capitalization in accordance with the Equity Plan, a total of 10,000,000 shares of Class A ADSs (or Class A Shares, as the context may require) were initially reserved for issuance pursuant to awards under the Equity Plan when adopted in 2022. The total number of shares reserved for issuance under the Equity Plan is subject to increase on January 1 of each calendar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term of the Equity Plan, by the lesser of (i) 0.5% of the total number of Shares outstanding on each December 31 immediately prior to the date of increase or (ii) 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 </w:t>
      </w:r>
    </w:p>
    <w:p>
      <w:pPr>
        <w:pStyle w:val="TextBody"/>
        <w:spacing w:before="360" w:after="0"/>
        <w:jc w:val="left"/>
        <w:rPr>
          <w:rFonts w:ascii="Times New Roman" w:hAnsi="Times New Roman"/>
          <w:i/>
          <w:sz w:val="20"/>
        </w:rPr>
      </w:pPr>
      <w:r>
        <w:rPr>
          <w:rFonts w:ascii="Times New Roman" w:hAnsi="Times New Roman"/>
          <w:i/>
          <w:sz w:val="20"/>
        </w:rPr>
        <w:t xml:space="preserve">Administration </w:t>
      </w:r>
    </w:p>
    <w:p>
      <w:pPr>
        <w:pStyle w:val="TextBody"/>
        <w:spacing w:before="120" w:after="0"/>
        <w:jc w:val="left"/>
        <w:rPr>
          <w:rFonts w:ascii="Times New Roman" w:hAnsi="Times New Roman"/>
          <w:sz w:val="20"/>
        </w:rPr>
      </w:pPr>
      <w:r>
        <w:rPr>
          <w:rFonts w:ascii="Times New Roman" w:hAnsi="Times New Roman"/>
          <w:sz w:val="20"/>
        </w:rPr>
        <w:t xml:space="preserve">The Equity Plan is administered by a committee of the Board that has been authorized to administer the Equity Plan, except if no such committee is authorized by the Board, the Board will administer the Equity Plan (as applicable, the “Committee”).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 </w:t>
      </w:r>
    </w:p>
    <w:p>
      <w:pPr>
        <w:pStyle w:val="TextBody"/>
        <w:spacing w:before="360" w:after="0"/>
        <w:jc w:val="left"/>
        <w:rPr>
          <w:rFonts w:ascii="Times New Roman" w:hAnsi="Times New Roman"/>
          <w:i/>
          <w:sz w:val="20"/>
        </w:rPr>
      </w:pPr>
      <w:r>
        <w:rPr>
          <w:rFonts w:ascii="Times New Roman" w:hAnsi="Times New Roman"/>
          <w:i/>
          <w:sz w:val="20"/>
        </w:rPr>
        <w:t xml:space="preserve">Eligibility </w:t>
      </w:r>
    </w:p>
    <w:p>
      <w:pPr>
        <w:pStyle w:val="TextBody"/>
        <w:spacing w:before="120" w:after="0"/>
        <w:jc w:val="left"/>
        <w:rPr>
          <w:rFonts w:ascii="Times New Roman" w:hAnsi="Times New Roman"/>
          <w:sz w:val="20"/>
        </w:rPr>
      </w:pPr>
      <w:r>
        <w:rPr>
          <w:rFonts w:ascii="Times New Roman" w:hAnsi="Times New Roman"/>
          <w:sz w:val="20"/>
        </w:rPr>
        <w:t xml:space="preserve">Employees of the Company and its affiliates are eligible to receive awards under the Equity Plan. Consultants and non-employee directors of the Company and its affiliates may receive awards granted under the Annex. </w:t>
      </w:r>
    </w:p>
    <w:p>
      <w:pPr>
        <w:pStyle w:val="TextBody"/>
        <w:spacing w:before="360" w:after="0"/>
        <w:jc w:val="left"/>
        <w:rPr>
          <w:rFonts w:ascii="Times New Roman" w:hAnsi="Times New Roman"/>
          <w:i/>
          <w:sz w:val="20"/>
        </w:rPr>
      </w:pPr>
      <w:r>
        <w:rPr>
          <w:rFonts w:ascii="Times New Roman" w:hAnsi="Times New Roman"/>
          <w:i/>
          <w:sz w:val="20"/>
        </w:rPr>
        <w:t xml:space="preserve">Types of Awards </w:t>
      </w:r>
    </w:p>
    <w:p>
      <w:pPr>
        <w:pStyle w:val="TextBody"/>
        <w:spacing w:before="120" w:after="0"/>
        <w:jc w:val="left"/>
        <w:rPr>
          <w:rFonts w:ascii="Times New Roman" w:hAnsi="Times New Roman"/>
          <w:sz w:val="20"/>
        </w:rPr>
      </w:pPr>
      <w:r>
        <w:rPr>
          <w:rFonts w:ascii="Times New Roman" w:hAnsi="Times New Roman"/>
          <w:i/>
          <w:sz w:val="20"/>
        </w:rPr>
        <w:t>Options</w:t>
      </w:r>
      <w:r>
        <w:rPr>
          <w:rFonts w:ascii="Times New Roman" w:hAnsi="Times New Roman"/>
          <w:sz w:val="20"/>
        </w:rPr>
        <w:t xml:space="preserve">. The Company may grant options to the Company’s employees and employees of its affiliates, except that ISOs may only be granted to 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 </w:t>
      </w:r>
    </w:p>
    <w:p>
      <w:pPr>
        <w:pStyle w:val="TextBody"/>
        <w:spacing w:before="240" w:after="0"/>
        <w:jc w:val="left"/>
        <w:rPr>
          <w:rFonts w:ascii="Times New Roman" w:hAnsi="Times New Roman"/>
          <w:sz w:val="20"/>
        </w:rPr>
      </w:pPr>
      <w:r>
        <w:rPr>
          <w:rFonts w:ascii="Times New Roman" w:hAnsi="Times New Roman"/>
          <w:i/>
          <w:sz w:val="20"/>
        </w:rPr>
        <w:t>SARs</w:t>
      </w:r>
      <w:r>
        <w:rPr>
          <w:rFonts w:ascii="Times New Roman" w:hAnsi="Times New Roman"/>
          <w:sz w:val="20"/>
        </w:rPr>
        <w:t xml:space="preserve">. A SAR is the right to receive an amount (payable in Class A ADSs) equal to the excess of the fair market value of one Class A ADS on the 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 </w:t>
      </w:r>
    </w:p>
    <w:p>
      <w:pPr>
        <w:pStyle w:val="TextBody"/>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 restricted stock award is a grant of Class A ADSs subject to the restrictions on transferability and risk of forfeiture 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has the discretion to determine the terms and conditions that the participant will be entitled to dividends payable on the shares of restricted stock. </w:t>
      </w:r>
    </w:p>
    <w:p>
      <w:pPr>
        <w:pStyle w:val="TextBody"/>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A RSU is a right to receive Class A ADSs at the end of a specified period equal to the fair market value of one Class A 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 </w:t>
      </w:r>
    </w:p>
    <w:p>
      <w:pPr>
        <w:pStyle w:val="TextBody"/>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Equity Plan, and will be settled in Class A ADSs. </w:t>
      </w:r>
    </w:p>
    <w:p>
      <w:pPr>
        <w:pStyle w:val="TextBody"/>
        <w:spacing w:before="240" w:after="0"/>
        <w:jc w:val="left"/>
        <w:rPr>
          <w:rFonts w:ascii="Times New Roman" w:hAnsi="Times New Roman"/>
          <w:sz w:val="20"/>
        </w:rPr>
      </w:pPr>
      <w:r>
        <w:rPr>
          <w:rFonts w:ascii="Times New Roman" w:hAnsi="Times New Roman"/>
          <w:i/>
          <w:sz w:val="20"/>
        </w:rPr>
        <w:t>Other Share-Based Awards</w:t>
      </w:r>
      <w:r>
        <w:rPr>
          <w:rFonts w:ascii="Times New Roman" w:hAnsi="Times New Roman"/>
          <w:sz w:val="20"/>
        </w:rPr>
        <w:t xml:space="preserve">. Other share-based awards are awards denominated and payable in, valued in whole or in part by reference to, or otherwise based on or related to, the value of Class A ADSs. </w:t>
      </w:r>
    </w:p>
    <w:p>
      <w:pPr>
        <w:pStyle w:val="TextBody"/>
        <w:spacing w:before="240" w:after="0"/>
        <w:jc w:val="left"/>
        <w:rPr>
          <w:rFonts w:ascii="Times New Roman" w:hAnsi="Times New Roman"/>
          <w:sz w:val="20"/>
        </w:rPr>
      </w:pPr>
      <w:r>
        <w:rPr>
          <w:rFonts w:ascii="Times New Roman" w:hAnsi="Times New Roman"/>
          <w:i/>
          <w:sz w:val="20"/>
        </w:rPr>
        <w:t>Cash Awards</w:t>
      </w:r>
      <w:r>
        <w:rPr>
          <w:rFonts w:ascii="Times New Roman" w:hAnsi="Times New Roman"/>
          <w:sz w:val="20"/>
        </w:rPr>
        <w:t xml:space="preserve">. Under the Annex to the Equity Plan, cash awards may be granted on a free-standing basis or as an element of, a supplement to, or in lieu of any other award. SARs, RSUs and performance awards that may be settled in cash may be granted under the Annex to the Equity Plan. </w:t>
      </w:r>
    </w:p>
    <w:p>
      <w:pPr>
        <w:pStyle w:val="TextBody"/>
        <w:spacing w:before="240" w:after="0"/>
        <w:jc w:val="left"/>
        <w:rPr>
          <w:rFonts w:ascii="Times New Roman" w:hAnsi="Times New Roman"/>
          <w:sz w:val="20"/>
        </w:rPr>
      </w:pPr>
      <w:r>
        <w:rPr>
          <w:rFonts w:ascii="Times New Roman" w:hAnsi="Times New Roman"/>
          <w:i/>
          <w:sz w:val="20"/>
        </w:rPr>
        <w:t>Substitute Awards</w:t>
      </w:r>
      <w:r>
        <w:rPr>
          <w:rFonts w:ascii="Times New Roman" w:hAnsi="Times New Roman"/>
          <w:sz w:val="20"/>
        </w:rPr>
        <w:t xml:space="preserve">. Awards may be granted under the Equity Plan in substitution for similar awards held for individuals who become participants as a result of a merger, consolidation or acquisition of another entity by or with the Company or one of its affiliates. </w:t>
      </w:r>
    </w:p>
    <w:p>
      <w:pPr>
        <w:pStyle w:val="TextBody"/>
        <w:spacing w:before="360" w:after="0"/>
        <w:jc w:val="left"/>
        <w:rPr>
          <w:rFonts w:ascii="Times New Roman" w:hAnsi="Times New Roman"/>
          <w:i/>
          <w:sz w:val="20"/>
        </w:rPr>
      </w:pPr>
      <w:r>
        <w:rPr>
          <w:rFonts w:ascii="Times New Roman" w:hAnsi="Times New Roman"/>
          <w:i/>
          <w:sz w:val="20"/>
        </w:rPr>
        <w:t xml:space="preserve">Certain Transactions </w:t>
      </w:r>
    </w:p>
    <w:p>
      <w:pPr>
        <w:pStyle w:val="TextBody"/>
        <w:spacing w:before="120" w:after="0"/>
        <w:jc w:val="left"/>
        <w:rPr>
          <w:rFonts w:ascii="Times New Roman" w:hAnsi="Times New Roman"/>
          <w:sz w:val="20"/>
        </w:rPr>
      </w:pPr>
      <w:r>
        <w:rPr>
          <w:rFonts w:ascii="Times New Roman" w:hAnsi="Times New Roman"/>
          <w:sz w:val="20"/>
        </w:rPr>
        <w:t xml:space="preserve">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 </w:t>
      </w:r>
    </w:p>
    <w:p>
      <w:pPr>
        <w:pStyle w:val="TextBody"/>
        <w:spacing w:before="360" w:after="0"/>
        <w:jc w:val="left"/>
        <w:rPr>
          <w:rFonts w:ascii="Times New Roman" w:hAnsi="Times New Roman"/>
          <w:i/>
          <w:sz w:val="20"/>
        </w:rPr>
      </w:pPr>
      <w:r>
        <w:rPr>
          <w:rFonts w:ascii="Times New Roman" w:hAnsi="Times New Roman"/>
          <w:i/>
          <w:sz w:val="20"/>
        </w:rPr>
        <w:t xml:space="preserve">Clawback </w:t>
      </w:r>
    </w:p>
    <w:p>
      <w:pPr>
        <w:pStyle w:val="TextBody"/>
        <w:spacing w:before="120" w:after="0"/>
        <w:jc w:val="left"/>
        <w:rPr>
          <w:rFonts w:ascii="Times New Roman" w:hAnsi="Times New Roman"/>
          <w:sz w:val="20"/>
        </w:rPr>
      </w:pPr>
      <w:r>
        <w:rPr>
          <w:rFonts w:ascii="Times New Roman" w:hAnsi="Times New Roman"/>
          <w:sz w:val="20"/>
        </w:rPr>
        <w:t xml:space="preserve">All awards granted under the Equity Plan are subject to reduction, cancellation or recoupment under any written clawback policy that the Company may adopt and that the Company determines should apply to awards under the Equity Plan. </w:t>
      </w:r>
    </w:p>
    <w:p>
      <w:pPr>
        <w:pStyle w:val="TextBody"/>
        <w:spacing w:before="360" w:after="0"/>
        <w:jc w:val="left"/>
        <w:rPr>
          <w:rFonts w:ascii="Times New Roman" w:hAnsi="Times New Roman"/>
          <w:i/>
          <w:sz w:val="20"/>
        </w:rPr>
      </w:pPr>
      <w:r>
        <w:rPr>
          <w:rFonts w:ascii="Times New Roman" w:hAnsi="Times New Roman"/>
          <w:i/>
          <w:sz w:val="20"/>
        </w:rPr>
        <w:t xml:space="preserve">Plan Amendment and Termination </w:t>
      </w:r>
    </w:p>
    <w:p>
      <w:pPr>
        <w:pStyle w:val="TextBody"/>
        <w:spacing w:before="120" w:after="0"/>
        <w:jc w:val="left"/>
        <w:rPr>
          <w:rFonts w:ascii="Times New Roman" w:hAnsi="Times New Roman"/>
          <w:sz w:val="20"/>
        </w:rPr>
      </w:pPr>
      <w:r>
        <w:rPr>
          <w:rFonts w:ascii="Times New Roman" w:hAnsi="Times New Roman"/>
          <w:sz w:val="20"/>
        </w:rPr>
        <w:t xml:space="preserve">The Board or the Committee may amend or terminate any award, award agreement or the Equity Plan at any time, provided that the rights of a participant granted an award prior to such amendment or termination may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 </w:t>
      </w:r>
    </w:p>
    <w:p>
      <w:pPr>
        <w:pStyle w:val="TextBody"/>
        <w:spacing w:before="360" w:after="0"/>
        <w:jc w:val="left"/>
        <w:rPr>
          <w:rFonts w:ascii="Times New Roman" w:hAnsi="Times New Roman"/>
          <w:b/>
          <w:sz w:val="20"/>
        </w:rPr>
      </w:pPr>
      <w:r>
        <w:rPr>
          <w:rFonts w:ascii="Times New Roman" w:hAnsi="Times New Roman"/>
          <w:b/>
          <w:sz w:val="20"/>
        </w:rPr>
        <w:t xml:space="preserve">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The Company adopted the Polestar Automotive Holding UK PLC 2022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on form S-8 filed with the SEC on August 29, 2022. </w:t>
      </w:r>
    </w:p>
    <w:p>
      <w:pPr>
        <w:pStyle w:val="TextBody"/>
        <w:spacing w:before="360" w:after="0"/>
        <w:jc w:val="left"/>
        <w:rPr>
          <w:rFonts w:ascii="Times New Roman" w:hAnsi="Times New Roman"/>
          <w:i/>
          <w:sz w:val="20"/>
        </w:rPr>
      </w:pPr>
      <w:r>
        <w:rPr>
          <w:rFonts w:ascii="Times New Roman" w:hAnsi="Times New Roman"/>
          <w:i/>
          <w:sz w:val="20"/>
        </w:rPr>
        <w:t xml:space="preserve">Purpose of the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The purpose of the Employee Stock Purchase Plan is to provide the Company’s employees and employees of the Company’s participating subsidiaries with the opportunity to purchase Class A ADSs (or Class A Shares, as the context may require) through post-tax deductions (or contributions) from payroll during successive offering periods, and, under the Non-Section 423 Component (as described below), to be eligible to receive additional benefits in the form of “matching shares” which are awarded following a specified retention period, for no further payment by the participant.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 </w:t>
      </w:r>
    </w:p>
    <w:p>
      <w:pPr>
        <w:pStyle w:val="TextBody"/>
        <w:spacing w:before="240" w:after="0"/>
        <w:jc w:val="left"/>
        <w:rPr>
          <w:rFonts w:ascii="Times New Roman" w:hAnsi="Times New Roman"/>
          <w:sz w:val="20"/>
        </w:rPr>
      </w:pPr>
      <w:r>
        <w:rPr>
          <w:rFonts w:ascii="Times New Roman" w:hAnsi="Times New Roman"/>
          <w:sz w:val="20"/>
        </w:rPr>
        <w:t xml:space="preserve">The Employee Stock Purchase Plan includes a “Section 423 Component” and a “Non-Section 423 Component.” Offerings under the Section 423 Component are intended to meet the requirements under Section 423(b) of the Code. In connection with offerings under the Non-Section 423 Component, purchase options may be granted to eligible employees that need not satisfy the requirements for purchase options granted pursuant to an “employee stock purchase plan” that are set forth under Section 423 of the Code. </w:t>
      </w:r>
    </w:p>
    <w:p>
      <w:pPr>
        <w:pStyle w:val="TextBody"/>
        <w:spacing w:before="360" w:after="0"/>
        <w:jc w:val="left"/>
        <w:rPr>
          <w:rFonts w:ascii="Times New Roman" w:hAnsi="Times New Roman"/>
          <w:i/>
          <w:sz w:val="20"/>
        </w:rPr>
      </w:pPr>
      <w:r>
        <w:rPr>
          <w:rFonts w:ascii="Times New Roman" w:hAnsi="Times New Roman"/>
          <w:i/>
          <w:sz w:val="20"/>
        </w:rPr>
        <w:t xml:space="preserve">Eligibility and Administration </w:t>
      </w:r>
    </w:p>
    <w:p>
      <w:pPr>
        <w:pStyle w:val="TextBody"/>
        <w:spacing w:before="120" w:after="0"/>
        <w:jc w:val="left"/>
        <w:rPr>
          <w:rFonts w:ascii="Times New Roman" w:hAnsi="Times New Roman"/>
          <w:sz w:val="20"/>
        </w:rPr>
      </w:pPr>
      <w:r>
        <w:rPr>
          <w:rFonts w:ascii="Times New Roman" w:hAnsi="Times New Roman"/>
          <w:sz w:val="20"/>
        </w:rPr>
        <w:t xml:space="preserve">The Employee Stock Purchase Plan is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for the Section 423 Component,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 </w:t>
      </w:r>
    </w:p>
    <w:p>
      <w:pPr>
        <w:pStyle w:val="TextBody"/>
        <w:spacing w:before="240" w:after="0"/>
        <w:jc w:val="left"/>
        <w:rPr>
          <w:rFonts w:ascii="Times New Roman" w:hAnsi="Times New Roman"/>
          <w:sz w:val="20"/>
        </w:rPr>
      </w:pPr>
      <w:r>
        <w:rPr>
          <w:rFonts w:ascii="Times New Roman" w:hAnsi="Times New Roman"/>
          <w:sz w:val="20"/>
        </w:rPr>
        <w:t>Eligible employees become participants in the Employee Stock Purchase Plan by enrolling and authorizing deductions (or contributions) from payroll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Shares Available for Awards </w:t>
      </w:r>
    </w:p>
    <w:p>
      <w:pPr>
        <w:pStyle w:val="TextBody"/>
        <w:spacing w:before="120" w:after="0"/>
        <w:jc w:val="left"/>
        <w:rPr>
          <w:rFonts w:ascii="Times New Roman" w:hAnsi="Times New Roman"/>
          <w:sz w:val="20"/>
        </w:rPr>
      </w:pPr>
      <w:r>
        <w:rPr>
          <w:rFonts w:ascii="Times New Roman" w:hAnsi="Times New Roman"/>
          <w:sz w:val="20"/>
        </w:rPr>
        <w:t xml:space="preserve">A total of 2,000,000 Class A ADSs were initially reserved for issuance under the Employee Stock Purchase Plan when adopted in 2022, which reserve amount will be increased on the first day of each fiscal year during the term of the Employee Stock Purchase Plan following the fiscal year in which the effective date of the Employee Stock Purchase Plan occurs by the least of (i) 0.1% of the total number of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 </w:t>
      </w:r>
    </w:p>
    <w:p>
      <w:pPr>
        <w:pStyle w:val="TextBody"/>
        <w:spacing w:before="360" w:after="0"/>
        <w:jc w:val="left"/>
        <w:rPr>
          <w:rFonts w:ascii="Times New Roman" w:hAnsi="Times New Roman"/>
          <w:i/>
          <w:sz w:val="20"/>
        </w:rPr>
      </w:pPr>
      <w:r>
        <w:rPr>
          <w:rFonts w:ascii="Times New Roman" w:hAnsi="Times New Roman"/>
          <w:i/>
          <w:sz w:val="20"/>
        </w:rPr>
        <w:t xml:space="preserve">Participating in an Offering Under the Section 423 Component </w:t>
      </w:r>
    </w:p>
    <w:p>
      <w:pPr>
        <w:pStyle w:val="TextBody"/>
        <w:spacing w:before="120" w:after="0"/>
        <w:jc w:val="left"/>
        <w:rPr>
          <w:rFonts w:ascii="Times New Roman" w:hAnsi="Times New Roman"/>
          <w:sz w:val="20"/>
        </w:rPr>
      </w:pPr>
      <w:r>
        <w:rPr>
          <w:rFonts w:ascii="Times New Roman" w:hAnsi="Times New Roman"/>
          <w:i/>
          <w:sz w:val="20"/>
        </w:rPr>
        <w:t>Offering Periods and Purchase Periods</w:t>
      </w:r>
      <w:r>
        <w:rPr>
          <w:rFonts w:ascii="Times New Roman" w:hAnsi="Times New Roman"/>
          <w:sz w:val="20"/>
        </w:rPr>
        <w:t xml:space="preserve">. Class A ADSs are offered to eligible employees under the Employee Stock Purchase Plan during offering periods. Offering periods under the Employee Stock Purchase Plan commence when determined by the administrator. The length of an offering period under the Employee Stock Purchase Plan is determined by the administrator and may be up to 27 months long. Employee payroll deductions (or contributions) are used to purchase Class A ADSs on the exercise date of an offering period. The exercise date for each offering period is the final trading day in the offering period. The administrator may, in its discretion, modify the terms of future offering periods. </w:t>
      </w:r>
    </w:p>
    <w:p>
      <w:pPr>
        <w:pStyle w:val="TextBody"/>
        <w:spacing w:before="240" w:after="0"/>
        <w:jc w:val="left"/>
        <w:rPr>
          <w:rFonts w:ascii="Times New Roman" w:hAnsi="Times New Roman"/>
          <w:sz w:val="20"/>
        </w:rPr>
      </w:pPr>
      <w:r>
        <w:rPr>
          <w:rFonts w:ascii="Times New Roman" w:hAnsi="Times New Roman"/>
          <w:i/>
          <w:sz w:val="20"/>
        </w:rPr>
        <w:t>Enrollment and Contributions</w:t>
      </w:r>
      <w:r>
        <w:rPr>
          <w:rFonts w:ascii="Times New Roman" w:hAnsi="Times New Roman"/>
          <w:sz w:val="20"/>
        </w:rPr>
        <w:t xml:space="preserve">. The Employee Stock Purchase Plan permits participants to purchase Class A ADSs through payroll deductions (or contributions) of at least 1% of their eligible compensation, but not more than 5% of their eligible compensation as of each payroll date during an offering period (in each case, except as may otherwise be determined by the administrator).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 </w:t>
      </w:r>
    </w:p>
    <w:p>
      <w:pPr>
        <w:pStyle w:val="TextBody"/>
        <w:spacing w:before="240" w:after="0"/>
        <w:jc w:val="left"/>
        <w:rPr>
          <w:rFonts w:ascii="Times New Roman" w:hAnsi="Times New Roman"/>
          <w:sz w:val="20"/>
        </w:rPr>
      </w:pPr>
      <w:r>
        <w:rPr>
          <w:rFonts w:ascii="Times New Roman" w:hAnsi="Times New Roman"/>
          <w:i/>
          <w:sz w:val="20"/>
        </w:rPr>
        <w:t>Purchase Rights</w:t>
      </w:r>
      <w:r>
        <w:rPr>
          <w:rFonts w:ascii="Times New Roman" w:hAnsi="Times New Roman"/>
          <w:sz w:val="20"/>
        </w:rPr>
        <w:t xml:space="preserve">. On the first trading day of each offering period, each participant is automatically granted an option to purchase Class A ADSs. The option expires on the last trading day of the applicable offering period and is exercised at that time to the extent of the payroll deductions (or contributions)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 </w:t>
      </w:r>
    </w:p>
    <w:p>
      <w:pPr>
        <w:pStyle w:val="TextBody"/>
        <w:spacing w:before="240" w:after="0"/>
        <w:jc w:val="left"/>
        <w:rPr>
          <w:rFonts w:ascii="Times New Roman" w:hAnsi="Times New Roman"/>
          <w:sz w:val="20"/>
        </w:rPr>
      </w:pPr>
      <w:r>
        <w:rPr>
          <w:rFonts w:ascii="Times New Roman" w:hAnsi="Times New Roman"/>
          <w:i/>
          <w:sz w:val="20"/>
        </w:rPr>
        <w:t>Purchase Price</w:t>
      </w:r>
      <w:r>
        <w:rPr>
          <w:rFonts w:ascii="Times New Roman" w:hAnsi="Times New Roman"/>
          <w:sz w:val="20"/>
        </w:rPr>
        <w:t xml:space="preserve">. The purchase price of the Class A ADSs under the Employee Stock Purchase Plan, in the absence of a contrary designation by the 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 </w:t>
      </w:r>
    </w:p>
    <w:p>
      <w:pPr>
        <w:pStyle w:val="TextBody"/>
        <w:spacing w:before="240" w:after="0"/>
        <w:jc w:val="left"/>
        <w:rPr>
          <w:rFonts w:ascii="Times New Roman" w:hAnsi="Times New Roman"/>
          <w:sz w:val="20"/>
        </w:rPr>
      </w:pPr>
      <w:r>
        <w:rPr>
          <w:rFonts w:ascii="Times New Roman" w:hAnsi="Times New Roman"/>
          <w:i/>
          <w:sz w:val="20"/>
        </w:rPr>
        <w:t>Withdrawal and Termination of Employment</w:t>
      </w:r>
      <w:r>
        <w:rPr>
          <w:rFonts w:ascii="Times New Roman" w:hAnsi="Times New Roman"/>
          <w:sz w:val="20"/>
        </w:rPr>
        <w:t xml:space="preserve">. Participants may voluntarily end their participation in the Employee Stock Purchase Plan at any time during an offering period prior to the end of the offering period by delivering written notice to the Company, and can elect to either (i) be paid their accrued payroll deductions (or contributions) that have not yet been used to purchase Class A ADSs or (ii) exercise their option at the end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applicable offering period, and then be paid any remaining accrued payroll deductions (or contributions). Participation in the Employee Stock Purchase Plan ends automatically upon a participant’s termination of employment and any remaining accrued payroll deductions in the participant’s account will be paid to such participant following such termination. </w:t>
      </w:r>
    </w:p>
    <w:p>
      <w:pPr>
        <w:pStyle w:val="TextBody"/>
        <w:spacing w:before="360" w:after="0"/>
        <w:jc w:val="left"/>
        <w:rPr>
          <w:rFonts w:ascii="Times New Roman" w:hAnsi="Times New Roman"/>
          <w:i/>
          <w:sz w:val="20"/>
        </w:rPr>
      </w:pPr>
      <w:r>
        <w:rPr>
          <w:rFonts w:ascii="Times New Roman" w:hAnsi="Times New Roman"/>
          <w:i/>
          <w:sz w:val="20"/>
        </w:rPr>
        <w:t xml:space="preserve">Participating in an Offering Under the Non-Section 423 Component </w:t>
      </w:r>
    </w:p>
    <w:p>
      <w:pPr>
        <w:pStyle w:val="TextBody"/>
        <w:spacing w:before="120" w:after="0"/>
        <w:jc w:val="left"/>
        <w:rPr>
          <w:rFonts w:ascii="Times New Roman" w:hAnsi="Times New Roman"/>
          <w:sz w:val="20"/>
        </w:rPr>
      </w:pPr>
      <w:r>
        <w:rPr>
          <w:rFonts w:ascii="Times New Roman" w:hAnsi="Times New Roman"/>
          <w:sz w:val="20"/>
        </w:rPr>
        <w:t xml:space="preserve">The Company has adopted a “Share Matching Plan” which will be operated within the Non-Section 423 Component of the Employee Stock Purchase Plan, as outlined below. </w:t>
      </w:r>
    </w:p>
    <w:p>
      <w:pPr>
        <w:pStyle w:val="TextBody"/>
        <w:spacing w:before="240" w:after="0"/>
        <w:jc w:val="left"/>
        <w:rPr>
          <w:rFonts w:ascii="Times New Roman" w:hAnsi="Times New Roman"/>
          <w:sz w:val="20"/>
        </w:rPr>
      </w:pPr>
      <w:r>
        <w:rPr>
          <w:rFonts w:ascii="Times New Roman" w:hAnsi="Times New Roman"/>
          <w:i/>
          <w:sz w:val="20"/>
        </w:rPr>
        <w:t>Offering Periods and Purchase Periods</w:t>
      </w:r>
      <w:r>
        <w:rPr>
          <w:rFonts w:ascii="Times New Roman" w:hAnsi="Times New Roman"/>
          <w:sz w:val="20"/>
        </w:rPr>
        <w:t xml:space="preserve">. Class A ADSs will be offered to eligible employees under the Share Matching Plan during offering periods. Offering periods under the Share Matching Plan will commence when determined by the administrator. The length of an offering period for the Share Matching Plan will be determined by the administrator, with the Company’s intent being to maintain successive twelve-month offering periods under the Share Matching Plan. It is anticipated that employee payroll deductions (or contributions) will be used to purchase Class A ADSs on a purchase date occurring in each calendar month during an offering period. The administrator may, in its discretion, modify the terms of future offering period and/or purchase periods. </w:t>
      </w:r>
    </w:p>
    <w:p>
      <w:pPr>
        <w:pStyle w:val="TextBody"/>
        <w:spacing w:before="240" w:after="0"/>
        <w:jc w:val="left"/>
        <w:rPr>
          <w:rFonts w:ascii="Times New Roman" w:hAnsi="Times New Roman"/>
          <w:sz w:val="20"/>
        </w:rPr>
      </w:pPr>
      <w:r>
        <w:rPr>
          <w:rFonts w:ascii="Times New Roman" w:hAnsi="Times New Roman"/>
          <w:i/>
          <w:sz w:val="20"/>
        </w:rPr>
        <w:t>Enrollment and Contributions</w:t>
      </w:r>
      <w:r>
        <w:rPr>
          <w:rFonts w:ascii="Times New Roman" w:hAnsi="Times New Roman"/>
          <w:sz w:val="20"/>
        </w:rPr>
        <w:t xml:space="preserve">. The Share Matching Plan will permit participants to purchase Class A ADSs through deductions (or contributions) from payroll of no more than 5% of their eligible compensation as of each payroll date during an offering period (unless otherwise determined by the administrator). The administrator will establish the maximum number of shares that may be purchased by a participant during any offering period. </w:t>
      </w:r>
    </w:p>
    <w:p>
      <w:pPr>
        <w:pStyle w:val="TextBody"/>
        <w:spacing w:before="240" w:after="0"/>
        <w:jc w:val="left"/>
        <w:rPr>
          <w:rFonts w:ascii="Times New Roman" w:hAnsi="Times New Roman"/>
          <w:sz w:val="20"/>
        </w:rPr>
      </w:pPr>
      <w:r>
        <w:rPr>
          <w:rFonts w:ascii="Times New Roman" w:hAnsi="Times New Roman"/>
          <w:i/>
          <w:sz w:val="20"/>
        </w:rPr>
        <w:t>Purchase Rights</w:t>
      </w:r>
      <w:r>
        <w:rPr>
          <w:rFonts w:ascii="Times New Roman" w:hAnsi="Times New Roman"/>
          <w:sz w:val="20"/>
        </w:rPr>
        <w:t xml:space="preserve">. A participant’s payroll deductions (or contributions) will be used to purchase Class A ADSs on their behalf on the relevant purchase date. Any remaining balance will be carried forward to the next purchase date unless the participant has elected to withdraw from the Share Matching Plan, as described below, or has ceased to be an eligible employee. </w:t>
      </w:r>
    </w:p>
    <w:p>
      <w:pPr>
        <w:pStyle w:val="TextBody"/>
        <w:spacing w:before="240" w:after="0"/>
        <w:jc w:val="left"/>
        <w:rPr>
          <w:rFonts w:ascii="Times New Roman" w:hAnsi="Times New Roman"/>
          <w:sz w:val="20"/>
        </w:rPr>
      </w:pPr>
      <w:r>
        <w:rPr>
          <w:rFonts w:ascii="Times New Roman" w:hAnsi="Times New Roman"/>
          <w:i/>
          <w:sz w:val="20"/>
        </w:rPr>
        <w:t>Purchase Price</w:t>
      </w:r>
      <w:r>
        <w:rPr>
          <w:rFonts w:ascii="Times New Roman" w:hAnsi="Times New Roman"/>
          <w:sz w:val="20"/>
        </w:rPr>
        <w:t xml:space="preserve">. The purchase price of the Class A ADSs for the Share Matching Plan, in the absence of a contrary designation by the administrator, will be equal to the fair market value of Class A ADSs on the relevant purchase date. The fair market value per Class A ADS under the Employee Stock Purchase Plan, including the Share Matching Plan, generally is the closing sales price of Class A ADSs on the date for which fair market value is being determined, or if there is no closing sales price for Class A ADSs on such date, the closing sales price for Class A ADSs on the last preceding date for which such quotation exists. </w:t>
      </w:r>
    </w:p>
    <w:p>
      <w:pPr>
        <w:pStyle w:val="TextBody"/>
        <w:spacing w:before="240" w:after="0"/>
        <w:jc w:val="left"/>
        <w:rPr>
          <w:rFonts w:ascii="Times New Roman" w:hAnsi="Times New Roman"/>
          <w:sz w:val="20"/>
        </w:rPr>
      </w:pPr>
      <w:r>
        <w:rPr>
          <w:rFonts w:ascii="Times New Roman" w:hAnsi="Times New Roman"/>
          <w:i/>
          <w:sz w:val="20"/>
        </w:rPr>
        <w:t>Matching Shares</w:t>
      </w:r>
      <w:r>
        <w:rPr>
          <w:rFonts w:ascii="Times New Roman" w:hAnsi="Times New Roman"/>
          <w:sz w:val="20"/>
        </w:rPr>
        <w:t xml:space="preserve">. The administrator may, in its discretion, offer matching shares denominated in Class A ADSs to all participants under the Share Matching Plan, in an amount equal to up to 100% of the number of Class A ADSs purchased on behalf of a participant during the applicable offering period. To receive matching shares, the participant must (i) retain the Class A ADSs purchased during the applicable offering period under the Share Matching Plan until the date which is twelve months following the end of such offering period, and (ii) remain an eligible employee on such date. </w:t>
      </w:r>
    </w:p>
    <w:p>
      <w:pPr>
        <w:pStyle w:val="TextBody"/>
        <w:spacing w:before="240" w:after="0"/>
        <w:jc w:val="left"/>
        <w:rPr>
          <w:rFonts w:ascii="Times New Roman" w:hAnsi="Times New Roman"/>
          <w:sz w:val="20"/>
        </w:rPr>
      </w:pPr>
      <w:r>
        <w:rPr>
          <w:rFonts w:ascii="Times New Roman" w:hAnsi="Times New Roman"/>
          <w:i/>
          <w:sz w:val="20"/>
        </w:rPr>
        <w:t>Withdrawal from Share Matching Plan; Termination of Employment</w:t>
      </w:r>
      <w:r>
        <w:rPr>
          <w:rFonts w:ascii="Times New Roman" w:hAnsi="Times New Roman"/>
          <w:sz w:val="20"/>
        </w:rPr>
        <w:t xml:space="preserve">. Participants may voluntarily end their participation in the Share Matching Plan at any time during the applicable offering period by delivering written notice to the Company. In the event a participant elects to withdraw from the Share Matching Plan, then generally any accrued payroll deductions or contributions that have not yet been used to purchase Class A ADSs under the Share Matching Plan will be applied in the purchase of Class A ADSs on the next applicable purchase date, following which the participant will be paid any remaining accrued payroll deductions or contributions. If a participant withdraws from the Share Matching Plan, rights to matching shares may be retained in respect of the Class A ADSs purchased during the applicable offering period, but will be forfeited if such purchased Class A ADSs are sold less than twelve months following the end of that offering period. Matching shares that have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yet been delivered will generally be forfeited upon a participant’s termination of employment. Subject to the immediately preceding sentence, upon termination of employment, a participant will no longer be eligible to participate in the Share Matching Plan, and any remaining accrued payroll deductions or contributions in the participant’s account will be paid to such participant as soon as practicable following such termination. </w:t>
      </w:r>
    </w:p>
    <w:p>
      <w:pPr>
        <w:pStyle w:val="TextBody"/>
        <w:spacing w:before="360" w:after="0"/>
        <w:jc w:val="left"/>
        <w:rPr>
          <w:rFonts w:ascii="Times New Roman" w:hAnsi="Times New Roman"/>
          <w:i/>
          <w:sz w:val="20"/>
        </w:rPr>
      </w:pPr>
      <w:r>
        <w:rPr>
          <w:rFonts w:ascii="Times New Roman" w:hAnsi="Times New Roman"/>
          <w:i/>
          <w:sz w:val="20"/>
        </w:rPr>
        <w:t xml:space="preserve">Adjustments </w:t>
      </w:r>
    </w:p>
    <w:p>
      <w:pPr>
        <w:pStyle w:val="TextBody"/>
        <w:spacing w:before="120" w:after="0"/>
        <w:jc w:val="left"/>
        <w:rPr>
          <w:rFonts w:ascii="Times New Roman" w:hAnsi="Times New Roman"/>
          <w:sz w:val="20"/>
        </w:rPr>
      </w:pPr>
      <w:r>
        <w:rPr>
          <w:rFonts w:ascii="Times New Roman" w:hAnsi="Times New Roman"/>
          <w:sz w:val="20"/>
        </w:rPr>
        <w:t xml:space="preserve">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the Share Matching Plan and outstanding rights under the Employee Stock Purchase Plan and the Share Matching Plan. </w:t>
      </w:r>
    </w:p>
    <w:p>
      <w:pPr>
        <w:pStyle w:val="TextBody"/>
        <w:spacing w:before="360" w:after="0"/>
        <w:jc w:val="left"/>
        <w:rPr>
          <w:rFonts w:ascii="Times New Roman" w:hAnsi="Times New Roman"/>
          <w:i/>
          <w:sz w:val="20"/>
        </w:rPr>
      </w:pPr>
      <w:r>
        <w:rPr>
          <w:rFonts w:ascii="Times New Roman" w:hAnsi="Times New Roman"/>
          <w:i/>
          <w:sz w:val="20"/>
        </w:rPr>
        <w:t xml:space="preserve">Corporate Events—the Section 423 Component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ten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 </w:t>
      </w:r>
    </w:p>
    <w:p>
      <w:pPr>
        <w:pStyle w:val="TextBody"/>
        <w:spacing w:before="360" w:after="0"/>
        <w:jc w:val="left"/>
        <w:rPr>
          <w:rFonts w:ascii="Times New Roman" w:hAnsi="Times New Roman"/>
          <w:i/>
          <w:sz w:val="20"/>
        </w:rPr>
      </w:pPr>
      <w:r>
        <w:rPr>
          <w:rFonts w:ascii="Times New Roman" w:hAnsi="Times New Roman"/>
          <w:i/>
          <w:sz w:val="20"/>
        </w:rPr>
        <w:t xml:space="preserve">Corporate Events—the Non-Section 423 Component (Share Matching Plan) </w:t>
      </w:r>
    </w:p>
    <w:p>
      <w:pPr>
        <w:pStyle w:val="TextBody"/>
        <w:spacing w:before="120" w:after="0"/>
        <w:jc w:val="left"/>
        <w:rPr>
          <w:rFonts w:ascii="Times New Roman" w:hAnsi="Times New Roman"/>
          <w:sz w:val="20"/>
        </w:rPr>
      </w:pPr>
      <w:r>
        <w:rPr>
          <w:rFonts w:ascii="Times New Roman" w:hAnsi="Times New Roman"/>
          <w:sz w:val="20"/>
        </w:rPr>
        <w:t xml:space="preserve">In the event of a proposed sale of all or substantially all of the Company’s assets, a merger with or into another corporation, or other transaction as set forth in the rules of the Share Matching Plan, then unless the applicable successor corporation or a parent or subsidiary of the applicable successor corporation agrees to assume or substitute outstanding rights under the Share Matching Plan, or except as otherwise permitted under the Share Matching Plan, (i) any offering periods then in progress will generally be shortened and will end prior to the proposed sale or other transaction, with the administrator to notify each participant of the final purchase date for that offering period, and (ii) rights to matching shares will be deemed fully vested, and matching shares which have not previously been delivered will be delivered to participants, in each case, on or as soon as reasonably practicable following the closing of the applicable transaction. Further, in the event of a proposed dissolution or liquidation, a similar treatment of matching shares will generally apply. </w:t>
      </w:r>
    </w:p>
    <w:p>
      <w:pPr>
        <w:pStyle w:val="TextBody"/>
        <w:spacing w:before="360" w:after="0"/>
        <w:jc w:val="left"/>
        <w:rPr>
          <w:rFonts w:ascii="Times New Roman" w:hAnsi="Times New Roman"/>
          <w:i/>
          <w:sz w:val="20"/>
        </w:rPr>
      </w:pPr>
      <w:r>
        <w:rPr>
          <w:rFonts w:ascii="Times New Roman" w:hAnsi="Times New Roman"/>
          <w:i/>
          <w:sz w:val="20"/>
        </w:rPr>
        <w:t xml:space="preserve">Transferability </w:t>
      </w:r>
    </w:p>
    <w:p>
      <w:pPr>
        <w:pStyle w:val="TextBody"/>
        <w:spacing w:before="120" w:after="0"/>
        <w:jc w:val="left"/>
        <w:rPr>
          <w:rFonts w:ascii="Times New Roman" w:hAnsi="Times New Roman"/>
          <w:sz w:val="20"/>
        </w:rPr>
      </w:pPr>
      <w:r>
        <w:rPr>
          <w:rFonts w:ascii="Times New Roman" w:hAnsi="Times New Roman"/>
          <w:sz w:val="20"/>
        </w:rPr>
        <w:t xml:space="preserve">A participant may not transfer rights granted under the Employee Stock Purchase Plan or the Share Matching Plan other than by will or the laws of descent and distribution, and such rights are generally exercisable only by the participant. </w:t>
      </w:r>
    </w:p>
    <w:p>
      <w:pPr>
        <w:pStyle w:val="TextBody"/>
        <w:spacing w:before="360" w:after="0"/>
        <w:jc w:val="left"/>
        <w:rPr>
          <w:rFonts w:ascii="Times New Roman" w:hAnsi="Times New Roman"/>
          <w:i/>
          <w:sz w:val="20"/>
        </w:rPr>
      </w:pPr>
      <w:r>
        <w:rPr>
          <w:rFonts w:ascii="Times New Roman" w:hAnsi="Times New Roman"/>
          <w:i/>
          <w:sz w:val="20"/>
        </w:rPr>
        <w:t xml:space="preserve">Plan Amendment and Termination </w:t>
      </w:r>
    </w:p>
    <w:p>
      <w:pPr>
        <w:pStyle w:val="TextBody"/>
        <w:spacing w:before="120" w:after="0"/>
        <w:jc w:val="left"/>
        <w:rPr>
          <w:rFonts w:ascii="Times New Roman" w:hAnsi="Times New Roman"/>
          <w:sz w:val="20"/>
        </w:rPr>
      </w:pPr>
      <w:r>
        <w:rPr>
          <w:rFonts w:ascii="Times New Roman" w:hAnsi="Times New Roman"/>
          <w:sz w:val="20"/>
        </w:rPr>
        <w:t xml:space="preserve">The Board may amend, suspend or terminate the Employee Stock Purchase Plan (including the Share Matching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participate in the Employee Stock Purchase Plan or changes the Employee Stock Purchase Plan in any way that would cause the Section 423 Component of the Employee Stock Purchase Plan to no longer be an “employee stock purchase plan” under Section 423(b) of the Code. </w:t>
      </w:r>
    </w:p>
    <w:p>
      <w:pPr>
        <w:pStyle w:val="TextBody"/>
        <w:spacing w:before="240" w:after="0"/>
        <w:jc w:val="left"/>
        <w:rPr>
          <w:rFonts w:ascii="Times New Roman" w:hAnsi="Times New Roman"/>
          <w:sz w:val="20"/>
        </w:rPr>
      </w:pPr>
      <w:r>
        <w:rPr>
          <w:rFonts w:ascii="Times New Roman" w:hAnsi="Times New Roman"/>
          <w:sz w:val="20"/>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relevant jurisdictions.</w:t>
      </w:r>
    </w:p>
    <w:p>
      <w:pPr>
        <w:pStyle w:val="TextBody"/>
        <w:spacing w:before="360" w:after="0"/>
        <w:jc w:val="left"/>
        <w:rPr>
          <w:rFonts w:ascii="Times New Roman" w:hAnsi="Times New Roman"/>
          <w:i/>
          <w:sz w:val="20"/>
        </w:rPr>
      </w:pPr>
      <w:r>
        <w:rPr>
          <w:rFonts w:ascii="Times New Roman" w:hAnsi="Times New Roman"/>
          <w:i/>
          <w:sz w:val="20"/>
        </w:rPr>
        <w:t xml:space="preserve">Material U.S.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 </w:t>
      </w:r>
    </w:p>
    <w:p>
      <w:pPr>
        <w:pStyle w:val="TextBody"/>
        <w:spacing w:before="240" w:after="0"/>
        <w:jc w:val="left"/>
        <w:rPr>
          <w:rFonts w:ascii="Times New Roman" w:hAnsi="Times New Roman"/>
          <w:sz w:val="20"/>
        </w:rPr>
      </w:pPr>
      <w:r>
        <w:rPr>
          <w:rFonts w:ascii="Times New Roman" w:hAnsi="Times New Roman"/>
          <w:sz w:val="20"/>
        </w:rPr>
        <w:t xml:space="preserve">The Section 423 Component of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the holding periods described above, or in the event a U.S. participant receives matching Class A ADSs as described above under “—Participating in an Offering Under the Non-Section 423 Component,” the participant will recognize ordinary income generally measured as the excess of the fair market value of the shares on the date the shares are purchased over the purchase price (which purchase price shall be zero in the case of matching shares delivered under the Share Matching Plan)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 A U.S. participant will not recognize income upon purchase of Class A ADSs under the Share Matching Plan where the purchase price of the Class A ADSs is equal to the fair market value of Class A ADSs on the relevant purchase date. </w:t>
      </w:r>
    </w:p>
    <w:p>
      <w:pPr>
        <w:pStyle w:val="TextBody"/>
        <w:spacing w:before="240" w:after="0"/>
        <w:jc w:val="left"/>
        <w:rPr>
          <w:rFonts w:ascii="Times New Roman" w:hAnsi="Times New Roman"/>
          <w:sz w:val="20"/>
        </w:rPr>
      </w:pPr>
      <w:r>
        <w:rPr>
          <w:rFonts w:ascii="Times New Roman" w:hAnsi="Times New Roman"/>
          <w:sz w:val="20"/>
        </w:rPr>
        <w:t xml:space="preserve">THE DISCUSSION ABOVE IS INTENDED ONLY AS A SUMMARY AND DOES NOT PURPORT TO BE A COMPLETE DISCUSSION OF ALL POTENTIAL TAX EFFECTS RELEVANT TO RECIPIENTS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AWARDS UNDER THE EMPLOYEE STOCK PURCHASE PLAN AND THE SHARE MATCHING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472016_18"/>
      <w:bookmarkEnd w:id="20"/>
      <w:r>
        <w:rPr>
          <w:rFonts w:ascii="Times New Roman" w:hAnsi="Times New Roman"/>
          <w:b/>
          <w:sz w:val="20"/>
        </w:rPr>
        <w:t xml:space="preserve">BENEFICIAL OWNERSHIP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the Company in the form of American depositary shares by: </w:t>
      </w:r>
    </w:p>
    <w:p>
      <w:pPr>
        <w:pStyle w:val="TextBody"/>
        <w:spacing w:before="0" w:after="0"/>
        <w:jc w:val="left"/>
        <w:rPr/>
      </w:pPr>
      <w:r>
        <w:rPr/>
        <w:t> </w:t>
      </w:r>
    </w:p>
    <w:tbl>
      <w:tblPr>
        <w:tblW w:w="5635" w:type="dxa"/>
        <w:jc w:val="left"/>
        <w:tblInd w:w="0" w:type="dxa"/>
        <w:tblCellMar>
          <w:top w:w="0" w:type="dxa"/>
          <w:left w:w="0" w:type="dxa"/>
          <w:bottom w:w="0" w:type="dxa"/>
          <w:right w:w="0" w:type="dxa"/>
        </w:tblCellMar>
      </w:tblPr>
      <w:tblGrid>
        <w:gridCol w:w="75"/>
        <w:gridCol w:w="110"/>
        <w:gridCol w:w="60"/>
        <w:gridCol w:w="5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beneficial owner of more than 5% of the outstanding Shares; </w:t>
            </w:r>
          </w:p>
        </w:tc>
      </w:tr>
    </w:tbl>
    <w:p>
      <w:pPr>
        <w:pStyle w:val="TextBody"/>
        <w:spacing w:before="0" w:after="0"/>
        <w:jc w:val="left"/>
        <w:rPr/>
      </w:pPr>
      <w:r>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executive officer or a director of the Company; and </w:t>
            </w:r>
          </w:p>
        </w:tc>
      </w:tr>
    </w:tbl>
    <w:p>
      <w:pPr>
        <w:pStyle w:val="TextBody"/>
        <w:spacing w:before="0" w:after="0"/>
        <w:jc w:val="left"/>
        <w:rPr/>
      </w:pPr>
      <w:r>
        <w:rPr/>
        <w:t> </w:t>
      </w:r>
    </w:p>
    <w:tbl>
      <w:tblPr>
        <w:tblW w:w="5515" w:type="dxa"/>
        <w:jc w:val="left"/>
        <w:tblInd w:w="0" w:type="dxa"/>
        <w:tblCellMar>
          <w:top w:w="0" w:type="dxa"/>
          <w:left w:w="0" w:type="dxa"/>
          <w:bottom w:w="0" w:type="dxa"/>
          <w:right w:w="0" w:type="dxa"/>
        </w:tblCellMar>
      </w:tblPr>
      <w:tblGrid>
        <w:gridCol w:w="75"/>
        <w:gridCol w:w="110"/>
        <w:gridCol w:w="60"/>
        <w:gridCol w:w="5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of the Company’s executive officers and directors as a group. </w:t>
            </w:r>
          </w:p>
        </w:tc>
      </w:tr>
    </w:tbl>
    <w:p>
      <w:pPr>
        <w:pStyle w:val="TextBody"/>
        <w:spacing w:before="240" w:after="0"/>
        <w:jc w:val="left"/>
        <w:rPr>
          <w:rFonts w:ascii="Times New Roman" w:hAnsi="Times New Roman"/>
          <w:sz w:val="20"/>
        </w:rPr>
      </w:pPr>
      <w:r>
        <w:rPr>
          <w:rFonts w:ascii="Times New Roman" w:hAnsi="Times New Roman"/>
          <w:sz w:val="20"/>
        </w:rPr>
        <w:t xml:space="preserve">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 </w:t>
      </w:r>
    </w:p>
    <w:p>
      <w:pPr>
        <w:pStyle w:val="TextBody"/>
        <w:spacing w:before="240" w:after="0"/>
        <w:jc w:val="left"/>
        <w:rPr>
          <w:rFonts w:ascii="Times New Roman" w:hAnsi="Times New Roman"/>
          <w:sz w:val="20"/>
        </w:rPr>
      </w:pPr>
      <w:r>
        <w:rPr>
          <w:rFonts w:ascii="Times New Roman" w:hAnsi="Times New Roman"/>
          <w:sz w:val="20"/>
        </w:rPr>
        <w:t xml:space="preserve">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 </w:t>
      </w:r>
    </w:p>
    <w:p>
      <w:pPr>
        <w:pStyle w:val="TextBody"/>
        <w:spacing w:before="240" w:after="0"/>
        <w:jc w:val="left"/>
        <w:rPr>
          <w:rFonts w:ascii="Times New Roman" w:hAnsi="Times New Roman"/>
          <w:sz w:val="20"/>
        </w:rPr>
      </w:pPr>
      <w:r>
        <w:rPr>
          <w:rFonts w:ascii="Times New Roman" w:hAnsi="Times New Roman"/>
          <w:sz w:val="20"/>
        </w:rPr>
        <w:t xml:space="preserve">The beneficial ownership of the Shares is based on 2,109,911,248 Shares issued and outstanding as of December 31, 2022.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 Out Shares that might be issued and (ii) Class A Shares in the form of Class A ADSs that will vest pursuant to the Equity Plan and Employee Stock Purchase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otherwise noted, the business address of each beneficial owner is Assar Gabrielssons Väg 9, 405 31 Gothenburg, Sweden. </w:t>
      </w:r>
    </w:p>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3950"/>
        <w:gridCol w:w="120"/>
        <w:gridCol w:w="60"/>
        <w:gridCol w:w="1400"/>
        <w:gridCol w:w="350"/>
        <w:gridCol w:w="60"/>
        <w:gridCol w:w="168"/>
        <w:gridCol w:w="1232"/>
        <w:gridCol w:w="290"/>
      </w:tblGrid>
      <w:tr>
        <w:trPr/>
        <w:tc>
          <w:tcPr>
            <w:tcW w:w="3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283"/>
              <w:jc w:val="center"/>
              <w:rPr>
                <w:b/>
              </w:rPr>
            </w:pPr>
            <w:r>
              <w:rPr>
                <w:b/>
              </w:rPr>
              <w:t>Name of Beneficial Owner</w:t>
            </w:r>
          </w:p>
        </w:tc>
        <w:tc>
          <w:tcPr>
            <w:tcW w:w="12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b/>
              </w:rPr>
            </w:pPr>
            <w:r>
              <w:rPr>
                <w:b/>
              </w:rPr>
              <w:t>Number of</w:t>
              <w:br/>
              <w:t>Shares</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shd w:fill="auto" w:val="clear"/>
            <w:vAlign w:val="center"/>
          </w:tcPr>
          <w:p>
            <w:pPr>
              <w:pStyle w:val="TableContents"/>
              <w:spacing w:before="0" w:after="283"/>
              <w:jc w:val="center"/>
              <w:rPr>
                <w:b/>
              </w:rPr>
            </w:pPr>
            <w:r>
              <w:rPr>
                <w:b/>
              </w:rPr>
              <w:t>Approximate</w:t>
              <w:br/>
              <w:t>Percentage of</w:t>
              <w:br/>
              <w:t>Outstanding</w:t>
              <w:br/>
              <w:t>Shares</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Executive Officers and Directors: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400" w:type="dxa"/>
            <w:tcBorders/>
            <w:shd w:fill="CCEEFF" w:val="clear"/>
            <w:vAlign w:val="center"/>
          </w:tcPr>
          <w:p>
            <w:pPr>
              <w:pStyle w:val="TableContents"/>
              <w:spacing w:before="0" w:after="283"/>
              <w:rPr>
                <w:sz w:val="4"/>
                <w:szCs w:val="4"/>
              </w:rPr>
            </w:pPr>
            <w:r>
              <w:rPr>
                <w:sz w:val="4"/>
                <w:szCs w:val="4"/>
              </w:rPr>
            </w:r>
          </w:p>
        </w:tc>
        <w:tc>
          <w:tcPr>
            <w:tcW w:w="35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sz w:val="4"/>
                <w:szCs w:val="4"/>
              </w:rPr>
            </w:pPr>
            <w:r>
              <w:rPr>
                <w:sz w:val="4"/>
                <w:szCs w:val="4"/>
              </w:rPr>
            </w:r>
          </w:p>
        </w:tc>
        <w:tc>
          <w:tcPr>
            <w:tcW w:w="1232"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Ingenlath</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335,620</w:t>
            </w:r>
          </w:p>
        </w:tc>
        <w:tc>
          <w:tcPr>
            <w:tcW w:w="350"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Johan Malmqvist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17,468</w:t>
            </w:r>
          </w:p>
        </w:tc>
        <w:tc>
          <w:tcPr>
            <w:tcW w:w="350"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Dennis Nobelius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12,521</w:t>
            </w:r>
          </w:p>
        </w:tc>
        <w:tc>
          <w:tcPr>
            <w:tcW w:w="350"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Håkan Samuelsson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781,000</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Carla De Geyseleer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196,750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Karen C. Francis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25,275</w:t>
            </w:r>
          </w:p>
        </w:tc>
        <w:tc>
          <w:tcPr>
            <w:tcW w:w="350"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Donghui (Daniel) Li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7,000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Dr. Karl-Thomas Neumann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5,250</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David Richter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135,655</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James Rowan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13,600</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Zhe (David) Wei</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5,900</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 xml:space="preserve">All directors and executive officers as a group </w:t>
              <w:br/>
              <w:t>(eleven individuals)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1,536,039</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Five Percent or More Holders: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 Shufu(5)</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1,866,576,927</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88.5</w:t>
            </w:r>
          </w:p>
        </w:tc>
        <w:tc>
          <w:tcPr>
            <w:tcW w:w="290"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2035" w:type="dxa"/>
        <w:jc w:val="left"/>
        <w:tblInd w:w="0" w:type="dxa"/>
        <w:tblCellMar>
          <w:top w:w="0" w:type="dxa"/>
          <w:left w:w="0" w:type="dxa"/>
          <w:bottom w:w="0" w:type="dxa"/>
          <w:right w:w="0" w:type="dxa"/>
        </w:tblCellMar>
      </w:tblPr>
      <w:tblGrid>
        <w:gridCol w:w="155"/>
        <w:gridCol w:w="1880"/>
      </w:tblGrid>
      <w:tr>
        <w:trPr/>
        <w:tc>
          <w:tcPr>
            <w:tcW w:w="155" w:type="dxa"/>
            <w:tcBorders/>
            <w:shd w:fill="auto" w:val="clear"/>
            <w:vAlign w:val="center"/>
          </w:tcPr>
          <w:p>
            <w:pPr>
              <w:pStyle w:val="TableContents"/>
              <w:spacing w:before="0" w:after="283"/>
              <w:jc w:val="left"/>
              <w:rPr/>
            </w:pPr>
            <w:r>
              <w:rPr/>
              <w:t>*</w:t>
            </w:r>
          </w:p>
        </w:tc>
        <w:tc>
          <w:tcPr>
            <w:tcW w:w="18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(1)</w:t>
            </w:r>
          </w:p>
        </w:tc>
        <w:tc>
          <w:tcPr>
            <w:tcW w:w="995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Number of shares owned by Mr. Ingenlath. Additionally, Mr. Ingenlath has been granted 77,635 Restricted Stock Units as part of the Polestar At Listing share program, whereof 25,620 have vested (and are accounted for in the above table). Mr. Ingenlath has also been granted 58,226 Performance Stock Units as part of the Polestar Post Listing share program, which have not yet vested.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(2)</w:t>
            </w:r>
          </w:p>
        </w:tc>
        <w:tc>
          <w:tcPr>
            <w:tcW w:w="995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Number of shares owned by Mr. Malmqvist. Additionally, Mr. Malmqvist has been granted 52,933 Restricted Stock Units as part of the Polestar At Listing share program, whereof 17,468 have vested (and are accounted for in the above table). Mr. Malmqvist has also been granted 42,346 Performance Stock Units as part of the Polestar Post Listing share program, which have not yet vested.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Number of shares owned by Mr. Nobelius. Additionally, Mr. Nobelius has been granted 37,943 Restricted Stock Units as part of the Polestar At Listing share program, whereof 12,521 have vested (and are accounted for in the above table). Mr. Nobelius has also been granted 28,457 Performance Stock Units as part of the Polestar Post Listing share program, which have not yet vested. </w:t>
            </w:r>
          </w:p>
        </w:tc>
      </w:tr>
    </w:tbl>
    <w:tbl>
      <w:tblPr>
        <w:tblW w:w="9085" w:type="dxa"/>
        <w:jc w:val="left"/>
        <w:tblInd w:w="0" w:type="dxa"/>
        <w:tblCellMar>
          <w:top w:w="0" w:type="dxa"/>
          <w:left w:w="0" w:type="dxa"/>
          <w:bottom w:w="0" w:type="dxa"/>
          <w:right w:w="0" w:type="dxa"/>
        </w:tblCellMar>
      </w:tblPr>
      <w:tblGrid>
        <w:gridCol w:w="305"/>
        <w:gridCol w:w="8780"/>
      </w:tblGrid>
      <w:tr>
        <w:trPr/>
        <w:tc>
          <w:tcPr>
            <w:tcW w:w="305" w:type="dxa"/>
            <w:tcBorders/>
            <w:shd w:fill="auto" w:val="clear"/>
            <w:vAlign w:val="center"/>
          </w:tcPr>
          <w:p>
            <w:pPr>
              <w:pStyle w:val="TableContents"/>
              <w:spacing w:before="0" w:after="283"/>
              <w:jc w:val="left"/>
              <w:rPr/>
            </w:pPr>
            <w:r>
              <w:rPr/>
              <w:t>(4)</w:t>
            </w:r>
          </w:p>
        </w:tc>
        <w:tc>
          <w:tcPr>
            <w:tcW w:w="8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Class A ADSs that Ms. Francis has purchased in connection with the March Sponsor Investment. </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(5)</w:t>
            </w:r>
          </w:p>
        </w:tc>
        <w:tc>
          <w:tcPr>
            <w:tcW w:w="9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828,013,737 Class B ADSs for which PSD Investment Limited is the record holder. It also includes 204,572,624 Class A ADSs and 814,219,838 Class B ADSs for which Snita is the record holder, 6,106,660 Class A ADSs for which Northpole GLY 1 LP is the record holder, 13,664,063 Class A ADSs for which GLY New Mobility 1. LP is the record holder, 3 Class A ADSs for which Saxo Capital Markets Pte. Ltd (“Saxo SG”) is the record holder and 2 Class A ADSs for which Saxo Capital Markets HK Limited (“Saxo HK”) is the record holder.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GPI, GLY New Mobility GP1 and Northpole GLY GP1, the general partners of Northpole GLY 1 LP and GLY New Mobility 1. LP, respectively. Saxo SG and Saxo HK are owned and controlled by Geely. Consequently, since voting and dispositive decisions with respect to such securities are ultimately made by Li Shufu, he is deemed to have beneficial ownership over 1,866,576,927 Class A ADSs, assuming the conversion of all Class B ADSs into Class A ADSs. Li Shufu disclaims beneficial ownership of these securities except to the extent of any pecuniary interest therein. The business address of Li Shufu and Former Parent is 13/F, Gloucester Tower,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The Landmark, 15 Queen’s Road Central, Central, Hong Kong and the business address of Snita is Stationswerg 2, 4153 RD Beesd, Netherlands. </w:t>
            </w:r>
          </w:p>
        </w:tc>
      </w:tr>
    </w:tbl>
    <w:p>
      <w:pPr>
        <w:pStyle w:val="TextBody"/>
        <w:spacing w:before="360" w:after="0"/>
        <w:jc w:val="left"/>
        <w:rPr>
          <w:rFonts w:ascii="Times New Roman" w:hAnsi="Times New Roman"/>
          <w:b/>
          <w:sz w:val="20"/>
        </w:rPr>
      </w:pPr>
      <w:r>
        <w:rPr>
          <w:rFonts w:ascii="Times New Roman" w:hAnsi="Times New Roman"/>
          <w:b/>
          <w:sz w:val="20"/>
        </w:rPr>
        <w:t xml:space="preserve">Holders </w:t>
      </w:r>
    </w:p>
    <w:p>
      <w:pPr>
        <w:pStyle w:val="TextBody"/>
        <w:spacing w:before="120" w:after="0"/>
        <w:jc w:val="left"/>
        <w:rPr>
          <w:rFonts w:ascii="Times New Roman" w:hAnsi="Times New Roman"/>
          <w:sz w:val="20"/>
        </w:rPr>
      </w:pPr>
      <w:r>
        <w:rPr>
          <w:rFonts w:ascii="Times New Roman" w:hAnsi="Times New Roman"/>
          <w:sz w:val="20"/>
        </w:rPr>
        <w:t xml:space="preserve">As of December 31, 2022, Polestar had approximately 86 shareholders of record for its Class A ADSs, two shareholders of record for its Class B ADSs and four shareholders of record for its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 </w:t>
      </w:r>
    </w:p>
    <w:p>
      <w:pPr>
        <w:pStyle w:val="TextBody"/>
        <w:spacing w:before="360" w:after="0"/>
        <w:jc w:val="left"/>
        <w:rPr>
          <w:rFonts w:ascii="Times New Roman" w:hAnsi="Times New Roman"/>
          <w:b/>
          <w:sz w:val="20"/>
        </w:rPr>
      </w:pPr>
      <w:r>
        <w:rPr>
          <w:rFonts w:ascii="Times New Roman" w:hAnsi="Times New Roman"/>
          <w:b/>
          <w:sz w:val="20"/>
        </w:rPr>
        <w:t xml:space="preserve">Significant Changes in Ownership by Major Shareholders </w:t>
      </w:r>
    </w:p>
    <w:p>
      <w:pPr>
        <w:pStyle w:val="TextBody"/>
        <w:spacing w:before="120" w:after="0"/>
        <w:jc w:val="left"/>
        <w:rPr>
          <w:rFonts w:ascii="Times New Roman" w:hAnsi="Times New Roman"/>
          <w:sz w:val="20"/>
        </w:rPr>
      </w:pPr>
      <w:r>
        <w:rPr>
          <w:rFonts w:ascii="Times New Roman" w:hAnsi="Times New Roman"/>
          <w:sz w:val="20"/>
        </w:rPr>
        <w:t xml:space="preserve">Prior to the Business Combination and Pre-Closing Reorganization, 42.7% of Former Parent was owned by PSD Investment Limited and 48.8% of Former Parent was owned by Volvo Cars. After the Business Combination Closing, Li Shufu was deemed to have beneficial ownership interest of 94.7% of the issued and outstanding Shares. Following the liquidation of Former Parent and the distribution of the Shares held by Former Parent to its shareholders, Li Shufu is the beneficial owner of approximately 88.5% of the issued and outstanding Shares, as described in the beneficial ownership table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472016_19"/>
      <w:bookmarkEnd w:id="21"/>
      <w:r>
        <w:rPr>
          <w:rFonts w:ascii="Times New Roman" w:hAnsi="Times New Roman"/>
          <w:b/>
          <w:sz w:val="20"/>
        </w:rPr>
        <w:t xml:space="preserve">SELLING SECURITYHOLDERS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t>
      </w:r>
    </w:p>
    <w:p>
      <w:pPr>
        <w:pStyle w:val="TextBody"/>
        <w:spacing w:before="240" w:after="0"/>
        <w:jc w:val="left"/>
        <w:rPr>
          <w:rFonts w:ascii="Times New Roman" w:hAnsi="Times New Roman"/>
          <w:sz w:val="20"/>
        </w:rPr>
      </w:pPr>
      <w:r>
        <w:rPr>
          <w:rFonts w:ascii="Times New Roman" w:hAnsi="Times New Roman"/>
          <w:sz w:val="20"/>
        </w:rPr>
        <w:t xml:space="preserve">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w:t>
      </w:r>
    </w:p>
    <w:p>
      <w:pPr>
        <w:pStyle w:val="TextBody"/>
        <w:spacing w:before="240" w:after="0"/>
        <w:jc w:val="left"/>
        <w:rPr>
          <w:rFonts w:ascii="Times New Roman" w:hAnsi="Times New Roman"/>
          <w:sz w:val="20"/>
        </w:rPr>
      </w:pPr>
      <w:r>
        <w:rPr>
          <w:rFonts w:ascii="Times New Roman" w:hAnsi="Times New Roman"/>
          <w:sz w:val="20"/>
        </w:rPr>
        <w:t xml:space="preserve">Certain of the Selling Securityholders own Class C ADSs. The Class C ADSs were previously issued in a transaction registered with the SEC, and the registration statement of which this prospectus is a part is registering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issuance of Class A ADSs underlying the exercise of such Class C ADSs. Accordingly, such registration 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20,499,965 Class A ADSs upon conversion of all of the issued and outstanding, publicly held Class C-1 ADSs, which are also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The securities held by certain of the Selling Securityholders are subject to transfer restrictions, as described in the sections entitled “Description of Share Capital and Articles of Association—Description of Company Share Capital and Polestar Articles—Company Securities—Transfer of Shares,” “Description of American Depositary Shares—ADSs—Transfer, Combination and Split Up of ADRs” and “Securities Eligible For Future Sale.” </w:t>
      </w:r>
    </w:p>
    <w:p>
      <w:pPr>
        <w:pStyle w:val="TextBody"/>
        <w:spacing w:before="240" w:after="0"/>
        <w:jc w:val="left"/>
        <w:rPr>
          <w:rFonts w:ascii="Times New Roman" w:hAnsi="Times New Roman"/>
          <w:sz w:val="20"/>
        </w:rPr>
      </w:pPr>
      <w:r>
        <w:rPr>
          <w:rFonts w:ascii="Times New Roman" w:hAnsi="Times New Roman"/>
          <w:sz w:val="20"/>
        </w:rPr>
        <w:t xml:space="preserve">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 </w:t>
      </w:r>
    </w:p>
    <w:p>
      <w:pPr>
        <w:pStyle w:val="TextBody"/>
        <w:spacing w:before="240" w:after="0"/>
        <w:jc w:val="left"/>
        <w:rPr>
          <w:rFonts w:ascii="Times New Roman" w:hAnsi="Times New Roman"/>
          <w:sz w:val="20"/>
        </w:rPr>
      </w:pPr>
      <w:r>
        <w:rPr>
          <w:rFonts w:ascii="Times New Roman" w:hAnsi="Times New Roman"/>
          <w:sz w:val="20"/>
        </w:rPr>
        <w:t xml:space="preserve">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 </w:t>
      </w:r>
    </w:p>
    <w:p>
      <w:pPr>
        <w:pStyle w:val="TextBody"/>
        <w:spacing w:before="0" w:after="0"/>
        <w:jc w:val="left"/>
        <w:rPr/>
      </w:pPr>
      <w:r>
        <w:rPr/>
        <w:t> </w:t>
      </w:r>
    </w:p>
    <w:tbl>
      <w:tblPr>
        <w:tblW w:w="10925" w:type="dxa"/>
        <w:jc w:val="left"/>
        <w:tblInd w:w="0" w:type="dxa"/>
        <w:tblCellMar>
          <w:top w:w="0" w:type="dxa"/>
          <w:left w:w="0" w:type="dxa"/>
          <w:bottom w:w="0" w:type="dxa"/>
          <w:right w:w="0" w:type="dxa"/>
        </w:tblCellMar>
      </w:tblPr>
      <w:tblGrid>
        <w:gridCol w:w="1625"/>
        <w:gridCol w:w="60"/>
        <w:gridCol w:w="60"/>
        <w:gridCol w:w="980"/>
        <w:gridCol w:w="60"/>
        <w:gridCol w:w="60"/>
        <w:gridCol w:w="107"/>
        <w:gridCol w:w="678"/>
        <w:gridCol w:w="60"/>
        <w:gridCol w:w="60"/>
        <w:gridCol w:w="60"/>
        <w:gridCol w:w="980"/>
        <w:gridCol w:w="60"/>
        <w:gridCol w:w="60"/>
        <w:gridCol w:w="60"/>
        <w:gridCol w:w="980"/>
        <w:gridCol w:w="60"/>
        <w:gridCol w:w="60"/>
        <w:gridCol w:w="60"/>
        <w:gridCol w:w="980"/>
        <w:gridCol w:w="60"/>
        <w:gridCol w:w="60"/>
        <w:gridCol w:w="60"/>
        <w:gridCol w:w="980"/>
        <w:gridCol w:w="60"/>
        <w:gridCol w:w="120"/>
        <w:gridCol w:w="100"/>
        <w:gridCol w:w="640"/>
        <w:gridCol w:w="60"/>
        <w:gridCol w:w="120"/>
        <w:gridCol w:w="109"/>
        <w:gridCol w:w="691"/>
        <w:gridCol w:w="60"/>
        <w:gridCol w:w="120"/>
        <w:gridCol w:w="68"/>
        <w:gridCol w:w="432"/>
        <w:gridCol w:w="75"/>
      </w:tblGrid>
      <w:tr>
        <w:trPr/>
        <w:tc>
          <w:tcPr>
            <w:tcW w:w="1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05" w:type="dxa"/>
            <w:gridSpan w:val="10"/>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Beneficially Owned</w:t>
            </w:r>
            <w:r>
              <w:rPr/>
              <w:br/>
            </w:r>
            <w:r>
              <w:rPr>
                <w:b/>
              </w:rPr>
              <w:t>Prior to This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0" w:type="dxa"/>
            <w:gridSpan w:val="6"/>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to be Sold</w:t>
            </w:r>
            <w:r>
              <w:rPr/>
              <w:br/>
            </w:r>
            <w:r>
              <w:rPr>
                <w:b/>
              </w:rPr>
              <w:t>in This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0" w:type="dxa"/>
            <w:gridSpan w:val="14"/>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Beneficially Owned</w:t>
            </w:r>
            <w:r>
              <w:rPr/>
              <w:br/>
            </w:r>
            <w:r>
              <w:rPr>
                <w:b/>
              </w:rPr>
              <w:t>After This Offering</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jc w:val="center"/>
              <w:rPr>
                <w:b/>
              </w:rPr>
            </w:pPr>
            <w:r>
              <w:rPr>
                <w:b/>
              </w:rPr>
              <w:t>Name of Selling</w:t>
              <w:br/>
              <w:t>Securityholders</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B</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339 Capital Holdings LLC(1)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550,055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550,055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AEG Holdings, LLC(2)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4,039,701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4,039,701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4,039,701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4,039,701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Alyeska Master Fund, LP(3)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1,333,530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1,333,530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AMF Tjänstephension AB(4)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4,400,440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4,400,440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BNP Paribas Asset Management AS - Agent on Behalf of BNP Paribas - Funds Energy Transition(5)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5,844,753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1,925,192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3,919,561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Charles Pacheco(6)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Christopher T Charlton Revocable Living Trust(7)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1,044,633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1,044,633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Citadel CEMF Investments Ltd.(8)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1,566,948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1,566,948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DSK EV Investment Limited(9)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3,129,202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3,129,202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Edward A. Johnson(10)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263,449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263,449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Elizabeth Marcellino(11)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Elliott Associates, L.P.(12)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485,754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485,754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Elliott International, L.P.(13)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1,081,194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67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1,081,194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rPr/>
      </w:pPr>
      <w:r>
        <w:rPr/>
      </w:r>
    </w:p>
    <w:p>
      <w:pPr>
        <w:pStyle w:val="Heading5"/>
        <w:rPr/>
      </w:pPr>
      <w:hyperlink w:anchor="toc">
        <w:r>
          <w:rPr>
            <w:rStyle w:val="InternetLink"/>
          </w:rPr>
          <w:t>Table of Contents</w:t>
        </w:r>
      </w:hyperlink>
    </w:p>
    <w:tbl>
      <w:tblPr>
        <w:tblW w:w="12355" w:type="dxa"/>
        <w:jc w:val="left"/>
        <w:tblInd w:w="0" w:type="dxa"/>
        <w:tblCellMar>
          <w:top w:w="0" w:type="dxa"/>
          <w:left w:w="0" w:type="dxa"/>
          <w:bottom w:w="0" w:type="dxa"/>
          <w:right w:w="0" w:type="dxa"/>
        </w:tblCellMar>
      </w:tblPr>
      <w:tblGrid>
        <w:gridCol w:w="1625"/>
        <w:gridCol w:w="60"/>
        <w:gridCol w:w="60"/>
        <w:gridCol w:w="1400"/>
        <w:gridCol w:w="60"/>
        <w:gridCol w:w="60"/>
        <w:gridCol w:w="60"/>
        <w:gridCol w:w="1220"/>
        <w:gridCol w:w="60"/>
        <w:gridCol w:w="60"/>
        <w:gridCol w:w="60"/>
        <w:gridCol w:w="980"/>
        <w:gridCol w:w="60"/>
        <w:gridCol w:w="60"/>
        <w:gridCol w:w="60"/>
        <w:gridCol w:w="1400"/>
        <w:gridCol w:w="335"/>
        <w:gridCol w:w="60"/>
        <w:gridCol w:w="60"/>
        <w:gridCol w:w="980"/>
        <w:gridCol w:w="60"/>
        <w:gridCol w:w="60"/>
        <w:gridCol w:w="60"/>
        <w:gridCol w:w="800"/>
        <w:gridCol w:w="60"/>
        <w:gridCol w:w="120"/>
        <w:gridCol w:w="100"/>
        <w:gridCol w:w="640"/>
        <w:gridCol w:w="60"/>
        <w:gridCol w:w="120"/>
        <w:gridCol w:w="109"/>
        <w:gridCol w:w="691"/>
        <w:gridCol w:w="60"/>
        <w:gridCol w:w="120"/>
        <w:gridCol w:w="68"/>
        <w:gridCol w:w="432"/>
        <w:gridCol w:w="75"/>
      </w:tblGrid>
      <w:tr>
        <w:trPr/>
        <w:tc>
          <w:tcPr>
            <w:tcW w:w="1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20" w:type="dxa"/>
            <w:gridSpan w:val="10"/>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Beneficially Owned</w:t>
            </w:r>
            <w:r>
              <w:rPr/>
              <w:br/>
            </w:r>
            <w:r>
              <w:rPr>
                <w:b/>
              </w:rPr>
              <w:t>Prior to This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5" w:type="dxa"/>
            <w:gridSpan w:val="6"/>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to be Sold</w:t>
            </w:r>
            <w:r>
              <w:rPr/>
              <w:br/>
            </w:r>
            <w:r>
              <w:rPr>
                <w:b/>
              </w:rPr>
              <w:t>in This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40" w:type="dxa"/>
            <w:gridSpan w:val="14"/>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Beneficially Owned</w:t>
            </w:r>
            <w:r>
              <w:rPr/>
              <w:br/>
            </w:r>
            <w:r>
              <w:rPr>
                <w:b/>
              </w:rPr>
              <w:t>After This Offering</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jc w:val="center"/>
              <w:rPr>
                <w:b/>
              </w:rPr>
            </w:pPr>
            <w:r>
              <w:rPr>
                <w:b/>
              </w:rPr>
              <w:t>Name of Selling</w:t>
              <w:br/>
              <w:t>Securityholders</w:t>
            </w:r>
          </w:p>
        </w:tc>
        <w:tc>
          <w:tcPr>
            <w:tcW w:w="6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B</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Erich Sixt Vermögensverwaltung GmbH(14)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1,305,791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1,305,791</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GG Sponsor, LLC(15)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4,446,041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4,446,041</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GGP Sponsor Holdings, LLC(16)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13,313,656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4,500,000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13,313,656</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4,500,000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Gores PIPE, LLC(17)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5,449,626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5,449,626</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Healthcare Of Ontario Pension Plan Trust Fund(18)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522,316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522,316</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Mark Stone(19)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387,199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236,250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387,199</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236,250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MG6TV, LLC(20)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1,305,791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1,305,791</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MGXBD, LLC(21)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261,159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261,159</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MMF LT, LLC(22)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1,044,632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1,044,632</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Nancy Tellem(23)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40,670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40,670</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Nineteen77 Global Merger Arbitrage Master Limited(24)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739,284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739,284</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Nineteen77 Global Merger Arbitrage Opportunity Fund(25)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88,377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88,377</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Nineteen77 Global Multi-Strategy Alpha Master Limited(26)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739,287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739,287</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Northpole GLY 2 LP(27)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668,167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668,167</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Randall Bort(28)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25,000</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Saba Capital Master Fund III, LP(29)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201,747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201,747</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Saba Capital Master Fund, Ltd.(30)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1,235,072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1,235,072</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Saba Capital SPAC Opportunities, Ltd.(31)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60,693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60,693</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Saba II AIV LP(32)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1,691,863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1,691,863</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Shutfut Menayot Chool - Phoenix Amitim(33)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887,937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887,937</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Snita Holding BV(34)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1,018,792,462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814,219,838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1,097,084,054</w:t>
            </w:r>
          </w:p>
        </w:tc>
        <w:tc>
          <w:tcPr>
            <w:tcW w:w="335" w:type="dxa"/>
            <w:tcBorders/>
            <w:shd w:fill="CCEEFF" w:val="clear"/>
            <w:vAlign w:val="center"/>
          </w:tcPr>
          <w:p>
            <w:pPr>
              <w:pStyle w:val="TableContents"/>
              <w:spacing w:before="0" w:after="283"/>
              <w:rPr/>
            </w:pPr>
            <w:r>
              <w:rPr/>
              <w:t>(35)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Sycomore L/S Opportunities(36)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417,853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417,853</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The Phoenix Insurance Company LTD(37)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156,695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156,695</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Union Square Park Partners, LP(38)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592,149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261,159</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330,990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West Investments VIII LLC(39)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512,223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1,012,223</w:t>
            </w:r>
          </w:p>
        </w:tc>
        <w:tc>
          <w:tcPr>
            <w:tcW w:w="335" w:type="dxa"/>
            <w:tcBorders/>
            <w:shd w:fill="CCEEFF" w:val="clear"/>
            <w:vAlign w:val="center"/>
          </w:tcPr>
          <w:p>
            <w:pPr>
              <w:pStyle w:val="TableContents"/>
              <w:spacing w:before="0" w:after="283"/>
              <w:rPr/>
            </w:pPr>
            <w:r>
              <w:rPr/>
              <w:t>(40)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Saxo Capital Markets Pte. Ltd(41)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372,359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372,359</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Saxo Capital Markets HK Limited(42)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124,515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124,515</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Northpole GLY 1 LP(43)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6,106,660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7,891,875</w:t>
            </w:r>
          </w:p>
        </w:tc>
        <w:tc>
          <w:tcPr>
            <w:tcW w:w="335" w:type="dxa"/>
            <w:tcBorders/>
            <w:shd w:fill="auto" w:val="clear"/>
            <w:vAlign w:val="center"/>
          </w:tcPr>
          <w:p>
            <w:pPr>
              <w:pStyle w:val="TableContents"/>
              <w:spacing w:before="0" w:after="283"/>
              <w:rPr/>
            </w:pPr>
            <w:r>
              <w:rPr/>
              <w:t>(44)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GLY New Mobility 1. LP(45)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13,664,063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14,779,822</w:t>
            </w:r>
          </w:p>
        </w:tc>
        <w:tc>
          <w:tcPr>
            <w:tcW w:w="335" w:type="dxa"/>
            <w:tcBorders/>
            <w:shd w:fill="CCEEFF" w:val="clear"/>
            <w:vAlign w:val="center"/>
          </w:tcPr>
          <w:p>
            <w:pPr>
              <w:pStyle w:val="TableContents"/>
              <w:spacing w:before="0" w:after="283"/>
              <w:rPr/>
            </w:pPr>
            <w:r>
              <w:rPr/>
              <w:t>(46)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rPr/>
      </w:pPr>
      <w:r>
        <w:rPr/>
      </w:r>
    </w:p>
    <w:p>
      <w:pPr>
        <w:pStyle w:val="Heading5"/>
        <w:rPr/>
      </w:pPr>
      <w:hyperlink w:anchor="toc">
        <w:r>
          <w:rPr>
            <w:rStyle w:val="InternetLink"/>
          </w:rPr>
          <w:t>Table of Contents</w:t>
        </w:r>
      </w:hyperlink>
    </w:p>
    <w:tbl>
      <w:tblPr>
        <w:tblW w:w="12715" w:type="dxa"/>
        <w:jc w:val="left"/>
        <w:tblInd w:w="0" w:type="dxa"/>
        <w:tblCellMar>
          <w:top w:w="0" w:type="dxa"/>
          <w:left w:w="0" w:type="dxa"/>
          <w:bottom w:w="0" w:type="dxa"/>
          <w:right w:w="0" w:type="dxa"/>
        </w:tblCellMar>
      </w:tblPr>
      <w:tblGrid>
        <w:gridCol w:w="1625"/>
        <w:gridCol w:w="60"/>
        <w:gridCol w:w="60"/>
        <w:gridCol w:w="1400"/>
        <w:gridCol w:w="60"/>
        <w:gridCol w:w="60"/>
        <w:gridCol w:w="60"/>
        <w:gridCol w:w="1400"/>
        <w:gridCol w:w="60"/>
        <w:gridCol w:w="60"/>
        <w:gridCol w:w="60"/>
        <w:gridCol w:w="980"/>
        <w:gridCol w:w="60"/>
        <w:gridCol w:w="60"/>
        <w:gridCol w:w="60"/>
        <w:gridCol w:w="1400"/>
        <w:gridCol w:w="335"/>
        <w:gridCol w:w="60"/>
        <w:gridCol w:w="60"/>
        <w:gridCol w:w="980"/>
        <w:gridCol w:w="60"/>
        <w:gridCol w:w="60"/>
        <w:gridCol w:w="60"/>
        <w:gridCol w:w="980"/>
        <w:gridCol w:w="60"/>
        <w:gridCol w:w="120"/>
        <w:gridCol w:w="100"/>
        <w:gridCol w:w="640"/>
        <w:gridCol w:w="60"/>
        <w:gridCol w:w="120"/>
        <w:gridCol w:w="109"/>
        <w:gridCol w:w="691"/>
        <w:gridCol w:w="60"/>
        <w:gridCol w:w="120"/>
        <w:gridCol w:w="68"/>
        <w:gridCol w:w="432"/>
        <w:gridCol w:w="75"/>
      </w:tblGrid>
      <w:tr>
        <w:trPr/>
        <w:tc>
          <w:tcPr>
            <w:tcW w:w="1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200" w:type="dxa"/>
            <w:gridSpan w:val="10"/>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Beneficially Owned</w:t>
            </w:r>
            <w:r>
              <w:rPr/>
              <w:br/>
            </w:r>
            <w:r>
              <w:rPr>
                <w:b/>
              </w:rPr>
              <w:t>Prior to This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5" w:type="dxa"/>
            <w:gridSpan w:val="6"/>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to be Sold</w:t>
            </w:r>
            <w:r>
              <w:rPr/>
              <w:br/>
            </w:r>
            <w:r>
              <w:rPr>
                <w:b/>
              </w:rPr>
              <w:t>in This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0" w:type="dxa"/>
            <w:gridSpan w:val="14"/>
            <w:tcBorders>
              <w:bottom w:val="single" w:sz="8" w:space="0" w:color="000000"/>
            </w:tcBorders>
            <w:shd w:fill="auto" w:val="clear"/>
            <w:tcMar>
              <w:bottom w:w="28" w:type="dxa"/>
            </w:tcMar>
            <w:vAlign w:val="center"/>
          </w:tcPr>
          <w:p>
            <w:pPr>
              <w:pStyle w:val="TableContents"/>
              <w:spacing w:before="0" w:after="283"/>
              <w:jc w:val="center"/>
              <w:rPr/>
            </w:pPr>
            <w:r>
              <w:rPr>
                <w:b/>
              </w:rPr>
              <w:t>Securities</w:t>
            </w:r>
            <w:r>
              <w:rPr/>
              <w:br/>
            </w:r>
            <w:r>
              <w:rPr>
                <w:b/>
              </w:rPr>
              <w:t>Beneficially Owned</w:t>
            </w:r>
            <w:r>
              <w:rPr/>
              <w:br/>
            </w:r>
            <w:r>
              <w:rPr>
                <w:b/>
              </w:rPr>
              <w:t>After This Offering</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jc w:val="center"/>
              <w:rPr>
                <w:b/>
              </w:rPr>
            </w:pPr>
            <w:r>
              <w:rPr>
                <w:b/>
              </w:rPr>
              <w:t>Name of Selling</w:t>
              <w:br/>
              <w:t>Securityholders</w:t>
            </w:r>
          </w:p>
        </w:tc>
        <w:tc>
          <w:tcPr>
            <w:tcW w:w="6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B</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A</w:t>
              <w:br/>
              <w:t>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Class C</w:t>
              <w:br/>
              <w:t>ADSs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pPr>
            <w:r>
              <w:rPr>
                <w:rFonts w:ascii="Times New Roman" w:hAnsi="Times New Roman"/>
                <w:sz w:val="16"/>
              </w:rPr>
              <w:t xml:space="preserve">Zibo Financial Holding </w:t>
              <w:br/>
              <w:t>Group Co. Ltd. (</w:t>
            </w:r>
            <w:r>
              <w:rPr>
                <w:rFonts w:eastAsia="pmingliu"/>
                <w:sz w:val="16"/>
              </w:rPr>
              <w:t>淄博市财金控股集团有限公司</w:t>
            </w:r>
            <w:r>
              <w:rPr>
                <w:rFonts w:ascii="Times New Roman" w:hAnsi="Times New Roman"/>
                <w:sz w:val="16"/>
              </w:rPr>
              <w:t>)(47)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19,129,693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20,691,756</w:t>
            </w:r>
          </w:p>
        </w:tc>
        <w:tc>
          <w:tcPr>
            <w:tcW w:w="335" w:type="dxa"/>
            <w:tcBorders/>
            <w:shd w:fill="CCEEFF" w:val="clear"/>
            <w:vAlign w:val="center"/>
          </w:tcPr>
          <w:p>
            <w:pPr>
              <w:pStyle w:val="TableContents"/>
              <w:spacing w:before="0" w:after="283"/>
              <w:rPr/>
            </w:pPr>
            <w:r>
              <w:rPr/>
              <w:t>(48)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PSD Investment Limited(49)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828,013,737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828,013,737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895,626,403</w:t>
            </w:r>
          </w:p>
        </w:tc>
        <w:tc>
          <w:tcPr>
            <w:tcW w:w="335" w:type="dxa"/>
            <w:tcBorders/>
            <w:shd w:fill="auto" w:val="clear"/>
            <w:vAlign w:val="center"/>
          </w:tcPr>
          <w:p>
            <w:pPr>
              <w:pStyle w:val="TableContents"/>
              <w:spacing w:before="0" w:after="283"/>
              <w:rPr/>
            </w:pPr>
            <w:r>
              <w:rPr/>
              <w:t>(50)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pPr>
            <w:r>
              <w:rPr>
                <w:rFonts w:ascii="Times New Roman" w:hAnsi="Times New Roman"/>
                <w:sz w:val="16"/>
              </w:rPr>
              <w:t>Zibo High-Tech Industrial Investment Co., Ltd. (</w:t>
            </w:r>
            <w:r>
              <w:rPr>
                <w:rFonts w:eastAsia="pmingliu"/>
                <w:sz w:val="16"/>
              </w:rPr>
              <w:t>淄博高新产业投资有限</w:t>
            </w:r>
            <w:r>
              <w:rPr>
                <w:rFonts w:ascii="pmingliu" w:hAnsi="pmingliu"/>
                <w:sz w:val="16"/>
              </w:rPr>
              <w:br/>
            </w:r>
            <w:r>
              <w:rPr>
                <w:rFonts w:eastAsia="pmingliu"/>
                <w:sz w:val="16"/>
              </w:rPr>
              <w:t>公司</w:t>
            </w:r>
            <w:r>
              <w:rPr>
                <w:rFonts w:ascii="pmingliu" w:hAnsi="pmingliu"/>
                <w:sz w:val="16"/>
              </w:rPr>
              <w:t>)</w:t>
            </w:r>
            <w:r>
              <w:rPr>
                <w:rFonts w:ascii="Times New Roman" w:hAnsi="Times New Roman"/>
                <w:sz w:val="16"/>
              </w:rPr>
              <w:t> (51)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19,129,693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20,691,756</w:t>
            </w:r>
          </w:p>
        </w:tc>
        <w:tc>
          <w:tcPr>
            <w:tcW w:w="335" w:type="dxa"/>
            <w:tcBorders/>
            <w:shd w:fill="CCEEFF" w:val="clear"/>
            <w:vAlign w:val="center"/>
          </w:tcPr>
          <w:p>
            <w:pPr>
              <w:pStyle w:val="TableContents"/>
              <w:spacing w:before="0" w:after="283"/>
              <w:rPr/>
            </w:pPr>
            <w:r>
              <w:rPr/>
              <w:t>(52)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pPr>
            <w:r>
              <w:rPr>
                <w:rFonts w:ascii="Times New Roman" w:hAnsi="Times New Roman"/>
                <w:sz w:val="16"/>
              </w:rPr>
              <w:t xml:space="preserve">Chongqing Chengxing Equity Investment Fund Partnership </w:t>
              <w:br/>
              <w:t>(</w:t>
            </w:r>
            <w:r>
              <w:rPr>
                <w:rFonts w:eastAsia="pmingliu"/>
                <w:sz w:val="16"/>
              </w:rPr>
              <w:t>重庆承星股权投资基金合伙企业有限合伙</w:t>
            </w:r>
            <w:r>
              <w:rPr>
                <w:rFonts w:ascii="Times New Roman" w:hAnsi="Times New Roman"/>
                <w:sz w:val="16"/>
              </w:rPr>
              <w:t>) (53)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76,518,769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82,767,020</w:t>
            </w:r>
          </w:p>
        </w:tc>
        <w:tc>
          <w:tcPr>
            <w:tcW w:w="335" w:type="dxa"/>
            <w:tcBorders/>
            <w:shd w:fill="auto" w:val="clear"/>
            <w:vAlign w:val="center"/>
          </w:tcPr>
          <w:p>
            <w:pPr>
              <w:pStyle w:val="TableContents"/>
              <w:spacing w:before="0" w:after="283"/>
              <w:rPr/>
            </w:pPr>
            <w:r>
              <w:rPr/>
              <w:t>(54)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Oakwise Innovation Fund SPC-SP5(55)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3,062,206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3,062,206</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Oakwise Innovation Fund SPC-New Technology SP(56)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765,551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765,551</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B.W. Holding Limited(57)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512,261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512,261</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Han Tongli(58)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64,033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64,033</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Chi-Lan Janet Cheng(59)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26,666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26,666</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Chai Shan Jovin Chim(60)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399,995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399,995</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Jumpex Worldwide Limited(61)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1,333,315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1,333,315</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KV Catalyst EV1 LLC(62)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723,569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723,569</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Raffles Fund VCC – PoleStar RFO(63)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6,021,633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6,021,633</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Hsin Tung Samuel Chou(64)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533,326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533,326</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Sky Ever Best Limited(65)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1,283,359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1,283,359</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Synergis Capital China Venture Fund(66)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512,261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512,261</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Talent Desire Limited(67)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517,672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517,672</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Additional Selling Holders(68)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984,866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111,549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984,866</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111,549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14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14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1400" w:type="dxa"/>
            <w:tcBorders/>
            <w:shd w:fill="auto" w:val="clear"/>
            <w:vAlign w:val="center"/>
          </w:tcPr>
          <w:p>
            <w:pPr>
              <w:pStyle w:val="TableContents"/>
              <w:pBdr>
                <w:top w:val="single" w:sz="2" w:space="1" w:color="000000"/>
              </w:pBdr>
              <w:spacing w:before="0" w:after="0"/>
              <w:rPr/>
            </w:pPr>
            <w:r>
              <w:rPr/>
              <w:t> </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pBdr>
                <w:top w:val="single" w:sz="2" w:space="1" w:color="000000"/>
              </w:pBdr>
              <w:spacing w:before="0" w:after="0"/>
              <w:rPr/>
            </w:pPr>
            <w:r>
              <w:rPr/>
              <w:t> </w:t>
            </w:r>
          </w:p>
        </w:tc>
        <w:tc>
          <w:tcPr>
            <w:tcW w:w="64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pBdr>
                <w:top w:val="single" w:sz="2" w:space="1" w:color="000000"/>
              </w:pBdr>
              <w:spacing w:before="0" w:after="0"/>
              <w:rPr/>
            </w:pPr>
            <w:r>
              <w:rPr/>
              <w:t> </w:t>
            </w:r>
          </w:p>
        </w:tc>
        <w:tc>
          <w:tcPr>
            <w:tcW w:w="691"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single" w:sz="2" w:space="1" w:color="000000"/>
              </w:pBdr>
              <w:spacing w:before="0" w:after="0"/>
              <w:rPr/>
            </w:pPr>
            <w:r>
              <w:rPr/>
              <w:t> </w:t>
            </w:r>
          </w:p>
        </w:tc>
        <w:tc>
          <w:tcPr>
            <w:tcW w:w="432"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TOTAL</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2,058,550,551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1,642,233,575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9,000,000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2,212,977,609</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9,000,000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4,250,551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6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2860" w:type="dxa"/>
        <w:jc w:val="left"/>
        <w:tblInd w:w="0" w:type="dxa"/>
        <w:tblCellMar>
          <w:top w:w="0" w:type="dxa"/>
          <w:left w:w="0" w:type="dxa"/>
          <w:bottom w:w="0" w:type="dxa"/>
          <w:right w:w="0" w:type="dxa"/>
        </w:tblCellMar>
      </w:tblPr>
      <w:tblGrid>
        <w:gridCol w:w="155"/>
        <w:gridCol w:w="2705"/>
      </w:tblGrid>
      <w:tr>
        <w:trPr/>
        <w:tc>
          <w:tcPr>
            <w:tcW w:w="155" w:type="dxa"/>
            <w:tcBorders/>
            <w:shd w:fill="auto" w:val="clear"/>
            <w:vAlign w:val="center"/>
          </w:tcPr>
          <w:p>
            <w:pPr>
              <w:pStyle w:val="TableContents"/>
              <w:spacing w:before="0" w:after="283"/>
              <w:jc w:val="left"/>
              <w:rPr/>
            </w:pPr>
            <w:r>
              <w:rPr/>
              <w:t>*</w:t>
            </w:r>
          </w:p>
        </w:tc>
        <w:tc>
          <w:tcPr>
            <w:tcW w:w="27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less than one percent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(1)</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(2)</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4,039,701 Class A ADSs issuable upon the conversion of certain Class C-1 ADSs.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(3)</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(4)</w:t>
            </w:r>
          </w:p>
        </w:tc>
        <w:tc>
          <w:tcPr>
            <w:tcW w:w="99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(5)</w:t>
            </w:r>
          </w:p>
        </w:tc>
        <w:tc>
          <w:tcPr>
            <w:tcW w:w="996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 </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(6)</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100,000 Class A ADSs issued upon the conversion of certain shares of GGI Class F Common Stock. Charles Pacheco is a Member of Gores Guggenheim Sponsor, LLC. The business address of this Selling Securityholder is 170 N Normandie Ave, Los Angeles, CA 90004.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(7)</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(8)</w:t>
            </w:r>
          </w:p>
        </w:tc>
        <w:tc>
          <w:tcPr>
            <w:tcW w:w="996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 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(9)</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 </w:t>
            </w:r>
          </w:p>
        </w:tc>
      </w:tr>
    </w:tbl>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(10)</w:t>
            </w:r>
          </w:p>
        </w:tc>
        <w:tc>
          <w:tcPr>
            <w:tcW w:w="98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150,949 Class A ADSs purchased pursuant to a PIPE Subscription Agreement and 112,500 Class A ADSs issuable upon the conversion of certain Class C-1 ADSs. The business address of this Selling Securityholder is 3130 N Harwood St Apt 1901, Dallas, TX 75201. </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283"/>
              <w:jc w:val="left"/>
              <w:rPr/>
            </w:pPr>
            <w:r>
              <w:rPr/>
              <w:t>(11)</w:t>
            </w:r>
          </w:p>
        </w:tc>
        <w:tc>
          <w:tcPr>
            <w:tcW w:w="982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jc w:val="left"/>
              <w:rPr/>
            </w:pPr>
            <w:r>
              <w:rPr/>
              <w:t>(12)</w:t>
            </w:r>
          </w:p>
        </w:tc>
        <w:tc>
          <w:tcPr>
            <w:tcW w:w="98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 </w:t>
            </w:r>
          </w:p>
        </w:tc>
      </w:tr>
    </w:tbl>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jc w:val="left"/>
              <w:rPr/>
            </w:pPr>
            <w:r>
              <w:rPr/>
              <w:t>(13)</w:t>
            </w:r>
          </w:p>
        </w:tc>
        <w:tc>
          <w:tcPr>
            <w:tcW w:w="98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 </w:t>
            </w:r>
          </w:p>
        </w:tc>
      </w:tr>
    </w:tbl>
    <w:tbl>
      <w:tblPr>
        <w:tblW w:w="10205" w:type="dxa"/>
        <w:jc w:val="left"/>
        <w:tblInd w:w="0" w:type="dxa"/>
        <w:tblCellMar>
          <w:top w:w="0" w:type="dxa"/>
          <w:left w:w="0" w:type="dxa"/>
          <w:bottom w:w="0" w:type="dxa"/>
          <w:right w:w="0" w:type="dxa"/>
        </w:tblCellMar>
      </w:tblPr>
      <w:tblGrid>
        <w:gridCol w:w="363"/>
        <w:gridCol w:w="9842"/>
      </w:tblGrid>
      <w:tr>
        <w:trPr/>
        <w:tc>
          <w:tcPr>
            <w:tcW w:w="363" w:type="dxa"/>
            <w:tcBorders/>
            <w:shd w:fill="auto" w:val="clear"/>
            <w:vAlign w:val="center"/>
          </w:tcPr>
          <w:p>
            <w:pPr>
              <w:pStyle w:val="TableContents"/>
              <w:spacing w:before="0" w:after="283"/>
              <w:jc w:val="left"/>
              <w:rPr/>
            </w:pPr>
            <w:r>
              <w:rPr/>
              <w:t>(14)</w:t>
            </w:r>
          </w:p>
        </w:tc>
        <w:tc>
          <w:tcPr>
            <w:tcW w:w="98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(15)</w:t>
            </w:r>
          </w:p>
        </w:tc>
        <w:tc>
          <w:tcPr>
            <w:tcW w:w="98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4,446,041 Class A ADSs issued upon the conversion of certain shares of GGI Class F Common Stock.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(16)</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8,813,656 Class A ADSs issued upon the conversion of certain shares of GGI Class F Common Stock and (ii) 4,500,000 Class A ADSs issuable upon the conversion of certain Class C-1 ADSs. Andrew Rosenfield is the Sole Manager of such Selling Securityholder and, as such, may be deemed to be 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227 W. Monroe, Chicago, IL 60606.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(17)</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4,524,468 Class A ADSs issued upon the conversion of certain shares of GGI Class F Common Stock and (ii) 925,158 Class A ADSs purchased pursuant to a PIPE Subscription Agreement. Gores PIPE,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each may have therein, directly or indirectly. The business address of this Selling Securityholder is 6260 Lookout Road, Boulder, CO 80301. </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pPr>
            <w:r>
              <w:rPr/>
              <w:t>(18)</w:t>
            </w:r>
          </w:p>
        </w:tc>
        <w:tc>
          <w:tcPr>
            <w:tcW w:w="9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522,316 Class A ADSs purchased pursuant to a PIPE Subscription Agreement. The business address of this Selling Securityholder is 1 York St Suite 1900, Toronto, ON M5J 0B6. </w:t>
            </w:r>
          </w:p>
        </w:tc>
      </w:tr>
    </w:tbl>
    <w:tbl>
      <w:tblPr>
        <w:tblW w:w="10205" w:type="dxa"/>
        <w:jc w:val="left"/>
        <w:tblInd w:w="0" w:type="dxa"/>
        <w:tblCellMar>
          <w:top w:w="0" w:type="dxa"/>
          <w:left w:w="0" w:type="dxa"/>
          <w:bottom w:w="0" w:type="dxa"/>
          <w:right w:w="0" w:type="dxa"/>
        </w:tblCellMar>
      </w:tblPr>
      <w:tblGrid>
        <w:gridCol w:w="374"/>
        <w:gridCol w:w="9831"/>
      </w:tblGrid>
      <w:tr>
        <w:trPr/>
        <w:tc>
          <w:tcPr>
            <w:tcW w:w="374" w:type="dxa"/>
            <w:tcBorders/>
            <w:shd w:fill="auto" w:val="clear"/>
            <w:vAlign w:val="center"/>
          </w:tcPr>
          <w:p>
            <w:pPr>
              <w:pStyle w:val="TableContents"/>
              <w:spacing w:before="0" w:after="283"/>
              <w:jc w:val="left"/>
              <w:rPr/>
            </w:pPr>
            <w:r>
              <w:rPr/>
              <w:t>(19)</w:t>
            </w:r>
          </w:p>
        </w:tc>
        <w:tc>
          <w:tcPr>
            <w:tcW w:w="98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150,949 Class A ADSs purchased pursuant to a PIPE Subscription Agreement and 236,250 Class A ADSs issuable upon the conversion of certain Class C-1 ADSs. Mark Stone is the Chief Executive Officer of Gores Guggenheim, Inc. The business address of this Selling Securityholder is 1425 Brickell Ave, Apt 68A, Miami, FL 33131.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(20)</w:t>
            </w:r>
          </w:p>
        </w:tc>
        <w:tc>
          <w:tcPr>
            <w:tcW w:w="98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 </w:t>
            </w:r>
          </w:p>
        </w:tc>
      </w:tr>
    </w:tbl>
    <w:tbl>
      <w:tblPr>
        <w:tblW w:w="10205" w:type="dxa"/>
        <w:jc w:val="left"/>
        <w:tblInd w:w="0" w:type="dxa"/>
        <w:tblCellMar>
          <w:top w:w="0" w:type="dxa"/>
          <w:left w:w="0" w:type="dxa"/>
          <w:bottom w:w="0" w:type="dxa"/>
          <w:right w:w="0" w:type="dxa"/>
        </w:tblCellMar>
      </w:tblPr>
      <w:tblGrid>
        <w:gridCol w:w="364"/>
        <w:gridCol w:w="9841"/>
      </w:tblGrid>
      <w:tr>
        <w:trPr/>
        <w:tc>
          <w:tcPr>
            <w:tcW w:w="364" w:type="dxa"/>
            <w:tcBorders/>
            <w:shd w:fill="auto" w:val="clear"/>
            <w:vAlign w:val="center"/>
          </w:tcPr>
          <w:p>
            <w:pPr>
              <w:pStyle w:val="TableContents"/>
              <w:spacing w:before="0" w:after="283"/>
              <w:jc w:val="left"/>
              <w:rPr/>
            </w:pPr>
            <w:r>
              <w:rPr/>
              <w:t>(21)</w:t>
            </w:r>
          </w:p>
        </w:tc>
        <w:tc>
          <w:tcPr>
            <w:tcW w:w="98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 </w:t>
            </w:r>
          </w:p>
        </w:tc>
      </w:tr>
    </w:tbl>
    <w:tbl>
      <w:tblPr>
        <w:tblW w:w="10205" w:type="dxa"/>
        <w:jc w:val="left"/>
        <w:tblInd w:w="0" w:type="dxa"/>
        <w:tblCellMar>
          <w:top w:w="0" w:type="dxa"/>
          <w:left w:w="0" w:type="dxa"/>
          <w:bottom w:w="0" w:type="dxa"/>
          <w:right w:w="0" w:type="dxa"/>
        </w:tblCellMar>
      </w:tblPr>
      <w:tblGrid>
        <w:gridCol w:w="363"/>
        <w:gridCol w:w="9842"/>
      </w:tblGrid>
      <w:tr>
        <w:trPr/>
        <w:tc>
          <w:tcPr>
            <w:tcW w:w="363" w:type="dxa"/>
            <w:tcBorders/>
            <w:shd w:fill="auto" w:val="clear"/>
            <w:vAlign w:val="center"/>
          </w:tcPr>
          <w:p>
            <w:pPr>
              <w:pStyle w:val="TableContents"/>
              <w:spacing w:before="0" w:after="283"/>
              <w:jc w:val="left"/>
              <w:rPr/>
            </w:pPr>
            <w:r>
              <w:rPr/>
              <w:t>(22)</w:t>
            </w:r>
          </w:p>
        </w:tc>
        <w:tc>
          <w:tcPr>
            <w:tcW w:w="98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 </w:t>
            </w:r>
          </w:p>
        </w:tc>
      </w:tr>
    </w:tbl>
    <w:tbl>
      <w:tblPr>
        <w:tblW w:w="10205" w:type="dxa"/>
        <w:jc w:val="left"/>
        <w:tblInd w:w="0" w:type="dxa"/>
        <w:tblCellMar>
          <w:top w:w="0" w:type="dxa"/>
          <w:left w:w="0" w:type="dxa"/>
          <w:bottom w:w="0" w:type="dxa"/>
          <w:right w:w="0" w:type="dxa"/>
        </w:tblCellMar>
      </w:tblPr>
      <w:tblGrid>
        <w:gridCol w:w="367"/>
        <w:gridCol w:w="9838"/>
      </w:tblGrid>
      <w:tr>
        <w:trPr/>
        <w:tc>
          <w:tcPr>
            <w:tcW w:w="367" w:type="dxa"/>
            <w:tcBorders/>
            <w:shd w:fill="auto" w:val="clear"/>
            <w:vAlign w:val="center"/>
          </w:tcPr>
          <w:p>
            <w:pPr>
              <w:pStyle w:val="TableContents"/>
              <w:spacing w:before="0" w:after="283"/>
              <w:jc w:val="left"/>
              <w:rPr/>
            </w:pPr>
            <w:r>
              <w:rPr/>
              <w:t>(23)</w:t>
            </w:r>
          </w:p>
        </w:tc>
        <w:tc>
          <w:tcPr>
            <w:tcW w:w="983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(24)</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(25)</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(26)</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(27)</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668,167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 </w:t>
            </w:r>
          </w:p>
        </w:tc>
      </w:tr>
    </w:tbl>
    <w:tbl>
      <w:tblPr>
        <w:tblW w:w="10205" w:type="dxa"/>
        <w:jc w:val="left"/>
        <w:tblInd w:w="0" w:type="dxa"/>
        <w:tblCellMar>
          <w:top w:w="0" w:type="dxa"/>
          <w:left w:w="0" w:type="dxa"/>
          <w:bottom w:w="0" w:type="dxa"/>
          <w:right w:w="0" w:type="dxa"/>
        </w:tblCellMar>
      </w:tblPr>
      <w:tblGrid>
        <w:gridCol w:w="390"/>
        <w:gridCol w:w="9815"/>
      </w:tblGrid>
      <w:tr>
        <w:trPr/>
        <w:tc>
          <w:tcPr>
            <w:tcW w:w="390" w:type="dxa"/>
            <w:tcBorders/>
            <w:shd w:fill="auto" w:val="clear"/>
            <w:vAlign w:val="center"/>
          </w:tcPr>
          <w:p>
            <w:pPr>
              <w:pStyle w:val="TableContents"/>
              <w:spacing w:before="0" w:after="283"/>
              <w:jc w:val="left"/>
              <w:rPr/>
            </w:pPr>
            <w:r>
              <w:rPr/>
              <w:t>(28)</w:t>
            </w:r>
          </w:p>
        </w:tc>
        <w:tc>
          <w:tcPr>
            <w:tcW w:w="9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25,000 Class A ADSs issued upon the conversion of certain shares of GGI Class F Common Stock. The business address of this Selling Securityholder is 406 28th Street, Manhattan Beach, CA 90266.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(29)</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(30)</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(31)</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(32)</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10205" w:type="dxa"/>
        <w:jc w:val="left"/>
        <w:tblInd w:w="0" w:type="dxa"/>
        <w:tblCellMar>
          <w:top w:w="0" w:type="dxa"/>
          <w:left w:w="0" w:type="dxa"/>
          <w:bottom w:w="0" w:type="dxa"/>
          <w:right w:w="0" w:type="dxa"/>
        </w:tblCellMar>
      </w:tblPr>
      <w:tblGrid>
        <w:gridCol w:w="397"/>
        <w:gridCol w:w="9808"/>
      </w:tblGrid>
      <w:tr>
        <w:trPr/>
        <w:tc>
          <w:tcPr>
            <w:tcW w:w="397" w:type="dxa"/>
            <w:tcBorders/>
            <w:shd w:fill="auto" w:val="clear"/>
            <w:vAlign w:val="center"/>
          </w:tcPr>
          <w:p>
            <w:pPr>
              <w:pStyle w:val="TableContents"/>
              <w:spacing w:before="0" w:after="283"/>
              <w:jc w:val="left"/>
              <w:rPr/>
            </w:pPr>
            <w:r>
              <w:rPr/>
              <w:t>(33)</w:t>
            </w:r>
          </w:p>
        </w:tc>
        <w:tc>
          <w:tcPr>
            <w:tcW w:w="980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887,937 Class A ADSs purchased pursuant to a PIPE Subscription Agreement. The business address of this Selling Securityholder is Derech Hashalom 53, Givatayim, Israel. </w:t>
            </w:r>
          </w:p>
        </w:tc>
      </w:tr>
    </w:tbl>
    <w:tbl>
      <w:tblPr>
        <w:tblW w:w="10205" w:type="dxa"/>
        <w:jc w:val="left"/>
        <w:tblInd w:w="0" w:type="dxa"/>
        <w:tblCellMar>
          <w:top w:w="0" w:type="dxa"/>
          <w:left w:w="0" w:type="dxa"/>
          <w:bottom w:w="0" w:type="dxa"/>
          <w:right w:w="0" w:type="dxa"/>
        </w:tblCellMar>
      </w:tblPr>
      <w:tblGrid>
        <w:gridCol w:w="358"/>
        <w:gridCol w:w="9847"/>
      </w:tblGrid>
      <w:tr>
        <w:trPr/>
        <w:tc>
          <w:tcPr>
            <w:tcW w:w="358" w:type="dxa"/>
            <w:tcBorders/>
            <w:shd w:fill="auto" w:val="clear"/>
            <w:vAlign w:val="center"/>
          </w:tcPr>
          <w:p>
            <w:pPr>
              <w:pStyle w:val="TableContents"/>
              <w:spacing w:before="0" w:after="283"/>
              <w:jc w:val="left"/>
              <w:rPr/>
            </w:pPr>
            <w:r>
              <w:rPr/>
              <w:t>(34)</w:t>
            </w:r>
          </w:p>
        </w:tc>
        <w:tc>
          <w:tcPr>
            <w:tcW w:w="984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58,882,610 Class A ADSs issued upon conversion of the Volvo Cars Preference Subscription Shares and 1,117,390 Class A ADSs issued to this Securityholder pursuant to the Volvo Cars PIPE Subscription Agreement, and (b) 958,792,462 Class A ADSs (including 814,219,838 Class A ADSs issuable to Snita assuming Snita elects to convert the 814,219,838 Class B ADSs it holds into Class A ADSs) and 814,219,838 Class B ADSs transferred to Snita in connection with the liquidation of Parent. (i) Snita is 100% owned by Volvo Car Corporation (“Volvo Cars”), (ii) Volvo Cars is 100% owned by Volvo Car AB (“VCAB”), (iii) VCAB is approximately 82% owned by Geely Sweden Holdings AB (“Geely Sweden”) and approximately 18% owned by stock exchange investors, (iv) Geely Sweden is 100% owned by Shanghai Geely, (v) Shanghai Geely is 60.96% owned by Beijing Geely Wanyuan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39.04% owned by Geely, (vi) Beijing Geely Wanyuan is 100% owned by Beijing Geely Kaisheng, (vii) Beijing Geely Kaisheng is 100% owned by Geely, and (viii) Geely is 91.9% owned by Shufu Li. Since voting and dispositive decisions with respect to the securities held by Snita are ultimately made by Li Shufu, he is deemed to have beneficial ownership over the securities held by Snita. Li Shufu disclaims beneficial ownership of these securities except to the extent of any pecuniary interest therein. The business address of this Selling Securityholder is Stationsweg 2, Beesd, 4153 RD, Netherlands. The business address of Li Shufu is Room 303, Building 12, No. 980 Mingzhou Road, Xinqi Street, Beilun District, Ningbo, Zhejiang, China. </w:t>
            </w:r>
          </w:p>
        </w:tc>
      </w:tr>
    </w:tbl>
    <w:tbl>
      <w:tblPr>
        <w:tblW w:w="10205" w:type="dxa"/>
        <w:jc w:val="left"/>
        <w:tblInd w:w="0" w:type="dxa"/>
        <w:tblCellMar>
          <w:top w:w="0" w:type="dxa"/>
          <w:left w:w="0" w:type="dxa"/>
          <w:bottom w:w="0" w:type="dxa"/>
          <w:right w:w="0" w:type="dxa"/>
        </w:tblCellMar>
      </w:tblPr>
      <w:tblGrid>
        <w:gridCol w:w="381"/>
        <w:gridCol w:w="9824"/>
      </w:tblGrid>
      <w:tr>
        <w:trPr/>
        <w:tc>
          <w:tcPr>
            <w:tcW w:w="381" w:type="dxa"/>
            <w:tcBorders/>
            <w:shd w:fill="auto" w:val="clear"/>
            <w:vAlign w:val="center"/>
          </w:tcPr>
          <w:p>
            <w:pPr>
              <w:pStyle w:val="TableContents"/>
              <w:spacing w:before="0" w:after="283"/>
              <w:jc w:val="left"/>
              <w:rPr/>
            </w:pPr>
            <w:r>
              <w:rPr/>
              <w:t>(35)</w:t>
            </w:r>
          </w:p>
        </w:tc>
        <w:tc>
          <w:tcPr>
            <w:tcW w:w="982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(i) the issuance of 66,486,305 Earn Out Class B Shares and 11,805,287 Earn Out Class A Shares to this Selling Securityholder and (ii) the conversion of all Class B ADSs held by this Selling Securityholder after such earn out share issuances to Class A ADSs. </w:t>
            </w:r>
          </w:p>
        </w:tc>
      </w:tr>
    </w:tbl>
    <w:tbl>
      <w:tblPr>
        <w:tblW w:w="10205" w:type="dxa"/>
        <w:jc w:val="left"/>
        <w:tblInd w:w="0" w:type="dxa"/>
        <w:tblCellMar>
          <w:top w:w="0" w:type="dxa"/>
          <w:left w:w="0" w:type="dxa"/>
          <w:bottom w:w="0" w:type="dxa"/>
          <w:right w:w="0" w:type="dxa"/>
        </w:tblCellMar>
      </w:tblPr>
      <w:tblGrid>
        <w:gridCol w:w="365"/>
        <w:gridCol w:w="9840"/>
      </w:tblGrid>
      <w:tr>
        <w:trPr/>
        <w:tc>
          <w:tcPr>
            <w:tcW w:w="365" w:type="dxa"/>
            <w:tcBorders/>
            <w:shd w:fill="auto" w:val="clear"/>
            <w:vAlign w:val="center"/>
          </w:tcPr>
          <w:p>
            <w:pPr>
              <w:pStyle w:val="TableContents"/>
              <w:spacing w:before="0" w:after="283"/>
              <w:jc w:val="left"/>
              <w:rPr/>
            </w:pPr>
            <w:r>
              <w:rPr/>
              <w:t>(36)</w:t>
            </w:r>
          </w:p>
        </w:tc>
        <w:tc>
          <w:tcPr>
            <w:tcW w:w="98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 </w:t>
            </w:r>
          </w:p>
        </w:tc>
      </w:tr>
    </w:tbl>
    <w:tbl>
      <w:tblPr>
        <w:tblW w:w="10205" w:type="dxa"/>
        <w:jc w:val="left"/>
        <w:tblInd w:w="0" w:type="dxa"/>
        <w:tblCellMar>
          <w:top w:w="0" w:type="dxa"/>
          <w:left w:w="0" w:type="dxa"/>
          <w:bottom w:w="0" w:type="dxa"/>
          <w:right w:w="0" w:type="dxa"/>
        </w:tblCellMar>
      </w:tblPr>
      <w:tblGrid>
        <w:gridCol w:w="397"/>
        <w:gridCol w:w="9808"/>
      </w:tblGrid>
      <w:tr>
        <w:trPr/>
        <w:tc>
          <w:tcPr>
            <w:tcW w:w="397" w:type="dxa"/>
            <w:tcBorders/>
            <w:shd w:fill="auto" w:val="clear"/>
            <w:vAlign w:val="center"/>
          </w:tcPr>
          <w:p>
            <w:pPr>
              <w:pStyle w:val="TableContents"/>
              <w:spacing w:before="0" w:after="283"/>
              <w:jc w:val="left"/>
              <w:rPr/>
            </w:pPr>
            <w:r>
              <w:rPr/>
              <w:t>(37)</w:t>
            </w:r>
          </w:p>
        </w:tc>
        <w:tc>
          <w:tcPr>
            <w:tcW w:w="980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156,695 Class A ADSs purchased pursuant to a PIPE Subscription Agreement. The business address of this Selling Securityholder is Derech Hashalom 53, Givatayim, Israel.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(38)</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(39)</w:t>
            </w:r>
          </w:p>
        </w:tc>
        <w:tc>
          <w:tcPr>
            <w:tcW w:w="98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12,223 Class A ADSs acquired in connection with the conversion of certain convertible notes of Parent and 500,000 Class A ADSs issued upon the conversion of certain shares of GGI Class F Common Stock.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 </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pPr>
            <w:r>
              <w:rPr/>
              <w:t>(40)</w:t>
            </w:r>
          </w:p>
        </w:tc>
        <w:tc>
          <w:tcPr>
            <w:tcW w:w="9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up to 500,000 Class A ADSs to this Selling Securityholder in exchange for the performance of marketing consulting services, as further described in this prospectus. </w:t>
            </w:r>
          </w:p>
        </w:tc>
      </w:tr>
    </w:tbl>
    <w:tbl>
      <w:tblPr>
        <w:tblW w:w="10205" w:type="dxa"/>
        <w:jc w:val="left"/>
        <w:tblInd w:w="0" w:type="dxa"/>
        <w:tblCellMar>
          <w:top w:w="0" w:type="dxa"/>
          <w:left w:w="0" w:type="dxa"/>
          <w:bottom w:w="0" w:type="dxa"/>
          <w:right w:w="0" w:type="dxa"/>
        </w:tblCellMar>
      </w:tblPr>
      <w:tblGrid>
        <w:gridCol w:w="354"/>
        <w:gridCol w:w="9851"/>
      </w:tblGrid>
      <w:tr>
        <w:trPr/>
        <w:tc>
          <w:tcPr>
            <w:tcW w:w="354" w:type="dxa"/>
            <w:tcBorders/>
            <w:shd w:fill="auto" w:val="clear"/>
            <w:vAlign w:val="center"/>
          </w:tcPr>
          <w:p>
            <w:pPr>
              <w:pStyle w:val="TableContents"/>
              <w:spacing w:before="0" w:after="283"/>
              <w:jc w:val="left"/>
              <w:rPr/>
            </w:pPr>
            <w:r>
              <w:rPr/>
              <w:t>(41)</w:t>
            </w:r>
          </w:p>
        </w:tc>
        <w:tc>
          <w:tcPr>
            <w:tcW w:w="985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372,359 Class A ADSs received by Saxo Capital Markets Pte. Ltd (“Saxo SG”) in connection with an in-species distribution of securities by Northpole GLY 2 LP, 372,356 of which are held by Saxo SG on behalf of the following clients: (1) Soegiarto Handoko, (2) Shenhua WU, (3) Chung Wee Lee, (4) Chee Yong Lum, (5) Tak Loong Chang, (6) Richard Howard Douglas, (7) Thomas Qvistgaard Hansen, (8) Adam James Reynolds, (9) Rasmus Houmann Korfits, (10) Moh Chin Hong, (11) Richard Mark Hurst, (12) Druk Holding and Investments Limited. Saxo SG disclaims any beneficial ownership of the securities held by it on behalf of its clients other than to the extent of any pecuniary interest he may have therein, directly or indirectly. Saxo SG is the beneficial owner of 3 Class A ADSs directly held by it. Saxo SG is 100% owned by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SG. Shufu Li disclaims any beneficial ownership of the securities directly held by Saxo SG other than to the extent 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any pecuniary interest he may have therein, directly or indirectly. The business address of this Selling Securityholder is 88 Market Street, #31-01 CapitaSpring Singapore 048948. </w:t>
            </w:r>
          </w:p>
        </w:tc>
      </w:tr>
    </w:tbl>
    <w:tbl>
      <w:tblPr>
        <w:tblW w:w="10205" w:type="dxa"/>
        <w:jc w:val="left"/>
        <w:tblInd w:w="0" w:type="dxa"/>
        <w:tblCellMar>
          <w:top w:w="0" w:type="dxa"/>
          <w:left w:w="0" w:type="dxa"/>
          <w:bottom w:w="0" w:type="dxa"/>
          <w:right w:w="0" w:type="dxa"/>
        </w:tblCellMar>
      </w:tblPr>
      <w:tblGrid>
        <w:gridCol w:w="354"/>
        <w:gridCol w:w="9851"/>
      </w:tblGrid>
      <w:tr>
        <w:trPr/>
        <w:tc>
          <w:tcPr>
            <w:tcW w:w="354" w:type="dxa"/>
            <w:tcBorders/>
            <w:shd w:fill="auto" w:val="clear"/>
            <w:vAlign w:val="center"/>
          </w:tcPr>
          <w:p>
            <w:pPr>
              <w:pStyle w:val="TableContents"/>
              <w:spacing w:before="0" w:after="283"/>
              <w:jc w:val="left"/>
              <w:rPr/>
            </w:pPr>
            <w:r>
              <w:rPr/>
              <w:t>(42)</w:t>
            </w:r>
          </w:p>
        </w:tc>
        <w:tc>
          <w:tcPr>
            <w:tcW w:w="985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124,515 Class A ADSs received by Saxo Capital Markets HK Limited (“Saxo HK”) in connection with an in-species distribution of securities by Northpole GLY 2 LP, 124,513 of which are held by Saco HK on behalf of the following clients: (1) Ching Tong Tommy Poon, (2) Kin Nang Kong, (3) Atlas Multi-Strategies Fund Ltd. Saxo HK disclaims any beneficial ownership of the securities held by it on behalf of its clients other than to the extent of any pecuniary interest he may have therein, directly or indirectly. Saxo HK is the beneficial owner of 2 Class A ADSs directly held by it. Saxo HK is 100% owned by Saxo Bank A/S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HK. Shufu Li disclaims any beneficial ownership of the securities directly held by Saxo HK other than to the extent of any pecuniary interest he may have therein, directly or indirectly. The business address of this Selling Securityholder is 19th Floor, Shanghai Commercial Bank Tower, 12 Queen’s Road Central, Hong Kong. </w:t>
            </w:r>
          </w:p>
        </w:tc>
      </w:tr>
    </w:tbl>
    <w:tbl>
      <w:tblPr>
        <w:tblW w:w="10205" w:type="dxa"/>
        <w:jc w:val="left"/>
        <w:tblInd w:w="0" w:type="dxa"/>
        <w:tblCellMar>
          <w:top w:w="0" w:type="dxa"/>
          <w:left w:w="0" w:type="dxa"/>
          <w:bottom w:w="0" w:type="dxa"/>
          <w:right w:w="0" w:type="dxa"/>
        </w:tblCellMar>
      </w:tblPr>
      <w:tblGrid>
        <w:gridCol w:w="355"/>
        <w:gridCol w:w="9850"/>
      </w:tblGrid>
      <w:tr>
        <w:trPr/>
        <w:tc>
          <w:tcPr>
            <w:tcW w:w="355" w:type="dxa"/>
            <w:tcBorders/>
            <w:shd w:fill="auto" w:val="clear"/>
            <w:vAlign w:val="center"/>
          </w:tcPr>
          <w:p>
            <w:pPr>
              <w:pStyle w:val="TableContents"/>
              <w:spacing w:before="0" w:after="283"/>
              <w:jc w:val="left"/>
              <w:rPr/>
            </w:pPr>
            <w:r>
              <w:rPr/>
              <w:t>(43)</w:t>
            </w:r>
          </w:p>
        </w:tc>
        <w:tc>
          <w:tcPr>
            <w:tcW w:w="98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6,106,660 Class A ADSs issued to Northpole GLY 1 LP in connection with the liquidation of Parent and subsequent distribution of certain of Northpole GLY 1 LP’s holdings to its limited partners. Northpole GLY 1 LP is managed by Northpole GLY GPl, its General Partner. Geely Financials owns approximately 86.0% of GLy Capital Management Partners (Cayman) Limited, which controls Northpole GLY GPI.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 </w:t>
            </w:r>
          </w:p>
        </w:tc>
      </w:tr>
    </w:tbl>
    <w:tbl>
      <w:tblPr>
        <w:tblW w:w="7795" w:type="dxa"/>
        <w:jc w:val="left"/>
        <w:tblInd w:w="0" w:type="dxa"/>
        <w:tblCellMar>
          <w:top w:w="0" w:type="dxa"/>
          <w:left w:w="0" w:type="dxa"/>
          <w:bottom w:w="0" w:type="dxa"/>
          <w:right w:w="0" w:type="dxa"/>
        </w:tblCellMar>
      </w:tblPr>
      <w:tblGrid>
        <w:gridCol w:w="425"/>
        <w:gridCol w:w="7370"/>
      </w:tblGrid>
      <w:tr>
        <w:trPr/>
        <w:tc>
          <w:tcPr>
            <w:tcW w:w="425" w:type="dxa"/>
            <w:tcBorders/>
            <w:shd w:fill="auto" w:val="clear"/>
            <w:vAlign w:val="center"/>
          </w:tcPr>
          <w:p>
            <w:pPr>
              <w:pStyle w:val="TableContents"/>
              <w:spacing w:before="0" w:after="283"/>
              <w:jc w:val="left"/>
              <w:rPr/>
            </w:pPr>
            <w:r>
              <w:rPr/>
              <w:t>(44)</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1,785,215 Earn Out Class A Shares to this Selling Securityholder. </w:t>
            </w:r>
          </w:p>
        </w:tc>
      </w:tr>
    </w:tbl>
    <w:tbl>
      <w:tblPr>
        <w:tblW w:w="10205" w:type="dxa"/>
        <w:jc w:val="left"/>
        <w:tblInd w:w="0" w:type="dxa"/>
        <w:tblCellMar>
          <w:top w:w="0" w:type="dxa"/>
          <w:left w:w="0" w:type="dxa"/>
          <w:bottom w:w="0" w:type="dxa"/>
          <w:right w:w="0" w:type="dxa"/>
        </w:tblCellMar>
      </w:tblPr>
      <w:tblGrid>
        <w:gridCol w:w="356"/>
        <w:gridCol w:w="9849"/>
      </w:tblGrid>
      <w:tr>
        <w:trPr/>
        <w:tc>
          <w:tcPr>
            <w:tcW w:w="356" w:type="dxa"/>
            <w:tcBorders/>
            <w:shd w:fill="auto" w:val="clear"/>
            <w:vAlign w:val="center"/>
          </w:tcPr>
          <w:p>
            <w:pPr>
              <w:pStyle w:val="TableContents"/>
              <w:spacing w:before="0" w:after="283"/>
              <w:jc w:val="left"/>
              <w:rPr/>
            </w:pPr>
            <w:r>
              <w:rPr/>
              <w:t>(45)</w:t>
            </w:r>
          </w:p>
        </w:tc>
        <w:tc>
          <w:tcPr>
            <w:tcW w:w="98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13,664,063 Class A ADSs issued to GLY New Mobility 1. LP in connection with the liquidation of Parent. GLY New Mobility 1. LP is managed by GLY New Mobility GPl, its General Partner. Geely Financials owns approximately 86.0% of GLy Capital Management Partners (Cayman) Limited, which controls GLY New Mobility GPl.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 </w:t>
            </w:r>
          </w:p>
        </w:tc>
      </w:tr>
    </w:tbl>
    <w:tbl>
      <w:tblPr>
        <w:tblW w:w="7795" w:type="dxa"/>
        <w:jc w:val="left"/>
        <w:tblInd w:w="0" w:type="dxa"/>
        <w:tblCellMar>
          <w:top w:w="0" w:type="dxa"/>
          <w:left w:w="0" w:type="dxa"/>
          <w:bottom w:w="0" w:type="dxa"/>
          <w:right w:w="0" w:type="dxa"/>
        </w:tblCellMar>
      </w:tblPr>
      <w:tblGrid>
        <w:gridCol w:w="425"/>
        <w:gridCol w:w="7370"/>
      </w:tblGrid>
      <w:tr>
        <w:trPr/>
        <w:tc>
          <w:tcPr>
            <w:tcW w:w="425" w:type="dxa"/>
            <w:tcBorders/>
            <w:shd w:fill="auto" w:val="clear"/>
            <w:vAlign w:val="center"/>
          </w:tcPr>
          <w:p>
            <w:pPr>
              <w:pStyle w:val="TableContents"/>
              <w:spacing w:before="0" w:after="283"/>
              <w:jc w:val="left"/>
              <w:rPr/>
            </w:pPr>
            <w:r>
              <w:rPr/>
              <w:t>(46)</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1,115,759 Earn Out Class A Shares to this Selling Securityholder. </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jc w:val="left"/>
              <w:rPr/>
            </w:pPr>
            <w:r>
              <w:rPr/>
              <w:t>(47)</w:t>
            </w:r>
          </w:p>
        </w:tc>
        <w:tc>
          <w:tcPr>
            <w:tcW w:w="9836" w:type="dxa"/>
            <w:tcBorders/>
            <w:shd w:fill="auto" w:val="clear"/>
            <w:vAlign w:val="center"/>
          </w:tcPr>
          <w:p>
            <w:pPr>
              <w:pStyle w:val="TableContents"/>
              <w:spacing w:before="0" w:after="0"/>
              <w:jc w:val="left"/>
              <w:rPr/>
            </w:pPr>
            <w:r>
              <w:rPr>
                <w:rFonts w:ascii="Times New Roman" w:hAnsi="Times New Roman"/>
                <w:sz w:val="20"/>
              </w:rPr>
              <w:t>Consists of 19,129,693 Class A ADSs issued to Zibo Financial Holding Group Co. Ltd. (</w:t>
            </w:r>
            <w:r>
              <w:rPr>
                <w:rFonts w:eastAsia="pmingliu"/>
                <w:sz w:val="20"/>
              </w:rPr>
              <w:t>淄博市财金控股集团有限公司</w:t>
            </w:r>
            <w:r>
              <w:rPr>
                <w:rFonts w:ascii="Times New Roman" w:hAnsi="Times New Roman"/>
                <w:sz w:val="20"/>
              </w:rPr>
              <w:t>) in connection with the liquidation of Parent. Zibo Financial Holding Group Co. Ltd. (</w:t>
            </w:r>
            <w:r>
              <w:rPr>
                <w:rFonts w:eastAsia="pmingliu"/>
                <w:sz w:val="20"/>
              </w:rPr>
              <w:t>淄博市财金控股集团有限公司</w:t>
            </w:r>
            <w:r>
              <w:rPr>
                <w:rFonts w:ascii="Times New Roman" w:hAnsi="Times New Roman"/>
                <w:sz w:val="20"/>
              </w:rPr>
              <w:t>) is a wholly state-owned enterprise registered in China. Zibo Financial Holding Group Co. Ltd. (</w:t>
            </w:r>
            <w:r>
              <w:rPr>
                <w:rFonts w:eastAsia="pmingliu"/>
                <w:sz w:val="20"/>
              </w:rPr>
              <w:t>淄博市财金控股集团有限公司</w:t>
            </w:r>
            <w:r>
              <w:rPr>
                <w:rFonts w:ascii="Times New Roman" w:hAnsi="Times New Roman"/>
                <w:sz w:val="20"/>
              </w:rPr>
              <w:t xml:space="preserve">) has a board of directors of 3 members that makes voting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and dispositive decisions with respect to the securities that it holds. The business address of this Selling Securityholder is 19/F Financial Building, No. 228 Renmin West Road, Zhangdian District, Zibo, China. </w:t>
            </w:r>
          </w:p>
        </w:tc>
      </w:tr>
    </w:tbl>
    <w:tbl>
      <w:tblPr>
        <w:tblW w:w="7795" w:type="dxa"/>
        <w:jc w:val="left"/>
        <w:tblInd w:w="0" w:type="dxa"/>
        <w:tblCellMar>
          <w:top w:w="0" w:type="dxa"/>
          <w:left w:w="0" w:type="dxa"/>
          <w:bottom w:w="0" w:type="dxa"/>
          <w:right w:w="0" w:type="dxa"/>
        </w:tblCellMar>
      </w:tblPr>
      <w:tblGrid>
        <w:gridCol w:w="425"/>
        <w:gridCol w:w="7370"/>
      </w:tblGrid>
      <w:tr>
        <w:trPr/>
        <w:tc>
          <w:tcPr>
            <w:tcW w:w="425" w:type="dxa"/>
            <w:tcBorders/>
            <w:shd w:fill="auto" w:val="clear"/>
            <w:vAlign w:val="center"/>
          </w:tcPr>
          <w:p>
            <w:pPr>
              <w:pStyle w:val="TableContents"/>
              <w:spacing w:before="0" w:after="283"/>
              <w:jc w:val="left"/>
              <w:rPr/>
            </w:pPr>
            <w:r>
              <w:rPr/>
              <w:t>(48)</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1,562,063 Earn Out Class A Shares to this Selling Securityholder. </w:t>
            </w:r>
          </w:p>
        </w:tc>
      </w:tr>
    </w:tbl>
    <w:tbl>
      <w:tblPr>
        <w:tblW w:w="10205" w:type="dxa"/>
        <w:jc w:val="left"/>
        <w:tblInd w:w="0" w:type="dxa"/>
        <w:tblCellMar>
          <w:top w:w="0" w:type="dxa"/>
          <w:left w:w="0" w:type="dxa"/>
          <w:bottom w:w="0" w:type="dxa"/>
          <w:right w:w="0" w:type="dxa"/>
        </w:tblCellMar>
      </w:tblPr>
      <w:tblGrid>
        <w:gridCol w:w="358"/>
        <w:gridCol w:w="9847"/>
      </w:tblGrid>
      <w:tr>
        <w:trPr/>
        <w:tc>
          <w:tcPr>
            <w:tcW w:w="358" w:type="dxa"/>
            <w:tcBorders/>
            <w:shd w:fill="auto" w:val="clear"/>
            <w:vAlign w:val="center"/>
          </w:tcPr>
          <w:p>
            <w:pPr>
              <w:pStyle w:val="TableContents"/>
              <w:spacing w:before="0" w:after="283"/>
              <w:jc w:val="left"/>
              <w:rPr/>
            </w:pPr>
            <w:r>
              <w:rPr/>
              <w:t>(49)</w:t>
            </w:r>
          </w:p>
        </w:tc>
        <w:tc>
          <w:tcPr>
            <w:tcW w:w="984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828,013,737 Class A ADSs (assuming PSD Investment Limited converts the 828,013,737 Class B ADSs it holds into Class A ADSs) and 828,013,737 Class B ADSs issued to PSD Investment Limited in connection with the liquidation of Parent. PSD Investment Limited is 100% owned by PSD Capital Limited (“PSD Capital”), and PSD Capital is 100% owned by Li Shufu. Since voting and dispositive decisions with respect to the securities held by PSD Investment Limited are ultimately made by Li Shufu, he is deemed to have beneficial ownership over the securities held by PSD Investment Limited. Li Shufu disclaims beneficial ownership of these securities except to the extent of any pecuniary interest therein. The business address of this Selling Securityholder is Craigmuir Chambers, Road Town, Tortola, VG 1110, British Virgin Islands. The business address of Li Shufu is Room 303, Building 12, No. 980 Mingzhou Road, Xinqi Street, Beilun District, Ningbo, Zhejiang, China. </w:t>
            </w:r>
          </w:p>
        </w:tc>
      </w:tr>
    </w:tbl>
    <w:tbl>
      <w:tblPr>
        <w:tblW w:w="10205" w:type="dxa"/>
        <w:jc w:val="left"/>
        <w:tblInd w:w="0" w:type="dxa"/>
        <w:tblCellMar>
          <w:top w:w="0" w:type="dxa"/>
          <w:left w:w="0" w:type="dxa"/>
          <w:bottom w:w="0" w:type="dxa"/>
          <w:right w:w="0" w:type="dxa"/>
        </w:tblCellMar>
      </w:tblPr>
      <w:tblGrid>
        <w:gridCol w:w="389"/>
        <w:gridCol w:w="9816"/>
      </w:tblGrid>
      <w:tr>
        <w:trPr/>
        <w:tc>
          <w:tcPr>
            <w:tcW w:w="389" w:type="dxa"/>
            <w:tcBorders/>
            <w:shd w:fill="auto" w:val="clear"/>
            <w:vAlign w:val="center"/>
          </w:tcPr>
          <w:p>
            <w:pPr>
              <w:pStyle w:val="TableContents"/>
              <w:spacing w:before="0" w:after="283"/>
              <w:jc w:val="left"/>
              <w:rPr/>
            </w:pPr>
            <w:r>
              <w:rPr/>
              <w:t>(50)</w:t>
            </w:r>
          </w:p>
        </w:tc>
        <w:tc>
          <w:tcPr>
            <w:tcW w:w="98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67,612,666 Earn Out Class B Shares to this Selling Securityholder and the conversion of all Class B ADSs held by this Selling Securityholder after such earn out share issuance to Class A ADSs. </w:t>
            </w:r>
          </w:p>
        </w:tc>
      </w:tr>
    </w:tbl>
    <w:tbl>
      <w:tblPr>
        <w:tblW w:w="10205" w:type="dxa"/>
        <w:jc w:val="left"/>
        <w:tblInd w:w="0" w:type="dxa"/>
        <w:tblCellMar>
          <w:top w:w="0" w:type="dxa"/>
          <w:left w:w="0" w:type="dxa"/>
          <w:bottom w:w="0" w:type="dxa"/>
          <w:right w:w="0" w:type="dxa"/>
        </w:tblCellMar>
      </w:tblPr>
      <w:tblGrid>
        <w:gridCol w:w="358"/>
        <w:gridCol w:w="9847"/>
      </w:tblGrid>
      <w:tr>
        <w:trPr/>
        <w:tc>
          <w:tcPr>
            <w:tcW w:w="358" w:type="dxa"/>
            <w:tcBorders/>
            <w:shd w:fill="auto" w:val="clear"/>
            <w:vAlign w:val="center"/>
          </w:tcPr>
          <w:p>
            <w:pPr>
              <w:pStyle w:val="TableContents"/>
              <w:spacing w:before="0" w:after="283"/>
              <w:jc w:val="left"/>
              <w:rPr/>
            </w:pPr>
            <w:r>
              <w:rPr/>
              <w:t>(51)</w:t>
            </w:r>
          </w:p>
        </w:tc>
        <w:tc>
          <w:tcPr>
            <w:tcW w:w="9847" w:type="dxa"/>
            <w:tcBorders/>
            <w:shd w:fill="auto" w:val="clear"/>
            <w:vAlign w:val="center"/>
          </w:tcPr>
          <w:p>
            <w:pPr>
              <w:pStyle w:val="TableContents"/>
              <w:spacing w:before="0" w:after="0"/>
              <w:jc w:val="left"/>
              <w:rPr/>
            </w:pPr>
            <w:r>
              <w:rPr>
                <w:rFonts w:ascii="Times New Roman" w:hAnsi="Times New Roman"/>
                <w:sz w:val="20"/>
              </w:rPr>
              <w:t>Consists of 19,129,693 Class A ADSs issued to Zibo High-tech Industrial Investment Co., Ltd. (</w:t>
            </w:r>
            <w:r>
              <w:rPr>
                <w:rFonts w:eastAsia="pmingliu"/>
                <w:sz w:val="20"/>
              </w:rPr>
              <w:t>淄博高新产业投资有限公司</w:t>
            </w:r>
            <w:r>
              <w:rPr>
                <w:rFonts w:ascii="Times New Roman" w:hAnsi="Times New Roman"/>
                <w:sz w:val="20"/>
              </w:rPr>
              <w:t>) in connection with the liquidation of Parent. Zibo High-tech State-owned Capital Investment Co., Ltd. (</w:t>
            </w:r>
            <w:r>
              <w:rPr>
                <w:rFonts w:eastAsia="pmingliu"/>
                <w:sz w:val="20"/>
              </w:rPr>
              <w:t>淄博高新国有资本投资有限公司</w:t>
            </w:r>
            <w:r>
              <w:rPr>
                <w:rFonts w:ascii="Times New Roman" w:hAnsi="Times New Roman"/>
                <w:sz w:val="20"/>
              </w:rPr>
              <w:t>) is the controlling shareholder of, and exert controlling influence over, Zibo High-tech Industrial Investment Co., Ltd. (</w:t>
            </w:r>
            <w:r>
              <w:rPr>
                <w:rFonts w:eastAsia="pmingliu"/>
                <w:sz w:val="20"/>
              </w:rPr>
              <w:t>淄博高新产业投资有限公司</w:t>
            </w:r>
            <w:r>
              <w:rPr>
                <w:rFonts w:ascii="Times New Roman" w:hAnsi="Times New Roman"/>
                <w:sz w:val="20"/>
              </w:rPr>
              <w:t>). Zibo High-tech State-owned Capital Investment Co., Ltd. (</w:t>
            </w:r>
            <w:r>
              <w:rPr>
                <w:rFonts w:eastAsia="pmingliu"/>
                <w:sz w:val="20"/>
              </w:rPr>
              <w:t>淄博高新国有资本投资有限公司</w:t>
            </w:r>
            <w:r>
              <w:rPr>
                <w:rFonts w:ascii="Times New Roman" w:hAnsi="Times New Roman"/>
                <w:sz w:val="20"/>
              </w:rPr>
              <w:t>) is a wholly state-owned enterprise registered in China and has a board of directors of 7 members that makes voting and dispositive decisions with respect to the securities that Zibo High-Tech Industrial Investment Co., Ltd. (</w:t>
            </w:r>
            <w:r>
              <w:rPr>
                <w:rFonts w:eastAsia="pmingliu"/>
                <w:sz w:val="20"/>
              </w:rPr>
              <w:t>淄博高新产业投资有限公司</w:t>
            </w:r>
            <w:r>
              <w:rPr>
                <w:rFonts w:eastAsia="Times New Roman"/>
                <w:sz w:val="20"/>
              </w:rPr>
              <w:t xml:space="preserve"> </w:t>
            </w:r>
            <w:r>
              <w:rPr>
                <w:rFonts w:ascii="Times New Roman" w:hAnsi="Times New Roman"/>
                <w:sz w:val="20"/>
              </w:rPr>
              <w:t xml:space="preserve">holds. The 7 directors include 4 executive directors and 3 independent Directors. The business address of this Selling Securityholder is No. 2007, Building A, Polymer Materials Park, No. 51 Lutai Avenue, High tech Zone, Zibo, China. </w:t>
            </w:r>
          </w:p>
        </w:tc>
      </w:tr>
    </w:tbl>
    <w:tbl>
      <w:tblPr>
        <w:tblW w:w="7795" w:type="dxa"/>
        <w:jc w:val="left"/>
        <w:tblInd w:w="0" w:type="dxa"/>
        <w:tblCellMar>
          <w:top w:w="0" w:type="dxa"/>
          <w:left w:w="0" w:type="dxa"/>
          <w:bottom w:w="0" w:type="dxa"/>
          <w:right w:w="0" w:type="dxa"/>
        </w:tblCellMar>
      </w:tblPr>
      <w:tblGrid>
        <w:gridCol w:w="425"/>
        <w:gridCol w:w="7370"/>
      </w:tblGrid>
      <w:tr>
        <w:trPr/>
        <w:tc>
          <w:tcPr>
            <w:tcW w:w="425" w:type="dxa"/>
            <w:tcBorders/>
            <w:shd w:fill="auto" w:val="clear"/>
            <w:vAlign w:val="center"/>
          </w:tcPr>
          <w:p>
            <w:pPr>
              <w:pStyle w:val="TableContents"/>
              <w:spacing w:before="0" w:after="283"/>
              <w:jc w:val="left"/>
              <w:rPr/>
            </w:pPr>
            <w:r>
              <w:rPr/>
              <w:t>(52)</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1,562,063 Earn Out Class A Shares to this Selling Securityholder. </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jc w:val="left"/>
              <w:rPr/>
            </w:pPr>
            <w:r>
              <w:rPr/>
              <w:t>(53)</w:t>
            </w:r>
          </w:p>
        </w:tc>
        <w:tc>
          <w:tcPr>
            <w:tcW w:w="9852" w:type="dxa"/>
            <w:tcBorders/>
            <w:shd w:fill="auto" w:val="clear"/>
            <w:vAlign w:val="center"/>
          </w:tcPr>
          <w:p>
            <w:pPr>
              <w:pStyle w:val="TableContents"/>
              <w:spacing w:before="0" w:after="0"/>
              <w:jc w:val="left"/>
              <w:rPr/>
            </w:pPr>
            <w:r>
              <w:rPr>
                <w:rFonts w:ascii="Times New Roman" w:hAnsi="Times New Roman"/>
                <w:sz w:val="20"/>
              </w:rPr>
              <w:t>Consists of 76,518,769 Class A ADSs issued to Chongqing Chengxing Equity Investment Fund Partnership (</w:t>
            </w:r>
            <w:r>
              <w:rPr>
                <w:rFonts w:eastAsia="pmingliu"/>
                <w:sz w:val="20"/>
              </w:rPr>
              <w:t>重庆承星股权投资基金合伙企业有限合伙</w:t>
            </w:r>
            <w:r>
              <w:rPr>
                <w:rFonts w:ascii="Times New Roman" w:hAnsi="Times New Roman"/>
                <w:sz w:val="20"/>
              </w:rPr>
              <w:t>) in connection with the liquidation of Parent. Pursuant to the partnership agreement of this Selling Securityholder, the business and affairs of Chongqing Chengxing Equity Investment Fund Partnership (</w:t>
            </w:r>
            <w:r>
              <w:rPr>
                <w:rFonts w:eastAsia="pmingliu"/>
                <w:sz w:val="20"/>
              </w:rPr>
              <w:t>重庆承星股权投资基金合伙企业有限合伙</w:t>
            </w:r>
            <w:r>
              <w:rPr>
                <w:rFonts w:ascii="Times New Roman" w:hAnsi="Times New Roman"/>
                <w:sz w:val="20"/>
              </w:rPr>
              <w:t>) shall be jointly determined by its general partner, Chongqing Chengyun Enterprise Management Co., Ltd. (</w:t>
            </w:r>
            <w:r>
              <w:rPr>
                <w:rFonts w:eastAsia="pmingliu"/>
                <w:sz w:val="20"/>
              </w:rPr>
              <w:t>重庆承运企业管理有限公司</w:t>
            </w:r>
            <w:r>
              <w:rPr>
                <w:rFonts w:ascii="Times New Roman" w:hAnsi="Times New Roman"/>
                <w:sz w:val="20"/>
              </w:rPr>
              <w:t xml:space="preserve">) and its sole limited partner, Chongqing Liangjiang New Area Development &amp; Investment Group Co., Ltd. </w:t>
            </w:r>
            <w:r>
              <w:rPr>
                <w:rFonts w:eastAsia="pmingliu"/>
                <w:sz w:val="20"/>
              </w:rPr>
              <w:t>（重庆两江新区开发投资集团有限公司）</w:t>
            </w:r>
            <w:r>
              <w:rPr>
                <w:rFonts w:ascii="Times New Roman" w:hAnsi="Times New Roman"/>
                <w:sz w:val="20"/>
              </w:rPr>
              <w:t>. Chongqing Liangjiang Equity Investment Fund Management Co., Ltd. (</w:t>
            </w:r>
            <w:r>
              <w:rPr>
                <w:rFonts w:eastAsia="pmingliu"/>
                <w:sz w:val="20"/>
              </w:rPr>
              <w:t>重庆两江股权投资基金管理有限公司</w:t>
            </w:r>
            <w:r>
              <w:rPr>
                <w:rFonts w:ascii="Times New Roman" w:hAnsi="Times New Roman"/>
                <w:sz w:val="20"/>
              </w:rPr>
              <w:t>) is the controlling shareholder of, and exerts controlling influence over, Chongqing Chengyun Enterprise Management Co., Ltd. (</w:t>
            </w:r>
            <w:r>
              <w:rPr>
                <w:rFonts w:eastAsia="pmingliu"/>
                <w:sz w:val="20"/>
              </w:rPr>
              <w:t>重庆承运企业管理有限公司</w:t>
            </w:r>
            <w:r>
              <w:rPr>
                <w:rFonts w:ascii="Times New Roman" w:hAnsi="Times New Roman"/>
                <w:sz w:val="20"/>
              </w:rPr>
              <w:t>). Chongqing Liangjiang Equity Investment Fund Management Co., Ltd. (</w:t>
            </w:r>
            <w:r>
              <w:rPr>
                <w:rFonts w:eastAsia="pmingliu"/>
                <w:sz w:val="20"/>
              </w:rPr>
              <w:t>重庆两江股权投资基金管理有限公司</w:t>
            </w:r>
            <w:r>
              <w:rPr>
                <w:rFonts w:ascii="Times New Roman" w:hAnsi="Times New Roman"/>
                <w:sz w:val="20"/>
              </w:rPr>
              <w:t>) is a wholly state-owned enterprise registered in China. Chongqing Liangjiang Equity Investment Fund Management Co., Ltd. (</w:t>
            </w:r>
            <w:r>
              <w:rPr>
                <w:rFonts w:eastAsia="pmingliu"/>
                <w:sz w:val="20"/>
              </w:rPr>
              <w:t>重庆两江股权投资基金管理有限公司</w:t>
            </w:r>
            <w:r>
              <w:rPr>
                <w:rFonts w:ascii="Times New Roman" w:hAnsi="Times New Roman"/>
                <w:sz w:val="20"/>
              </w:rPr>
              <w:t>) has a management committee of 3 members that makes voting and dispositive decisions with respect to the securities held by Chongqing Chengxing Equity Investment Fund Partnership (</w:t>
            </w:r>
            <w:r>
              <w:rPr>
                <w:rFonts w:eastAsia="pmingliu"/>
                <w:sz w:val="20"/>
              </w:rPr>
              <w:t>重庆承星股权投资基金合伙企业有限合伙</w:t>
            </w:r>
            <w:r>
              <w:rPr>
                <w:rFonts w:ascii="Times New Roman" w:hAnsi="Times New Roman"/>
                <w:sz w:val="20"/>
              </w:rPr>
              <w:t>). Chongqing Liangjiang New Area Development &amp; Investment Group Co., Ltd. (</w:t>
            </w:r>
            <w:r>
              <w:rPr>
                <w:rFonts w:eastAsia="pmingliu"/>
                <w:sz w:val="20"/>
              </w:rPr>
              <w:t>重庆两江新区开发投资集团有限公司）</w:t>
            </w:r>
            <w:r>
              <w:rPr>
                <w:rFonts w:eastAsia="Times New Roman"/>
                <w:sz w:val="20"/>
              </w:rPr>
              <w:t xml:space="preserve"> </w:t>
            </w:r>
            <w:r>
              <w:rPr>
                <w:rFonts w:ascii="Times New Roman" w:hAnsi="Times New Roman"/>
                <w:sz w:val="20"/>
              </w:rPr>
              <w:t>is a wholly state</w:t>
              <w:softHyphen/>
              <w:t xml:space="preserve"> owned enterprise registered in China and has a board of directors of 6 members that makes voting and dispositive decisions with respect to the securities held by Chongqing Chengxing Equity Investment Fund Partnership (</w:t>
            </w:r>
            <w:r>
              <w:rPr>
                <w:rFonts w:eastAsia="pmingliu"/>
                <w:sz w:val="20"/>
              </w:rPr>
              <w:t>重庆承星股权投资基金合伙企业有限合伙</w:t>
            </w:r>
            <w:r>
              <w:rPr>
                <w:rFonts w:ascii="Times New Roman" w:hAnsi="Times New Roman"/>
                <w:sz w:val="20"/>
              </w:rPr>
              <w:t xml:space="preserve">). The business address of this Selling Securityholder is Floor 5, Block A, Xingguang Mansion, No. 1 Xingguang Avenue, Liangjiang New Area, Chongqing, China. </w:t>
            </w:r>
          </w:p>
        </w:tc>
      </w:tr>
    </w:tbl>
    <w:tbl>
      <w:tblPr>
        <w:tblW w:w="7795" w:type="dxa"/>
        <w:jc w:val="left"/>
        <w:tblInd w:w="0" w:type="dxa"/>
        <w:tblCellMar>
          <w:top w:w="0" w:type="dxa"/>
          <w:left w:w="0" w:type="dxa"/>
          <w:bottom w:w="0" w:type="dxa"/>
          <w:right w:w="0" w:type="dxa"/>
        </w:tblCellMar>
      </w:tblPr>
      <w:tblGrid>
        <w:gridCol w:w="425"/>
        <w:gridCol w:w="7370"/>
      </w:tblGrid>
      <w:tr>
        <w:trPr/>
        <w:tc>
          <w:tcPr>
            <w:tcW w:w="425" w:type="dxa"/>
            <w:tcBorders/>
            <w:shd w:fill="auto" w:val="clear"/>
            <w:vAlign w:val="center"/>
          </w:tcPr>
          <w:p>
            <w:pPr>
              <w:pStyle w:val="TableContents"/>
              <w:spacing w:before="0" w:after="283"/>
              <w:jc w:val="left"/>
              <w:rPr/>
            </w:pPr>
            <w:r>
              <w:rPr/>
              <w:t>(54)</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issuance of 6,248,251 Earn Out Class A Shares to this Selling Securityholder. </w:t>
            </w:r>
          </w:p>
        </w:tc>
      </w:tr>
    </w:tbl>
    <w:tbl>
      <w:tblPr>
        <w:tblW w:w="10205" w:type="dxa"/>
        <w:jc w:val="left"/>
        <w:tblInd w:w="0" w:type="dxa"/>
        <w:tblCellMar>
          <w:top w:w="0" w:type="dxa"/>
          <w:left w:w="0" w:type="dxa"/>
          <w:bottom w:w="0" w:type="dxa"/>
          <w:right w:w="0" w:type="dxa"/>
        </w:tblCellMar>
      </w:tblPr>
      <w:tblGrid>
        <w:gridCol w:w="370"/>
        <w:gridCol w:w="9835"/>
      </w:tblGrid>
      <w:tr>
        <w:trPr/>
        <w:tc>
          <w:tcPr>
            <w:tcW w:w="370" w:type="dxa"/>
            <w:tcBorders/>
            <w:shd w:fill="auto" w:val="clear"/>
            <w:vAlign w:val="center"/>
          </w:tcPr>
          <w:p>
            <w:pPr>
              <w:pStyle w:val="TableContents"/>
              <w:spacing w:before="0" w:after="283"/>
              <w:jc w:val="left"/>
              <w:rPr/>
            </w:pPr>
            <w:r>
              <w:rPr/>
              <w:t>(55)</w:t>
            </w:r>
          </w:p>
        </w:tc>
        <w:tc>
          <w:tcPr>
            <w:tcW w:w="9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3,062,206 Class A ADSs distributed by Northpole GLY 1 LP to Oakwise Innovation Fund SPC-SP5 in connection with the transfer of Northpole GLY 1 LP’s holdings in the Company. Oakwise Innovation Fund SPC-SP5 is managed by Oakwise Capital Management Limited, its investment manager. Fengyu Wang is the director of Oakwise Capital Management Limited and, as such, may be deemed to be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 </w:t>
            </w:r>
          </w:p>
        </w:tc>
      </w:tr>
    </w:tbl>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jc w:val="left"/>
              <w:rPr/>
            </w:pPr>
            <w:r>
              <w:rPr/>
              <w:t>(56)</w:t>
            </w:r>
          </w:p>
        </w:tc>
        <w:tc>
          <w:tcPr>
            <w:tcW w:w="98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765,551 Class A ADSs distributed by Northpole GLY 1 LP to Oakwise Innovation Fund SPC-New Technology SP in connection with the transfer of Northpole GLY 1 LP’s holdings in the Company. Oakwise Innovation Fund SPC-New Technology SP is managed by Oakwise Asset Management Limited, its investment manager. Fengyu Wang is the director of Oakwise Asset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 </w:t>
            </w:r>
          </w:p>
        </w:tc>
      </w:tr>
    </w:tbl>
    <w:tbl>
      <w:tblPr>
        <w:tblW w:w="10205" w:type="dxa"/>
        <w:jc w:val="left"/>
        <w:tblInd w:w="0" w:type="dxa"/>
        <w:tblCellMar>
          <w:top w:w="0" w:type="dxa"/>
          <w:left w:w="0" w:type="dxa"/>
          <w:bottom w:w="0" w:type="dxa"/>
          <w:right w:w="0" w:type="dxa"/>
        </w:tblCellMar>
      </w:tblPr>
      <w:tblGrid>
        <w:gridCol w:w="366"/>
        <w:gridCol w:w="9839"/>
      </w:tblGrid>
      <w:tr>
        <w:trPr/>
        <w:tc>
          <w:tcPr>
            <w:tcW w:w="366" w:type="dxa"/>
            <w:tcBorders/>
            <w:shd w:fill="auto" w:val="clear"/>
            <w:vAlign w:val="center"/>
          </w:tcPr>
          <w:p>
            <w:pPr>
              <w:pStyle w:val="TableContents"/>
              <w:spacing w:before="0" w:after="283"/>
              <w:jc w:val="left"/>
              <w:rPr/>
            </w:pPr>
            <w:r>
              <w:rPr/>
              <w:t>(57)</w:t>
            </w:r>
          </w:p>
        </w:tc>
        <w:tc>
          <w:tcPr>
            <w:tcW w:w="983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512,261 Class A ADSs distributed by Northpole GLY 1 LP to B.W. Holding Limited in connection with the transfer of Northpole GLY 1 LP’s holdings in the Company. B.W. Holding Limited is managed by its director Wai Yue Wong. Wai Yue may be deemed to be beneficial owners of the securities reported by this Selling Securityholder. The business address of this Selling Securityholder is 21/F, Block 1, Tai Ping Industrial Centre, 57 Ting Kok Road, Tai Po, New Territories, Hong Kong. </w:t>
            </w:r>
          </w:p>
        </w:tc>
      </w:tr>
    </w:tbl>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(58)</w:t>
            </w:r>
          </w:p>
        </w:tc>
        <w:tc>
          <w:tcPr>
            <w:tcW w:w="982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64,033 Class A ADSs distributed by Northpole GLY 1 LP to Han Tongli in connection with the transfer of Northpole GLY 1 LP’s holdings in the Company. The business address of this Selling Securityholder is 25B, Tower 1, Larvotto, Praya Road 8, Ap Lei Chau, Hong Kong. </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283"/>
              <w:jc w:val="left"/>
              <w:rPr/>
            </w:pPr>
            <w:r>
              <w:rPr/>
              <w:t>(59)</w:t>
            </w:r>
          </w:p>
        </w:tc>
        <w:tc>
          <w:tcPr>
            <w:tcW w:w="982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26,666 Class A ADSs distributed by Northpole GLY 1 LP to Chi-Lan Janet Cheng in connection with the transfer of Northpole GLY 1 LP’s holdings in the Company. The business address of this Selling Securityholder is Flat 9A, Tower 1, Eden Gate, 11 Ede Road, Kowloon Tong, Hong Kong. </w:t>
            </w:r>
          </w:p>
        </w:tc>
      </w:tr>
    </w:tbl>
    <w:tbl>
      <w:tblPr>
        <w:tblW w:w="10205" w:type="dxa"/>
        <w:jc w:val="left"/>
        <w:tblInd w:w="0" w:type="dxa"/>
        <w:tblCellMar>
          <w:top w:w="0" w:type="dxa"/>
          <w:left w:w="0" w:type="dxa"/>
          <w:bottom w:w="0" w:type="dxa"/>
          <w:right w:w="0" w:type="dxa"/>
        </w:tblCellMar>
      </w:tblPr>
      <w:tblGrid>
        <w:gridCol w:w="376"/>
        <w:gridCol w:w="9829"/>
      </w:tblGrid>
      <w:tr>
        <w:trPr/>
        <w:tc>
          <w:tcPr>
            <w:tcW w:w="376" w:type="dxa"/>
            <w:tcBorders/>
            <w:shd w:fill="auto" w:val="clear"/>
            <w:vAlign w:val="center"/>
          </w:tcPr>
          <w:p>
            <w:pPr>
              <w:pStyle w:val="TableContents"/>
              <w:spacing w:before="0" w:after="283"/>
              <w:jc w:val="left"/>
              <w:rPr/>
            </w:pPr>
            <w:r>
              <w:rPr/>
              <w:t>(60)</w:t>
            </w:r>
          </w:p>
        </w:tc>
        <w:tc>
          <w:tcPr>
            <w:tcW w:w="982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399,995 Class A ADSs distributed by Northpole GLY 1 LP to Chai Shan Jovin Chim in connection with the transfer of Northpole GLY 1 LP’s holdings in the Company. The business address of this Selling Securityholder is Flat A1, Floor 1, Villa De Moorsom, 12 Boyce Road, Jardine’s Lookout Hong Kong.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(61)</w:t>
            </w:r>
          </w:p>
        </w:tc>
        <w:tc>
          <w:tcPr>
            <w:tcW w:w="98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1,333,315 Class A ADSs distributed by Northpole GLY 1 LP to Jumpex Worldwide Limited in connection with the transfer of Northpole GLY 1 LP’s holdings in the Company. Jumpex Worldwide Limited is managed by its directors Chang Wa Shan, Cheung Wing Har Linda and Chang Chi Sheung Flossie. Jumpex Worldwide Limited is solely owned by Cheung Wing Har Linda, and therefore, Cheung Wing Har Linda is deemed to be the ultimate beneficial owner of the securities reported by the Selling Securityholder. The business address of this Selling Securityholder is Room 701, Dina House, Ruttonjee Centre, 11 Duddell Street, Central, Hong Kong.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(62)</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723,569 Class A ADSs distributed by Northpole GLY 1 LP to KV Catalyst EV1 LLC in connection with the transfer of Northpole GLY 1 LP’s holdings in the Company. KV Catalyst EV1 LLC is managed by KV Catalyst Manager 1 LLC, its investment manager. Justin Milberg and John Adair are the managing members of KV Catalyst Manager 1 LLC and, as such, may be deemed to be beneficial owners of the securities reported by this Selling Securityholder. Each of Messrs. Milberg and Adair disclaims any beneficial ownership of the securities reported by such Selling Securityholder other than to the extent of any pecuniary interest they may have therein, directly or indirectly. The business address of this Selling Securityholder is 2373 Broadway #1621, New York, New York. </w:t>
            </w:r>
          </w:p>
        </w:tc>
      </w:tr>
    </w:tbl>
    <w:tbl>
      <w:tblPr>
        <w:tblW w:w="10205" w:type="dxa"/>
        <w:jc w:val="left"/>
        <w:tblInd w:w="0" w:type="dxa"/>
        <w:tblCellMar>
          <w:top w:w="0" w:type="dxa"/>
          <w:left w:w="0" w:type="dxa"/>
          <w:bottom w:w="0" w:type="dxa"/>
          <w:right w:w="0" w:type="dxa"/>
        </w:tblCellMar>
      </w:tblPr>
      <w:tblGrid>
        <w:gridCol w:w="365"/>
        <w:gridCol w:w="9840"/>
      </w:tblGrid>
      <w:tr>
        <w:trPr/>
        <w:tc>
          <w:tcPr>
            <w:tcW w:w="365" w:type="dxa"/>
            <w:tcBorders/>
            <w:shd w:fill="auto" w:val="clear"/>
            <w:vAlign w:val="center"/>
          </w:tcPr>
          <w:p>
            <w:pPr>
              <w:pStyle w:val="TableContents"/>
              <w:spacing w:before="0" w:after="283"/>
              <w:jc w:val="left"/>
              <w:rPr/>
            </w:pPr>
            <w:r>
              <w:rPr/>
              <w:t>(63)</w:t>
            </w:r>
          </w:p>
        </w:tc>
        <w:tc>
          <w:tcPr>
            <w:tcW w:w="98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6,021,633 Class A ADSs distributed by Northpole GLY 1 LP to Raffles Fund VCC-PoleStar RFO in connection with the transfer of Northpole GLY 1 LP’s holdings in the Company. Raffles Fund VCC-PoleStar RFO is a Singapore Variable Capital Companies with Kendrick Lee Yen Hui &amp; Lin Jiadong acting as the directors. The sole Management Share is held by Lin Jiadong. The business address of this Selling Securityholder is Unit 2306-2313, 23/F, The Center, 99 Queen’s Road, Central, Hong Kong. </w:t>
            </w:r>
          </w:p>
        </w:tc>
      </w:tr>
    </w:tbl>
    <w:tbl>
      <w:tblPr>
        <w:tblW w:w="10205" w:type="dxa"/>
        <w:jc w:val="left"/>
        <w:tblInd w:w="0" w:type="dxa"/>
        <w:tblCellMar>
          <w:top w:w="0" w:type="dxa"/>
          <w:left w:w="0" w:type="dxa"/>
          <w:bottom w:w="0" w:type="dxa"/>
          <w:right w:w="0" w:type="dxa"/>
        </w:tblCellMar>
      </w:tblPr>
      <w:tblGrid>
        <w:gridCol w:w="376"/>
        <w:gridCol w:w="9829"/>
      </w:tblGrid>
      <w:tr>
        <w:trPr/>
        <w:tc>
          <w:tcPr>
            <w:tcW w:w="376" w:type="dxa"/>
            <w:tcBorders/>
            <w:shd w:fill="auto" w:val="clear"/>
            <w:vAlign w:val="center"/>
          </w:tcPr>
          <w:p>
            <w:pPr>
              <w:pStyle w:val="TableContents"/>
              <w:spacing w:before="0" w:after="283"/>
              <w:jc w:val="left"/>
              <w:rPr/>
            </w:pPr>
            <w:r>
              <w:rPr/>
              <w:t>(64)</w:t>
            </w:r>
          </w:p>
        </w:tc>
        <w:tc>
          <w:tcPr>
            <w:tcW w:w="982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533,326 Class A ADSs distributed by Northpole GLY 1 LP to Hsin Tung Samuel Chou in connection with the transfer of Northpole GLY 1 LP’s holdings in the Company. The business address of this Selling Securityholder is14/F, No. 17, Block C, Fontana Gardens, Ka Ning Path, Causeway Bay, Hong Kong.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364"/>
        <w:gridCol w:w="9841"/>
      </w:tblGrid>
      <w:tr>
        <w:trPr/>
        <w:tc>
          <w:tcPr>
            <w:tcW w:w="364" w:type="dxa"/>
            <w:tcBorders/>
            <w:shd w:fill="auto" w:val="clear"/>
            <w:vAlign w:val="center"/>
          </w:tcPr>
          <w:p>
            <w:pPr>
              <w:pStyle w:val="TableContents"/>
              <w:spacing w:before="0" w:after="283"/>
              <w:jc w:val="left"/>
              <w:rPr/>
            </w:pPr>
            <w:r>
              <w:rPr/>
              <w:t>(65)</w:t>
            </w:r>
          </w:p>
        </w:tc>
        <w:tc>
          <w:tcPr>
            <w:tcW w:w="98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1,283,359 Class A ADSs distributed by Northpole GLY 1 LP to Sky Ever Best Limited in connection with the transfer of Northpole GLY 1 LP’s holdings in the Company. Sky Ever Best Limited is managed by its directors Geoffrey Kai Chun Kwok, Lesley Wai-San Kwok and Jonathan Kai Ho Kwok. Geoffrey Kwok, Lesley Kwok and Jonathan Kwok are the ultimate beneficial owners in equal share of Sky Ever Best Limited. The business address of this Selling Securityholder is Suite 906, 9/F, Great Eagle Centre, 23 Harbor Road, Wanchai, Hong Kong.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(66)</w:t>
            </w:r>
          </w:p>
        </w:tc>
        <w:tc>
          <w:tcPr>
            <w:tcW w:w="9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512,261 Class A ADSs distributed by Northpole GLY 1 LP to Synergis Capital China Venture Fund in connection with the transfer of Northpole GLY 1 LP’s holdings in the Company. Synergis Capital China Venture Fund I, LP is managed by Synergis Capital GP Limited, its General Partner. Tongzhou Shi is the director of Synergis Capital GP Limited and, as such, may be deemed to be the beneficial owners of the securities reported by this Selling Securityholder. Tongzhou Shi disclaims any beneficial ownership of the securities reported by such Selling Securityholder other than to the extent of any pecuniary interest each may have therein, directly or indirectly. The business address of this Selling Securityholder is 292 Holmes Avenue, Toronto, Ontario, Canada.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(67)</w:t>
            </w:r>
          </w:p>
        </w:tc>
        <w:tc>
          <w:tcPr>
            <w:tcW w:w="98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517,672 Class A ADSs distributed by Northpole GLY 1 LP to Talent Desire Limited in connection with the transfer of Northpole GLY 1 LP’s holdings in the Company. Talent Desire Limited is managed by its director Mico Cho Yee Chung. Mico may be deemed to be beneficial owners of the securities reported by this Selling Securityholder. Mico disclaims any beneficial ownership of the securities reported by such Selling Securityholder other than to the extent of any pecuniary interest they may have therein, directly or indirectly. The business address of this Selling Securityholder is 31/F, Bank of America Tower, 12 Harcourt Road, Central, Hong Kong. </w:t>
            </w:r>
          </w:p>
        </w:tc>
      </w:tr>
    </w:tbl>
    <w:tbl>
      <w:tblPr>
        <w:tblW w:w="10205" w:type="dxa"/>
        <w:jc w:val="left"/>
        <w:tblInd w:w="0" w:type="dxa"/>
        <w:tblCellMar>
          <w:top w:w="0" w:type="dxa"/>
          <w:left w:w="0" w:type="dxa"/>
          <w:bottom w:w="0" w:type="dxa"/>
          <w:right w:w="0" w:type="dxa"/>
        </w:tblCellMar>
      </w:tblPr>
      <w:tblGrid>
        <w:gridCol w:w="387"/>
        <w:gridCol w:w="9818"/>
      </w:tblGrid>
      <w:tr>
        <w:trPr/>
        <w:tc>
          <w:tcPr>
            <w:tcW w:w="387" w:type="dxa"/>
            <w:tcBorders/>
            <w:shd w:fill="auto" w:val="clear"/>
            <w:vAlign w:val="center"/>
          </w:tcPr>
          <w:p>
            <w:pPr>
              <w:pStyle w:val="TableContents"/>
              <w:spacing w:before="0" w:after="283"/>
              <w:jc w:val="left"/>
              <w:rPr/>
            </w:pPr>
            <w:r>
              <w:rPr/>
              <w:t>(68)</w:t>
            </w:r>
          </w:p>
        </w:tc>
        <w:tc>
          <w:tcPr>
            <w:tcW w:w="981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disclosure with respect to the remaining Selling Securityholders is being made on an aggregate basis, as opposed to an individual basis, because their aggregate holdings are less than 1% of the outstanding Class A ADSs. </w:t>
            </w:r>
          </w:p>
        </w:tc>
      </w:tr>
    </w:tbl>
    <w:p>
      <w:pPr>
        <w:pStyle w:val="TextBody"/>
        <w:spacing w:before="360" w:after="0"/>
        <w:jc w:val="left"/>
        <w:rPr>
          <w:rFonts w:ascii="Times New Roman" w:hAnsi="Times New Roman"/>
          <w:b/>
          <w:sz w:val="20"/>
        </w:rPr>
      </w:pPr>
      <w:r>
        <w:rPr>
          <w:rFonts w:ascii="Times New Roman" w:hAnsi="Times New Roman"/>
          <w:b/>
          <w:sz w:val="20"/>
        </w:rPr>
        <w:t xml:space="preserve">Material Relationships with Selling Securityholders </w:t>
      </w:r>
    </w:p>
    <w:p>
      <w:pPr>
        <w:pStyle w:val="TextBody"/>
        <w:spacing w:before="120" w:after="0"/>
        <w:jc w:val="left"/>
        <w:rPr>
          <w:rFonts w:ascii="Times New Roman" w:hAnsi="Times New Roman"/>
          <w:sz w:val="20"/>
        </w:rPr>
      </w:pPr>
      <w:r>
        <w:rPr>
          <w:rFonts w:ascii="Times New Roman" w:hAnsi="Times New Roman"/>
          <w:sz w:val="20"/>
        </w:rPr>
        <w:t>See the section entitled “Certain Relationships and Related Party Transactions.”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472016_20"/>
      <w:bookmarkEnd w:id="22"/>
      <w:r>
        <w:rPr>
          <w:rFonts w:ascii="Times New Roman" w:hAnsi="Times New Roman"/>
          <w:b/>
          <w:sz w:val="20"/>
        </w:rPr>
        <w:t xml:space="preserve">CERTAIN RELATIONSHIPS AND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The agreement descriptions set forth below do not purport to be complete and are qualified in their entirety by the terms and conditions of the agreements filed as exhibits to the registration statement of which this prospectus forms a part. </w:t>
      </w:r>
    </w:p>
    <w:p>
      <w:pPr>
        <w:pStyle w:val="TextBody"/>
        <w:spacing w:before="360" w:after="0"/>
        <w:jc w:val="left"/>
        <w:rPr>
          <w:rFonts w:ascii="Times New Roman" w:hAnsi="Times New Roman"/>
          <w:b/>
          <w:sz w:val="20"/>
        </w:rPr>
      </w:pPr>
      <w:r>
        <w:rPr>
          <w:rFonts w:ascii="Times New Roman" w:hAnsi="Times New Roman"/>
          <w:b/>
          <w:sz w:val="20"/>
        </w:rPr>
        <w:t xml:space="preserve">Business Combination Related Agreements </w:t>
      </w:r>
    </w:p>
    <w:p>
      <w:pPr>
        <w:pStyle w:val="TextBody"/>
        <w:spacing w:before="120" w:after="0"/>
        <w:jc w:val="left"/>
        <w:rPr>
          <w:rFonts w:ascii="Times New Roman" w:hAnsi="Times New Roman"/>
          <w:i/>
          <w:sz w:val="20"/>
        </w:rPr>
      </w:pPr>
      <w:r>
        <w:rPr>
          <w:rFonts w:ascii="Times New Roman" w:hAnsi="Times New Roman"/>
          <w:i/>
          <w:sz w:val="20"/>
        </w:rPr>
        <w:t xml:space="preserve">PIPE Subscription Agreements </w:t>
      </w:r>
    </w:p>
    <w:p>
      <w:pPr>
        <w:pStyle w:val="TextBody"/>
        <w:spacing w:before="120" w:after="0"/>
        <w:jc w:val="left"/>
        <w:rPr>
          <w:rFonts w:ascii="Times New Roman" w:hAnsi="Times New Roman"/>
          <w:sz w:val="20"/>
        </w:rPr>
      </w:pPr>
      <w:r>
        <w:rPr>
          <w:rFonts w:ascii="Times New Roman" w:hAnsi="Times New Roman"/>
          <w:sz w:val="20"/>
        </w:rPr>
        <w:t xml:space="preserve">On September 27, 2021, GGI and the Company entered into the Initial PIPE Subscription Agreements with the Initial PIPE Investors, pursuant to which the Initial PIPE Investors purchased an aggregate of 7,425,742 Class A Shares in the form of Class A ADSs for a purchase price of $9.09 per share in a private placement, for an aggregate amount of TUSD67,500. As a result of the December PIPE Subscription Agreements and the March PIPE Subscription Agreements, Polestar sold an aggregate of 25,423,445 Class A ADSs for an aggregate amount of TUSD238,826 to the Initial PIPE Investors, December PIPE Investors and March PIPE Investors. The December PIPE Subscription Agreements and the March PIPE Subscription Agreements are substantially similar to the Initial PIPE Subscription Agreements, except with regard to purchase price. </w:t>
      </w:r>
    </w:p>
    <w:p>
      <w:pPr>
        <w:pStyle w:val="TextBody"/>
        <w:spacing w:before="240" w:after="0"/>
        <w:jc w:val="left"/>
        <w:rPr>
          <w:rFonts w:ascii="Times New Roman" w:hAnsi="Times New Roman"/>
          <w:sz w:val="20"/>
        </w:rPr>
      </w:pPr>
      <w:r>
        <w:rPr>
          <w:rFonts w:ascii="Times New Roman" w:hAnsi="Times New Roman"/>
          <w:sz w:val="20"/>
        </w:rPr>
        <w:t xml:space="preserve">As a result of the December PIPE Assignment and the March PIPE Assignments, the aggregate investment amount and number of Class A ADSs purchased pursuant to the Subscription Agreements remained unchanged. </w:t>
      </w:r>
    </w:p>
    <w:p>
      <w:pPr>
        <w:pStyle w:val="TextBody"/>
        <w:spacing w:before="240" w:after="0"/>
        <w:jc w:val="left"/>
        <w:rPr>
          <w:rFonts w:ascii="Times New Roman" w:hAnsi="Times New Roman"/>
          <w:sz w:val="20"/>
        </w:rPr>
      </w:pPr>
      <w:r>
        <w:rPr>
          <w:rFonts w:ascii="Times New Roman" w:hAnsi="Times New Roman"/>
          <w:sz w:val="20"/>
        </w:rPr>
        <w:t xml:space="preserve">Pursuant to the PIPE Subscription Agreements, the Company agreed to file with the SEC (at the Company’s sole cost and expense), within 30 calendar days after the date of the Business Combination Closing, the resale registration statement registering the resale of the PIPE Shares (the “Resale Registration Statement”), and to use its commercially reasonable efforts to have the Resale Registration Statement declared effective as soon as practicable after the filing thereof. </w:t>
      </w:r>
    </w:p>
    <w:p>
      <w:pPr>
        <w:pStyle w:val="TextBody"/>
        <w:spacing w:before="360" w:after="0"/>
        <w:jc w:val="left"/>
        <w:rPr>
          <w:rFonts w:ascii="Times New Roman" w:hAnsi="Times New Roman"/>
          <w:i/>
          <w:sz w:val="20"/>
        </w:rPr>
      </w:pPr>
      <w:r>
        <w:rPr>
          <w:rFonts w:ascii="Times New Roman" w:hAnsi="Times New Roman"/>
          <w:i/>
          <w:sz w:val="20"/>
        </w:rPr>
        <w:t xml:space="preserve">Sponsor Subscription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GGI and the Company entered into the Sponsor Subscription Agreement with the GGI Sponsor, pursuant to which, the GGI Sponsor purchased 9,075,908 Class A Shares in the form of Class A ADSs for a purchase price of $9.09 per share on the Business Combination Closing Date, for an aggregate investment of TUSD82,500. Pursuant to the Sponsor Subscription Agreement, the GGI Sponsor had the right to assign its commitment to purchase the Class A ADSs under the Sponsor Subscription Agreement in advance of the Business Combination Closing. As a result of the assignments pursuant to the December Sponsor Subscription Agreement and the March Sponsor Subscription Agreement, and following the purchase by an affiliate of Sponsor of 891,209 Class A ADSs for a purchase price of $9.09 per Class A ADS on the Business Combination Closing Date, for an aggregate investment of TUSD8,101, GGI Sponsor ultimately assigned its commitment under the Sponsor Subscription Agreement to other parties. The Sponsor Subscription Agreement is substantially similar to the Initial PIPE Subscription Agreements, except that the GGI Sponsor had the right to assign its commitment to acquire the Class A ADSs to be purchased under the Sponsor Subscription Agreement in advance of the Business Combination Closing. </w:t>
      </w:r>
    </w:p>
    <w:p>
      <w:pPr>
        <w:pStyle w:val="TextBody"/>
        <w:spacing w:before="360" w:after="0"/>
        <w:jc w:val="left"/>
        <w:rPr>
          <w:rFonts w:ascii="Times New Roman" w:hAnsi="Times New Roman"/>
          <w:i/>
          <w:sz w:val="20"/>
        </w:rPr>
      </w:pPr>
      <w:r>
        <w:rPr>
          <w:rFonts w:ascii="Times New Roman" w:hAnsi="Times New Roman"/>
          <w:i/>
          <w:sz w:val="20"/>
        </w:rPr>
        <w:t xml:space="preserve">Volvo Cars PIPE Subscription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GGI and the Company entered into the Volvo Cars PIPE Subscription Agreement with Snita, a corporation organized under the laws of Netherlands and a wholly owned indirect subsidiary of Volvo Cars, pursuant to which Snita purchased 10,000,000 Class A Shares in the form of Class A ADSs for a purchase price of $10.00 per share on the Business Combination Closing Date. Pursuant to the Volvo Cars PIPE Subscription Agreement, Snita had the right to assign its commitment to purchase the Class A ADSs under the Volvo Cars PIPE Subscription Agreement in advance of the Business Combination Closing. As a result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assignments pursuant to the December Volvo Cars PIPE Subscription Agreement and the March Volvo Cars PIPE Subscription Agreement, Volvo Cars via its subsidiary Snita ultimately purchased 1,117,390 Class A ADSs for a purchase price of $10 per Class A ADS on the Business Combination Closing Date, for an aggregate investment of TUSD11,174. The Volvo Cars PIPE Subscription Agreement is substantially similar to the Initial PIPE Subscription Agreements, except with regards to purchase price. </w:t>
      </w:r>
    </w:p>
    <w:p>
      <w:pPr>
        <w:pStyle w:val="TextBody"/>
        <w:spacing w:before="360" w:after="0"/>
        <w:jc w:val="left"/>
        <w:rPr>
          <w:rFonts w:ascii="Times New Roman" w:hAnsi="Times New Roman"/>
          <w:i/>
          <w:sz w:val="20"/>
        </w:rPr>
      </w:pPr>
      <w:r>
        <w:rPr>
          <w:rFonts w:ascii="Times New Roman" w:hAnsi="Times New Roman"/>
          <w:i/>
          <w:sz w:val="20"/>
        </w:rPr>
        <w:t xml:space="preserve">Volvo Cars Preference Subscription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the Company entered into the Volvo Cars Preference Subscription Agreement with Snita. Pursuant to the Volvo Cars Preference Subscription Agreement, Snita purchased Volvo Cars Preference Subscription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Former Parent to Volvo Cars. The Volvo Cars Preference Subscription Shares converted into Class A ADSs at the Business Combination Closing, in accordance with, and subject to, the terms of the Volvo Cars Preference Subscription Shares. </w:t>
      </w:r>
    </w:p>
    <w:p>
      <w:pPr>
        <w:pStyle w:val="TextBody"/>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 We are registering the offer and sale of the securities covered by this prospectus to satisfy these registration rights. The offer and sale of the Conversion Shares issuable pursuant to the Snita Term Loan Facility, none of which have been issued to date, have not been registered and such securities are not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The foregoing summary of the Registration Rights Agreement is not complete and is qualified in its entirety by the terms and conditions of the Registration Rights Agreement, a copy of which is filed as an exhibit to the registration statement of which this prospectus forms a part. </w:t>
      </w:r>
    </w:p>
    <w:p>
      <w:pPr>
        <w:pStyle w:val="TextBody"/>
        <w:spacing w:before="360" w:after="0"/>
        <w:jc w:val="left"/>
        <w:rPr>
          <w:rFonts w:ascii="Times New Roman" w:hAnsi="Times New Roman"/>
          <w:i/>
          <w:sz w:val="20"/>
        </w:rPr>
      </w:pPr>
      <w:r>
        <w:rPr>
          <w:rFonts w:ascii="Times New Roman" w:hAnsi="Times New Roman"/>
          <w:i/>
          <w:sz w:val="20"/>
        </w:rPr>
        <w:t xml:space="preserve">Class C Warrant Amendment </w:t>
      </w:r>
    </w:p>
    <w:p>
      <w:pPr>
        <w:pStyle w:val="TextBody"/>
        <w:spacing w:before="120" w:after="0"/>
        <w:jc w:val="left"/>
        <w:rPr>
          <w:rFonts w:ascii="Times New Roman" w:hAnsi="Times New Roman"/>
          <w:sz w:val="20"/>
        </w:rPr>
      </w:pPr>
      <w:r>
        <w:rPr>
          <w:rFonts w:ascii="Times New Roman" w:hAnsi="Times New Roman"/>
          <w:sz w:val="20"/>
        </w:rPr>
        <w:t xml:space="preserve">GGI and Computershare entered into the Class C Warrant Amendment, which is included as an exhibit to the registration statement of which this prospectus forms a part.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Agreement was terminated, in the case of each of clauses (i), (ii) and (iii) above, subject to the terms and conditions set forth therein. </w:t>
      </w:r>
    </w:p>
    <w:p>
      <w:pPr>
        <w:pStyle w:val="TextBody"/>
        <w:spacing w:before="360" w:after="0"/>
        <w:jc w:val="left"/>
        <w:rPr>
          <w:rFonts w:ascii="Times New Roman" w:hAnsi="Times New Roman"/>
          <w:i/>
          <w:sz w:val="20"/>
        </w:rPr>
      </w:pPr>
      <w:r>
        <w:rPr>
          <w:rFonts w:ascii="Times New Roman" w:hAnsi="Times New Roman"/>
          <w:i/>
          <w:sz w:val="20"/>
        </w:rPr>
        <w:t xml:space="preserve">Shareholder Acknowledgment </w:t>
      </w:r>
    </w:p>
    <w:p>
      <w:pPr>
        <w:pStyle w:val="TextBody"/>
        <w:spacing w:before="120" w:after="0"/>
        <w:jc w:val="left"/>
        <w:rPr>
          <w:rFonts w:ascii="Times New Roman" w:hAnsi="Times New Roman"/>
          <w:sz w:val="20"/>
        </w:rPr>
      </w:pPr>
      <w:r>
        <w:rPr>
          <w:rFonts w:ascii="Times New Roman" w:hAnsi="Times New Roman"/>
          <w:sz w:val="20"/>
        </w:rPr>
        <w:t>On September 27, 2021, Former Parent, the Former Parent Shareholders, Volvo Car Corporation and the Company entered into the Shareholders Acknowledgement Agreement, which is included as an exhibit to the registration statement of which this prospectus forms a part. Pursuant to the Shareholders Acknowledgement Agreement, the Former Parent and the Former Parent Shareholders undertook that (i) at the Business Combination Closing, the initial Board was to include nine directors, a majority of whom would be independent directors, (ii) for a period of three years following the Business Combination Closing, Former Parent and the Former Parent Shareholders will not vote in favor of the removal any independent directors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pStyle w:val="TextBody"/>
        <w:spacing w:before="360" w:after="0"/>
        <w:jc w:val="left"/>
        <w:rPr>
          <w:rFonts w:ascii="Times New Roman" w:hAnsi="Times New Roman"/>
          <w:b/>
          <w:sz w:val="20"/>
        </w:rPr>
      </w:pPr>
      <w:r>
        <w:rPr>
          <w:rFonts w:ascii="Times New Roman" w:hAnsi="Times New Roman"/>
          <w:b/>
          <w:sz w:val="20"/>
        </w:rPr>
        <w:t xml:space="preserve">Company Relationships and Related Party Transactions </w:t>
      </w:r>
    </w:p>
    <w:p>
      <w:pPr>
        <w:pStyle w:val="TextBody"/>
        <w:spacing w:before="120" w:after="0"/>
        <w:jc w:val="left"/>
        <w:rPr>
          <w:rFonts w:ascii="Times New Roman" w:hAnsi="Times New Roman"/>
          <w:i/>
          <w:sz w:val="20"/>
        </w:rPr>
      </w:pPr>
      <w:r>
        <w:rPr>
          <w:rFonts w:ascii="Times New Roman" w:hAnsi="Times New Roman"/>
          <w:i/>
          <w:sz w:val="20"/>
        </w:rPr>
        <w:t xml:space="preserve">Agreements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The Snita Term Loan Facility provides a credit facility of up to USD 800,000,000 for an 18 month term. The facility is denominated in U.S. dollars and is available for general corporate purposes. The interest rate applicable to borrowings under the 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Snita exercising an option to convert all or part of the loan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Snita Term Loan Facility which has been repaid.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Framework Assignment and License Agreement</w:t>
      </w:r>
      <w:r>
        <w:rPr>
          <w:rFonts w:ascii="Times New Roman" w:hAnsi="Times New Roman"/>
          <w:sz w:val="20"/>
        </w:rPr>
        <w:t xml:space="preserve"> among Volvo Car Corporation and Polestar Performance AB, dated October 31, 2018 and the </w:t>
      </w:r>
      <w:r>
        <w:rPr>
          <w:rFonts w:ascii="Times New Roman" w:hAnsi="Times New Roman"/>
          <w:i/>
          <w:sz w:val="20"/>
        </w:rPr>
        <w:t>Car Model Assignment and License Agreement</w:t>
      </w:r>
      <w:r>
        <w:rPr>
          <w:rFonts w:ascii="Times New Roman" w:hAnsi="Times New Roman"/>
          <w:sz w:val="20"/>
        </w:rPr>
        <w:t xml:space="preserve">, dated as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October 31, 2018, between Volvo Car Corporation and Polestar Performance AB, as supplemented by the </w:t>
      </w:r>
      <w:r>
        <w:rPr>
          <w:rFonts w:ascii="Times New Roman" w:hAnsi="Times New Roman"/>
          <w:i/>
          <w:sz w:val="20"/>
        </w:rPr>
        <w:t>Side Letter</w:t>
      </w:r>
      <w:r>
        <w:rPr>
          <w:rFonts w:ascii="Times New Roman" w:hAnsi="Times New Roman"/>
          <w:sz w:val="20"/>
        </w:rPr>
        <w:t xml:space="preserve">, dated as of October 31, 2018, between Volvo Car Corporation, Polestar Performance AB and Polestar New Energy Vehicle Co. Ltd., as amended by the </w:t>
      </w:r>
      <w:r>
        <w:rPr>
          <w:rFonts w:ascii="Times New Roman" w:hAnsi="Times New Roman"/>
          <w:i/>
          <w:sz w:val="20"/>
        </w:rPr>
        <w:t>Amendment Agreement to the Car Model Assignment and License Agreement</w:t>
      </w:r>
      <w:r>
        <w:rPr>
          <w:rFonts w:ascii="Times New Roman" w:hAnsi="Times New Roman"/>
          <w:sz w:val="20"/>
        </w:rPr>
        <w:t xml:space="preserve">,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w:t>
      </w:r>
      <w:r>
        <w:rPr>
          <w:rFonts w:ascii="Times New Roman" w:hAnsi="Times New Roman"/>
          <w:i/>
          <w:sz w:val="20"/>
        </w:rPr>
        <w:t>Side Letter</w:t>
      </w:r>
      <w:r>
        <w:rPr>
          <w:rFonts w:ascii="Times New Roman" w:hAnsi="Times New Roman"/>
          <w:sz w:val="20"/>
        </w:rPr>
        <w:t xml:space="preserve">,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Framework Assignment and License Agreement</w:t>
      </w:r>
      <w:r>
        <w:rPr>
          <w:rFonts w:ascii="Times New Roman" w:hAnsi="Times New Roman"/>
          <w:sz w:val="20"/>
        </w:rPr>
        <w:t xml:space="preserve">, dated as of October 31, 2018, between Volvo Car Corporation and Polestar New Energy Vehicle Co. Ltd. and the </w:t>
      </w:r>
      <w:r>
        <w:rPr>
          <w:rFonts w:ascii="Times New Roman" w:hAnsi="Times New Roman"/>
          <w:i/>
          <w:sz w:val="20"/>
        </w:rPr>
        <w:t>Car Model Assignment and License Agreement</w:t>
      </w:r>
      <w:r>
        <w:rPr>
          <w:rFonts w:ascii="Times New Roman" w:hAnsi="Times New Roman"/>
          <w:sz w:val="20"/>
        </w:rPr>
        <w:t xml:space="preserve">, dated as of October 31, 2018, between Volvo Car Corporation and Polestar New Energy Vehicle Co. Ltd, as supplemented by the </w:t>
      </w:r>
      <w:r>
        <w:rPr>
          <w:rFonts w:ascii="Times New Roman" w:hAnsi="Times New Roman"/>
          <w:i/>
          <w:sz w:val="20"/>
        </w:rPr>
        <w:t>Side Letter</w:t>
      </w:r>
      <w:r>
        <w:rPr>
          <w:rFonts w:ascii="Times New Roman" w:hAnsi="Times New Roman"/>
          <w:sz w:val="20"/>
        </w:rPr>
        <w:t xml:space="preserve">, dated as of October 31, 2018, between Volvo Car Corporation, Polestar Performance AB and Polestar New Energy Vehicle Co. Ltd., as supplemented by the </w:t>
      </w:r>
      <w:r>
        <w:rPr>
          <w:rFonts w:ascii="Times New Roman" w:hAnsi="Times New Roman"/>
          <w:i/>
          <w:sz w:val="20"/>
        </w:rPr>
        <w:t>Supplement to Car Model Assignment and License Agreement</w:t>
      </w:r>
      <w:r>
        <w:rPr>
          <w:rFonts w:ascii="Times New Roman" w:hAnsi="Times New Roman"/>
          <w:sz w:val="20"/>
        </w:rPr>
        <w:t xml:space="preserve">, dated as of September 23, 2019, between Volvo Car Corporation and Polestar New Energy Vehicle Co. Ltd., as amended by the </w:t>
      </w:r>
      <w:r>
        <w:rPr>
          <w:rFonts w:ascii="Times New Roman" w:hAnsi="Times New Roman"/>
          <w:i/>
          <w:sz w:val="20"/>
        </w:rPr>
        <w:t>Amendment Agreement to the Car Model Assignment and License Agreement</w:t>
      </w:r>
      <w:r>
        <w:rPr>
          <w:rFonts w:ascii="Times New Roman" w:hAnsi="Times New Roman"/>
          <w:sz w:val="20"/>
        </w:rPr>
        <w:t xml:space="preserve">, dated as of June 2020, between Volvo Car Corporation and Polestar New Energy Vehicle Co. Ltd., as amended by the </w:t>
      </w:r>
      <w:r>
        <w:rPr>
          <w:rFonts w:ascii="Times New Roman" w:hAnsi="Times New Roman"/>
          <w:i/>
          <w:sz w:val="20"/>
        </w:rPr>
        <w:t>Novation Agreement</w:t>
      </w:r>
      <w:r>
        <w:rPr>
          <w:rFonts w:ascii="Times New Roman" w:hAnsi="Times New Roman"/>
          <w:sz w:val="20"/>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the Side Letter, the termination of one Car Model Assignment and License Agreement gives Volvo Car Corporation the right to immediately terminate the other Car Model Assignment and License Agreement. </w:t>
      </w:r>
    </w:p>
    <w:p>
      <w:pPr>
        <w:pStyle w:val="TextBody"/>
        <w:spacing w:before="240" w:after="0"/>
        <w:jc w:val="left"/>
        <w:rPr>
          <w:rFonts w:ascii="Times New Roman" w:hAnsi="Times New Roman"/>
          <w:sz w:val="20"/>
        </w:rPr>
      </w:pPr>
      <w:r>
        <w:rPr>
          <w:rFonts w:ascii="Times New Roman" w:hAnsi="Times New Roman"/>
          <w:i/>
          <w:sz w:val="20"/>
        </w:rPr>
        <w:t>PHEV IP Sub-License Agreement</w:t>
      </w:r>
      <w:r>
        <w:rPr>
          <w:rFonts w:ascii="Times New Roman" w:hAnsi="Times New Roman"/>
          <w:sz w:val="20"/>
        </w:rPr>
        <w:t xml:space="preserve">, dated as of September 4, 2018, between Volvo Car Corporation and Polestar Performance AB is a sub-license 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PHEV IP Sub-License Agreement</w:t>
      </w:r>
      <w:r>
        <w:rPr>
          <w:rFonts w:ascii="Times New Roman" w:hAnsi="Times New Roman"/>
          <w:sz w:val="20"/>
        </w:rPr>
        <w:t xml:space="preserve">, dated as of September 7,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 </w:t>
      </w:r>
    </w:p>
    <w:p>
      <w:pPr>
        <w:pStyle w:val="TextBody"/>
        <w:spacing w:before="240" w:after="0"/>
        <w:jc w:val="left"/>
        <w:rPr>
          <w:rFonts w:ascii="Times New Roman" w:hAnsi="Times New Roman"/>
          <w:sz w:val="20"/>
        </w:rPr>
      </w:pPr>
      <w:r>
        <w:rPr>
          <w:rFonts w:ascii="Times New Roman" w:hAnsi="Times New Roman"/>
          <w:i/>
          <w:sz w:val="20"/>
        </w:rPr>
        <w:t>Change Management Agreement</w:t>
      </w:r>
      <w:r>
        <w:rPr>
          <w:rFonts w:ascii="Times New Roman" w:hAnsi="Times New Roman"/>
          <w:sz w:val="20"/>
        </w:rPr>
        <w:t xml:space="preserve">, dated as of June 12, 2020, between Volvo Car Corporation and Polestar Performance AB is an agreement 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October 31,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November 17, 2020, between Volvo Cars Technology (Shanghai) Co., Ltd. and Polestar New Energy Vehicle Co., 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insolvency of the other party. Polestar New Energy Vehicle Co., Ltd. also has certain service cancellation rights and has an immediate termination right with respect to certain breaches by Volvo Cars Technology (Shanghai) Co., Ltd. The </w:t>
      </w:r>
      <w:r>
        <w:rPr>
          <w:rFonts w:ascii="Times New Roman" w:hAnsi="Times New Roman"/>
          <w:i/>
          <w:sz w:val="20"/>
        </w:rPr>
        <w:t>Service Agreement</w:t>
      </w:r>
      <w:r>
        <w:rPr>
          <w:rFonts w:ascii="Times New Roman" w:hAnsi="Times New Roman"/>
          <w:sz w:val="20"/>
        </w:rPr>
        <w:t xml:space="preserve">,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October 31,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hAnsi="Times New Roman"/>
          <w:i/>
          <w:sz w:val="20"/>
        </w:rPr>
        <w:t>Service Agreement</w:t>
      </w:r>
      <w:r>
        <w:rPr>
          <w:rFonts w:ascii="Times New Roman" w:hAnsi="Times New Roman"/>
          <w:sz w:val="20"/>
        </w:rPr>
        <w:t xml:space="preserve">, dated as of December 21, 2018, between Daqing Volvo Car Manufacturing Co. Ltd.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October 31,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hAnsi="Times New Roman"/>
          <w:i/>
          <w:sz w:val="20"/>
        </w:rPr>
        <w:t>Service Agreement</w:t>
      </w:r>
      <w:r>
        <w:rPr>
          <w:rFonts w:ascii="Times New Roman" w:hAnsi="Times New Roman"/>
          <w:sz w:val="20"/>
        </w:rPr>
        <w:t xml:space="preserve">, dated as of December 21, 2018, between Volvo Car (Asia Pacific) Investment Holding Co. Ltd. and Polestar New Energy Vehicle Co. Ltd., as amended by the </w:t>
      </w:r>
      <w:r>
        <w:rPr>
          <w:rFonts w:ascii="Times New Roman" w:hAnsi="Times New Roman"/>
          <w:i/>
          <w:sz w:val="20"/>
        </w:rPr>
        <w:t>Novation Agreement</w:t>
      </w:r>
      <w:r>
        <w:rPr>
          <w:rFonts w:ascii="Times New Roman" w:hAnsi="Times New Roman"/>
          <w:sz w:val="20"/>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August 9, 2018, between Zhongjia Automobile Manufacturing (Chengdu) Co. Ltd. and Polestar New Energy Vehicle Co. Ltd., as amended by the </w:t>
      </w:r>
      <w:r>
        <w:rPr>
          <w:rFonts w:ascii="Times New Roman" w:hAnsi="Times New Roman"/>
          <w:i/>
          <w:sz w:val="20"/>
        </w:rPr>
        <w:t>Amendment Agreement to the Service Agreement</w:t>
      </w:r>
      <w:r>
        <w:rPr>
          <w:rFonts w:ascii="Times New Roman" w:hAnsi="Times New Roman"/>
          <w:sz w:val="20"/>
        </w:rPr>
        <w:t xml:space="preserve">,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17, 2019, between Volvo Car Belgium NV, Ltd. and Polestar Performance AB, as amended by the </w:t>
      </w:r>
      <w:r>
        <w:rPr>
          <w:rFonts w:ascii="Times New Roman" w:hAnsi="Times New Roman"/>
          <w:i/>
          <w:sz w:val="20"/>
        </w:rPr>
        <w:t>Amendment to the Service Agreement</w:t>
      </w:r>
      <w:r>
        <w:rPr>
          <w:rFonts w:ascii="Times New Roman" w:hAnsi="Times New Roman"/>
          <w:sz w:val="20"/>
        </w:rPr>
        <w:t xml:space="preserve">, dated as of March 4, 2020, between Volvo Car Belgium NV, Ltd. and Polestar Performance AB governs the 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Component Supply Agreement</w:t>
      </w:r>
      <w:r>
        <w:rPr>
          <w:rFonts w:ascii="Times New Roman" w:hAnsi="Times New Roman"/>
          <w:sz w:val="20"/>
        </w:rPr>
        <w:t xml:space="preserve">, dated as of 2018, between Polestar New Energy Vehicle Co., Ltd. and Zhejiang Haoqing Automobile 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 </w:t>
      </w:r>
    </w:p>
    <w:p>
      <w:pPr>
        <w:pStyle w:val="TextBody"/>
        <w:spacing w:before="240" w:after="0"/>
        <w:jc w:val="left"/>
        <w:rPr>
          <w:rFonts w:ascii="Times New Roman" w:hAnsi="Times New Roman"/>
          <w:sz w:val="20"/>
        </w:rPr>
      </w:pPr>
      <w:r>
        <w:rPr>
          <w:rFonts w:ascii="Times New Roman" w:hAnsi="Times New Roman"/>
          <w:i/>
          <w:sz w:val="20"/>
        </w:rPr>
        <w:t>General Distributor Agreement</w:t>
      </w:r>
      <w:r>
        <w:rPr>
          <w:rFonts w:ascii="Times New Roman" w:hAnsi="Times New Roman"/>
          <w:sz w:val="20"/>
        </w:rPr>
        <w:t xml:space="preserve">, effective as of January 1, 2020, between Zhejiang Haoqing Automobile Manufacturing Co., Ltd. Chengdu Branch 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 </w:t>
      </w:r>
    </w:p>
    <w:p>
      <w:pPr>
        <w:pStyle w:val="TextBody"/>
        <w:spacing w:before="240" w:after="0"/>
        <w:jc w:val="left"/>
        <w:rPr>
          <w:rFonts w:ascii="Times New Roman" w:hAnsi="Times New Roman"/>
          <w:sz w:val="20"/>
        </w:rPr>
      </w:pPr>
      <w:r>
        <w:rPr>
          <w:rFonts w:ascii="Times New Roman" w:hAnsi="Times New Roman"/>
          <w:i/>
          <w:sz w:val="20"/>
        </w:rPr>
        <w:t>License, License Assignment and Service Agreement</w:t>
      </w:r>
      <w:r>
        <w:rPr>
          <w:rFonts w:ascii="Times New Roman" w:hAnsi="Times New Roman"/>
          <w:sz w:val="20"/>
        </w:rPr>
        <w:t xml:space="preserve">, dated as of February 15, 2021, between Volvo Car Corporation and Polestar Performance AB is a license assignment and service agreement under which Volvo Car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 </w:t>
      </w:r>
    </w:p>
    <w:p>
      <w:pPr>
        <w:pStyle w:val="TextBody"/>
        <w:spacing w:before="240" w:after="0"/>
        <w:jc w:val="left"/>
        <w:rPr>
          <w:rFonts w:ascii="Times New Roman" w:hAnsi="Times New Roman"/>
          <w:sz w:val="20"/>
        </w:rPr>
      </w:pPr>
      <w:r>
        <w:rPr>
          <w:rFonts w:ascii="Times New Roman" w:hAnsi="Times New Roman"/>
          <w:i/>
          <w:sz w:val="20"/>
        </w:rPr>
        <w:t>License and License Assignment Agreement</w:t>
      </w:r>
      <w:r>
        <w:rPr>
          <w:rFonts w:ascii="Times New Roman" w:hAnsi="Times New Roman"/>
          <w:sz w:val="20"/>
        </w:rPr>
        <w:t xml:space="preserve">, dated as of February 15, 2021, between Volvo Car Corporation and Polestar Automotive China 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 </w:t>
      </w:r>
    </w:p>
    <w:p>
      <w:pPr>
        <w:pStyle w:val="TextBody"/>
        <w:spacing w:before="240" w:after="0"/>
        <w:jc w:val="left"/>
        <w:rPr>
          <w:rFonts w:ascii="Times New Roman" w:hAnsi="Times New Roman"/>
          <w:sz w:val="20"/>
        </w:rPr>
      </w:pPr>
      <w:r>
        <w:rPr>
          <w:rFonts w:ascii="Times New Roman" w:hAnsi="Times New Roman"/>
          <w:i/>
          <w:sz w:val="20"/>
        </w:rPr>
        <w:t>Car Model Manufacturing Agreement</w:t>
      </w:r>
      <w:r>
        <w:rPr>
          <w:rFonts w:ascii="Times New Roman" w:hAnsi="Times New Roman"/>
          <w:sz w:val="20"/>
        </w:rPr>
        <w:t xml:space="preserve">, dated as of November 28, 2018, between First Automobile Branch of Zhejiang Haoqing Automobile Manufacturing Co., Ltd. and Polestar New Energy Vehicle Co. Ltd., as amended by the </w:t>
      </w:r>
      <w:r>
        <w:rPr>
          <w:rFonts w:ascii="Times New Roman" w:hAnsi="Times New Roman"/>
          <w:i/>
          <w:sz w:val="20"/>
        </w:rPr>
        <w:t>Novation Agreement</w:t>
      </w:r>
      <w:r>
        <w:rPr>
          <w:rFonts w:ascii="Times New Roman" w:hAnsi="Times New Roman"/>
          <w:sz w:val="20"/>
        </w:rPr>
        <w:t xml:space="preserve">,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 </w:t>
      </w:r>
    </w:p>
    <w:p>
      <w:pPr>
        <w:pStyle w:val="TextBody"/>
        <w:spacing w:before="240" w:after="0"/>
        <w:jc w:val="left"/>
        <w:rPr>
          <w:rFonts w:ascii="Times New Roman" w:hAnsi="Times New Roman"/>
          <w:sz w:val="20"/>
        </w:rPr>
      </w:pPr>
      <w:r>
        <w:rPr>
          <w:rFonts w:ascii="Times New Roman" w:hAnsi="Times New Roman"/>
          <w:i/>
          <w:sz w:val="20"/>
        </w:rPr>
        <w:t>Car Model Manufacturing Agreement</w:t>
      </w:r>
      <w:r>
        <w:rPr>
          <w:rFonts w:ascii="Times New Roman" w:hAnsi="Times New Roman"/>
          <w:sz w:val="20"/>
        </w:rPr>
        <w:t xml:space="preserve">, dated as of November 26, 2018, between Asia Euro Automobile Manufacturing (Taizhou) Co., Ltd. and Polestar Performance AB, as supplemented by the </w:t>
      </w:r>
      <w:r>
        <w:rPr>
          <w:rFonts w:ascii="Times New Roman" w:hAnsi="Times New Roman"/>
          <w:i/>
          <w:sz w:val="20"/>
        </w:rPr>
        <w:t>Supplement Car Manufacturing Agreement</w:t>
      </w:r>
      <w:r>
        <w:rPr>
          <w:rFonts w:ascii="Times New Roman" w:hAnsi="Times New Roman"/>
          <w:sz w:val="20"/>
        </w:rPr>
        <w:t xml:space="preserve">, dated as of May 2021, between Polestar Performance AB and Asia Euro Manufacturing (Taizhou) Co. Ltd., as amended by the </w:t>
      </w:r>
      <w:r>
        <w:rPr>
          <w:rFonts w:ascii="Times New Roman" w:hAnsi="Times New Roman"/>
          <w:i/>
          <w:sz w:val="20"/>
        </w:rPr>
        <w:t>Amendment Car Model Manufacturing Agreement</w:t>
      </w:r>
      <w:r>
        <w:rPr>
          <w:rFonts w:ascii="Times New Roman" w:hAnsi="Times New Roman"/>
          <w:sz w:val="20"/>
        </w:rPr>
        <w:t xml:space="preserve">,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 </w:t>
      </w:r>
    </w:p>
    <w:p>
      <w:pPr>
        <w:pStyle w:val="TextBody"/>
        <w:spacing w:before="240" w:after="0"/>
        <w:jc w:val="left"/>
        <w:rPr>
          <w:rFonts w:ascii="Times New Roman" w:hAnsi="Times New Roman"/>
          <w:sz w:val="20"/>
        </w:rPr>
      </w:pPr>
      <w:r>
        <w:rPr>
          <w:rFonts w:ascii="Times New Roman" w:hAnsi="Times New Roman"/>
          <w:i/>
          <w:sz w:val="20"/>
        </w:rPr>
        <w:t>License, License Assignment and Service Agreement</w:t>
      </w:r>
      <w:r>
        <w:rPr>
          <w:rFonts w:ascii="Times New Roman" w:hAnsi="Times New Roman"/>
          <w:sz w:val="20"/>
        </w:rPr>
        <w:t xml:space="preserve">, dated as of June 30, 2019, between Volvo Car Corporation and Polestar Performance AB, as supplemented by the </w:t>
      </w:r>
      <w:r>
        <w:rPr>
          <w:rFonts w:ascii="Times New Roman" w:hAnsi="Times New Roman"/>
          <w:i/>
          <w:sz w:val="20"/>
        </w:rPr>
        <w:t>Side Letter</w:t>
      </w:r>
      <w:r>
        <w:rPr>
          <w:rFonts w:ascii="Times New Roman" w:hAnsi="Times New Roman"/>
          <w:sz w:val="20"/>
        </w:rPr>
        <w:t xml:space="preserve">, dated as of June 30, 2019,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between Volvo Car Corporation, Volvo Cars (China) Investment Co., Ltd., Polestar Performance AB and Polestar New Energy Vehicle Co. Ltd., as amended by the </w:t>
      </w:r>
      <w:r>
        <w:rPr>
          <w:rFonts w:ascii="Times New Roman" w:hAnsi="Times New Roman"/>
          <w:i/>
          <w:sz w:val="20"/>
        </w:rPr>
        <w:t>Amendment Agreement to the License, License Agreement and Service Agreement</w:t>
      </w:r>
      <w:r>
        <w:rPr>
          <w:rFonts w:ascii="Times New Roman" w:hAnsi="Times New Roman"/>
          <w:sz w:val="20"/>
        </w:rPr>
        <w:t xml:space="preserve">,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 </w:t>
      </w:r>
    </w:p>
    <w:p>
      <w:pPr>
        <w:pStyle w:val="TextBody"/>
        <w:spacing w:before="240" w:after="0"/>
        <w:jc w:val="left"/>
        <w:rPr>
          <w:rFonts w:ascii="Times New Roman" w:hAnsi="Times New Roman"/>
          <w:sz w:val="20"/>
        </w:rPr>
      </w:pPr>
      <w:r>
        <w:rPr>
          <w:rFonts w:ascii="Times New Roman" w:hAnsi="Times New Roman"/>
          <w:i/>
          <w:sz w:val="20"/>
        </w:rPr>
        <w:t>License Agreement</w:t>
      </w:r>
      <w:r>
        <w:rPr>
          <w:rFonts w:ascii="Times New Roman" w:hAnsi="Times New Roman"/>
          <w:sz w:val="20"/>
        </w:rPr>
        <w:t xml:space="preserve">, dated as of June 30, 2019, between Volvo Car Corporation and Polestar New Energy Vehicle Co. Ltd., as supplemented by the </w:t>
      </w:r>
      <w:r>
        <w:rPr>
          <w:rFonts w:ascii="Times New Roman" w:hAnsi="Times New Roman"/>
          <w:i/>
          <w:sz w:val="20"/>
        </w:rPr>
        <w:t>Side Letter</w:t>
      </w:r>
      <w:r>
        <w:rPr>
          <w:rFonts w:ascii="Times New Roman" w:hAnsi="Times New Roman"/>
          <w:sz w:val="20"/>
        </w:rPr>
        <w:t xml:space="preserve">, dated as of June 30, 2019, between Polestar Performance AB, Polestar New Energy Vehicle Co., Ltd., Volvo Car Corporation and Volvo Cars (China) Investment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30, 2019, between Volvo Car Corporation and Polestar New Energy Vehicle Co. Ltd., as supplemented by the </w:t>
      </w:r>
      <w:r>
        <w:rPr>
          <w:rFonts w:ascii="Times New Roman" w:hAnsi="Times New Roman"/>
          <w:i/>
          <w:sz w:val="20"/>
        </w:rPr>
        <w:t>Side Letter</w:t>
      </w:r>
      <w:r>
        <w:rPr>
          <w:rFonts w:ascii="Times New Roman" w:hAnsi="Times New Roman"/>
          <w:sz w:val="20"/>
        </w:rPr>
        <w:t xml:space="preserve">, dated as of June 30, 2019, between Volvo Car Corporation, Volvo Cars (China) Investment Co., Ltd., Polestar Performance AB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30, 2019, between Volvo Cars (China) Investment Co., Ltd. and Polestar New Energy Vehicle Co. Ltd., as supplemented by the </w:t>
      </w:r>
      <w:r>
        <w:rPr>
          <w:rFonts w:ascii="Times New Roman" w:hAnsi="Times New Roman"/>
          <w:i/>
          <w:sz w:val="20"/>
        </w:rPr>
        <w:t>Side Letter</w:t>
      </w:r>
      <w:r>
        <w:rPr>
          <w:rFonts w:ascii="Times New Roman" w:hAnsi="Times New Roman"/>
          <w:sz w:val="20"/>
        </w:rPr>
        <w:t xml:space="preserve">, dated as of June 30, 2019, between Volvo Car Corporation, Volvo Cars (China) Investment Co., Ltd., Polestar Performance AB and Polestar New Energy Vehicle Co. Ltd., as amended by the </w:t>
      </w:r>
      <w:r>
        <w:rPr>
          <w:rFonts w:ascii="Times New Roman" w:hAnsi="Times New Roman"/>
          <w:i/>
          <w:sz w:val="20"/>
        </w:rPr>
        <w:t>Amendment Agreement to the Service Agreement</w:t>
      </w:r>
      <w:r>
        <w:rPr>
          <w:rFonts w:ascii="Times New Roman" w:hAnsi="Times New Roman"/>
          <w:sz w:val="20"/>
        </w:rPr>
        <w:t xml:space="preserve">, dated as of November 28, 2019, between Volvo Cars (China) Investment Co. Ltd.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upon the insolvency of the other party. The applicable Polestar entity also has the right to cancel the services performed by Volvo Cars (China) Investment Co., Ltd. for convenience upon 90 days’ written notice. </w:t>
      </w:r>
    </w:p>
    <w:p>
      <w:pPr>
        <w:pStyle w:val="TextBody"/>
        <w:spacing w:before="240" w:after="0"/>
        <w:jc w:val="left"/>
        <w:rPr>
          <w:rFonts w:ascii="Times New Roman" w:hAnsi="Times New Roman"/>
          <w:sz w:val="20"/>
        </w:rPr>
      </w:pPr>
      <w:r>
        <w:rPr>
          <w:rFonts w:ascii="Times New Roman" w:hAnsi="Times New Roman"/>
          <w:i/>
          <w:sz w:val="20"/>
        </w:rPr>
        <w:t>Side Letter</w:t>
      </w:r>
      <w:r>
        <w:rPr>
          <w:rFonts w:ascii="Times New Roman" w:hAnsi="Times New Roman"/>
          <w:sz w:val="20"/>
        </w:rPr>
        <w:t xml:space="preserve">, dated as of June 30, 2019, between Volvo Car Corporation, Volvo Cars (China) Investment Co., Ltd., Polestar Performance AB and 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August 31, 2020, between Volvo Cars Technology (Shanghai) Co., Ltd. and Polestar Automotive China 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September 1, 2020, between Volvo Car Corporation and Polestar Automotive China Distribution Co. Ltd. is a 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License Agreement</w:t>
      </w:r>
      <w:r>
        <w:rPr>
          <w:rFonts w:ascii="Times New Roman" w:hAnsi="Times New Roman"/>
          <w:sz w:val="20"/>
        </w:rPr>
        <w:t xml:space="preserve">, dated as of December 23, 2020, between Polestar Performance AB and Volvo Car Corporation is a license agreement relating 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Performance Software Agreement</w:t>
      </w:r>
      <w:r>
        <w:rPr>
          <w:rFonts w:ascii="Times New Roman" w:hAnsi="Times New Roman"/>
          <w:sz w:val="20"/>
        </w:rPr>
        <w:t xml:space="preserve">, dated as of January 1, 2020, between Polestar Performance AB and Volvo Car Corporation is an agreement relating to the design, development and supply of performance enhancing software by Polestar Performance AB for Volvo Car Corporation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Financial Undertaking Agreement—Investments for Vehicle Assembly</w:t>
      </w:r>
      <w:r>
        <w:rPr>
          <w:rFonts w:ascii="Times New Roman" w:hAnsi="Times New Roman"/>
          <w:sz w:val="20"/>
        </w:rPr>
        <w:t xml:space="preserve">, dated as of February 27, 2020, between Zhongjia Automobile Manufacturing (Chengdu) Co., Ltd. and Polestar Automotive China Distribution Co., Ltd. is an agreement that establishes Polestar Automotive China Distribution Co., Ltd.’s binding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February 2021, between Zhongjia Automobile Manufacturing (Chengdu) Co., Ltd. and Polestar Automotive China 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hAnsi="Times New Roman"/>
          <w:i/>
          <w:sz w:val="20"/>
        </w:rPr>
        <w:t>Service Agreement</w:t>
      </w:r>
      <w:r>
        <w:rPr>
          <w:rFonts w:ascii="Times New Roman" w:hAnsi="Times New Roman"/>
          <w:sz w:val="20"/>
        </w:rPr>
        <w:t xml:space="preserve">, dated as of April 28, 2021, between Volvo Car Corporation and Polestar Automotive China Distribution Co. Ltd. largely mirrors the previously described agreement but with Volvo Car Corporation acting as the service provider. </w:t>
      </w:r>
    </w:p>
    <w:p>
      <w:pPr>
        <w:pStyle w:val="TextBody"/>
        <w:spacing w:before="240" w:after="0"/>
        <w:jc w:val="left"/>
        <w:rPr>
          <w:rFonts w:ascii="Times New Roman" w:hAnsi="Times New Roman"/>
          <w:sz w:val="20"/>
        </w:rPr>
      </w:pPr>
      <w:r>
        <w:rPr>
          <w:rFonts w:ascii="Times New Roman" w:hAnsi="Times New Roman"/>
          <w:i/>
          <w:sz w:val="20"/>
        </w:rPr>
        <w:t>Financial Undertaking Agreement—Investments for Vehicle Assembly</w:t>
      </w:r>
      <w:r>
        <w:rPr>
          <w:rFonts w:ascii="Times New Roman" w:hAnsi="Times New Roman"/>
          <w:sz w:val="20"/>
        </w:rPr>
        <w:t xml:space="preserve">, dated as of March 17, 2021, between Volvo Car Corporation and Polestar Performance AB is an agreement relating to the planned production of Polestar 3 vehicles in Volvo Cars’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hAnsi="Times New Roman"/>
          <w:i/>
          <w:sz w:val="20"/>
        </w:rPr>
        <w:t>Financial Undertaking Agreement—Investments for Vehicle Assembly</w:t>
      </w:r>
      <w:r>
        <w:rPr>
          <w:rFonts w:ascii="Times New Roman" w:hAnsi="Times New Roman"/>
          <w:sz w:val="20"/>
        </w:rPr>
        <w:t xml:space="preserve">, dated as of March 23, 2021, between Volvo Car Corporation and Polestar Performance AB largely mirrors the previously described agreement but instead imposes investment commitments on Polestar Performance AB relating to Polestar 3 unique equipment (rather than common equipment that is used in the production of both Volvo’s and Polestar’s vehicles).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March 24, 2020, between Volvo Car Corporation and Polestar Performance AB is a service agreement under which 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November 27, 2020, between Volvo Car Corporation and Polestar Performance AB is a service agreement under which Volvo Car Corporation will provide complete design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January 18, 2021, between Ningbo Geely Automobile Research &amp; Development Co., Ltd. and Polestar 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January 28, 2020, between Volvo Car Corporation and Polestar Performance AB is a service agreement under 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September 4, 2020, between Volvo Car Corporation and Polestar Performance AB is a service agreement under 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September 4, 2020, between Polestar Performance AB and Volvo Bil i Göteborg AB is a service agreement under 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License Agreement</w:t>
      </w:r>
      <w:r>
        <w:rPr>
          <w:rFonts w:ascii="Times New Roman" w:hAnsi="Times New Roman"/>
          <w:sz w:val="20"/>
        </w:rPr>
        <w:t xml:space="preserve">, dated as of December 6, 2020, between Volvo Car Corporation and Polestar Performance AB, as amended by the </w:t>
      </w:r>
      <w:r>
        <w:rPr>
          <w:rFonts w:ascii="Times New Roman" w:hAnsi="Times New Roman"/>
          <w:i/>
          <w:sz w:val="20"/>
        </w:rPr>
        <w:t>Amendment Agreement</w:t>
      </w:r>
      <w:r>
        <w:rPr>
          <w:rFonts w:ascii="Times New Roman" w:hAnsi="Times New Roman"/>
          <w:sz w:val="20"/>
        </w:rPr>
        <w:t xml:space="preserve">, dated as of June 30, 2021, between Volvo Car Corporation and Polestar Performance AB is a license agreement under which Volvo Car 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cancellation rights and has an immediate termination right with respect to certain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March 24, 2020, between Volvo Car Corporation and Polestar Performance AB 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January 19, 2020, between Volvo Car UK Limited and Polestar Performance AB is a service agreement under 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 </w:t>
      </w:r>
    </w:p>
    <w:p>
      <w:pPr>
        <w:pStyle w:val="TextBody"/>
        <w:spacing w:before="240" w:after="0"/>
        <w:jc w:val="left"/>
        <w:rPr>
          <w:rFonts w:ascii="Times New Roman" w:hAnsi="Times New Roman"/>
          <w:sz w:val="20"/>
        </w:rPr>
      </w:pPr>
      <w:r>
        <w:rPr>
          <w:rFonts w:ascii="Times New Roman" w:hAnsi="Times New Roman"/>
          <w:i/>
          <w:sz w:val="20"/>
        </w:rPr>
        <w:t>European CO2 Emission Credit Payment Agreement</w:t>
      </w:r>
      <w:r>
        <w:rPr>
          <w:rFonts w:ascii="Times New Roman" w:hAnsi="Times New Roman"/>
          <w:sz w:val="20"/>
        </w:rPr>
        <w:t xml:space="preserve">, dated as of November 27, 2020, between Volvo Car Corporation and Polestar Performance 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 </w:t>
      </w:r>
    </w:p>
    <w:p>
      <w:pPr>
        <w:pStyle w:val="TextBody"/>
        <w:spacing w:before="240" w:after="0"/>
        <w:jc w:val="left"/>
        <w:rPr>
          <w:rFonts w:ascii="Times New Roman" w:hAnsi="Times New Roman"/>
          <w:sz w:val="20"/>
        </w:rPr>
      </w:pPr>
      <w:r>
        <w:rPr>
          <w:rFonts w:ascii="Times New Roman" w:hAnsi="Times New Roman"/>
          <w:i/>
          <w:sz w:val="20"/>
        </w:rPr>
        <w:t>Parts Supply and License Agreement Polestar Aftermarket Parts and Accessories (CHINA)</w:t>
      </w:r>
      <w:r>
        <w:rPr>
          <w:rFonts w:ascii="Times New Roman" w:hAnsi="Times New Roman"/>
          <w:sz w:val="20"/>
        </w:rPr>
        <w:t xml:space="preserve">, dated as of November 22, 2021, between Polestar 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effective as of July 1, 2021, between Volvo Car Corporation and Polestar Automotive China Distribution., Ltd. is a service 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7, 2021, between Volvo Cars Technology (Shanghai) Co., Ltd. and Polestar Automotive China 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23, 2021, between Volvo Car Corporation and Polestar New Energy Vehicle Co. Ltd. is a service agreement 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hAnsi="Times New Roman"/>
          <w:i/>
          <w:sz w:val="20"/>
        </w:rPr>
        <w:t>Service Agreement</w:t>
      </w:r>
      <w:r>
        <w:rPr>
          <w:rFonts w:ascii="Times New Roman" w:hAnsi="Times New Roman"/>
          <w:sz w:val="20"/>
        </w:rPr>
        <w:t xml:space="preserve">, dated as of December 7, 2021, between Volvo Cars Technology (Shanghai) Co., Ltd. and Polestar Automotive China Distribution Co., Ltd. largely mirrors the Service Agreement, dated as of June 23, 2021, between Volvo Car Corporation and Polestar New Energy Vehicle Co. Ltd. but with Volvo Cars Technology (Shanghai) Co., Ltd. acting as the service provider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23, 2021, between Volvo Car Corporation and Polestar Automotive China Distribution, Ltd., and the Service Agreement, dated as of December 7, 2021, between Volvo Cars Technology (Shanghai) Co., Ltd. and Polestar Automotive China Distribution Co., Ltd. 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 </w:t>
      </w:r>
    </w:p>
    <w:p>
      <w:pPr>
        <w:pStyle w:val="TextBody"/>
        <w:spacing w:before="240" w:after="0"/>
        <w:jc w:val="left"/>
        <w:rPr>
          <w:rFonts w:ascii="Times New Roman" w:hAnsi="Times New Roman"/>
          <w:sz w:val="20"/>
        </w:rPr>
      </w:pPr>
      <w:r>
        <w:rPr>
          <w:rFonts w:ascii="Times New Roman" w:hAnsi="Times New Roman"/>
          <w:i/>
          <w:sz w:val="20"/>
        </w:rPr>
        <w:t>Tooling and Equipment Agreement</w:t>
      </w:r>
      <w:r>
        <w:rPr>
          <w:rFonts w:ascii="Times New Roman" w:hAnsi="Times New Roman"/>
          <w:sz w:val="20"/>
        </w:rPr>
        <w:t xml:space="preserve">, dated as of December 10, 2021, by and among Polestar Automotive China Distribution Co., Ltd. and Ningbo 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Unique Vendor Tooling Agreement</w:t>
      </w:r>
      <w:r>
        <w:rPr>
          <w:rFonts w:ascii="Times New Roman" w:hAnsi="Times New Roman"/>
          <w:sz w:val="20"/>
        </w:rPr>
        <w:t xml:space="preserve">, dated as of December 23, 2021, by and among Polestar Automotive China Distribution Co., Ltd. and Ningbo Geely Automobile Research &amp; Development Co., Ltd. is an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Technology License Agreement</w:t>
      </w:r>
      <w:r>
        <w:rPr>
          <w:rFonts w:ascii="Times New Roman" w:hAnsi="Times New Roman"/>
          <w:sz w:val="20"/>
        </w:rPr>
        <w:t>, dated as of March 4, 2022, between Zhejiang Zeekr Automobile Research and Development Co., Ltd. and Polestar Performance AB, and the </w:t>
      </w:r>
      <w:r>
        <w:rPr>
          <w:rFonts w:ascii="Times New Roman" w:hAnsi="Times New Roman"/>
          <w:i/>
          <w:sz w:val="20"/>
        </w:rPr>
        <w:t>Technology License Agreement</w:t>
      </w:r>
      <w:r>
        <w:rPr>
          <w:rFonts w:ascii="Times New Roman" w:hAnsi="Times New Roman"/>
          <w:sz w:val="20"/>
        </w:rPr>
        <w:t xml:space="preserve">,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Technology License Agreement</w:t>
      </w:r>
      <w:r>
        <w:rPr>
          <w:rFonts w:ascii="Times New Roman" w:hAnsi="Times New Roman"/>
          <w:sz w:val="20"/>
        </w:rPr>
        <w:t xml:space="preserve">, dated as of December 10, 2021, between Zhejiang Zeekr Automobile Research and Development Co., Ltd and 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Technology License Agreement</w:t>
      </w:r>
      <w:r>
        <w:rPr>
          <w:rFonts w:ascii="Times New Roman" w:hAnsi="Times New Roman"/>
          <w:sz w:val="20"/>
        </w:rPr>
        <w:t xml:space="preserve">, dated as of December 30, 2021, between Zhejiang Zeekr Automobile Research and Development Co., Ltd and 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Parts Supply and License Agreement Polestar Aftermarket Parts and Accessories (ROW)</w:t>
      </w:r>
      <w:r>
        <w:rPr>
          <w:rFonts w:ascii="Times New Roman" w:hAnsi="Times New Roman"/>
          <w:sz w:val="20"/>
        </w:rPr>
        <w:t xml:space="preserve">, dated as of January 1, 2020, between Polestar Performance AB and Volvo Car Corporation, is a supply and license 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New, Used and Demonstrator Funding Agreement</w:t>
      </w:r>
      <w:r>
        <w:rPr>
          <w:rFonts w:ascii="Times New Roman" w:hAnsi="Times New Roman"/>
          <w:sz w:val="20"/>
        </w:rPr>
        <w:t xml:space="preserve">, dated June 14, 2021, by and among Volvo Car Financial Services UK Limited, a joint venture between Volvo Car Corporation and Santander Consumer (UK) plc, and Polestar 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or on behalf of Polestar for the purpose of marketing and in return, Polestar has agreed to pay certain charges to Volvo. The agreement may be terminated by either party at any time with written notice to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effective as of January 28, 2022,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Cars.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Finance Cooperation Agreement</w:t>
      </w:r>
      <w:r>
        <w:rPr>
          <w:rFonts w:ascii="Times New Roman" w:hAnsi="Times New Roman"/>
          <w:sz w:val="20"/>
        </w:rPr>
        <w:t xml:space="preserve">, dated as of May 28, 2021, by and between Volvo Car Financial Services UK Limited and Polestar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 </w:t>
      </w:r>
    </w:p>
    <w:p>
      <w:pPr>
        <w:pStyle w:val="TextBody"/>
        <w:spacing w:before="240" w:after="0"/>
        <w:jc w:val="left"/>
        <w:rPr>
          <w:rFonts w:ascii="Times New Roman" w:hAnsi="Times New Roman"/>
          <w:sz w:val="20"/>
        </w:rPr>
      </w:pPr>
      <w:r>
        <w:rPr>
          <w:rFonts w:ascii="Times New Roman" w:hAnsi="Times New Roman"/>
          <w:i/>
          <w:sz w:val="20"/>
        </w:rPr>
        <w:t>Corporate Guarantee and Indemnity Relating to Polestar Automotive UK Limited</w:t>
      </w:r>
      <w:r>
        <w:rPr>
          <w:rFonts w:ascii="Times New Roman" w:hAnsi="Times New Roman"/>
          <w:sz w:val="20"/>
        </w:rPr>
        <w:t xml:space="preserve">, dated as of June 14, 2021, between Polestar Performance AB 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 </w:t>
      </w:r>
    </w:p>
    <w:p>
      <w:pPr>
        <w:pStyle w:val="TextBody"/>
        <w:spacing w:before="240" w:after="0"/>
        <w:jc w:val="left"/>
        <w:rPr>
          <w:rFonts w:ascii="Times New Roman" w:hAnsi="Times New Roman"/>
          <w:sz w:val="20"/>
        </w:rPr>
      </w:pPr>
      <w:r>
        <w:rPr>
          <w:rFonts w:ascii="Times New Roman" w:hAnsi="Times New Roman"/>
          <w:i/>
          <w:sz w:val="20"/>
        </w:rPr>
        <w:t>Cooperation Agreement</w:t>
      </w:r>
      <w:r>
        <w:rPr>
          <w:rFonts w:ascii="Times New Roman" w:hAnsi="Times New Roman"/>
          <w:sz w:val="20"/>
        </w:rPr>
        <w:t xml:space="preserve">, dated as of April 1, 2020, between Polestar Automotive China Distribution Co., Ltd. and Hangzhou Easybao Technology 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 </w:t>
      </w:r>
    </w:p>
    <w:p>
      <w:pPr>
        <w:pStyle w:val="TextBody"/>
        <w:spacing w:before="240" w:after="0"/>
        <w:jc w:val="left"/>
        <w:rPr>
          <w:rFonts w:ascii="Times New Roman" w:hAnsi="Times New Roman"/>
          <w:sz w:val="20"/>
        </w:rPr>
      </w:pPr>
      <w:r>
        <w:rPr>
          <w:rFonts w:ascii="Times New Roman" w:hAnsi="Times New Roman"/>
          <w:i/>
          <w:sz w:val="20"/>
        </w:rPr>
        <w:t>Finance Cooperation Agreement</w:t>
      </w:r>
      <w:r>
        <w:rPr>
          <w:rFonts w:ascii="Times New Roman" w:hAnsi="Times New Roman"/>
          <w:sz w:val="20"/>
        </w:rPr>
        <w:t xml:space="preserve">, dated as of June 1, 2021, between Polestar Automotive China Distribution Co., Ltd and Genius Auto Finance 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Framework Agreement on Import and Export of Polestar Vehicles</w:t>
      </w:r>
      <w:r>
        <w:rPr>
          <w:rFonts w:ascii="Times New Roman" w:hAnsi="Times New Roman"/>
          <w:sz w:val="20"/>
        </w:rPr>
        <w:t xml:space="preserve"> between Volvo Car Corporation and Polestar Performance AB, dated 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 </w:t>
      </w:r>
    </w:p>
    <w:p>
      <w:pPr>
        <w:pStyle w:val="TextBody"/>
        <w:spacing w:before="240" w:after="0"/>
        <w:jc w:val="left"/>
        <w:rPr>
          <w:rFonts w:ascii="Times New Roman" w:hAnsi="Times New Roman"/>
          <w:sz w:val="20"/>
        </w:rPr>
      </w:pPr>
      <w:r>
        <w:rPr>
          <w:rFonts w:ascii="Times New Roman" w:hAnsi="Times New Roman"/>
          <w:sz w:val="20"/>
        </w:rPr>
        <w:t xml:space="preserve">The sale of Polestar vehicles to Volvo Cars is set forth in the </w:t>
      </w:r>
      <w:r>
        <w:rPr>
          <w:rFonts w:ascii="Times New Roman" w:hAnsi="Times New Roman"/>
          <w:i/>
          <w:sz w:val="20"/>
        </w:rPr>
        <w:t>Importer Agreement</w:t>
      </w:r>
      <w:r>
        <w:rPr>
          <w:rFonts w:ascii="Times New Roman" w:hAnsi="Times New Roman"/>
          <w:sz w:val="20"/>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 </w:t>
      </w:r>
    </w:p>
    <w:p>
      <w:pPr>
        <w:pStyle w:val="TextBody"/>
        <w:spacing w:before="240" w:after="0"/>
        <w:jc w:val="left"/>
        <w:rPr>
          <w:rFonts w:ascii="Times New Roman" w:hAnsi="Times New Roman"/>
          <w:sz w:val="20"/>
        </w:rPr>
      </w:pPr>
      <w:r>
        <w:rPr>
          <w:rFonts w:ascii="Times New Roman" w:hAnsi="Times New Roman"/>
          <w:i/>
          <w:sz w:val="20"/>
        </w:rPr>
        <w:t>Sale and Purchase Agreement</w:t>
      </w:r>
      <w:r>
        <w:rPr>
          <w:rFonts w:ascii="Times New Roman" w:hAnsi="Times New Roman"/>
          <w:sz w:val="20"/>
        </w:rPr>
        <w:t xml:space="preserve"> between Volvo Car USA LLC and Polestar Automotive USA LLC, dated June 21, 2022, provides for the sale of Polestar vehicles imported by Volvo Cars to Polestar for sale in the United States. The agreement will remain in force until December 31, 2023.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Research and Development Frame Agreement</w:t>
      </w:r>
      <w:r>
        <w:rPr>
          <w:rFonts w:ascii="Times New Roman" w:hAnsi="Times New Roman"/>
          <w:sz w:val="20"/>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Service Agreement</w:t>
      </w:r>
      <w:r>
        <w:rPr>
          <w:rFonts w:ascii="Times New Roman" w:hAnsi="Times New Roman"/>
          <w:sz w:val="20"/>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and determined using the cost plus method. Polestar Performance AB also reimburses Volvo Car Corporation for all costs Volvo Car Corporation incurs in order to provide unique development services for Polestar.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 </w:t>
      </w:r>
    </w:p>
    <w:p>
      <w:pPr>
        <w:pStyle w:val="TextBody"/>
        <w:spacing w:before="240" w:after="0"/>
        <w:jc w:val="left"/>
        <w:rPr>
          <w:rFonts w:ascii="Times New Roman" w:hAnsi="Times New Roman"/>
          <w:sz w:val="20"/>
        </w:rPr>
      </w:pPr>
      <w:r>
        <w:rPr>
          <w:rFonts w:ascii="Times New Roman" w:hAnsi="Times New Roman"/>
          <w:i/>
          <w:sz w:val="20"/>
        </w:rPr>
        <w:t>Amendment Agreement no 1</w:t>
      </w:r>
      <w:r>
        <w:rPr>
          <w:rFonts w:ascii="Times New Roman" w:hAnsi="Times New Roman"/>
          <w:sz w:val="20"/>
        </w:rPr>
        <w:t xml:space="preserve">, dated February 3, 2023 to </w:t>
      </w:r>
      <w:r>
        <w:rPr>
          <w:rFonts w:ascii="Times New Roman" w:hAnsi="Times New Roman"/>
          <w:i/>
          <w:sz w:val="20"/>
        </w:rPr>
        <w:t>Prototype Supply Agreement</w:t>
      </w:r>
      <w:r>
        <w:rPr>
          <w:rFonts w:ascii="Times New Roman" w:hAnsi="Times New Roman"/>
          <w:sz w:val="20"/>
        </w:rPr>
        <w:t xml:space="preserve">, effective as of July 1, 2022, among Asia Europe New Energy Vehicle Manufacturing (Chongqing) Co., Ltd., a subsidiary of Geely, 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 Energy Vehicle Manufacturing (Chongqing) Co., Ltd. for the financing it assumed related to the direct materials 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 </w:t>
      </w:r>
    </w:p>
    <w:p>
      <w:pPr>
        <w:pStyle w:val="TextBody"/>
        <w:spacing w:before="240" w:after="0"/>
        <w:jc w:val="left"/>
        <w:rPr>
          <w:rFonts w:ascii="Times New Roman" w:hAnsi="Times New Roman"/>
          <w:sz w:val="20"/>
        </w:rPr>
      </w:pPr>
      <w:r>
        <w:rPr>
          <w:rFonts w:ascii="Times New Roman" w:hAnsi="Times New Roman"/>
          <w:i/>
          <w:sz w:val="20"/>
        </w:rPr>
        <w:t>Framework Service Agreement</w:t>
      </w:r>
      <w:r>
        <w:rPr>
          <w:rFonts w:ascii="Times New Roman" w:hAnsi="Times New Roman"/>
          <w:sz w:val="20"/>
        </w:rPr>
        <w:t xml:space="preserve">,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agreement remains in effect until December 31, 2023, where after it need to be extended.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 </w:t>
      </w:r>
    </w:p>
    <w:p>
      <w:pPr>
        <w:pStyle w:val="TextBody"/>
        <w:spacing w:before="240" w:after="0"/>
        <w:jc w:val="left"/>
        <w:rPr>
          <w:rFonts w:ascii="Times New Roman" w:hAnsi="Times New Roman"/>
          <w:sz w:val="20"/>
        </w:rPr>
      </w:pPr>
      <w:r>
        <w:rPr>
          <w:rFonts w:ascii="Times New Roman" w:hAnsi="Times New Roman"/>
          <w:i/>
          <w:sz w:val="20"/>
        </w:rPr>
        <w:t>Amendment Agreement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dated December 13, 2022, related to the </w:t>
      </w:r>
      <w:r>
        <w:rPr>
          <w:rFonts w:ascii="Times New Roman" w:hAnsi="Times New Roman"/>
          <w:i/>
          <w:sz w:val="20"/>
        </w:rPr>
        <w:t>License, License Assignment and Service Agreement</w:t>
      </w:r>
      <w:r>
        <w:rPr>
          <w:rFonts w:ascii="Times New Roman" w:hAnsi="Times New Roman"/>
          <w:sz w:val="20"/>
        </w:rPr>
        <w:t xml:space="preserve">, dated as of April 13, 2021, between Volvo Car Corporation and Polestar Automotive China Distribution Co. Ltd.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Technology” or “PS Unique Volvo Technology” (each as defined in the agreement) for convenience upon 30 days’ written notice, both parties are limited in their ability to cancel the delivery of “Volvo Technology” (as defined in the agreement). The </w:t>
      </w:r>
      <w:r>
        <w:rPr>
          <w:rFonts w:ascii="Times New Roman" w:hAnsi="Times New Roman"/>
          <w:i/>
          <w:sz w:val="20"/>
        </w:rPr>
        <w:t>Amendment Agreement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dated September 22, 2022, between Volvo Car Corporation and Polestar Performance AB largely mirrors the previously described Amendment Agreement No. 1, relating to the License and License Assignment Agreement, dated April 2021, but with Polestar Performance AB acting as the relevant Polestar party. </w:t>
      </w:r>
    </w:p>
    <w:p>
      <w:pPr>
        <w:pStyle w:val="TextBody"/>
        <w:spacing w:before="240" w:after="0"/>
        <w:jc w:val="left"/>
        <w:rPr>
          <w:rFonts w:ascii="Times New Roman" w:hAnsi="Times New Roman"/>
          <w:sz w:val="20"/>
        </w:rPr>
      </w:pPr>
      <w:r>
        <w:rPr>
          <w:rFonts w:ascii="Times New Roman" w:hAnsi="Times New Roman"/>
          <w:i/>
          <w:sz w:val="20"/>
        </w:rPr>
        <w:t>Change Management Agreement</w:t>
      </w:r>
      <w:r>
        <w:rPr>
          <w:rFonts w:ascii="Times New Roman" w:hAnsi="Times New Roman"/>
          <w:sz w:val="20"/>
        </w:rPr>
        <w:t xml:space="preserve">, dated as of December 31, 2022, between Volvo Car Corporation and Polestar Performance AB is an agreement regulating certain updates and upgrades made to certain technology in the Polestar 2. The agreement provides that Polestar Performance AB will pay Volvo Car Corporation a fee based on Polestar´s volume share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July 7, 2022, between Volvo Car Corporation and Polestar Automotive China Distribution Co. Ltd., as amended by </w:t>
      </w:r>
      <w:r>
        <w:rPr>
          <w:rFonts w:ascii="Times New Roman" w:hAnsi="Times New Roman"/>
          <w:i/>
          <w:sz w:val="20"/>
        </w:rPr>
        <w:t>Amendment Agreement No 1</w:t>
      </w:r>
      <w:r>
        <w:rPr>
          <w:rFonts w:ascii="Times New Roman" w:hAnsi="Times New Roman"/>
          <w:sz w:val="20"/>
        </w:rPr>
        <w:t xml:space="preserve">, dated as of March 22, 2023, between Volvo Car Corporation and Polestar Automotive China Distribution Co. Ltd., is a service agreement under which Volvo Car Corporation provides manufacturing engineering services related to future model year programs of the Polestar 2. The monthly service charge is based on actual hours required for the service to be performed. The hourly rate is determined by Volvo Car Corporation on an annual basis. The agreement remains in effect during the performance of the services. Either party may terminate within 30 days of written notice for breach or immediately upon the insolvency of the other party. Polestar Performance AB has the right to termination for convenience within 30 days written notice and Volvo Car Corporation has the right to terminate for convenience within 60 days written notice. The </w:t>
      </w:r>
      <w:r>
        <w:rPr>
          <w:rFonts w:ascii="Times New Roman" w:hAnsi="Times New Roman"/>
          <w:i/>
          <w:sz w:val="20"/>
        </w:rPr>
        <w:t>Service Agreement</w:t>
      </w:r>
      <w:r>
        <w:rPr>
          <w:rFonts w:ascii="Times New Roman" w:hAnsi="Times New Roman"/>
          <w:sz w:val="20"/>
        </w:rPr>
        <w:t xml:space="preserve">, dated November 22, 2022, between Zhongjia Automobile Manufacturing (Chengdu) Co., Ltd. and Polestar Automotive China Distribution Co. Ltd., as amended by </w:t>
      </w:r>
      <w:r>
        <w:rPr>
          <w:rFonts w:ascii="Times New Roman" w:hAnsi="Times New Roman"/>
          <w:i/>
          <w:sz w:val="20"/>
        </w:rPr>
        <w:t>Amendment Agreement No 1</w:t>
      </w:r>
      <w:r>
        <w:rPr>
          <w:rFonts w:ascii="Times New Roman" w:hAnsi="Times New Roman"/>
          <w:sz w:val="20"/>
        </w:rPr>
        <w:t xml:space="preserve">, dated March 22, 2023, between Zhongjia Automobile Manufacturing (Chengdu) Co., Ltd. and Polestar Automotive China Distribution Co. Ltd., largely mirrors the previously described Service Agreement, but with Zhongjia Automobile Manufacturing (Chengdu) Co., Ltd. acting as the service provider. </w:t>
      </w:r>
    </w:p>
    <w:p>
      <w:pPr>
        <w:pStyle w:val="TextBody"/>
        <w:spacing w:before="360" w:after="0"/>
        <w:jc w:val="left"/>
        <w:rPr>
          <w:rFonts w:ascii="Times New Roman" w:hAnsi="Times New Roman"/>
          <w:b/>
          <w:sz w:val="20"/>
        </w:rPr>
      </w:pPr>
      <w:r>
        <w:rPr>
          <w:rFonts w:ascii="Times New Roman" w:hAnsi="Times New Roman"/>
          <w:b/>
          <w:sz w:val="20"/>
        </w:rPr>
        <w:t xml:space="preserve">Declarations of Intent by Snita and PSD Investment Limited </w:t>
      </w:r>
    </w:p>
    <w:p>
      <w:pPr>
        <w:pStyle w:val="TextBody"/>
        <w:spacing w:before="120" w:after="0"/>
        <w:jc w:val="left"/>
        <w:rPr>
          <w:rFonts w:ascii="Times New Roman" w:hAnsi="Times New Roman"/>
          <w:sz w:val="20"/>
        </w:rPr>
      </w:pPr>
      <w:r>
        <w:rPr>
          <w:rFonts w:ascii="Times New Roman" w:hAnsi="Times New Roman"/>
          <w:sz w:val="20"/>
        </w:rPr>
        <w:t xml:space="preserve">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 </w:t>
      </w:r>
    </w:p>
    <w:p>
      <w:pPr>
        <w:pStyle w:val="TextBody"/>
        <w:spacing w:before="360" w:after="0"/>
        <w:jc w:val="left"/>
        <w:rPr>
          <w:rFonts w:ascii="Times New Roman" w:hAnsi="Times New Roman"/>
          <w:b/>
          <w:sz w:val="20"/>
        </w:rPr>
      </w:pPr>
      <w:r>
        <w:rPr>
          <w:rFonts w:ascii="Times New Roman" w:hAnsi="Times New Roman"/>
          <w:b/>
          <w:sz w:val="20"/>
        </w:rPr>
        <w:t xml:space="preserve">Indemnification Under Articles of Incorporation; Indemnification Agreements </w:t>
      </w:r>
    </w:p>
    <w:p>
      <w:pPr>
        <w:pStyle w:val="TextBody"/>
        <w:spacing w:before="120" w:after="0"/>
        <w:jc w:val="left"/>
        <w:rPr>
          <w:rFonts w:ascii="Times New Roman" w:hAnsi="Times New Roman"/>
          <w:sz w:val="20"/>
        </w:rPr>
      </w:pPr>
      <w:r>
        <w:rPr>
          <w:rFonts w:ascii="Times New Roman" w:hAnsi="Times New Roman"/>
          <w:sz w:val="20"/>
        </w:rPr>
        <w:t xml:space="preserve">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 </w:t>
      </w:r>
    </w:p>
    <w:p>
      <w:pPr>
        <w:pStyle w:val="TextBody"/>
        <w:spacing w:before="240" w:after="0"/>
        <w:jc w:val="left"/>
        <w:rPr>
          <w:rFonts w:ascii="Times New Roman" w:hAnsi="Times New Roman"/>
          <w:sz w:val="20"/>
        </w:rPr>
      </w:pPr>
      <w:r>
        <w:rPr>
          <w:rFonts w:ascii="Times New Roman" w:hAnsi="Times New Roman"/>
          <w:sz w:val="20"/>
        </w:rPr>
        <w:t xml:space="preserve">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 </w:t>
      </w:r>
    </w:p>
    <w:p>
      <w:pPr>
        <w:pStyle w:val="TextBody"/>
        <w:spacing w:before="240" w:after="0"/>
        <w:jc w:val="left"/>
        <w:rPr>
          <w:rFonts w:ascii="Times New Roman" w:hAnsi="Times New Roman"/>
          <w:sz w:val="20"/>
        </w:rPr>
      </w:pPr>
      <w:r>
        <w:rPr>
          <w:rFonts w:ascii="Times New Roman" w:hAnsi="Times New Roman"/>
          <w:sz w:val="20"/>
        </w:rPr>
        <w:t xml:space="preserve">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0"/>
        </w:rPr>
      </w:pPr>
      <w:r>
        <w:rPr>
          <w:rFonts w:ascii="Times New Roman" w:hAnsi="Times New Roman"/>
          <w:b/>
          <w:sz w:val="20"/>
        </w:rPr>
        <w:t xml:space="preserve">Interests of Experts and Counsel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472016_21"/>
      <w:bookmarkEnd w:id="23"/>
      <w:r>
        <w:rPr>
          <w:rFonts w:ascii="Times New Roman" w:hAnsi="Times New Roman"/>
          <w:b/>
          <w:sz w:val="20"/>
        </w:rPr>
        <w:t xml:space="preserve">DESCRIPTION OF SHARE CAPITAL AND ARTICLES OF ASSOCIATION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description of the securities of the Company, which are represented by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an exhibit to the registration statement of which this prospectus forms a part. We encourage you to read the Polestar Articles and the applicable provisions of English law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 </w:t>
      </w:r>
    </w:p>
    <w:p>
      <w:pPr>
        <w:pStyle w:val="TextBody"/>
        <w:spacing w:before="240" w:after="0"/>
        <w:jc w:val="left"/>
        <w:rPr>
          <w:rFonts w:ascii="Times New Roman" w:hAnsi="Times New Roman"/>
          <w:sz w:val="20"/>
        </w:rPr>
      </w:pPr>
      <w:r>
        <w:rPr>
          <w:rFonts w:ascii="Times New Roman" w:hAnsi="Times New Roman"/>
          <w:sz w:val="20"/>
        </w:rPr>
        <w:t xml:space="preserve">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total number of shares of all classes of shares which the Company is authorized to issue is 6,861,249,349 shares, consisting of (i) 5,000,000,000 Class A Shares of nominal value USD 0.01 each, (ii) 1,777,366,739 Class B Shares of nominal value USD 0.01 each, (iii) 16,000,000 Class C-1 Shares of nominal value USD 0.10 each, (iv) 9,000,000 Class C-2 Shares of nominal value USD 0.10 each, (v) 58,882,610 Volvo Cars Preference Subscription Shares of nominal value USD 10.00 each, and (vi) 50,000 GBP Redeemable Preferred Shares of nominal value GBP 1.00 each (“GBP Redeemable Preferred Shares”). In addition, Class A Shares and Deferred Shares of nominal value USD 0.01 each (“Deferred Shares”) may be created upon conversion of Class C-1 Shares, Class C-2 Shares and Volvo Cars Preference Subscription Shares without any requirement for further authorization. As of the date of this prospectus, the following securities were issued and outstanding: 467,708,923 Class A Shares, 1,642,233,575 Class B Shares, no Volvo Cars Preference Subscription Shares, 50,000 GBP Redeemable Preferred Shares, 20,499,965 Class C-1 Shares and 4,500,000 Class C-2 Shares. The Class A Shares, Class B Shares and Class C Shares are represented by Class A ADSs, Class B ADSs and Class C ADSs, respectively. </w:t>
      </w:r>
    </w:p>
    <w:p>
      <w:pPr>
        <w:pStyle w:val="TextBody"/>
        <w:spacing w:before="360" w:after="0"/>
        <w:jc w:val="left"/>
        <w:rPr>
          <w:rFonts w:ascii="Times New Roman" w:hAnsi="Times New Roman"/>
          <w:b/>
          <w:sz w:val="20"/>
        </w:rPr>
      </w:pPr>
      <w:r>
        <w:rPr>
          <w:rFonts w:ascii="Times New Roman" w:hAnsi="Times New Roman"/>
          <w:b/>
          <w:sz w:val="20"/>
        </w:rPr>
        <w:t xml:space="preserve">Description of Company Share Capital and Polestar Articles </w:t>
      </w:r>
    </w:p>
    <w:p>
      <w:pPr>
        <w:pStyle w:val="TextBody"/>
        <w:spacing w:before="120" w:after="0"/>
        <w:jc w:val="left"/>
        <w:rPr>
          <w:rFonts w:ascii="Times New Roman" w:hAnsi="Times New Roman"/>
          <w:b/>
          <w:sz w:val="20"/>
        </w:rPr>
      </w:pPr>
      <w:r>
        <w:rPr>
          <w:rFonts w:ascii="Times New Roman" w:hAnsi="Times New Roman"/>
          <w:b/>
          <w:sz w:val="20"/>
        </w:rPr>
        <w:t xml:space="preserve">Company Securities </w:t>
      </w:r>
    </w:p>
    <w:p>
      <w:pPr>
        <w:pStyle w:val="TextBody"/>
        <w:spacing w:before="120" w:after="0"/>
        <w:jc w:val="left"/>
        <w:rPr>
          <w:rFonts w:ascii="Times New Roman" w:hAnsi="Times New Roman"/>
          <w:i/>
          <w:sz w:val="20"/>
        </w:rPr>
      </w:pPr>
      <w:r>
        <w:rPr>
          <w:rFonts w:ascii="Times New Roman" w:hAnsi="Times New Roman"/>
          <w:i/>
          <w:sz w:val="20"/>
        </w:rPr>
        <w:t xml:space="preserve">Dividend Rights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 </w:t>
      </w:r>
    </w:p>
    <w:p>
      <w:pPr>
        <w:pStyle w:val="TextBody"/>
        <w:spacing w:before="240" w:after="0"/>
        <w:jc w:val="left"/>
        <w:rPr>
          <w:rFonts w:ascii="Times New Roman" w:hAnsi="Times New Roman"/>
          <w:sz w:val="20"/>
        </w:rPr>
      </w:pPr>
      <w:r>
        <w:rPr>
          <w:rFonts w:ascii="Times New Roman" w:hAnsi="Times New Roman"/>
          <w:sz w:val="20"/>
        </w:rPr>
        <w:t xml:space="preserve">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Volvo Cars Preference Subscription Shares shall not entitle any holder to preferred dividends or accruals except that the holders of Volvo Cars Preference Subscription Shares shall participate in dividends or other distributions on the Class A Shares as if such Volvo Cars Preference Subscription Shares had been converted into Class A Shares in accordance with the Polestar Articles. </w:t>
      </w:r>
    </w:p>
    <w:p>
      <w:pPr>
        <w:pStyle w:val="TextBody"/>
        <w:spacing w:before="240" w:after="0"/>
        <w:jc w:val="left"/>
        <w:rPr>
          <w:rFonts w:ascii="Times New Roman" w:hAnsi="Times New Roman"/>
          <w:sz w:val="20"/>
        </w:rPr>
      </w:pPr>
      <w:r>
        <w:rPr>
          <w:rFonts w:ascii="Times New Roman" w:hAnsi="Times New Roman"/>
          <w:sz w:val="20"/>
        </w:rPr>
        <w:t xml:space="preserve">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“—Polestar Articles and English Law Considerations—Other English Law Considerations—Distributions &amp;Dividends.”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 </w:t>
      </w:r>
    </w:p>
    <w:p>
      <w:pPr>
        <w:pStyle w:val="TextBody"/>
        <w:spacing w:before="360" w:after="0"/>
        <w:jc w:val="left"/>
        <w:rPr>
          <w:rFonts w:ascii="Times New Roman" w:hAnsi="Times New Roman"/>
          <w:i/>
          <w:sz w:val="20"/>
        </w:rPr>
      </w:pPr>
      <w:r>
        <w:rPr>
          <w:rFonts w:ascii="Times New Roman" w:hAnsi="Times New Roman"/>
          <w:i/>
          <w:sz w:val="20"/>
        </w:rPr>
        <w:t xml:space="preserve">Preemptive Rights </w:t>
      </w:r>
    </w:p>
    <w:p>
      <w:pPr>
        <w:pStyle w:val="TextBody"/>
        <w:spacing w:before="120" w:after="0"/>
        <w:jc w:val="left"/>
        <w:rPr>
          <w:rFonts w:ascii="Times New Roman" w:hAnsi="Times New Roman"/>
          <w:sz w:val="20"/>
        </w:rPr>
      </w:pPr>
      <w:r>
        <w:rPr>
          <w:rFonts w:ascii="Times New Roman" w:hAnsi="Times New Roman"/>
          <w:sz w:val="20"/>
        </w:rPr>
        <w:t xml:space="preserve">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 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 </w:t>
      </w:r>
    </w:p>
    <w:p>
      <w:pPr>
        <w:pStyle w:val="TextBody"/>
        <w:spacing w:before="360" w:after="0"/>
        <w:jc w:val="left"/>
        <w:rPr>
          <w:rFonts w:ascii="Times New Roman" w:hAnsi="Times New Roman"/>
          <w:i/>
          <w:sz w:val="20"/>
        </w:rPr>
      </w:pPr>
      <w:r>
        <w:rPr>
          <w:rFonts w:ascii="Times New Roman" w:hAnsi="Times New Roman"/>
          <w:i/>
          <w:sz w:val="20"/>
        </w:rPr>
        <w:t xml:space="preserve">Conversion or Redemption Rights </w:t>
      </w:r>
    </w:p>
    <w:p>
      <w:pPr>
        <w:pStyle w:val="TextBody"/>
        <w:spacing w:before="120" w:after="0"/>
        <w:jc w:val="left"/>
        <w:rPr>
          <w:rFonts w:ascii="Times New Roman" w:hAnsi="Times New Roman"/>
          <w:sz w:val="20"/>
        </w:rPr>
      </w:pPr>
      <w:r>
        <w:rPr>
          <w:rFonts w:ascii="Times New Roman" w:hAnsi="Times New Roman"/>
          <w:sz w:val="20"/>
        </w:rPr>
        <w:t xml:space="preserve">The Class A Shares and Deferred Shares are neither convertible nor redeemable, provided that the Board has the right to issue additional classes of shares in the Company (including redeemable shares) on such terms and conditions, and with such rights attached, as it may determine. </w:t>
      </w:r>
    </w:p>
    <w:p>
      <w:pPr>
        <w:pStyle w:val="TextBody"/>
        <w:spacing w:before="240" w:after="0"/>
        <w:jc w:val="left"/>
        <w:rPr>
          <w:rFonts w:ascii="Times New Roman" w:hAnsi="Times New Roman"/>
          <w:sz w:val="20"/>
        </w:rPr>
      </w:pPr>
      <w:r>
        <w:rPr>
          <w:rFonts w:ascii="Times New Roman" w:hAnsi="Times New Roman"/>
          <w:sz w:val="20"/>
        </w:rPr>
        <w:t xml:space="preserve">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Each Volvo Cars Preference Subscription Shares shall convert into one Class A Share (credited as fully paid) in the form of a Class A ADS, provided that: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19"/>
        <w:gridCol w:w="9911"/>
      </w:tblGrid>
      <w:tr>
        <w:trPr/>
        <w:tc>
          <w:tcPr>
            <w:tcW w:w="75"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jc w:val="left"/>
              <w:rPr/>
            </w:pPr>
            <w:r>
              <w:rPr/>
              <w:t>(a)</w:t>
            </w:r>
          </w:p>
        </w:tc>
        <w:tc>
          <w:tcPr>
            <w:tcW w:w="991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35"/>
        <w:gridCol w:w="9895"/>
      </w:tblGrid>
      <w:tr>
        <w:trPr/>
        <w:tc>
          <w:tcPr>
            <w:tcW w:w="75"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jc w:val="left"/>
              <w:rPr/>
            </w:pPr>
            <w:r>
              <w:rPr/>
              <w:t>(b)</w:t>
            </w:r>
          </w:p>
        </w:tc>
        <w:tc>
          <w:tcPr>
            <w:tcW w:w="9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conversion of a Volvo Cars Preference Subscription Shares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 </w:t>
            </w:r>
          </w:p>
        </w:tc>
      </w:tr>
    </w:tbl>
    <w:p>
      <w:pPr>
        <w:pStyle w:val="TextBody"/>
        <w:spacing w:before="240" w:after="0"/>
        <w:jc w:val="left"/>
        <w:rPr>
          <w:rFonts w:ascii="Times New Roman" w:hAnsi="Times New Roman"/>
          <w:sz w:val="20"/>
        </w:rPr>
      </w:pPr>
      <w:r>
        <w:rPr>
          <w:rFonts w:ascii="Times New Roman" w:hAnsi="Times New Roman"/>
          <w:sz w:val="20"/>
        </w:rPr>
        <w:t xml:space="preserve">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 </w:t>
      </w:r>
    </w:p>
    <w:p>
      <w:pPr>
        <w:pStyle w:val="TextBody"/>
        <w:spacing w:before="240" w:after="0"/>
        <w:jc w:val="left"/>
        <w:rPr>
          <w:rFonts w:ascii="Times New Roman" w:hAnsi="Times New Roman"/>
          <w:sz w:val="20"/>
        </w:rPr>
      </w:pPr>
      <w:r>
        <w:rPr>
          <w:rFonts w:ascii="Times New Roman" w:hAnsi="Times New Roman"/>
          <w:sz w:val="20"/>
        </w:rPr>
        <w:t xml:space="preserve">The conversion and redemption features of the Class C Shares are described below under “—Class C Shares.” </w:t>
      </w:r>
    </w:p>
    <w:p>
      <w:pPr>
        <w:pStyle w:val="TextBody"/>
        <w:spacing w:before="360" w:after="0"/>
        <w:jc w:val="left"/>
        <w:rPr>
          <w:rFonts w:ascii="Times New Roman" w:hAnsi="Times New Roman"/>
          <w:i/>
          <w:sz w:val="20"/>
        </w:rPr>
      </w:pPr>
      <w:r>
        <w:rPr>
          <w:rFonts w:ascii="Times New Roman" w:hAnsi="Times New Roman"/>
          <w:i/>
          <w:sz w:val="20"/>
        </w:rPr>
        <w:t xml:space="preserve">Liquidation Rights </w:t>
      </w:r>
    </w:p>
    <w:p>
      <w:pPr>
        <w:pStyle w:val="TextBody"/>
        <w:spacing w:before="120" w:after="0"/>
        <w:jc w:val="left"/>
        <w:rPr>
          <w:rFonts w:ascii="Times New Roman" w:hAnsi="Times New Roman"/>
          <w:sz w:val="20"/>
        </w:rPr>
      </w:pPr>
      <w:r>
        <w:rPr>
          <w:rFonts w:ascii="Times New Roman" w:hAnsi="Times New Roman"/>
          <w:sz w:val="20"/>
        </w:rPr>
        <w:t xml:space="preserve">On a return of assets on liquidation or otherwise, the assets of Polestar remaining after payment of its debts and liabilities and available for distribution to holders of Shares, Class C Shares, Volvo Cars Preference Subscription Shares, Deferred Shares and GBP Redeemable Preferred Shares will be applied in the following manner and order of priority: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53"/>
        <w:gridCol w:w="9977"/>
      </w:tblGrid>
      <w:tr>
        <w:trPr/>
        <w:tc>
          <w:tcPr>
            <w:tcW w:w="75"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a)</w:t>
            </w:r>
          </w:p>
        </w:tc>
        <w:tc>
          <w:tcPr>
            <w:tcW w:w="997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 </w:t>
            </w:r>
          </w:p>
        </w:tc>
      </w:tr>
    </w:tbl>
    <w:p>
      <w:pPr>
        <w:pStyle w:val="TextBody"/>
        <w:spacing w:before="0" w:after="0"/>
        <w:jc w:val="left"/>
        <w:rPr/>
      </w:pPr>
      <w:r>
        <w:rPr/>
        <w:t> </w:t>
      </w:r>
    </w:p>
    <w:tbl>
      <w:tblPr>
        <w:tblW w:w="9805" w:type="dxa"/>
        <w:jc w:val="left"/>
        <w:tblInd w:w="0" w:type="dxa"/>
        <w:tblCellMar>
          <w:top w:w="0" w:type="dxa"/>
          <w:left w:w="0" w:type="dxa"/>
          <w:bottom w:w="0" w:type="dxa"/>
          <w:right w:w="0" w:type="dxa"/>
        </w:tblCellMar>
      </w:tblPr>
      <w:tblGrid>
        <w:gridCol w:w="75"/>
        <w:gridCol w:w="215"/>
        <w:gridCol w:w="9515"/>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left"/>
              <w:rPr/>
            </w:pPr>
            <w:r>
              <w:rPr/>
              <w:t>b)</w:t>
            </w:r>
          </w:p>
        </w:tc>
        <w:tc>
          <w:tcPr>
            <w:tcW w:w="9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second, to the holders of the GBP Redeemable Preferred Shares an amount equal to the nominal value of such shares; </w:t>
            </w:r>
          </w:p>
        </w:tc>
      </w:tr>
    </w:tbl>
    <w:p>
      <w:pPr>
        <w:pStyle w:val="TextBody"/>
        <w:spacing w:before="0" w:after="0"/>
        <w:jc w:val="left"/>
        <w:rPr/>
      </w:pPr>
      <w:r>
        <w:rPr/>
        <w:t> </w:t>
      </w:r>
    </w:p>
    <w:tbl>
      <w:tblPr>
        <w:tblW w:w="805" w:type="dxa"/>
        <w:jc w:val="left"/>
        <w:tblInd w:w="0" w:type="dxa"/>
        <w:tblCellMar>
          <w:top w:w="0" w:type="dxa"/>
          <w:left w:w="0" w:type="dxa"/>
          <w:bottom w:w="0" w:type="dxa"/>
          <w:right w:w="0" w:type="dxa"/>
        </w:tblCellMar>
      </w:tblPr>
      <w:tblGrid>
        <w:gridCol w:w="75"/>
        <w:gridCol w:w="200"/>
        <w:gridCol w:w="5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c)</w:t>
            </w:r>
          </w:p>
        </w:tc>
        <w:tc>
          <w:tcPr>
            <w:tcW w:w="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the holders of the Shares pro rata to the number of Shares respectively held by them up to an amount of $1 million per Share;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the holders of the Class C Shares pari passu with Shares on an as-converted basis less the conversion price of $11.50 per share (subject to relevant adjustments in the Polestar Articles) pro rata to the number of Class C Shares respectively held by them up to an amount of $1 million per Class C Share; </w:t>
            </w:r>
          </w:p>
        </w:tc>
      </w:tr>
    </w:tbl>
    <w:p>
      <w:pPr>
        <w:pStyle w:val="TextBody"/>
        <w:spacing w:before="0" w:after="0"/>
        <w:jc w:val="left"/>
        <w:rPr/>
      </w:pPr>
      <w:r>
        <w:rPr/>
        <w:t> </w:t>
      </w:r>
    </w:p>
    <w:tbl>
      <w:tblPr>
        <w:tblW w:w="8920" w:type="dxa"/>
        <w:jc w:val="left"/>
        <w:tblInd w:w="0" w:type="dxa"/>
        <w:tblCellMar>
          <w:top w:w="0" w:type="dxa"/>
          <w:left w:w="0" w:type="dxa"/>
          <w:bottom w:w="0" w:type="dxa"/>
          <w:right w:w="0" w:type="dxa"/>
        </w:tblCellMar>
      </w:tblPr>
      <w:tblGrid>
        <w:gridCol w:w="75"/>
        <w:gridCol w:w="215"/>
        <w:gridCol w:w="8630"/>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left"/>
              <w:rPr/>
            </w:pPr>
            <w:r>
              <w:rPr/>
              <w:t>d)</w:t>
            </w:r>
          </w:p>
        </w:tc>
        <w:tc>
          <w:tcPr>
            <w:tcW w:w="86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fourth, to the holders of Deferred Shares an amount equal to the nominal value of the Deferred Shares; and </w:t>
            </w:r>
          </w:p>
        </w:tc>
      </w:tr>
    </w:tbl>
    <w:p>
      <w:pPr>
        <w:pStyle w:val="TextBody"/>
        <w:spacing w:before="0" w:after="0"/>
        <w:jc w:val="left"/>
        <w:rPr/>
      </w:pPr>
      <w:r>
        <w:rPr/>
        <w:t> </w:t>
      </w:r>
    </w:p>
    <w:tbl>
      <w:tblPr>
        <w:tblW w:w="760" w:type="dxa"/>
        <w:jc w:val="left"/>
        <w:tblInd w:w="0" w:type="dxa"/>
        <w:tblCellMar>
          <w:top w:w="0" w:type="dxa"/>
          <w:left w:w="0" w:type="dxa"/>
          <w:bottom w:w="0" w:type="dxa"/>
          <w:right w:w="0" w:type="dxa"/>
        </w:tblCellMar>
      </w:tblPr>
      <w:tblGrid>
        <w:gridCol w:w="75"/>
        <w:gridCol w:w="200"/>
        <w:gridCol w:w="48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e)</w:t>
            </w:r>
          </w:p>
        </w:tc>
        <w:tc>
          <w:tcPr>
            <w:tcW w:w="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fifth: </w:t>
            </w:r>
          </w:p>
        </w:tc>
      </w:tr>
    </w:tbl>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the holders of the Shares pro rata to the number of Shares respectively held by them;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the holders of the Class C Shares pari passu with Shares on an as-converted basis less the conversion price of $11.50 per share (subject to relevant adjustments in the Polestar Articles),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Shares on an as-converted basis. </w:t>
      </w:r>
    </w:p>
    <w:p>
      <w:pPr>
        <w:pStyle w:val="TextBody"/>
        <w:spacing w:before="360" w:after="0"/>
        <w:jc w:val="left"/>
        <w:rPr>
          <w:rFonts w:ascii="Times New Roman" w:hAnsi="Times New Roman"/>
          <w:i/>
          <w:sz w:val="20"/>
        </w:rPr>
      </w:pPr>
      <w:r>
        <w:rPr>
          <w:rFonts w:ascii="Times New Roman" w:hAnsi="Times New Roman"/>
          <w:i/>
          <w:sz w:val="20"/>
        </w:rPr>
        <w:t xml:space="preserve">Variation of Rights </w:t>
      </w:r>
    </w:p>
    <w:p>
      <w:pPr>
        <w:pStyle w:val="TextBody"/>
        <w:spacing w:before="120" w:after="0"/>
        <w:jc w:val="left"/>
        <w:rPr>
          <w:rFonts w:ascii="Times New Roman" w:hAnsi="Times New Roman"/>
          <w:sz w:val="20"/>
        </w:rPr>
      </w:pPr>
      <w:r>
        <w:rPr>
          <w:rFonts w:ascii="Times New Roman" w:hAnsi="Times New Roman"/>
          <w:sz w:val="20"/>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pStyle w:val="TextBody"/>
        <w:spacing w:before="360" w:after="0"/>
        <w:jc w:val="left"/>
        <w:rPr>
          <w:rFonts w:ascii="Times New Roman" w:hAnsi="Times New Roman"/>
          <w:i/>
          <w:sz w:val="20"/>
        </w:rPr>
      </w:pPr>
      <w:r>
        <w:rPr>
          <w:rFonts w:ascii="Times New Roman" w:hAnsi="Times New Roman"/>
          <w:i/>
          <w:sz w:val="20"/>
        </w:rPr>
        <w:t xml:space="preserve">Capital Calls </w:t>
      </w:r>
    </w:p>
    <w:p>
      <w:pPr>
        <w:pStyle w:val="TextBody"/>
        <w:spacing w:before="120" w:after="0"/>
        <w:jc w:val="left"/>
        <w:rPr>
          <w:rFonts w:ascii="Times New Roman" w:hAnsi="Times New Roman"/>
          <w:sz w:val="20"/>
        </w:rPr>
      </w:pPr>
      <w:r>
        <w:rPr>
          <w:rFonts w:ascii="Times New Roman" w:hAnsi="Times New Roman"/>
          <w:sz w:val="20"/>
        </w:rPr>
        <w:t xml:space="preserve">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 </w:t>
      </w:r>
    </w:p>
    <w:p>
      <w:pPr>
        <w:pStyle w:val="TextBody"/>
        <w:spacing w:before="360" w:after="0"/>
        <w:jc w:val="left"/>
        <w:rPr>
          <w:rFonts w:ascii="Times New Roman" w:hAnsi="Times New Roman"/>
          <w:i/>
          <w:sz w:val="20"/>
        </w:rPr>
      </w:pPr>
      <w:r>
        <w:rPr>
          <w:rFonts w:ascii="Times New Roman" w:hAnsi="Times New Roman"/>
          <w:i/>
          <w:sz w:val="20"/>
        </w:rPr>
        <w:t xml:space="preserve">Transfer of Shares </w:t>
      </w:r>
    </w:p>
    <w:p>
      <w:pPr>
        <w:pStyle w:val="TextBody"/>
        <w:spacing w:before="120" w:after="0"/>
        <w:jc w:val="left"/>
        <w:rPr>
          <w:rFonts w:ascii="Times New Roman" w:hAnsi="Times New Roman"/>
          <w:sz w:val="20"/>
        </w:rPr>
      </w:pPr>
      <w:r>
        <w:rPr>
          <w:rFonts w:ascii="Times New Roman" w:hAnsi="Times New Roman"/>
          <w:sz w:val="20"/>
        </w:rPr>
        <w:t xml:space="preserve">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 </w:t>
      </w:r>
    </w:p>
    <w:p>
      <w:pPr>
        <w:pStyle w:val="TextBody"/>
        <w:spacing w:before="0" w:after="0"/>
        <w:jc w:val="left"/>
        <w:rPr/>
      </w:pPr>
      <w:r>
        <w:rPr/>
        <w:t> </w:t>
      </w:r>
    </w:p>
    <w:tbl>
      <w:tblPr>
        <w:tblW w:w="2950" w:type="dxa"/>
        <w:jc w:val="left"/>
        <w:tblInd w:w="0" w:type="dxa"/>
        <w:tblCellMar>
          <w:top w:w="0" w:type="dxa"/>
          <w:left w:w="0" w:type="dxa"/>
          <w:bottom w:w="0" w:type="dxa"/>
          <w:right w:w="0" w:type="dxa"/>
        </w:tblCellMar>
      </w:tblPr>
      <w:tblGrid>
        <w:gridCol w:w="75"/>
        <w:gridCol w:w="275"/>
        <w:gridCol w:w="260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26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of a share that is not fully paid; </w:t>
            </w:r>
          </w:p>
        </w:tc>
      </w:tr>
    </w:tbl>
    <w:p>
      <w:pPr>
        <w:pStyle w:val="TextBody"/>
        <w:spacing w:before="0" w:after="0"/>
        <w:jc w:val="left"/>
        <w:rPr/>
      </w:pPr>
      <w:r>
        <w:rPr/>
        <w:t> </w:t>
      </w:r>
    </w:p>
    <w:tbl>
      <w:tblPr>
        <w:tblW w:w="4225" w:type="dxa"/>
        <w:jc w:val="left"/>
        <w:tblInd w:w="0" w:type="dxa"/>
        <w:tblCellMar>
          <w:top w:w="0" w:type="dxa"/>
          <w:left w:w="0" w:type="dxa"/>
          <w:bottom w:w="0" w:type="dxa"/>
          <w:right w:w="0" w:type="dxa"/>
        </w:tblCellMar>
      </w:tblPr>
      <w:tblGrid>
        <w:gridCol w:w="75"/>
        <w:gridCol w:w="290"/>
        <w:gridCol w:w="386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38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of a share upon which the Company has a lien;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5"/>
        <w:gridCol w:w="9875"/>
      </w:tblGrid>
      <w:tr>
        <w:trPr/>
        <w:tc>
          <w:tcPr>
            <w:tcW w:w="75"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left"/>
              <w:rPr/>
            </w:pPr>
            <w:r>
              <w:rPr/>
              <w:t>(c)</w:t>
            </w:r>
          </w:p>
        </w:tc>
        <w:tc>
          <w:tcPr>
            <w:tcW w:w="9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of a share that is not duly stamped (if required) or is duly certified or otherwise shown to the satisfaction of the Board to be exempt from stamp duty (if required);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3"/>
        <w:gridCol w:w="9887"/>
      </w:tblGrid>
      <w:tr>
        <w:trPr/>
        <w:tc>
          <w:tcPr>
            <w:tcW w:w="75"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jc w:val="left"/>
              <w:rPr/>
            </w:pPr>
            <w:r>
              <w:rPr/>
              <w:t>(d)</w:t>
            </w:r>
          </w:p>
        </w:tc>
        <w:tc>
          <w:tcPr>
            <w:tcW w:w="988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33"/>
        <w:gridCol w:w="9897"/>
      </w:tblGrid>
      <w:tr>
        <w:trPr/>
        <w:tc>
          <w:tcPr>
            <w:tcW w:w="75"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jc w:val="left"/>
              <w:rPr/>
            </w:pPr>
            <w:r>
              <w:rPr/>
              <w:t>(e)</w:t>
            </w:r>
          </w:p>
        </w:tc>
        <w:tc>
          <w:tcPr>
            <w:tcW w:w="989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of a default share where the holder has failed to provide the required details to Polestar under “—Polestar Articles and English Law Considerations—Other English Law Considerations—Disclosure of Interest in Shares,” subject to certain exceptions; </w:t>
            </w:r>
          </w:p>
        </w:tc>
      </w:tr>
    </w:tbl>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245"/>
        <w:gridCol w:w="372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(f)</w:t>
            </w:r>
          </w:p>
        </w:tc>
        <w:tc>
          <w:tcPr>
            <w:tcW w:w="3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respect of more than one class of shares;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81"/>
        <w:gridCol w:w="9849"/>
      </w:tblGrid>
      <w:tr>
        <w:trPr/>
        <w:tc>
          <w:tcPr>
            <w:tcW w:w="75"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jc w:val="left"/>
              <w:rPr/>
            </w:pPr>
            <w:r>
              <w:rPr/>
              <w:t>(g)</w:t>
            </w:r>
          </w:p>
        </w:tc>
        <w:tc>
          <w:tcPr>
            <w:tcW w:w="98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where, in the case of a transfer to joint holders of a share, the number of joint holders to whom the share is to be transferred exceeds four. </w:t>
            </w:r>
          </w:p>
        </w:tc>
      </w:tr>
    </w:tbl>
    <w:p>
      <w:pPr>
        <w:pStyle w:val="TextBody"/>
        <w:spacing w:before="240" w:after="0"/>
        <w:jc w:val="left"/>
        <w:rPr>
          <w:rFonts w:ascii="Times New Roman" w:hAnsi="Times New Roman"/>
          <w:sz w:val="20"/>
        </w:rPr>
      </w:pPr>
      <w:r>
        <w:rPr>
          <w:rFonts w:ascii="Times New Roman" w:hAnsi="Times New Roman"/>
          <w:sz w:val="20"/>
        </w:rPr>
        <w:t xml:space="preserve">If the Board refuses to register a transfer of a share it shall notify the transferee of the refusal and the reasons for it within two months after the date on which the transfer was lodged with the Company or the instructions to the relevant system received.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Limitations on Ownership </w:t>
      </w:r>
    </w:p>
    <w:p>
      <w:pPr>
        <w:pStyle w:val="TextBody"/>
        <w:spacing w:before="120" w:after="0"/>
        <w:jc w:val="left"/>
        <w:rPr>
          <w:rFonts w:ascii="Times New Roman" w:hAnsi="Times New Roman"/>
          <w:sz w:val="20"/>
        </w:rPr>
      </w:pPr>
      <w:r>
        <w:rPr>
          <w:rFonts w:ascii="Times New Roman" w:hAnsi="Times New Roman"/>
          <w:sz w:val="20"/>
        </w:rPr>
        <w:t xml:space="preserve">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 </w:t>
      </w:r>
    </w:p>
    <w:p>
      <w:pPr>
        <w:pStyle w:val="TextBody"/>
        <w:spacing w:before="360" w:after="0"/>
        <w:jc w:val="left"/>
        <w:rPr>
          <w:rFonts w:ascii="Times New Roman" w:hAnsi="Times New Roman"/>
          <w:b/>
          <w:sz w:val="20"/>
        </w:rPr>
      </w:pPr>
      <w:r>
        <w:rPr>
          <w:rFonts w:ascii="Times New Roman" w:hAnsi="Times New Roman"/>
          <w:b/>
          <w:sz w:val="20"/>
        </w:rPr>
        <w:t xml:space="preserve">Polestar Articles and English Law Considerations </w:t>
      </w:r>
    </w:p>
    <w:p>
      <w:pPr>
        <w:pStyle w:val="TextBody"/>
        <w:spacing w:before="12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i/>
          <w:sz w:val="20"/>
        </w:rPr>
      </w:pPr>
      <w:r>
        <w:rPr>
          <w:rFonts w:ascii="Times New Roman" w:hAnsi="Times New Roman"/>
          <w:i/>
          <w:sz w:val="20"/>
        </w:rPr>
        <w:t xml:space="preserve">Number </w:t>
      </w:r>
    </w:p>
    <w:p>
      <w:pPr>
        <w:pStyle w:val="TextBody"/>
        <w:spacing w:before="120" w:after="0"/>
        <w:jc w:val="left"/>
        <w:rPr>
          <w:rFonts w:ascii="Times New Roman" w:hAnsi="Times New Roman"/>
          <w:sz w:val="20"/>
        </w:rPr>
      </w:pPr>
      <w:r>
        <w:rPr>
          <w:rFonts w:ascii="Times New Roman" w:hAnsi="Times New Roman"/>
          <w:sz w:val="20"/>
        </w:rPr>
        <w:t xml:space="preserve">The Polestar Articles provide that at the time of their adoption, the number of directors of the Company shall be nine (the “Initial Directors”), and that otherwise the number of directors shall be as determined by the Board from time to time. Directors may be appointed by any ordinary resolution of shareholders or by the Board, as described below under “—Appointment and Retirement of Directors.” Each director elected shall hold office until his or her successor is elected or until his or her earlier resignation or removal in accordance with the Polestar Articles. </w:t>
      </w:r>
    </w:p>
    <w:p>
      <w:pPr>
        <w:pStyle w:val="TextBody"/>
        <w:spacing w:before="240" w:after="0"/>
        <w:jc w:val="left"/>
        <w:rPr>
          <w:rFonts w:ascii="Times New Roman" w:hAnsi="Times New Roman"/>
          <w:sz w:val="20"/>
        </w:rPr>
      </w:pPr>
      <w:r>
        <w:rPr>
          <w:rFonts w:ascii="Times New Roman" w:hAnsi="Times New Roman"/>
          <w:sz w:val="20"/>
        </w:rPr>
        <w:t xml:space="preserve">For a period of three years post-Business Combination Closing a majority of the director shall be independent directors. A director shall be independent when he or she (i) satisfies the requirements to qualify as an “independent director” under the stock exchange rules of the stock exchange on which the Class A Shares are then-currently listed and (ii) is not affiliated (as a director, employee, shareholder or otherwise) with Former Parent, Volvo or Geely, provided that an individual shall not be precluded from being appointed, or continuing to act, as an independent director solely on the basis of holding, directly or indirectly, up to 0.01% of the share capital of any publicly traded affiliate of Former Parent, Volvo Cars or Geely. </w:t>
      </w:r>
    </w:p>
    <w:p>
      <w:pPr>
        <w:pStyle w:val="TextBody"/>
        <w:spacing w:before="240" w:after="0"/>
        <w:jc w:val="left"/>
        <w:rPr>
          <w:rFonts w:ascii="Times New Roman" w:hAnsi="Times New Roman"/>
          <w:sz w:val="20"/>
        </w:rPr>
      </w:pPr>
      <w:r>
        <w:rPr>
          <w:rFonts w:ascii="Times New Roman" w:hAnsi="Times New Roman"/>
          <w:sz w:val="20"/>
        </w:rPr>
        <w:t xml:space="preserve">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 </w:t>
      </w:r>
    </w:p>
    <w:p>
      <w:pPr>
        <w:pStyle w:val="TextBody"/>
        <w:spacing w:before="360" w:after="0"/>
        <w:jc w:val="left"/>
        <w:rPr>
          <w:rFonts w:ascii="Times New Roman" w:hAnsi="Times New Roman"/>
          <w:i/>
          <w:sz w:val="20"/>
        </w:rPr>
      </w:pPr>
      <w:r>
        <w:rPr>
          <w:rFonts w:ascii="Times New Roman" w:hAnsi="Times New Roman"/>
          <w:i/>
          <w:sz w:val="20"/>
        </w:rPr>
        <w:t xml:space="preserve">Appointment and Retirement of Directors </w:t>
      </w:r>
    </w:p>
    <w:p>
      <w:pPr>
        <w:pStyle w:val="TextBody"/>
        <w:spacing w:before="120" w:after="0"/>
        <w:jc w:val="left"/>
        <w:rPr>
          <w:rFonts w:ascii="Times New Roman" w:hAnsi="Times New Roman"/>
          <w:sz w:val="20"/>
        </w:rPr>
      </w:pPr>
      <w:r>
        <w:rPr>
          <w:rFonts w:ascii="Times New Roman" w:hAnsi="Times New Roman"/>
          <w:sz w:val="20"/>
        </w:rPr>
        <w:t xml:space="preserve">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 </w:t>
      </w:r>
    </w:p>
    <w:p>
      <w:pPr>
        <w:pStyle w:val="TextBody"/>
        <w:spacing w:before="240" w:after="0"/>
        <w:jc w:val="left"/>
        <w:rPr>
          <w:rFonts w:ascii="Times New Roman" w:hAnsi="Times New Roman"/>
          <w:sz w:val="20"/>
        </w:rPr>
      </w:pPr>
      <w:r>
        <w:rPr>
          <w:rFonts w:ascii="Times New Roman" w:hAnsi="Times New Roman"/>
          <w:sz w:val="20"/>
        </w:rPr>
        <w:t xml:space="preserve">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the Business Combination Closing, directors shall be elected to serve for a term of three years to succeed the directors of the class whose terms expire at such annual general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Indemnity of Directors </w:t>
      </w:r>
    </w:p>
    <w:p>
      <w:pPr>
        <w:pStyle w:val="TextBody"/>
        <w:spacing w:before="120" w:after="0"/>
        <w:jc w:val="left"/>
        <w:rPr>
          <w:rFonts w:ascii="Times New Roman" w:hAnsi="Times New Roman"/>
          <w:sz w:val="20"/>
        </w:rPr>
      </w:pPr>
      <w:r>
        <w:rPr>
          <w:rFonts w:ascii="Times New Roman" w:hAnsi="Times New Roman"/>
          <w:sz w:val="20"/>
        </w:rPr>
        <w:t xml:space="preserve">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 </w:t>
      </w:r>
    </w:p>
    <w:p>
      <w:pPr>
        <w:pStyle w:val="TextBody"/>
        <w:spacing w:before="360" w:after="0"/>
        <w:jc w:val="left"/>
        <w:rPr>
          <w:rFonts w:ascii="Times New Roman" w:hAnsi="Times New Roman"/>
          <w:b/>
          <w:sz w:val="20"/>
        </w:rPr>
      </w:pPr>
      <w:r>
        <w:rPr>
          <w:rFonts w:ascii="Times New Roman" w:hAnsi="Times New Roman"/>
          <w:b/>
          <w:sz w:val="20"/>
        </w:rPr>
        <w:t xml:space="preserve">Shareholders’ Meetings </w:t>
      </w:r>
    </w:p>
    <w:p>
      <w:pPr>
        <w:pStyle w:val="TextBody"/>
        <w:spacing w:before="120" w:after="0"/>
        <w:jc w:val="left"/>
        <w:rPr>
          <w:rFonts w:ascii="Times New Roman" w:hAnsi="Times New Roman"/>
          <w:sz w:val="20"/>
        </w:rPr>
      </w:pPr>
      <w:r>
        <w:rPr>
          <w:rFonts w:ascii="Times New Roman" w:hAnsi="Times New Roman"/>
          <w:sz w:val="20"/>
        </w:rPr>
        <w:t xml:space="preserve">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 </w:t>
      </w:r>
    </w:p>
    <w:p>
      <w:pPr>
        <w:pStyle w:val="TextBody"/>
        <w:spacing w:before="360" w:after="0"/>
        <w:jc w:val="left"/>
        <w:rPr>
          <w:rFonts w:ascii="Times New Roman" w:hAnsi="Times New Roman"/>
          <w:b/>
          <w:sz w:val="20"/>
        </w:rPr>
      </w:pPr>
      <w:r>
        <w:rPr>
          <w:rFonts w:ascii="Times New Roman" w:hAnsi="Times New Roman"/>
          <w:b/>
          <w:sz w:val="20"/>
        </w:rPr>
        <w:t xml:space="preserve">Requisitioning Shareholder Meetings </w:t>
      </w:r>
    </w:p>
    <w:p>
      <w:pPr>
        <w:pStyle w:val="TextBody"/>
        <w:spacing w:before="120" w:after="0"/>
        <w:jc w:val="left"/>
        <w:rPr>
          <w:rFonts w:ascii="Times New Roman" w:hAnsi="Times New Roman"/>
          <w:sz w:val="20"/>
        </w:rPr>
      </w:pPr>
      <w:r>
        <w:rPr>
          <w:rFonts w:ascii="Times New Roman" w:hAnsi="Times New Roman"/>
          <w:sz w:val="20"/>
        </w:rPr>
        <w:t xml:space="preserve">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 </w:t>
      </w:r>
    </w:p>
    <w:p>
      <w:pPr>
        <w:pStyle w:val="TextBody"/>
        <w:spacing w:before="360" w:after="0"/>
        <w:jc w:val="left"/>
        <w:rPr>
          <w:rFonts w:ascii="Times New Roman" w:hAnsi="Times New Roman"/>
          <w:b/>
          <w:sz w:val="20"/>
        </w:rPr>
      </w:pPr>
      <w:r>
        <w:rPr>
          <w:rFonts w:ascii="Times New Roman" w:hAnsi="Times New Roman"/>
          <w:b/>
          <w:sz w:val="20"/>
        </w:rPr>
        <w:t xml:space="preserve">Other English Law Considerations </w:t>
      </w:r>
    </w:p>
    <w:p>
      <w:pPr>
        <w:pStyle w:val="TextBody"/>
        <w:spacing w:before="120" w:after="0"/>
        <w:jc w:val="left"/>
        <w:rPr>
          <w:rFonts w:ascii="Times New Roman" w:hAnsi="Times New Roman"/>
          <w:i/>
          <w:sz w:val="20"/>
        </w:rPr>
      </w:pPr>
      <w:r>
        <w:rPr>
          <w:rFonts w:ascii="Times New Roman" w:hAnsi="Times New Roman"/>
          <w:i/>
          <w:sz w:val="20"/>
        </w:rPr>
        <w:t xml:space="preserve">Mandatory Purchases and Acquisitions </w:t>
      </w:r>
    </w:p>
    <w:p>
      <w:pPr>
        <w:pStyle w:val="TextBody"/>
        <w:spacing w:before="120" w:after="0"/>
        <w:jc w:val="left"/>
        <w:rPr>
          <w:rFonts w:ascii="Times New Roman" w:hAnsi="Times New Roman"/>
          <w:sz w:val="20"/>
        </w:rPr>
      </w:pPr>
      <w:r>
        <w:rPr>
          <w:rFonts w:ascii="Times New Roman" w:hAnsi="Times New Roman"/>
          <w:sz w:val="20"/>
        </w:rPr>
        <w:t xml:space="preserve">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 </w:t>
      </w:r>
    </w:p>
    <w:p>
      <w:pPr>
        <w:pStyle w:val="TextBody"/>
        <w:spacing w:before="240" w:after="0"/>
        <w:jc w:val="left"/>
        <w:rPr>
          <w:rFonts w:ascii="Times New Roman" w:hAnsi="Times New Roman"/>
          <w:sz w:val="20"/>
        </w:rPr>
      </w:pPr>
      <w:r>
        <w:rPr>
          <w:rFonts w:ascii="Times New Roman" w:hAnsi="Times New Roman"/>
          <w:sz w:val="20"/>
        </w:rPr>
        <w:t xml:space="preserve">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 </w:t>
      </w:r>
    </w:p>
    <w:p>
      <w:pPr>
        <w:pStyle w:val="TextBody"/>
        <w:spacing w:before="240" w:after="0"/>
        <w:jc w:val="left"/>
        <w:rPr>
          <w:rFonts w:ascii="Times New Roman" w:hAnsi="Times New Roman"/>
          <w:sz w:val="20"/>
        </w:rPr>
      </w:pPr>
      <w:r>
        <w:rPr>
          <w:rFonts w:ascii="Times New Roman" w:hAnsi="Times New Roman"/>
          <w:sz w:val="20"/>
        </w:rPr>
        <w:t xml:space="preserve">If a takeover is structured as a scheme of arrangement pursuant to Part 26 of the Companies Act, the scheme, and therefore takeover, would need to be approved by a majority in number representing 75% in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shareholders of each class of shareholders voting, whether in person or by proxy. If approved, the scheme, and therefore takeover, would be binding on 100% of the shareholders of the relevant class(es). </w:t>
      </w:r>
    </w:p>
    <w:p>
      <w:pPr>
        <w:pStyle w:val="TextBody"/>
        <w:spacing w:before="360" w:after="0"/>
        <w:jc w:val="left"/>
        <w:rPr>
          <w:rFonts w:ascii="Times New Roman" w:hAnsi="Times New Roman"/>
          <w:i/>
          <w:sz w:val="20"/>
        </w:rPr>
      </w:pPr>
      <w:r>
        <w:rPr>
          <w:rFonts w:ascii="Times New Roman" w:hAnsi="Times New Roman"/>
          <w:i/>
          <w:sz w:val="20"/>
        </w:rPr>
        <w:t xml:space="preserve">Sell Out </w:t>
      </w:r>
    </w:p>
    <w:p>
      <w:pPr>
        <w:pStyle w:val="TextBody"/>
        <w:spacing w:before="120" w:after="0"/>
        <w:jc w:val="left"/>
        <w:rPr>
          <w:rFonts w:ascii="Times New Roman" w:hAnsi="Times New Roman"/>
          <w:sz w:val="20"/>
        </w:rPr>
      </w:pPr>
      <w:r>
        <w:rPr>
          <w:rFonts w:ascii="Times New Roman" w:hAnsi="Times New Roman"/>
          <w:sz w:val="20"/>
        </w:rPr>
        <w:t xml:space="preserve">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 </w:t>
      </w:r>
    </w:p>
    <w:p>
      <w:pPr>
        <w:pStyle w:val="TextBody"/>
        <w:spacing w:before="360" w:after="0"/>
        <w:jc w:val="left"/>
        <w:rPr>
          <w:rFonts w:ascii="Times New Roman" w:hAnsi="Times New Roman"/>
          <w:i/>
          <w:sz w:val="20"/>
        </w:rPr>
      </w:pPr>
      <w:r>
        <w:rPr>
          <w:rFonts w:ascii="Times New Roman" w:hAnsi="Times New Roman"/>
          <w:i/>
          <w:sz w:val="20"/>
        </w:rPr>
        <w:t xml:space="preserve">U.K. City Code on Takeovers and Mergers </w:t>
      </w:r>
    </w:p>
    <w:p>
      <w:pPr>
        <w:pStyle w:val="TextBody"/>
        <w:spacing w:before="120" w:after="0"/>
        <w:jc w:val="left"/>
        <w:rPr>
          <w:rFonts w:ascii="Times New Roman" w:hAnsi="Times New Roman"/>
          <w:sz w:val="20"/>
        </w:rPr>
      </w:pPr>
      <w:r>
        <w:rPr>
          <w:rFonts w:ascii="Times New Roman" w:hAnsi="Times New Roman"/>
          <w:sz w:val="20"/>
        </w:rPr>
        <w:t xml:space="preserve">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0"/>
        <w:gridCol w:w="9890"/>
      </w:tblGrid>
      <w:tr>
        <w:trPr/>
        <w:tc>
          <w:tcPr>
            <w:tcW w:w="7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jc w:val="left"/>
              <w:rPr/>
            </w:pPr>
            <w:r>
              <w:rPr/>
              <w:t>(a)</w:t>
            </w:r>
          </w:p>
        </w:tc>
        <w:tc>
          <w:tcPr>
            <w:tcW w:w="9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acquires an interest in the Company’s shares that, when taken together with shares in which persons acting in concert with such person are interested, carries 30% or more of the voting rights of the Company’s shares;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27"/>
        <w:gridCol w:w="9903"/>
      </w:tblGrid>
      <w:tr>
        <w:trPr/>
        <w:tc>
          <w:tcPr>
            <w:tcW w:w="75"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(b)</w:t>
            </w:r>
          </w:p>
        </w:tc>
        <w:tc>
          <w:tcPr>
            <w:tcW w:w="990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 </w:t>
            </w:r>
          </w:p>
        </w:tc>
      </w:tr>
    </w:tbl>
    <w:p>
      <w:pPr>
        <w:pStyle w:val="TextBody"/>
        <w:spacing w:before="360" w:after="0"/>
        <w:jc w:val="left"/>
        <w:rPr>
          <w:rFonts w:ascii="Times New Roman" w:hAnsi="Times New Roman"/>
          <w:i/>
          <w:sz w:val="20"/>
        </w:rPr>
      </w:pPr>
      <w:r>
        <w:rPr>
          <w:rFonts w:ascii="Times New Roman" w:hAnsi="Times New Roman"/>
          <w:i/>
          <w:sz w:val="20"/>
        </w:rPr>
        <w:t xml:space="preserve">Disclosure of Interest in Company securities </w:t>
      </w:r>
    </w:p>
    <w:p>
      <w:pPr>
        <w:pStyle w:val="TextBody"/>
        <w:spacing w:before="120" w:after="0"/>
        <w:jc w:val="left"/>
        <w:rPr>
          <w:rFonts w:ascii="Times New Roman" w:hAnsi="Times New Roman"/>
          <w:sz w:val="20"/>
        </w:rPr>
      </w:pPr>
      <w:r>
        <w:rPr>
          <w:rFonts w:ascii="Times New Roman" w:hAnsi="Times New Roman"/>
          <w:sz w:val="20"/>
        </w:rPr>
        <w:t xml:space="preserve">Section 793 of the Companies Act gives the Company the power to require persons whom the Company knows have, or whom the Company has reasonable cause to believe have, or within the previous three years have had, any ownership interest in any of the Company’s shares (the “default shares”),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Distributions &amp; Dividends </w:t>
      </w:r>
    </w:p>
    <w:p>
      <w:pPr>
        <w:pStyle w:val="TextBody"/>
        <w:spacing w:before="120" w:after="0"/>
        <w:jc w:val="left"/>
        <w:rPr>
          <w:rFonts w:ascii="Times New Roman" w:hAnsi="Times New Roman"/>
          <w:sz w:val="20"/>
        </w:rPr>
      </w:pPr>
      <w:r>
        <w:rPr>
          <w:rFonts w:ascii="Times New Roman" w:hAnsi="Times New Roman"/>
          <w:sz w:val="20"/>
        </w:rPr>
        <w:t xml:space="preserve">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 </w:t>
      </w:r>
    </w:p>
    <w:p>
      <w:pPr>
        <w:pStyle w:val="TextBody"/>
        <w:spacing w:before="240" w:after="0"/>
        <w:jc w:val="left"/>
        <w:rPr>
          <w:rFonts w:ascii="Times New Roman" w:hAnsi="Times New Roman"/>
          <w:sz w:val="20"/>
        </w:rPr>
      </w:pPr>
      <w:r>
        <w:rPr>
          <w:rFonts w:ascii="Times New Roman" w:hAnsi="Times New Roman"/>
          <w:sz w:val="20"/>
        </w:rPr>
        <w:t xml:space="preserve">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1"/>
        <w:gridCol w:w="9889"/>
      </w:tblGrid>
      <w:tr>
        <w:trPr/>
        <w:tc>
          <w:tcPr>
            <w:tcW w:w="75"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(a)</w:t>
            </w:r>
          </w:p>
        </w:tc>
        <w:tc>
          <w:tcPr>
            <w:tcW w:w="988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at the time that the distribution is made, the amount of its net assets (that is, the total excess of assets over liabilities) is not less than the total of its called-up share capital and undistributable reserves;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78"/>
        <w:gridCol w:w="9852"/>
      </w:tblGrid>
      <w:tr>
        <w:trPr/>
        <w:tc>
          <w:tcPr>
            <w:tcW w:w="75"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jc w:val="left"/>
              <w:rPr/>
            </w:pPr>
            <w:r>
              <w:rPr/>
              <w:t>(b)</w:t>
            </w:r>
          </w:p>
        </w:tc>
        <w:tc>
          <w:tcPr>
            <w:tcW w:w="98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and to the extent that, the distribution itself, at the time that it is made, does not reduce the amount of the net assets to less than that total. </w:t>
            </w:r>
          </w:p>
        </w:tc>
      </w:tr>
    </w:tbl>
    <w:p>
      <w:pPr>
        <w:pStyle w:val="TextBody"/>
        <w:spacing w:before="360" w:after="0"/>
        <w:jc w:val="left"/>
        <w:rPr>
          <w:rFonts w:ascii="Times New Roman" w:hAnsi="Times New Roman"/>
          <w:i/>
          <w:sz w:val="20"/>
        </w:rPr>
      </w:pPr>
      <w:r>
        <w:rPr>
          <w:rFonts w:ascii="Times New Roman" w:hAnsi="Times New Roman"/>
          <w:i/>
          <w:sz w:val="20"/>
        </w:rPr>
        <w:t xml:space="preserve">Purchase of Own Shares </w:t>
      </w:r>
    </w:p>
    <w:p>
      <w:pPr>
        <w:pStyle w:val="TextBody"/>
        <w:spacing w:before="120" w:after="0"/>
        <w:jc w:val="left"/>
        <w:rPr>
          <w:rFonts w:ascii="Times New Roman" w:hAnsi="Times New Roman"/>
          <w:sz w:val="20"/>
        </w:rPr>
      </w:pPr>
      <w:r>
        <w:rPr>
          <w:rFonts w:ascii="Times New Roman" w:hAnsi="Times New Roman"/>
          <w:sz w:val="20"/>
        </w:rPr>
        <w:t xml:space="preserve">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 </w:t>
      </w:r>
    </w:p>
    <w:p>
      <w:pPr>
        <w:pStyle w:val="TextBody"/>
        <w:spacing w:before="360" w:after="0"/>
        <w:jc w:val="left"/>
        <w:rPr>
          <w:rFonts w:ascii="Times New Roman" w:hAnsi="Times New Roman"/>
          <w:b/>
          <w:sz w:val="20"/>
        </w:rPr>
      </w:pPr>
      <w:r>
        <w:rPr>
          <w:rFonts w:ascii="Times New Roman" w:hAnsi="Times New Roman"/>
          <w:b/>
          <w:sz w:val="20"/>
        </w:rPr>
        <w:t xml:space="preserve">Class C Shares </w:t>
      </w:r>
    </w:p>
    <w:p>
      <w:pPr>
        <w:pStyle w:val="TextBody"/>
        <w:spacing w:before="120" w:after="0"/>
        <w:jc w:val="left"/>
        <w:rPr>
          <w:rFonts w:ascii="Times New Roman" w:hAnsi="Times New Roman"/>
          <w:sz w:val="20"/>
        </w:rPr>
      </w:pPr>
      <w:r>
        <w:rPr>
          <w:rFonts w:ascii="Times New Roman" w:hAnsi="Times New Roman"/>
          <w:sz w:val="20"/>
        </w:rPr>
        <w:t xml:space="preserve">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post-Business Combination 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Business Combination Closing, at 5:00 p.m., New York City time, or earlier upon redemption or liquidation. </w:t>
      </w:r>
    </w:p>
    <w:p>
      <w:pPr>
        <w:pStyle w:val="TextBody"/>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15 business days after the Business Combination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so elects, the Company will not be required to file or maintain in effect a registration statement, but Polestar will be required to use its best efforts to register or qualify the Class A ADSs under applicable blue sky laws to the extent an exemption is not available. </w:t>
      </w:r>
    </w:p>
    <w:p>
      <w:pPr>
        <w:pStyle w:val="TextBody"/>
        <w:spacing w:before="240" w:after="0"/>
        <w:jc w:val="left"/>
        <w:rPr>
          <w:rFonts w:ascii="Times New Roman" w:hAnsi="Times New Roman"/>
          <w:sz w:val="20"/>
        </w:rPr>
      </w:pPr>
      <w:r>
        <w:rPr>
          <w:rFonts w:ascii="Times New Roman" w:hAnsi="Times New Roman"/>
          <w:sz w:val="20"/>
        </w:rPr>
        <w:t xml:space="preserve">Redemption of Class C Shares for cash. Once the Class C Shares become exercisable, the Company may call the Class C Shares for redemption (except as described herein with respect to Class C-2 Shares): </w:t>
      </w:r>
    </w:p>
    <w:p>
      <w:pPr>
        <w:pStyle w:val="TextBody"/>
        <w:spacing w:before="0" w:after="0"/>
        <w:jc w:val="left"/>
        <w:rPr/>
      </w:pPr>
      <w:r>
        <w:rPr/>
        <w:t> </w:t>
      </w:r>
    </w:p>
    <w:tbl>
      <w:tblPr>
        <w:tblW w:w="2320" w:type="dxa"/>
        <w:jc w:val="left"/>
        <w:tblInd w:w="0" w:type="dxa"/>
        <w:tblCellMar>
          <w:top w:w="0" w:type="dxa"/>
          <w:left w:w="0" w:type="dxa"/>
          <w:bottom w:w="0" w:type="dxa"/>
          <w:right w:w="0" w:type="dxa"/>
        </w:tblCellMar>
      </w:tblPr>
      <w:tblGrid>
        <w:gridCol w:w="75"/>
        <w:gridCol w:w="110"/>
        <w:gridCol w:w="60"/>
        <w:gridCol w:w="2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3295" w:type="dxa"/>
        <w:jc w:val="left"/>
        <w:tblInd w:w="0" w:type="dxa"/>
        <w:tblCellMar>
          <w:top w:w="0" w:type="dxa"/>
          <w:left w:w="0" w:type="dxa"/>
          <w:bottom w:w="0" w:type="dxa"/>
          <w:right w:w="0" w:type="dxa"/>
        </w:tblCellMar>
      </w:tblPr>
      <w:tblGrid>
        <w:gridCol w:w="75"/>
        <w:gridCol w:w="110"/>
        <w:gridCol w:w="60"/>
        <w:gridCol w:w="3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a price of $0.01 per Class C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upon not less than 30 days’ prior written notice of redemption (the “30-day redemption period”) to each holder of a Class C Share;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tc>
      </w:tr>
    </w:tbl>
    <w:p>
      <w:pPr>
        <w:pStyle w:val="TextBody"/>
        <w:spacing w:before="240" w:after="0"/>
        <w:jc w:val="left"/>
        <w:rPr>
          <w:rFonts w:ascii="Times New Roman" w:hAnsi="Times New Roman"/>
          <w:sz w:val="20"/>
        </w:rPr>
      </w:pPr>
      <w:r>
        <w:rPr>
          <w:rFonts w:ascii="Times New Roman" w:hAnsi="Times New Roman"/>
          <w:sz w:val="20"/>
        </w:rPr>
        <w:t xml:space="preserve">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 </w:t>
      </w:r>
    </w:p>
    <w:p>
      <w:pPr>
        <w:pStyle w:val="TextBody"/>
        <w:spacing w:before="240" w:after="0"/>
        <w:jc w:val="left"/>
        <w:rPr>
          <w:rFonts w:ascii="Times New Roman" w:hAnsi="Times New Roman"/>
          <w:sz w:val="20"/>
        </w:rPr>
      </w:pPr>
      <w:r>
        <w:rPr>
          <w:rFonts w:ascii="Times New Roman" w:hAnsi="Times New Roman"/>
          <w:sz w:val="20"/>
        </w:rPr>
        <w:t xml:space="preserve">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per share redemption trigger price as well as the $11.50 per share (for whole Class A ADSs) Class C Shares exercise price after the redemption notice is issued. </w:t>
      </w:r>
    </w:p>
    <w:p>
      <w:pPr>
        <w:pStyle w:val="TextBody"/>
        <w:spacing w:before="240" w:after="0"/>
        <w:jc w:val="left"/>
        <w:rPr>
          <w:rFonts w:ascii="Times New Roman" w:hAnsi="Times New Roman"/>
          <w:sz w:val="20"/>
        </w:rPr>
      </w:pPr>
      <w:r>
        <w:rPr>
          <w:rFonts w:ascii="Times New Roman" w:hAnsi="Times New Roman"/>
          <w:sz w:val="20"/>
        </w:rPr>
        <w:t xml:space="preserve">Redemption of Class C Shares for Class A ADSs. Commencing 90 days after the Class C Shares become exercisable, the Company may redeem the outstanding Class C Shares: </w:t>
      </w:r>
    </w:p>
    <w:p>
      <w:pPr>
        <w:pStyle w:val="TextBody"/>
        <w:spacing w:before="0" w:after="0"/>
        <w:jc w:val="left"/>
        <w:rPr/>
      </w:pPr>
      <w:r>
        <w:rPr/>
        <w:t> </w:t>
      </w:r>
    </w:p>
    <w:tbl>
      <w:tblPr>
        <w:tblW w:w="2320" w:type="dxa"/>
        <w:jc w:val="left"/>
        <w:tblInd w:w="0" w:type="dxa"/>
        <w:tblCellMar>
          <w:top w:w="0" w:type="dxa"/>
          <w:left w:w="0" w:type="dxa"/>
          <w:bottom w:w="0" w:type="dxa"/>
          <w:right w:w="0" w:type="dxa"/>
        </w:tblCellMar>
      </w:tblPr>
      <w:tblGrid>
        <w:gridCol w:w="75"/>
        <w:gridCol w:w="110"/>
        <w:gridCol w:w="60"/>
        <w:gridCol w:w="2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a price equal to a number of Class A ADSs to be determined by reference to the table below, based on the redemption date and the “fair market value” of Class A ADSs except as otherwise described below;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and only if, the Class C-2 Shares are also concurrently exchanged at the same price (equal to a number of Class A ADSs) as the outstanding Class C-1 Shares, as described above;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and only if, there is an effective registration statement covering the Class A ADSs issuable upon exercise of the Class C Shares and a current prospectus relating thereto is available throughout the 30-day period after written notice of redemption is given; </w:t>
            </w:r>
          </w:p>
        </w:tc>
      </w:tr>
    </w:tbl>
    <w:p>
      <w:pPr>
        <w:pStyle w:val="TextBody"/>
        <w:spacing w:before="0" w:after="0"/>
        <w:jc w:val="left"/>
        <w:rPr/>
      </w:pPr>
      <w:r>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 </w:t>
            </w:r>
          </w:p>
        </w:tc>
      </w:tr>
    </w:tbl>
    <w:p>
      <w:pPr>
        <w:pStyle w:val="TextBody"/>
        <w:spacing w:before="240" w:after="0"/>
        <w:jc w:val="left"/>
        <w:rPr>
          <w:rFonts w:ascii="Times New Roman" w:hAnsi="Times New Roman"/>
          <w:sz w:val="20"/>
        </w:rPr>
      </w:pPr>
      <w:r>
        <w:rPr>
          <w:rFonts w:ascii="Times New Roman" w:hAnsi="Times New Roman"/>
          <w:sz w:val="20"/>
        </w:rPr>
        <w:t xml:space="preserve">The numbers in the table below represent the “redemption prices,” or the number of Class A ADSs that a holder of Class C Shares will receive upon redemption by the Company pursuant to this redemption feature,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 </w:t>
      </w:r>
    </w:p>
    <w:p>
      <w:pPr>
        <w:pStyle w:val="TextBody"/>
        <w:spacing w:before="240" w:after="0"/>
        <w:jc w:val="left"/>
        <w:rPr>
          <w:rFonts w:ascii="Times New Roman" w:hAnsi="Times New Roman"/>
          <w:sz w:val="20"/>
        </w:rPr>
      </w:pPr>
      <w:r>
        <w:rPr>
          <w:rFonts w:ascii="Times New Roman" w:hAnsi="Times New Roman"/>
          <w:sz w:val="20"/>
        </w:rPr>
        <w:t xml:space="preserve">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 adjusted in the same manner and at the same time as the number of Class A ADSs issuable upon exercise of a Class C Share. </w:t>
      </w:r>
    </w:p>
    <w:p>
      <w:pPr>
        <w:pStyle w:val="TextBody"/>
        <w:spacing w:before="0" w:after="0"/>
        <w:jc w:val="left"/>
        <w:rPr/>
      </w:pPr>
      <w:r>
        <w:rPr/>
        <w:t> </w:t>
      </w:r>
    </w:p>
    <w:tbl>
      <w:tblPr>
        <w:tblW w:w="8645" w:type="dxa"/>
        <w:jc w:val="left"/>
        <w:tblInd w:w="0" w:type="dxa"/>
        <w:tblCellMar>
          <w:top w:w="0" w:type="dxa"/>
          <w:left w:w="0" w:type="dxa"/>
          <w:bottom w:w="0" w:type="dxa"/>
          <w:right w:w="0" w:type="dxa"/>
        </w:tblCellMar>
      </w:tblPr>
      <w:tblGrid>
        <w:gridCol w:w="890"/>
        <w:gridCol w:w="120"/>
        <w:gridCol w:w="65"/>
        <w:gridCol w:w="615"/>
        <w:gridCol w:w="60"/>
        <w:gridCol w:w="120"/>
        <w:gridCol w:w="65"/>
        <w:gridCol w:w="615"/>
        <w:gridCol w:w="60"/>
        <w:gridCol w:w="120"/>
        <w:gridCol w:w="65"/>
        <w:gridCol w:w="615"/>
        <w:gridCol w:w="60"/>
        <w:gridCol w:w="120"/>
        <w:gridCol w:w="65"/>
        <w:gridCol w:w="615"/>
        <w:gridCol w:w="60"/>
        <w:gridCol w:w="120"/>
        <w:gridCol w:w="65"/>
        <w:gridCol w:w="615"/>
        <w:gridCol w:w="60"/>
        <w:gridCol w:w="120"/>
        <w:gridCol w:w="65"/>
        <w:gridCol w:w="615"/>
        <w:gridCol w:w="60"/>
        <w:gridCol w:w="120"/>
        <w:gridCol w:w="65"/>
        <w:gridCol w:w="615"/>
        <w:gridCol w:w="60"/>
        <w:gridCol w:w="120"/>
        <w:gridCol w:w="65"/>
        <w:gridCol w:w="615"/>
        <w:gridCol w:w="60"/>
        <w:gridCol w:w="120"/>
        <w:gridCol w:w="65"/>
        <w:gridCol w:w="615"/>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60" w:type="dxa"/>
            <w:gridSpan w:val="34"/>
            <w:tcBorders/>
            <w:shd w:fill="auto" w:val="clear"/>
            <w:vAlign w:val="center"/>
          </w:tcPr>
          <w:p>
            <w:pPr>
              <w:pStyle w:val="TableContents"/>
              <w:spacing w:before="0" w:after="283"/>
              <w:jc w:val="center"/>
              <w:rPr>
                <w:b/>
              </w:rPr>
            </w:pPr>
            <w:r>
              <w:rPr>
                <w:b/>
              </w:rPr>
              <w:t>Fair Market Value of Class A ADSs</w:t>
            </w:r>
          </w:p>
        </w:tc>
        <w:tc>
          <w:tcPr>
            <w:tcW w:w="75"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$12.00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$13.00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$14.00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shd w:fill="auto" w:val="clear"/>
            <w:vAlign w:val="center"/>
          </w:tcPr>
          <w:p>
            <w:pPr>
              <w:pStyle w:val="TableContents"/>
              <w:spacing w:before="0" w:after="283"/>
              <w:jc w:val="center"/>
              <w:rPr>
                <w:b/>
              </w:rPr>
            </w:pPr>
            <w:r>
              <w:rPr>
                <w:b/>
              </w:rPr>
              <w:t>$18.00</w:t>
            </w:r>
          </w:p>
        </w:tc>
        <w:tc>
          <w:tcPr>
            <w:tcW w:w="75"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60" w:type="dxa"/>
            <w:gridSpan w:val="34"/>
            <w:tcBorders/>
            <w:shd w:fill="auto" w:val="clear"/>
            <w:vAlign w:val="center"/>
          </w:tcPr>
          <w:p>
            <w:pPr>
              <w:pStyle w:val="TableContents"/>
              <w:spacing w:before="0" w:after="283"/>
              <w:jc w:val="center"/>
              <w:rPr>
                <w:b/>
              </w:rPr>
            </w:pPr>
            <w:r>
              <w:rPr>
                <w:b/>
              </w:rPr>
              <w:t>Redemption Date (period to expiration of Class C Shares)</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57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0.365</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54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0.365</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51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0.365</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48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0.365</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45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0.365</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42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0.364</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39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0.364</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36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0.364</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33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0.364</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30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0.364</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27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0.185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0.364</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24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0.364</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21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0.364</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18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0.363</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15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0.363</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12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0.363</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9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0.362</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6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0.065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0.099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0.362</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3 months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0.034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0.065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0.197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0.286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0.361</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0 months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0.042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0.179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0.281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0.361</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“fair market value” of Class A ADSs shall mean the average last reported sale price of Class A ADSs for the 10 trading days ending on the third trading day prior to the date on which the notice of redemption is sent to the holders of Class C Shares. </w:t>
      </w:r>
    </w:p>
    <w:p>
      <w:pPr>
        <w:pStyle w:val="TextBody"/>
        <w:spacing w:before="240" w:after="0"/>
        <w:jc w:val="left"/>
        <w:rPr>
          <w:rFonts w:ascii="Times New Roman" w:hAnsi="Times New Roman"/>
          <w:sz w:val="20"/>
        </w:rPr>
      </w:pPr>
      <w:r>
        <w:rPr>
          <w:rFonts w:ascii="Times New Roman" w:hAnsi="Times New Roman"/>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 </w:t>
      </w:r>
    </w:p>
    <w:p>
      <w:pPr>
        <w:pStyle w:val="TextBody"/>
        <w:spacing w:before="240" w:after="0"/>
        <w:jc w:val="left"/>
        <w:rPr>
          <w:rFonts w:ascii="Times New Roman" w:hAnsi="Times New Roman"/>
          <w:sz w:val="20"/>
        </w:rPr>
      </w:pPr>
      <w:r>
        <w:rPr>
          <w:rFonts w:ascii="Times New Roman" w:hAnsi="Times New Roman"/>
          <w:sz w:val="20"/>
        </w:rPr>
        <w:t xml:space="preserve">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 </w:t>
      </w:r>
    </w:p>
    <w:p>
      <w:pPr>
        <w:pStyle w:val="TextBody"/>
        <w:spacing w:before="240" w:after="0"/>
        <w:jc w:val="left"/>
        <w:rPr>
          <w:rFonts w:ascii="Times New Roman" w:hAnsi="Times New Roman"/>
          <w:sz w:val="20"/>
        </w:rPr>
      </w:pPr>
      <w:r>
        <w:rPr>
          <w:rFonts w:ascii="Times New Roman" w:hAnsi="Times New Roman"/>
          <w:sz w:val="20"/>
        </w:rPr>
        <w:t xml:space="preserve">This redemption feature differs from typical warrant redemption features, which typically only provide for a redemption of warrants for cash (other than private placement warrants) when the trading price for Class A common stock exceeds $18.00 per share for a specified period of time. This redemption feature is structured to allow for all of the outstanding Class C-1 Shares to be redeemed when the Class A ADSs are trading at or above $10.00 per Class A ADS, which may be at a time when the trading price of the Class A ADSs is below the exercise price of the Class C-1 Shares. The Company has established this redemption feature to provide the Class C-1 Shares with an additional liquidity feature, which provides the Company with the flexibility to redeem the Class C-1 Shares for Class A ADSs, instead of cash, for “fair value” without the Class C-1 Shares having to reach the $18.00 per Class A ADS threshold set forth above under “—Redemption of Class C Shares for cash.” Holders of the Class C-1 Shares will, in effect, receive a number of Class A ADSs representing fair value for their Class C-1 Shares based on an option pricing model with a fixed volatility input. This redemption right provides the Company not only with an additional mechanism by which to redeem all of the outstanding Class C-1 Shares, in this case, for Class A ADSs, and therefore have certainty as to (i) the Company’s capital structure as the Class C-1 Shares would no longer be outstanding and would have been exercised or redeemed and (ii) to the amount of cash provided by the exercise of the Class C-1 Shares and available to the Company, and also provides a ceiling to the theoretical value of the Class C-1 Shares as it locks in the “redemption prices” the Company would pay to holders of Class C-1 Shares if Polestar chose to redeem Class C-1 Shares in this manner. The Company will effectively be required to pay fair value to holders of Class C-1 Shares if the Company chooses to exercise this redemption right and it will allow the Company to quickly proceed with a redemption of the Class C-1 Shares for Class A ADSs if the Company determines it is in the Company’s best interest to do so. As such, the Company would redeem the Class C-1 Shares in this manner when the Company believes it is in the Company’s best interest to update the Company’s capital structure to remove the Class C-1 Shares and pay fair value to the holders of Class C-1 Shares. In particular, it would allow the Company to quickly redeem the Class C-1 Shares for Class A ADSs, without having to negotiate a redemption price with the holders of Class C-1 Shares. In addition, the holders of Class C-1 Shares will have the ability to exercise the Class C Shares prior to redemption if they should choose to do so. </w:t>
      </w:r>
    </w:p>
    <w:p>
      <w:pPr>
        <w:pStyle w:val="TextBody"/>
        <w:spacing w:before="240" w:after="0"/>
        <w:jc w:val="left"/>
        <w:rPr>
          <w:rFonts w:ascii="Times New Roman" w:hAnsi="Times New Roman"/>
          <w:sz w:val="20"/>
        </w:rPr>
      </w:pPr>
      <w:r>
        <w:rPr>
          <w:rFonts w:ascii="Times New Roman" w:hAnsi="Times New Roman"/>
          <w:sz w:val="20"/>
        </w:rPr>
        <w:t xml:space="preserve">As stated above, the Company can redeem the Class C-1 Shares when the Class A ADSs are trading at a price starting at $10.00 per share, which is below the exercise price of $11.50 per share,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 per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 fractional Class A ADSs will be issued upon redemption. If, upon redemption, a holder would be entitled to receive a fractional interest in a Class A ADS, the Company will round down to the nearest whole number of the number of Class A ADSs to be issued to the holder. </w:t>
      </w:r>
    </w:p>
    <w:p>
      <w:pPr>
        <w:pStyle w:val="TextBody"/>
        <w:spacing w:before="240" w:after="0"/>
        <w:jc w:val="left"/>
        <w:rPr>
          <w:rFonts w:ascii="Times New Roman" w:hAnsi="Times New Roman"/>
          <w:sz w:val="20"/>
        </w:rPr>
      </w:pPr>
      <w:r>
        <w:rPr>
          <w:rFonts w:ascii="Times New Roman" w:hAnsi="Times New Roman"/>
          <w:sz w:val="20"/>
        </w:rPr>
        <w:t xml:space="preserve">Redemption procedures and cashless exercise. 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 </w:t>
      </w:r>
    </w:p>
    <w:p>
      <w:pPr>
        <w:pStyle w:val="TextBody"/>
        <w:spacing w:before="240" w:after="0"/>
        <w:jc w:val="left"/>
        <w:rPr>
          <w:rFonts w:ascii="Times New Roman" w:hAnsi="Times New Roman"/>
          <w:sz w:val="20"/>
        </w:rPr>
      </w:pPr>
      <w:r>
        <w:rPr>
          <w:rFonts w:ascii="Times New Roman" w:hAnsi="Times New Roman"/>
          <w:sz w:val="20"/>
        </w:rPr>
        <w:t xml:space="preserve">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the Business Combination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 </w:t>
      </w:r>
    </w:p>
    <w:p>
      <w:pPr>
        <w:pStyle w:val="TextBody"/>
        <w:spacing w:before="240" w:after="0"/>
        <w:jc w:val="left"/>
        <w:rPr>
          <w:rFonts w:ascii="Times New Roman" w:hAnsi="Times New Roman"/>
          <w:sz w:val="20"/>
        </w:rPr>
      </w:pPr>
      <w:r>
        <w:rPr>
          <w:rFonts w:ascii="Times New Roman" w:hAnsi="Times New Roman"/>
          <w:sz w:val="20"/>
        </w:rPr>
        <w:t xml:space="preserve">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 </w:t>
      </w:r>
    </w:p>
    <w:p>
      <w:pPr>
        <w:pStyle w:val="TextBody"/>
        <w:spacing w:before="240" w:after="0"/>
        <w:jc w:val="left"/>
        <w:rPr>
          <w:rFonts w:ascii="Times New Roman" w:hAnsi="Times New Roman"/>
          <w:sz w:val="20"/>
        </w:rPr>
      </w:pPr>
      <w:r>
        <w:rPr>
          <w:rFonts w:ascii="Times New Roman" w:hAnsi="Times New Roman"/>
          <w:sz w:val="20"/>
        </w:rPr>
        <w:t xml:space="preserve">Anti-dilution adjustments. If the number of outstanding Class A ADSs is increased by a stock dividend payable in Class A ADSs, or by 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 </w:t>
      </w:r>
    </w:p>
    <w:p>
      <w:pPr>
        <w:pStyle w:val="TextBody"/>
        <w:spacing w:before="240" w:after="0"/>
        <w:jc w:val="left"/>
        <w:rPr>
          <w:rFonts w:ascii="Times New Roman" w:hAnsi="Times New Roman"/>
          <w:sz w:val="20"/>
        </w:rPr>
      </w:pPr>
      <w:r>
        <w:rPr>
          <w:rFonts w:ascii="Times New Roman" w:hAnsi="Times New Roman"/>
          <w:sz w:val="20"/>
        </w:rPr>
        <w:t xml:space="preserve">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 </w:t>
      </w:r>
    </w:p>
    <w:p>
      <w:pPr>
        <w:pStyle w:val="TextBody"/>
        <w:spacing w:before="240" w:after="0"/>
        <w:jc w:val="left"/>
        <w:rPr>
          <w:rFonts w:ascii="Times New Roman" w:hAnsi="Times New Roman"/>
          <w:sz w:val="20"/>
        </w:rPr>
      </w:pPr>
      <w:r>
        <w:rPr>
          <w:rFonts w:ascii="Times New Roman" w:hAnsi="Times New Roman"/>
          <w:sz w:val="20"/>
        </w:rPr>
        <w:t xml:space="preserve">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 </w:t>
      </w:r>
    </w:p>
    <w:p>
      <w:pPr>
        <w:pStyle w:val="TextBody"/>
        <w:spacing w:before="240" w:after="0"/>
        <w:jc w:val="left"/>
        <w:rPr>
          <w:rFonts w:ascii="Times New Roman" w:hAnsi="Times New Roman"/>
          <w:sz w:val="20"/>
        </w:rPr>
      </w:pPr>
      <w:r>
        <w:rPr>
          <w:rFonts w:ascii="Times New Roman" w:hAnsi="Times New Roman"/>
          <w:sz w:val="20"/>
        </w:rPr>
        <w:t xml:space="preserve">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 </w:t>
      </w:r>
    </w:p>
    <w:p>
      <w:pPr>
        <w:pStyle w:val="TextBody"/>
        <w:spacing w:before="240" w:after="0"/>
        <w:jc w:val="left"/>
        <w:rPr>
          <w:rFonts w:ascii="Times New Roman" w:hAnsi="Times New Roman"/>
          <w:sz w:val="20"/>
        </w:rPr>
      </w:pPr>
      <w:r>
        <w:rPr>
          <w:rFonts w:ascii="Times New Roman" w:hAnsi="Times New Roman"/>
          <w:sz w:val="20"/>
        </w:rPr>
        <w:t xml:space="preserve">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 (i) 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statement of which this prospectus forms a part, for a complete description of the terms and conditions applicable to the Class C Shares. </w:t>
      </w:r>
    </w:p>
    <w:p>
      <w:pPr>
        <w:pStyle w:val="TextBody"/>
        <w:spacing w:before="240" w:after="0"/>
        <w:jc w:val="left"/>
        <w:rPr>
          <w:rFonts w:ascii="Times New Roman" w:hAnsi="Times New Roman"/>
          <w:sz w:val="20"/>
        </w:rPr>
      </w:pPr>
      <w:r>
        <w:rPr>
          <w:rFonts w:ascii="Times New Roman" w:hAnsi="Times New Roman"/>
          <w:sz w:val="20"/>
        </w:rPr>
        <w:t xml:space="preserve">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 </w:t>
      </w:r>
    </w:p>
    <w:p>
      <w:pPr>
        <w:pStyle w:val="TextBody"/>
        <w:spacing w:before="240" w:after="0"/>
        <w:jc w:val="left"/>
        <w:rPr>
          <w:rFonts w:ascii="Times New Roman" w:hAnsi="Times New Roman"/>
          <w:sz w:val="20"/>
        </w:rPr>
      </w:pPr>
      <w:r>
        <w:rPr>
          <w:rFonts w:ascii="Times New Roman" w:hAnsi="Times New Roman"/>
          <w:sz w:val="20"/>
        </w:rPr>
        <w:t xml:space="preserve">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 </w:t>
      </w:r>
    </w:p>
    <w:p>
      <w:pPr>
        <w:pStyle w:val="TextBody"/>
        <w:spacing w:before="240" w:after="0"/>
        <w:jc w:val="left"/>
        <w:rPr>
          <w:rFonts w:ascii="Times New Roman" w:hAnsi="Times New Roman"/>
          <w:sz w:val="20"/>
        </w:rPr>
      </w:pPr>
      <w:r>
        <w:rPr>
          <w:rFonts w:ascii="Times New Roman" w:hAnsi="Times New Roman"/>
          <w:sz w:val="20"/>
        </w:rPr>
        <w:t xml:space="preserve">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spacing w:before="240" w:after="0"/>
        <w:jc w:val="left"/>
        <w:rPr>
          <w:rFonts w:ascii="Times New Roman" w:hAnsi="Times New Roman"/>
          <w:sz w:val="20"/>
        </w:rPr>
      </w:pPr>
      <w:r>
        <w:rPr>
          <w:rFonts w:ascii="Times New Roman" w:hAnsi="Times New Roman"/>
          <w:sz w:val="20"/>
        </w:rPr>
        <w:t xml:space="preserve">Subject to certain exceptions, the Class C-2 Shares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 </w:t>
      </w:r>
    </w:p>
    <w:p>
      <w:pPr>
        <w:pStyle w:val="TextBody"/>
        <w:spacing w:before="240" w:after="0"/>
        <w:jc w:val="left"/>
        <w:rPr>
          <w:rFonts w:ascii="Times New Roman" w:hAnsi="Times New Roman"/>
          <w:sz w:val="20"/>
        </w:rPr>
      </w:pPr>
      <w:r>
        <w:rPr>
          <w:rFonts w:ascii="Times New Roman" w:hAnsi="Times New Roman"/>
          <w:sz w:val="20"/>
        </w:rPr>
        <w:t xml:space="preserve">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 </w:t>
      </w:r>
    </w:p>
    <w:p>
      <w:pPr>
        <w:pStyle w:val="TextBody"/>
        <w:spacing w:before="360" w:after="0"/>
        <w:jc w:val="left"/>
        <w:rPr>
          <w:rFonts w:ascii="Times New Roman" w:hAnsi="Times New Roman"/>
          <w:b/>
          <w:sz w:val="20"/>
        </w:rPr>
      </w:pPr>
      <w:r>
        <w:rPr>
          <w:rFonts w:ascii="Times New Roman" w:hAnsi="Times New Roman"/>
          <w:b/>
          <w:sz w:val="20"/>
        </w:rPr>
        <w:t xml:space="preserve">Listing </w:t>
      </w:r>
    </w:p>
    <w:p>
      <w:pPr>
        <w:pStyle w:val="TextBody"/>
        <w:spacing w:before="120" w:after="0"/>
        <w:jc w:val="left"/>
        <w:rPr>
          <w:rFonts w:ascii="Times New Roman" w:hAnsi="Times New Roman"/>
          <w:sz w:val="20"/>
        </w:rPr>
      </w:pPr>
      <w:r>
        <w:rPr>
          <w:rFonts w:ascii="Times New Roman" w:hAnsi="Times New Roman"/>
          <w:sz w:val="20"/>
        </w:rPr>
        <w:t xml:space="preserve">The Class A ADSs and Class C-1 ADSs are listed on Nasdaq under the symbols “PSNY” and “PSNYW,”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472016_22"/>
      <w:bookmarkEnd w:id="24"/>
      <w:r>
        <w:rPr>
          <w:rFonts w:ascii="Times New Roman" w:hAnsi="Times New Roman"/>
          <w:b/>
          <w:sz w:val="20"/>
        </w:rPr>
        <w:t xml:space="preserve">DESCRIPTION OF AMERICAN DEPOSITARY SHARES </w:t>
      </w:r>
    </w:p>
    <w:p>
      <w:pPr>
        <w:pStyle w:val="TextBody"/>
        <w:spacing w:before="240" w:after="0"/>
        <w:jc w:val="left"/>
        <w:rPr>
          <w:rFonts w:ascii="Times New Roman" w:hAnsi="Times New Roman"/>
          <w:sz w:val="20"/>
        </w:rPr>
      </w:pPr>
      <w:r>
        <w:rPr>
          <w:rFonts w:ascii="Times New Roman" w:hAnsi="Times New Roman"/>
          <w:sz w:val="20"/>
        </w:rPr>
        <w:t xml:space="preserve">The below summarizes the terms of the ADSs. </w:t>
      </w:r>
    </w:p>
    <w:p>
      <w:pPr>
        <w:pStyle w:val="TextBody"/>
        <w:spacing w:before="360" w:after="0"/>
        <w:jc w:val="left"/>
        <w:rPr>
          <w:rFonts w:ascii="Times New Roman" w:hAnsi="Times New Roman"/>
          <w:b/>
          <w:sz w:val="20"/>
        </w:rPr>
      </w:pPr>
      <w:r>
        <w:rPr>
          <w:rFonts w:ascii="Times New Roman" w:hAnsi="Times New Roman"/>
          <w:b/>
          <w:sz w:val="20"/>
        </w:rPr>
        <w:t xml:space="preserve">ADSs </w:t>
      </w:r>
    </w:p>
    <w:p>
      <w:pPr>
        <w:pStyle w:val="TextBody"/>
        <w:spacing w:before="120" w:after="0"/>
        <w:jc w:val="left"/>
        <w:rPr>
          <w:rFonts w:ascii="Times New Roman" w:hAnsi="Times New Roman"/>
          <w:sz w:val="20"/>
        </w:rPr>
      </w:pPr>
      <w:r>
        <w:rPr>
          <w:rFonts w:ascii="Times New Roman" w:hAnsi="Times New Roman"/>
          <w:sz w:val="20"/>
        </w:rPr>
        <w:t xml:space="preserve">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w:t>
      </w:r>
    </w:p>
    <w:p>
      <w:pPr>
        <w:pStyle w:val="TextBody"/>
        <w:spacing w:before="240" w:after="0"/>
        <w:jc w:val="left"/>
        <w:rPr>
          <w:rFonts w:ascii="Times New Roman" w:hAnsi="Times New Roman"/>
          <w:sz w:val="20"/>
        </w:rPr>
      </w:pPr>
      <w:r>
        <w:rPr>
          <w:rFonts w:ascii="Times New Roman" w:hAnsi="Times New Roman"/>
          <w:sz w:val="20"/>
        </w:rPr>
        <w:t xml:space="preserve">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333-263480 (for the Class C-1 ADSs), and 333-263481 (for the Class C-2 ADSs), respectively, when retrieving such copy. </w:t>
      </w:r>
    </w:p>
    <w:p>
      <w:pPr>
        <w:pStyle w:val="TextBody"/>
        <w:spacing w:before="240" w:after="0"/>
        <w:jc w:val="left"/>
        <w:rPr>
          <w:rFonts w:ascii="Times New Roman" w:hAnsi="Times New Roman"/>
          <w:sz w:val="20"/>
        </w:rPr>
      </w:pPr>
      <w:r>
        <w:rPr>
          <w:rFonts w:ascii="Times New Roman" w:hAnsi="Times New Roman"/>
          <w:sz w:val="20"/>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Times New Roman" w:hAnsi="Times New Roman"/>
          <w:i/>
          <w:sz w:val="20"/>
        </w:rPr>
        <w:t>The portions of this summary description that are italicized describe matters that may be relevant to the ownership of ADSs but that may not be contained in the deposit agreements.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spacing w:before="240" w:after="0"/>
        <w:jc w:val="left"/>
        <w:rPr>
          <w:rFonts w:ascii="Times New Roman" w:hAnsi="Times New Roman"/>
          <w:sz w:val="20"/>
        </w:rPr>
      </w:pPr>
      <w:r>
        <w:rPr>
          <w:rFonts w:ascii="Times New Roman" w:hAnsi="Times New Roman"/>
          <w:sz w:val="20"/>
        </w:rPr>
        <w:t xml:space="preserve">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 </w:t>
      </w:r>
    </w:p>
    <w:p>
      <w:pPr>
        <w:pStyle w:val="TextBody"/>
        <w:spacing w:before="240" w:after="0"/>
        <w:jc w:val="left"/>
        <w:rPr>
          <w:rFonts w:ascii="Times New Roman" w:hAnsi="Times New Roman"/>
          <w:sz w:val="20"/>
        </w:rPr>
      </w:pPr>
      <w:r>
        <w:rPr>
          <w:rFonts w:ascii="Times New Roman" w:hAnsi="Times New Roman"/>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 </w:t>
      </w:r>
    </w:p>
    <w:p>
      <w:pPr>
        <w:pStyle w:val="TextBody"/>
        <w:spacing w:before="240" w:after="0"/>
        <w:jc w:val="left"/>
        <w:rPr>
          <w:rFonts w:ascii="Times New Roman" w:hAnsi="Times New Roman"/>
          <w:i/>
          <w:sz w:val="20"/>
        </w:rPr>
      </w:pPr>
      <w:r>
        <w:rPr>
          <w:rFonts w:ascii="Times New Roman" w:hAnsi="Times New Roman"/>
          <w:i/>
          <w:sz w:val="20"/>
        </w:rPr>
        <w:t xml:space="preserve">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spacing w:before="240" w:after="0"/>
        <w:jc w:val="left"/>
        <w:rPr>
          <w:rFonts w:ascii="Times New Roman" w:hAnsi="Times New Roman"/>
          <w:i/>
          <w:sz w:val="20"/>
        </w:rPr>
      </w:pPr>
      <w:r>
        <w:rPr>
          <w:rFonts w:ascii="Times New Roman" w:hAnsi="Times New Roman"/>
          <w:i/>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 </w:t>
      </w:r>
    </w:p>
    <w:p>
      <w:pPr>
        <w:pStyle w:val="TextBody"/>
        <w:spacing w:before="240" w:after="0"/>
        <w:jc w:val="left"/>
        <w:rPr>
          <w:rFonts w:ascii="Times New Roman" w:hAnsi="Times New Roman"/>
          <w:sz w:val="20"/>
        </w:rPr>
      </w:pPr>
      <w:r>
        <w:rPr>
          <w:rFonts w:ascii="Times New Roman" w:hAnsi="Times New Roman"/>
          <w:sz w:val="20"/>
        </w:rPr>
        <w:t xml:space="preserve">The registration of the Class A Shares and the Class C Shares in the name of the Depositary or the custodian shall, to the maximum extent permitted by applicable law, vest in the Depositary or the custodian the record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 all times be entitled to exercise the beneficial ownership rights in all corresponding deposited property, in each case only on behalf of the holders and beneficial owners of the ADSs representing the deposited property. </w:t>
      </w:r>
    </w:p>
    <w:p>
      <w:pPr>
        <w:pStyle w:val="TextBody"/>
        <w:spacing w:before="240" w:after="0"/>
        <w:jc w:val="left"/>
        <w:rPr>
          <w:rFonts w:ascii="Times New Roman" w:hAnsi="Times New Roman"/>
          <w:sz w:val="20"/>
        </w:rPr>
      </w:pPr>
      <w:r>
        <w:rPr>
          <w:rFonts w:ascii="Times New Roman" w:hAnsi="Times New Roman"/>
          <w:sz w:val="20"/>
        </w:rPr>
        <w:t xml:space="preserve">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“—Restricted ADSs,” below. </w:t>
      </w:r>
    </w:p>
    <w:p>
      <w:pPr>
        <w:pStyle w:val="TextBody"/>
        <w:spacing w:before="360" w:after="0"/>
        <w:jc w:val="left"/>
        <w:rPr>
          <w:rFonts w:ascii="Times New Roman" w:hAnsi="Times New Roman"/>
          <w:b/>
          <w:i/>
          <w:sz w:val="20"/>
        </w:rPr>
      </w:pPr>
      <w:r>
        <w:rPr>
          <w:rFonts w:ascii="Times New Roman" w:hAnsi="Times New Roman"/>
          <w:b/>
          <w:i/>
          <w:sz w:val="20"/>
        </w:rPr>
        <w:t xml:space="preserve">Dividends and Distributions </w:t>
      </w:r>
    </w:p>
    <w:p>
      <w:pPr>
        <w:pStyle w:val="TextBody"/>
        <w:spacing w:before="120" w:after="0"/>
        <w:jc w:val="left"/>
        <w:rPr>
          <w:rFonts w:ascii="Times New Roman" w:hAnsi="Times New Roman"/>
          <w:sz w:val="20"/>
        </w:rPr>
      </w:pPr>
      <w:r>
        <w:rPr>
          <w:rFonts w:ascii="Times New Roman" w:hAnsi="Times New Roman"/>
          <w:sz w:val="20"/>
        </w:rPr>
        <w:t xml:space="preserve">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spacing w:before="360" w:after="0"/>
        <w:jc w:val="left"/>
        <w:rPr>
          <w:rFonts w:ascii="Times New Roman" w:hAnsi="Times New Roman"/>
          <w:i/>
          <w:sz w:val="20"/>
        </w:rPr>
      </w:pPr>
      <w:r>
        <w:rPr>
          <w:rFonts w:ascii="Times New Roman" w:hAnsi="Times New Roman"/>
          <w:i/>
          <w:sz w:val="20"/>
        </w:rPr>
        <w:t xml:space="preserve">Distributions of Cash </w:t>
      </w:r>
    </w:p>
    <w:p>
      <w:pPr>
        <w:pStyle w:val="TextBody"/>
        <w:spacing w:before="120" w:after="0"/>
        <w:jc w:val="left"/>
        <w:rPr>
          <w:rFonts w:ascii="Times New Roman" w:hAnsi="Times New Roman"/>
          <w:sz w:val="20"/>
        </w:rPr>
      </w:pPr>
      <w:r>
        <w:rPr>
          <w:rFonts w:ascii="Times New Roman" w:hAnsi="Times New Roman"/>
          <w:sz w:val="20"/>
        </w:rPr>
        <w:t xml:space="preserve">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 </w:t>
      </w:r>
    </w:p>
    <w:p>
      <w:pPr>
        <w:pStyle w:val="TextBody"/>
        <w:spacing w:before="240" w:after="0"/>
        <w:jc w:val="left"/>
        <w:rPr>
          <w:rFonts w:ascii="Times New Roman" w:hAnsi="Times New Roman"/>
          <w:sz w:val="20"/>
        </w:rPr>
      </w:pPr>
      <w:r>
        <w:rPr>
          <w:rFonts w:ascii="Times New Roman" w:hAnsi="Times New Roman"/>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spacing w:before="240" w:after="0"/>
        <w:jc w:val="left"/>
        <w:rPr>
          <w:rFonts w:ascii="Times New Roman" w:hAnsi="Times New Roman"/>
          <w:sz w:val="20"/>
        </w:rPr>
      </w:pPr>
      <w:r>
        <w:rPr>
          <w:rFonts w:ascii="Times New Roman" w:hAnsi="Times New Roman"/>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spacing w:before="360" w:after="0"/>
        <w:jc w:val="left"/>
        <w:rPr>
          <w:rFonts w:ascii="Times New Roman" w:hAnsi="Times New Roman"/>
          <w:i/>
          <w:sz w:val="20"/>
        </w:rPr>
      </w:pPr>
      <w:r>
        <w:rPr>
          <w:rFonts w:ascii="Times New Roman" w:hAnsi="Times New Roman"/>
          <w:i/>
          <w:sz w:val="20"/>
        </w:rPr>
        <w:t xml:space="preserve">Distributions of Class A Shares or Class C Shares </w:t>
      </w:r>
    </w:p>
    <w:p>
      <w:pPr>
        <w:pStyle w:val="TextBody"/>
        <w:spacing w:before="120" w:after="0"/>
        <w:jc w:val="left"/>
        <w:rPr>
          <w:rFonts w:ascii="Times New Roman" w:hAnsi="Times New Roman"/>
          <w:sz w:val="20"/>
        </w:rPr>
      </w:pPr>
      <w:r>
        <w:rPr>
          <w:rFonts w:ascii="Times New Roman" w:hAnsi="Times New Roman"/>
          <w:sz w:val="20"/>
        </w:rPr>
        <w:t xml:space="preserve">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 </w:t>
      </w:r>
    </w:p>
    <w:p>
      <w:pPr>
        <w:pStyle w:val="TextBody"/>
        <w:spacing w:before="240" w:after="0"/>
        <w:jc w:val="left"/>
        <w:rPr>
          <w:rFonts w:ascii="Times New Roman" w:hAnsi="Times New Roman"/>
          <w:sz w:val="20"/>
        </w:rPr>
      </w:pPr>
      <w:r>
        <w:rPr>
          <w:rFonts w:ascii="Times New Roman" w:hAnsi="Times New Roman"/>
          <w:sz w:val="20"/>
        </w:rPr>
        <w:t xml:space="preserve">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 </w:t>
      </w:r>
    </w:p>
    <w:p>
      <w:pPr>
        <w:pStyle w:val="TextBody"/>
        <w:spacing w:before="240" w:after="0"/>
        <w:jc w:val="left"/>
        <w:rPr>
          <w:rFonts w:ascii="Times New Roman" w:hAnsi="Times New Roman"/>
          <w:sz w:val="20"/>
        </w:rPr>
      </w:pPr>
      <w:r>
        <w:rPr>
          <w:rFonts w:ascii="Times New Roman" w:hAnsi="Times New Roman"/>
          <w:sz w:val="20"/>
        </w:rPr>
        <w:t xml:space="preserve">No such distribution of new ADSs will be made if it would violate a law (e.g., the U.S. securities laws) or if it is not operationally practicable. If the Depositary does not distribute new ADSs as described above, it may sell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Class A Shares or Class C Shares received upon the terms described in the deposit agreement and will distribute the proceeds of the sale as in the case of a distribution of cash. </w:t>
      </w:r>
    </w:p>
    <w:p>
      <w:pPr>
        <w:pStyle w:val="TextBody"/>
        <w:spacing w:before="360" w:after="0"/>
        <w:jc w:val="left"/>
        <w:rPr>
          <w:rFonts w:ascii="Times New Roman" w:hAnsi="Times New Roman"/>
          <w:i/>
          <w:sz w:val="20"/>
        </w:rPr>
      </w:pPr>
      <w:r>
        <w:rPr>
          <w:rFonts w:ascii="Times New Roman" w:hAnsi="Times New Roman"/>
          <w:i/>
          <w:sz w:val="20"/>
        </w:rPr>
        <w:t xml:space="preserve">Distributions of Rights </w:t>
      </w:r>
    </w:p>
    <w:p>
      <w:pPr>
        <w:pStyle w:val="TextBody"/>
        <w:spacing w:before="120" w:after="0"/>
        <w:jc w:val="left"/>
        <w:rPr>
          <w:rFonts w:ascii="Times New Roman" w:hAnsi="Times New Roman"/>
          <w:sz w:val="20"/>
        </w:rPr>
      </w:pPr>
      <w:r>
        <w:rPr>
          <w:rFonts w:ascii="Times New Roman" w:hAnsi="Times New Roman"/>
          <w:sz w:val="20"/>
        </w:rPr>
        <w:t xml:space="preserve">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 </w:t>
      </w:r>
    </w:p>
    <w:p>
      <w:pPr>
        <w:pStyle w:val="TextBody"/>
        <w:spacing w:before="240" w:after="0"/>
        <w:jc w:val="left"/>
        <w:rPr>
          <w:rFonts w:ascii="Times New Roman" w:hAnsi="Times New Roman"/>
          <w:sz w:val="20"/>
        </w:rPr>
      </w:pPr>
      <w:r>
        <w:rPr>
          <w:rFonts w:ascii="Times New Roman" w:hAnsi="Times New Roman"/>
          <w:sz w:val="20"/>
        </w:rPr>
        <w:t xml:space="preserve">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Shares or Class C Shares other than in the form of ADSs. </w:t>
      </w:r>
    </w:p>
    <w:p>
      <w:pPr>
        <w:pStyle w:val="TextBody"/>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not</w:t>
      </w:r>
      <w:r>
        <w:rPr>
          <w:rFonts w:ascii="Times New Roman" w:hAnsi="Times New Roman"/>
          <w:sz w:val="20"/>
        </w:rPr>
        <w:t xml:space="preserve"> distribute the rights to you if: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does not timely request that the rights be distributed to you or the Company requests that the rights not be distributed to you; </w:t>
            </w:r>
          </w:p>
        </w:tc>
      </w:tr>
    </w:tbl>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fails to deliver satisfactory documents to the Depositary; or </w:t>
            </w:r>
          </w:p>
        </w:tc>
      </w:tr>
    </w:tbl>
    <w:p>
      <w:pPr>
        <w:pStyle w:val="TextBody"/>
        <w:spacing w:before="0" w:after="0"/>
        <w:jc w:val="left"/>
        <w:rPr/>
      </w:pPr>
      <w:r>
        <w:rPr/>
        <w:t> </w:t>
      </w:r>
    </w:p>
    <w:tbl>
      <w:tblPr>
        <w:tblW w:w="4705" w:type="dxa"/>
        <w:jc w:val="left"/>
        <w:tblInd w:w="0" w:type="dxa"/>
        <w:tblCellMar>
          <w:top w:w="0" w:type="dxa"/>
          <w:left w:w="0" w:type="dxa"/>
          <w:bottom w:w="0" w:type="dxa"/>
          <w:right w:w="0" w:type="dxa"/>
        </w:tblCellMar>
      </w:tblPr>
      <w:tblGrid>
        <w:gridCol w:w="75"/>
        <w:gridCol w:w="110"/>
        <w:gridCol w:w="60"/>
        <w:gridCol w:w="4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it is not reasonably practicable to distribute the rights. </w:t>
            </w:r>
          </w:p>
        </w:tc>
      </w:tr>
    </w:tbl>
    <w:p>
      <w:pPr>
        <w:pStyle w:val="TextBody"/>
        <w:spacing w:before="240" w:after="0"/>
        <w:jc w:val="left"/>
        <w:rPr>
          <w:rFonts w:ascii="Times New Roman" w:hAnsi="Times New Roman"/>
          <w:sz w:val="20"/>
        </w:rPr>
      </w:pPr>
      <w:r>
        <w:rPr>
          <w:rFonts w:ascii="Times New Roman" w:hAnsi="Times New Roman"/>
          <w:sz w:val="20"/>
        </w:rPr>
        <w:t xml:space="preserve">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 </w:t>
      </w:r>
    </w:p>
    <w:p>
      <w:pPr>
        <w:pStyle w:val="TextBody"/>
        <w:spacing w:before="360" w:after="0"/>
        <w:jc w:val="left"/>
        <w:rPr>
          <w:rFonts w:ascii="Times New Roman" w:hAnsi="Times New Roman"/>
          <w:i/>
          <w:sz w:val="20"/>
        </w:rPr>
      </w:pPr>
      <w:r>
        <w:rPr>
          <w:rFonts w:ascii="Times New Roman" w:hAnsi="Times New Roman"/>
          <w:i/>
          <w:sz w:val="20"/>
        </w:rPr>
        <w:t xml:space="preserve">Elective Distributions </w:t>
      </w:r>
    </w:p>
    <w:p>
      <w:pPr>
        <w:pStyle w:val="TextBody"/>
        <w:spacing w:before="120" w:after="0"/>
        <w:jc w:val="left"/>
        <w:rPr>
          <w:rFonts w:ascii="Times New Roman" w:hAnsi="Times New Roman"/>
          <w:sz w:val="20"/>
        </w:rPr>
      </w:pPr>
      <w:r>
        <w:rPr>
          <w:rFonts w:ascii="Times New Roman" w:hAnsi="Times New Roman"/>
          <w:sz w:val="20"/>
        </w:rPr>
        <w:t xml:space="preserve">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 </w:t>
      </w:r>
    </w:p>
    <w:p>
      <w:pPr>
        <w:pStyle w:val="TextBody"/>
        <w:spacing w:before="240" w:after="0"/>
        <w:jc w:val="left"/>
        <w:rPr>
          <w:rFonts w:ascii="Times New Roman" w:hAnsi="Times New Roman"/>
          <w:sz w:val="20"/>
        </w:rPr>
      </w:pPr>
      <w:r>
        <w:rPr>
          <w:rFonts w:ascii="Times New Roman" w:hAnsi="Times New Roman"/>
          <w:sz w:val="20"/>
        </w:rPr>
        <w:t xml:space="preserve">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spacing w:before="240" w:after="0"/>
        <w:jc w:val="left"/>
        <w:rPr>
          <w:rFonts w:ascii="Times New Roman" w:hAnsi="Times New Roman"/>
          <w:sz w:val="20"/>
        </w:rPr>
      </w:pPr>
      <w:r>
        <w:rPr>
          <w:rFonts w:ascii="Times New Roman" w:hAnsi="Times New Roman"/>
          <w:sz w:val="20"/>
        </w:rPr>
        <w:t xml:space="preserve">If the election is not made available to you, you will receive either cash or additional ADSs, depending on what a shareholder in England and Wales would receive upon failing to make an election, as more fully described in the deposit agreement. </w:t>
      </w:r>
    </w:p>
    <w:p>
      <w:pPr>
        <w:pStyle w:val="TextBody"/>
        <w:spacing w:before="360" w:after="0"/>
        <w:jc w:val="left"/>
        <w:rPr>
          <w:rFonts w:ascii="Times New Roman" w:hAnsi="Times New Roman"/>
          <w:i/>
          <w:sz w:val="20"/>
        </w:rPr>
      </w:pPr>
      <w:r>
        <w:rPr>
          <w:rFonts w:ascii="Times New Roman" w:hAnsi="Times New Roman"/>
          <w:i/>
          <w:sz w:val="20"/>
        </w:rPr>
        <w:t xml:space="preserve">Other Distributions </w:t>
      </w:r>
    </w:p>
    <w:p>
      <w:pPr>
        <w:pStyle w:val="TextBody"/>
        <w:spacing w:before="120" w:after="0"/>
        <w:jc w:val="left"/>
        <w:rPr>
          <w:rFonts w:ascii="Times New Roman" w:hAnsi="Times New Roman"/>
          <w:sz w:val="20"/>
        </w:rPr>
      </w:pPr>
      <w:r>
        <w:rPr>
          <w:rFonts w:ascii="Times New Roman" w:hAnsi="Times New Roman"/>
          <w:sz w:val="20"/>
        </w:rPr>
        <w:t xml:space="preserve">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it is reasonably practicable to distribute such property to you and if the Company provides to the Depositary all of the documentation contemplated in the deposit agreement, the Depositary will distribute the property to the applicable holders in a manner it deems practicable. The distribution will be made net of fees, expenses, taxes and governmental charges payable by holders under the terms of the applicable deposit agreement. In order to pay such taxes and governmental charges, the Depositary may sell all or a portion of the property received. </w:t>
      </w:r>
    </w:p>
    <w:p>
      <w:pPr>
        <w:pStyle w:val="TextBody"/>
        <w:spacing w:before="240" w:after="0"/>
        <w:jc w:val="left"/>
        <w:rPr>
          <w:rFonts w:ascii="Times New Roman" w:hAnsi="Times New Roman"/>
          <w:sz w:val="20"/>
        </w:rPr>
      </w:pPr>
      <w:r>
        <w:rPr>
          <w:rFonts w:ascii="Times New Roman" w:hAnsi="Times New Roman"/>
          <w:sz w:val="20"/>
        </w:rPr>
        <w:t xml:space="preserve">The Depositary will not distribute the property to you and will sell the property if: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does not request that the property be distributed to you or if the Company requests that the property not be distributed to you; </w:t>
            </w:r>
          </w:p>
        </w:tc>
      </w:tr>
    </w:tbl>
    <w:p>
      <w:pPr>
        <w:pStyle w:val="TextBody"/>
        <w:spacing w:before="0" w:after="0"/>
        <w:jc w:val="left"/>
        <w:rPr/>
      </w:pPr>
      <w:r>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does not deliver satisfactory documents to the Depositary; or </w:t>
            </w:r>
          </w:p>
        </w:tc>
      </w:tr>
    </w:tbl>
    <w:p>
      <w:pPr>
        <w:pStyle w:val="TextBody"/>
        <w:spacing w:before="0" w:after="0"/>
        <w:jc w:val="left"/>
        <w:rPr/>
      </w:pPr>
      <w:r>
        <w:rPr/>
        <w:t> </w:t>
      </w:r>
    </w:p>
    <w:tbl>
      <w:tblPr>
        <w:tblW w:w="8545" w:type="dxa"/>
        <w:jc w:val="left"/>
        <w:tblInd w:w="0" w:type="dxa"/>
        <w:tblCellMar>
          <w:top w:w="0" w:type="dxa"/>
          <w:left w:w="0" w:type="dxa"/>
          <w:bottom w:w="0" w:type="dxa"/>
          <w:right w:w="0" w:type="dxa"/>
        </w:tblCellMar>
      </w:tblPr>
      <w:tblGrid>
        <w:gridCol w:w="75"/>
        <w:gridCol w:w="110"/>
        <w:gridCol w:w="60"/>
        <w:gridCol w:w="8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Depositary determines that all or a portion of the distribution to you is not reasonably practicable. </w:t>
            </w:r>
          </w:p>
        </w:tc>
      </w:tr>
    </w:tbl>
    <w:p>
      <w:pPr>
        <w:pStyle w:val="TextBody"/>
        <w:spacing w:before="240" w:after="0"/>
        <w:jc w:val="left"/>
        <w:rPr>
          <w:rFonts w:ascii="Times New Roman" w:hAnsi="Times New Roman"/>
          <w:sz w:val="20"/>
        </w:rPr>
      </w:pPr>
      <w:r>
        <w:rPr>
          <w:rFonts w:ascii="Times New Roman" w:hAnsi="Times New Roman"/>
          <w:sz w:val="20"/>
        </w:rPr>
        <w:t xml:space="preserve">The proceeds of such a sale will be distributed to holders as in the case of a cash distribution. </w:t>
      </w:r>
    </w:p>
    <w:p>
      <w:pPr>
        <w:pStyle w:val="TextBody"/>
        <w:spacing w:before="360" w:after="0"/>
        <w:jc w:val="left"/>
        <w:rPr>
          <w:rFonts w:ascii="Times New Roman" w:hAnsi="Times New Roman"/>
          <w:b/>
          <w:i/>
          <w:sz w:val="20"/>
        </w:rPr>
      </w:pPr>
      <w:r>
        <w:rPr>
          <w:rFonts w:ascii="Times New Roman" w:hAnsi="Times New Roman"/>
          <w:b/>
          <w:i/>
          <w:sz w:val="20"/>
        </w:rPr>
        <w:t xml:space="preserve">Redemption and, with respect to Class C Shares, Mandatory Conversion </w:t>
      </w:r>
    </w:p>
    <w:p>
      <w:pPr>
        <w:pStyle w:val="TextBody"/>
        <w:spacing w:before="120" w:after="0"/>
        <w:jc w:val="left"/>
        <w:rPr>
          <w:rFonts w:ascii="Times New Roman" w:hAnsi="Times New Roman"/>
          <w:sz w:val="20"/>
        </w:rPr>
      </w:pPr>
      <w:r>
        <w:rPr>
          <w:rFonts w:ascii="Times New Roman" w:hAnsi="Times New Roman"/>
          <w:sz w:val="20"/>
        </w:rPr>
        <w:t xml:space="preserve">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 </w:t>
      </w:r>
    </w:p>
    <w:p>
      <w:pPr>
        <w:pStyle w:val="TextBody"/>
        <w:spacing w:before="240" w:after="0"/>
        <w:jc w:val="left"/>
        <w:rPr>
          <w:rFonts w:ascii="Times New Roman" w:hAnsi="Times New Roman"/>
          <w:sz w:val="20"/>
        </w:rPr>
      </w:pPr>
      <w:r>
        <w:rPr>
          <w:rFonts w:ascii="Times New Roman" w:hAnsi="Times New Roman"/>
          <w:sz w:val="20"/>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pro rata basis, as the Depositary may determine. </w:t>
      </w:r>
    </w:p>
    <w:p>
      <w:pPr>
        <w:pStyle w:val="TextBody"/>
        <w:spacing w:before="360" w:after="0"/>
        <w:jc w:val="left"/>
        <w:rPr>
          <w:rFonts w:ascii="Times New Roman" w:hAnsi="Times New Roman"/>
          <w:b/>
          <w:i/>
          <w:sz w:val="20"/>
        </w:rPr>
      </w:pPr>
      <w:r>
        <w:rPr>
          <w:rFonts w:ascii="Times New Roman" w:hAnsi="Times New Roman"/>
          <w:b/>
          <w:i/>
          <w:sz w:val="20"/>
        </w:rPr>
        <w:t xml:space="preserve">Changes affecting Class A Shares or Class C Shares </w:t>
      </w:r>
    </w:p>
    <w:p>
      <w:pPr>
        <w:pStyle w:val="TextBody"/>
        <w:spacing w:before="120" w:after="0"/>
        <w:jc w:val="left"/>
        <w:rPr>
          <w:rFonts w:ascii="Times New Roman" w:hAnsi="Times New Roman"/>
          <w:sz w:val="20"/>
        </w:rPr>
      </w:pPr>
      <w:r>
        <w:rPr>
          <w:rFonts w:ascii="Times New Roman" w:hAnsi="Times New Roman"/>
          <w:sz w:val="20"/>
        </w:rPr>
        <w:t xml:space="preserve">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 </w:t>
      </w:r>
    </w:p>
    <w:p>
      <w:pPr>
        <w:pStyle w:val="TextBody"/>
        <w:spacing w:before="240" w:after="0"/>
        <w:jc w:val="left"/>
        <w:rPr>
          <w:rFonts w:ascii="Times New Roman" w:hAnsi="Times New Roman"/>
          <w:sz w:val="20"/>
        </w:rPr>
      </w:pPr>
      <w:r>
        <w:rPr>
          <w:rFonts w:ascii="Times New Roman" w:hAnsi="Times New Roman"/>
          <w:sz w:val="20"/>
        </w:rPr>
        <w:t xml:space="preserve">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Issuance of ADSs upon Deposit of Class A Shares or Class C Shares </w:t>
      </w:r>
    </w:p>
    <w:p>
      <w:pPr>
        <w:pStyle w:val="TextBody"/>
        <w:spacing w:before="120" w:after="0"/>
        <w:jc w:val="left"/>
        <w:rPr>
          <w:rFonts w:ascii="Times New Roman" w:hAnsi="Times New Roman"/>
          <w:sz w:val="20"/>
        </w:rPr>
      </w:pPr>
      <w:r>
        <w:rPr>
          <w:rFonts w:ascii="Times New Roman" w:hAnsi="Times New Roman"/>
          <w:sz w:val="20"/>
        </w:rPr>
        <w:t xml:space="preserve">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 </w:t>
      </w:r>
    </w:p>
    <w:p>
      <w:pPr>
        <w:pStyle w:val="TextBody"/>
        <w:spacing w:before="240" w:after="0"/>
        <w:jc w:val="left"/>
        <w:rPr>
          <w:rFonts w:ascii="Times New Roman" w:hAnsi="Times New Roman"/>
          <w:sz w:val="20"/>
        </w:rPr>
      </w:pPr>
      <w:r>
        <w:rPr>
          <w:rFonts w:ascii="Times New Roman" w:hAnsi="Times New Roman"/>
          <w:sz w:val="20"/>
        </w:rPr>
        <w:t xml:space="preserve">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 </w:t>
      </w:r>
    </w:p>
    <w:p>
      <w:pPr>
        <w:pStyle w:val="TextBody"/>
        <w:spacing w:before="240" w:after="0"/>
        <w:jc w:val="left"/>
        <w:rPr>
          <w:rFonts w:ascii="Times New Roman" w:hAnsi="Times New Roman"/>
          <w:sz w:val="20"/>
        </w:rPr>
      </w:pPr>
      <w:r>
        <w:rPr>
          <w:rFonts w:ascii="Times New Roman" w:hAnsi="Times New Roman"/>
          <w:sz w:val="20"/>
        </w:rPr>
        <w:t xml:space="preserve">The issuance of ADSs may be delayed until the Depositary or the custodian receives confirmation that all required approvals have been given and that the Shares have been duly transferred to the custodian. The Depositary will only issue ADSs in whole numbers. </w:t>
      </w:r>
    </w:p>
    <w:p>
      <w:pPr>
        <w:pStyle w:val="TextBody"/>
        <w:spacing w:before="240" w:after="0"/>
        <w:jc w:val="left"/>
        <w:rPr>
          <w:rFonts w:ascii="Times New Roman" w:hAnsi="Times New Roman"/>
          <w:sz w:val="20"/>
        </w:rPr>
      </w:pPr>
      <w:r>
        <w:rPr>
          <w:rFonts w:ascii="Times New Roman" w:hAnsi="Times New Roman"/>
          <w:sz w:val="20"/>
        </w:rPr>
        <w:t xml:space="preserve">When you make a deposit of Class A Shares or Class C Shares, you will be responsible for transferring good and valid title to the Depositary. As such, you will be deemed to represent and warrant that: </w:t>
      </w:r>
    </w:p>
    <w:p>
      <w:pPr>
        <w:pStyle w:val="TextBody"/>
        <w:spacing w:before="0" w:after="0"/>
        <w:jc w:val="left"/>
        <w:rPr/>
      </w:pPr>
      <w:r>
        <w:rPr/>
        <w:t> </w:t>
      </w:r>
    </w:p>
    <w:tbl>
      <w:tblPr>
        <w:tblW w:w="10105" w:type="dxa"/>
        <w:jc w:val="left"/>
        <w:tblInd w:w="0" w:type="dxa"/>
        <w:tblCellMar>
          <w:top w:w="0" w:type="dxa"/>
          <w:left w:w="0" w:type="dxa"/>
          <w:bottom w:w="0" w:type="dxa"/>
          <w:right w:w="0" w:type="dxa"/>
        </w:tblCellMar>
      </w:tblPr>
      <w:tblGrid>
        <w:gridCol w:w="75"/>
        <w:gridCol w:w="110"/>
        <w:gridCol w:w="60"/>
        <w:gridCol w:w="98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Class A Shares or Class C Shares are duly authorized, validly issued, fully paid, non-assessable and legally obtained.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preemptive (and similar) rights, if any, with respect to such Class A Shares or Class C Shares have been validly waived or exercised. </w:t>
            </w:r>
          </w:p>
        </w:tc>
      </w:tr>
    </w:tbl>
    <w:p>
      <w:pPr>
        <w:pStyle w:val="TextBody"/>
        <w:spacing w:before="0" w:after="0"/>
        <w:jc w:val="left"/>
        <w:rPr/>
      </w:pPr>
      <w:r>
        <w:rPr/>
        <w:t> </w:t>
      </w:r>
    </w:p>
    <w:tbl>
      <w:tblPr>
        <w:tblW w:w="6160" w:type="dxa"/>
        <w:jc w:val="left"/>
        <w:tblInd w:w="0" w:type="dxa"/>
        <w:tblCellMar>
          <w:top w:w="0" w:type="dxa"/>
          <w:left w:w="0" w:type="dxa"/>
          <w:bottom w:w="0" w:type="dxa"/>
          <w:right w:w="0" w:type="dxa"/>
        </w:tblCellMar>
      </w:tblPr>
      <w:tblGrid>
        <w:gridCol w:w="75"/>
        <w:gridCol w:w="110"/>
        <w:gridCol w:w="60"/>
        <w:gridCol w:w="5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are duly authorized to deposit the Class A Shares or Class C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 </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110"/>
        <w:gridCol w:w="60"/>
        <w:gridCol w:w="9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Class A Shares or Class C Shares presented for deposit have not been stripped of any rights or entitlements. </w:t>
            </w:r>
          </w:p>
        </w:tc>
      </w:tr>
    </w:tbl>
    <w:p>
      <w:pPr>
        <w:pStyle w:val="TextBody"/>
        <w:spacing w:before="240" w:after="0"/>
        <w:jc w:val="left"/>
        <w:rPr>
          <w:rFonts w:ascii="Times New Roman" w:hAnsi="Times New Roman"/>
          <w:sz w:val="20"/>
        </w:rPr>
      </w:pPr>
      <w:r>
        <w:rPr>
          <w:rFonts w:ascii="Times New Roman" w:hAnsi="Times New Roman"/>
          <w:sz w:val="20"/>
        </w:rPr>
        <w:t xml:space="preserve">If any of the representations or warranties are incorrect in any way, the Company and the Depositary may, at your cost and expense, take any and all actions necessary to correct the consequences of the misrepresentations. </w:t>
      </w:r>
    </w:p>
    <w:p>
      <w:pPr>
        <w:pStyle w:val="TextBody"/>
        <w:spacing w:before="360" w:after="0"/>
        <w:jc w:val="left"/>
        <w:rPr>
          <w:rFonts w:ascii="Times New Roman" w:hAnsi="Times New Roman"/>
          <w:b/>
          <w:i/>
          <w:sz w:val="20"/>
        </w:rPr>
      </w:pPr>
      <w:r>
        <w:rPr>
          <w:rFonts w:ascii="Times New Roman" w:hAnsi="Times New Roman"/>
          <w:b/>
          <w:i/>
          <w:sz w:val="20"/>
        </w:rPr>
        <w:t xml:space="preserve">Transfer, Combination and Split Up of ADRs </w:t>
      </w:r>
    </w:p>
    <w:p>
      <w:pPr>
        <w:pStyle w:val="TextBody"/>
        <w:spacing w:before="120" w:after="0"/>
        <w:jc w:val="left"/>
        <w:rPr>
          <w:rFonts w:ascii="Times New Roman" w:hAnsi="Times New Roman"/>
          <w:sz w:val="20"/>
        </w:rPr>
      </w:pPr>
      <w:r>
        <w:rPr>
          <w:rFonts w:ascii="Times New Roman" w:hAnsi="Times New Roman"/>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spacing w:before="0" w:after="0"/>
        <w:jc w:val="left"/>
        <w:rPr/>
      </w:pPr>
      <w:r>
        <w:rPr/>
        <w:t> </w:t>
      </w:r>
    </w:p>
    <w:tbl>
      <w:tblPr>
        <w:tblW w:w="7855" w:type="dxa"/>
        <w:jc w:val="left"/>
        <w:tblInd w:w="0" w:type="dxa"/>
        <w:tblCellMar>
          <w:top w:w="0" w:type="dxa"/>
          <w:left w:w="0" w:type="dxa"/>
          <w:bottom w:w="0" w:type="dxa"/>
          <w:right w:w="0" w:type="dxa"/>
        </w:tblCellMar>
      </w:tblPr>
      <w:tblGrid>
        <w:gridCol w:w="75"/>
        <w:gridCol w:w="110"/>
        <w:gridCol w:w="6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ensure that the surrendered ADR is properly endorsed or otherwise in proper form for transfer;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75"/>
        <w:gridCol w:w="110"/>
        <w:gridCol w:w="60"/>
        <w:gridCol w:w="8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 such proof of identity and genuineness of signatures as the Depositary deems appropriate; </w:t>
            </w:r>
          </w:p>
        </w:tc>
      </w:tr>
    </w:tbl>
    <w:p>
      <w:pPr>
        <w:pStyle w:val="TextBody"/>
        <w:spacing w:before="0" w:after="0"/>
        <w:jc w:val="left"/>
        <w:rPr/>
      </w:pPr>
      <w:r>
        <w:rPr/>
        <w:t> </w:t>
      </w:r>
    </w:p>
    <w:tbl>
      <w:tblPr>
        <w:tblW w:w="7375" w:type="dxa"/>
        <w:jc w:val="left"/>
        <w:tblInd w:w="0" w:type="dxa"/>
        <w:tblCellMar>
          <w:top w:w="0" w:type="dxa"/>
          <w:left w:w="0" w:type="dxa"/>
          <w:bottom w:w="0" w:type="dxa"/>
          <w:right w:w="0" w:type="dxa"/>
        </w:tblCellMar>
      </w:tblPr>
      <w:tblGrid>
        <w:gridCol w:w="75"/>
        <w:gridCol w:w="110"/>
        <w:gridCol w:w="60"/>
        <w:gridCol w:w="71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 any transfer stamps required by the State of New York or the United States;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 all applicable fees, charges, expenses, taxes and other government charges payable by ADR holders pursuant to the terms of the deposit agreement, upon the transfer of ADRs. </w:t>
            </w:r>
          </w:p>
        </w:tc>
      </w:tr>
    </w:tbl>
    <w:p>
      <w:pPr>
        <w:pStyle w:val="TextBody"/>
        <w:spacing w:before="240" w:after="0"/>
        <w:jc w:val="left"/>
        <w:rPr>
          <w:rFonts w:ascii="Times New Roman" w:hAnsi="Times New Roman"/>
          <w:sz w:val="20"/>
        </w:rPr>
      </w:pPr>
      <w:r>
        <w:rPr>
          <w:rFonts w:ascii="Times New Roman" w:hAnsi="Times New Roman"/>
          <w:sz w:val="20"/>
        </w:rPr>
        <w:t xml:space="preserve">To have your ADRs either combined or split up, you must surrender the ADRs in question to the Depositary with your request to have them combined or split up, and you must pay all applicable fees, charges and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payable by ADR holders, pursuant to the terms of the deposit agreement, upon a combination or split up of ADRs. </w:t>
      </w:r>
    </w:p>
    <w:p>
      <w:pPr>
        <w:pStyle w:val="TextBody"/>
        <w:spacing w:before="360" w:after="0"/>
        <w:jc w:val="left"/>
        <w:rPr>
          <w:rFonts w:ascii="Times New Roman" w:hAnsi="Times New Roman"/>
          <w:b/>
          <w:i/>
          <w:sz w:val="20"/>
        </w:rPr>
      </w:pPr>
      <w:r>
        <w:rPr>
          <w:rFonts w:ascii="Times New Roman" w:hAnsi="Times New Roman"/>
          <w:b/>
          <w:i/>
          <w:sz w:val="20"/>
        </w:rPr>
        <w:t xml:space="preserve">Withdrawal of Class A Shares or Class C Shares Upon Cancellation of ADSs </w:t>
      </w:r>
    </w:p>
    <w:p>
      <w:pPr>
        <w:pStyle w:val="TextBody"/>
        <w:spacing w:before="120" w:after="0"/>
        <w:jc w:val="left"/>
        <w:rPr>
          <w:rFonts w:ascii="Times New Roman" w:hAnsi="Times New Roman"/>
          <w:sz w:val="20"/>
        </w:rPr>
      </w:pPr>
      <w:r>
        <w:rPr>
          <w:rFonts w:ascii="Times New Roman" w:hAnsi="Times New Roman"/>
          <w:sz w:val="20"/>
        </w:rPr>
        <w:t xml:space="preserve">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 </w:t>
      </w:r>
    </w:p>
    <w:p>
      <w:pPr>
        <w:pStyle w:val="TextBody"/>
        <w:spacing w:before="240" w:after="0"/>
        <w:jc w:val="left"/>
        <w:rPr>
          <w:rFonts w:ascii="Times New Roman" w:hAnsi="Times New Roman"/>
          <w:sz w:val="20"/>
        </w:rPr>
      </w:pPr>
      <w:r>
        <w:rPr>
          <w:rFonts w:ascii="Times New Roman" w:hAnsi="Times New Roman"/>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spacing w:before="240" w:after="0"/>
        <w:jc w:val="left"/>
        <w:rPr>
          <w:rFonts w:ascii="Times New Roman" w:hAnsi="Times New Roman"/>
          <w:sz w:val="20"/>
        </w:rPr>
      </w:pPr>
      <w:r>
        <w:rPr>
          <w:rFonts w:ascii="Times New Roman" w:hAnsi="Times New Roman"/>
          <w:sz w:val="20"/>
        </w:rPr>
        <w:t xml:space="preserve">You will have the right to withdraw the securities represented by your ADSs at any time except for: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Temporary delays that may arise because (i) the transfer books for the Class A Shares or Class C Shares or ADSs are closed, or (ii) the Class A Shares or Class C Shares are immobilized on account of a shareholders’ meeting or a payment of dividends. </w:t>
            </w:r>
          </w:p>
        </w:tc>
      </w:tr>
    </w:tbl>
    <w:p>
      <w:pPr>
        <w:pStyle w:val="TextBody"/>
        <w:spacing w:before="0" w:after="0"/>
        <w:jc w:val="left"/>
        <w:rPr/>
      </w:pPr>
      <w:r>
        <w:rPr/>
        <w:t> </w:t>
      </w:r>
    </w:p>
    <w:tbl>
      <w:tblPr>
        <w:tblW w:w="4360" w:type="dxa"/>
        <w:jc w:val="left"/>
        <w:tblInd w:w="0" w:type="dxa"/>
        <w:tblCellMar>
          <w:top w:w="0" w:type="dxa"/>
          <w:left w:w="0" w:type="dxa"/>
          <w:bottom w:w="0" w:type="dxa"/>
          <w:right w:w="0" w:type="dxa"/>
        </w:tblCellMar>
      </w:tblPr>
      <w:tblGrid>
        <w:gridCol w:w="75"/>
        <w:gridCol w:w="110"/>
        <w:gridCol w:w="60"/>
        <w:gridCol w:w="41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Obligations to pay fees, taxes and similar charges. </w:t>
            </w:r>
          </w:p>
        </w:tc>
      </w:tr>
    </w:tbl>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75"/>
        <w:gridCol w:w="110"/>
        <w:gridCol w:w="60"/>
        <w:gridCol w:w="9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Restrictions imposed because of laws or regulations applicable to ADSs or the withdrawal of securities on deposit. </w:t>
            </w:r>
          </w:p>
        </w:tc>
      </w:tr>
    </w:tbl>
    <w:p>
      <w:pPr>
        <w:pStyle w:val="TextBody"/>
        <w:spacing w:before="240" w:after="0"/>
        <w:jc w:val="left"/>
        <w:rPr>
          <w:rFonts w:ascii="Times New Roman" w:hAnsi="Times New Roman"/>
          <w:sz w:val="20"/>
        </w:rPr>
      </w:pPr>
      <w:r>
        <w:rPr>
          <w:rFonts w:ascii="Times New Roman" w:hAnsi="Times New Roman"/>
          <w:sz w:val="20"/>
        </w:rPr>
        <w:t xml:space="preserve">The deposit agreement may not be modified to impair your right to withdraw the securities represented by your ADSs except to comply with mandatory provisions of law. </w:t>
      </w:r>
    </w:p>
    <w:p>
      <w:pPr>
        <w:pStyle w:val="TextBody"/>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 </w:t>
      </w:r>
    </w:p>
    <w:p>
      <w:pPr>
        <w:pStyle w:val="TextBody"/>
        <w:spacing w:before="240" w:after="0"/>
        <w:jc w:val="left"/>
        <w:rPr>
          <w:rFonts w:ascii="Times New Roman" w:hAnsi="Times New Roman"/>
          <w:sz w:val="20"/>
        </w:rPr>
      </w:pPr>
      <w:r>
        <w:rPr>
          <w:rFonts w:ascii="Times New Roman" w:hAnsi="Times New Roman"/>
          <w:sz w:val="20"/>
        </w:rPr>
        <w:t xml:space="preserve">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w:t>
      </w:r>
    </w:p>
    <w:p>
      <w:pPr>
        <w:pStyle w:val="TextBody"/>
        <w:spacing w:before="240" w:after="0"/>
        <w:jc w:val="left"/>
        <w:rPr>
          <w:rFonts w:ascii="Times New Roman" w:hAnsi="Times New Roman"/>
          <w:sz w:val="20"/>
        </w:rPr>
      </w:pPr>
      <w:r>
        <w:rPr>
          <w:rFonts w:ascii="Times New Roman" w:hAnsi="Times New Roman"/>
          <w:sz w:val="20"/>
        </w:rPr>
        <w:t xml:space="preserve">If the Depositary timely receives voting instructions from a holder of ADSs as of a specified record date, it will endeavor to vote the securities (in person or by proxy) represented by the holder’s ADSs in accordance with the voting instructions received from the holders of ADSs. </w:t>
      </w:r>
    </w:p>
    <w:p>
      <w:pPr>
        <w:pStyle w:val="TextBody"/>
        <w:spacing w:before="240" w:after="0"/>
        <w:jc w:val="left"/>
        <w:rPr>
          <w:rFonts w:ascii="Times New Roman" w:hAnsi="Times New Roman"/>
          <w:sz w:val="20"/>
        </w:rPr>
      </w:pPr>
      <w:r>
        <w:rPr>
          <w:rFonts w:ascii="Times New Roman" w:hAnsi="Times New Roman"/>
          <w:sz w:val="20"/>
        </w:rPr>
        <w:t xml:space="preserve">Deposited securities represented by ADSs for which no timely voting instructions are received by the Depositary from the holder shall not be voted (except as otherwise contemplated in the deposit agreement). If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 </w:t>
      </w:r>
    </w:p>
    <w:p>
      <w:pPr>
        <w:pStyle w:val="TextBody"/>
        <w:spacing w:before="360" w:after="0"/>
        <w:jc w:val="left"/>
        <w:rPr>
          <w:rFonts w:ascii="Times New Roman" w:hAnsi="Times New Roman"/>
          <w:b/>
          <w:i/>
          <w:sz w:val="20"/>
        </w:rPr>
      </w:pPr>
      <w:r>
        <w:rPr>
          <w:rFonts w:ascii="Times New Roman" w:hAnsi="Times New Roman"/>
          <w:b/>
          <w:i/>
          <w:sz w:val="20"/>
        </w:rPr>
        <w:t xml:space="preserve">Fees and Charges </w:t>
      </w:r>
    </w:p>
    <w:p>
      <w:pPr>
        <w:pStyle w:val="TextBody"/>
        <w:spacing w:before="120" w:after="0"/>
        <w:jc w:val="left"/>
        <w:rPr>
          <w:rFonts w:ascii="Times New Roman" w:hAnsi="Times New Roman"/>
          <w:sz w:val="20"/>
        </w:rPr>
      </w:pPr>
      <w:r>
        <w:rPr>
          <w:rFonts w:ascii="Times New Roman" w:hAnsi="Times New Roman"/>
          <w:sz w:val="20"/>
        </w:rPr>
        <w:t xml:space="preserve">As an ADS holder, you will be required to pay the following fees under the terms of the deposit agreement: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411"/>
        <w:gridCol w:w="120"/>
        <w:gridCol w:w="2674"/>
      </w:tblGrid>
      <w:tr>
        <w:trPr/>
        <w:tc>
          <w:tcPr>
            <w:tcW w:w="74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r>
      <w:tr>
        <w:trPr/>
        <w:tc>
          <w:tcPr>
            <w:tcW w:w="7411"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Service</w:t>
            </w:r>
          </w:p>
        </w:tc>
        <w:tc>
          <w:tcPr>
            <w:tcW w:w="120" w:type="dxa"/>
            <w:tcBorders/>
            <w:shd w:fill="auto" w:val="clear"/>
            <w:vAlign w:val="center"/>
          </w:tcPr>
          <w:p>
            <w:pPr>
              <w:pStyle w:val="TableContents"/>
              <w:spacing w:before="0" w:after="283"/>
              <w:rPr/>
            </w:pPr>
            <w:r>
              <w:rPr/>
              <w:t>  </w:t>
            </w:r>
          </w:p>
        </w:tc>
        <w:tc>
          <w:tcPr>
            <w:tcW w:w="2674"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Fees</w:t>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Other than the initial deposit in connection with the Business Combination, issuance of ADSs (e.g., an issuance of ADS upon a deposit of Class A Shares or Class C Shares, upon a change in the ADS(s)-to-Share ratio or conversion of Class C Shares/ Class C ADSs or for any other reason), excluding ADS issuances as a result of distributions of Class A Shares or Class C Shares</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issued</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Cancellation of ADSs (e.g., a cancellation of ADSs for delivery of deposited property, upon a change in the ADS(s)-to-Share ratio, or for any other reason)</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cancelled</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Distribution of cash dividends or other cash distributions (e.g., upon a sale of rights and other entitlements)</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held</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Distribution of ADSs pursuant to (i) stock dividends or other free stock distributions, or (ii) exercise of rights to purchase additional ADSs</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held</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Distribution of securities other than ADSs or rights to purchase additional ADSs (e.g., upon a spin-off)</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held</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ADS Services</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held on the applicable record date(s) established by the Depositary</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Registration of ADS transfers (e.g., upon a registration of the transfer of registered ownership of ADSs, upon a transfer of ADSs into DTC and vice versa, or for any other reason)</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(or fraction thereof) transferred</w:t>
            </w:r>
          </w:p>
        </w:tc>
      </w:tr>
      <w:tr>
        <w:trPr/>
        <w:tc>
          <w:tcPr>
            <w:tcW w:w="7411" w:type="dxa"/>
            <w:tcBorders/>
            <w:shd w:fill="auto" w:val="clear"/>
            <w:vAlign w:val="center"/>
          </w:tcPr>
          <w:p>
            <w:pPr>
              <w:pStyle w:val="TableContents"/>
              <w:spacing w:before="0" w:after="283"/>
              <w:rPr>
                <w:sz w:val="4"/>
                <w:szCs w:val="4"/>
              </w:rPr>
            </w:pPr>
            <w:r>
              <w:rPr>
                <w:sz w:val="4"/>
                <w:szCs w:val="4"/>
              </w:rPr>
            </w:r>
          </w:p>
        </w:tc>
        <w:tc>
          <w:tcPr>
            <w:tcW w:w="2794" w:type="dxa"/>
            <w:gridSpan w:val="2"/>
            <w:tcBorders/>
            <w:shd w:fill="auto" w:val="clear"/>
            <w:vAlign w:val="center"/>
          </w:tcPr>
          <w:p>
            <w:pPr>
              <w:pStyle w:val="TableContents"/>
              <w:spacing w:before="0" w:after="283"/>
              <w:rPr>
                <w:sz w:val="4"/>
                <w:szCs w:val="4"/>
              </w:rPr>
            </w:pPr>
            <w:r>
              <w:rPr>
                <w:sz w:val="4"/>
                <w:szCs w:val="4"/>
              </w:rPr>
            </w:r>
          </w:p>
        </w:tc>
      </w:tr>
      <w:tr>
        <w:trPr/>
        <w:tc>
          <w:tcPr>
            <w:tcW w:w="7411" w:type="dxa"/>
            <w:tcBorders/>
            <w:shd w:fill="auto" w:val="clear"/>
            <w:vAlign w:val="center"/>
          </w:tcPr>
          <w:p>
            <w:pPr>
              <w:pStyle w:val="TableContents"/>
              <w:spacing w:before="0" w:after="0"/>
              <w:rPr/>
            </w:pPr>
            <w:r>
              <w:rPr/>
              <w:t>•   </w:t>
            </w:r>
            <w:r>
              <w:rPr>
                <w:rFonts w:ascii="Times New Roman" w:hAnsi="Times New Roman"/>
                <w:sz w:val="20"/>
              </w:rPr>
              <w:t>Conversion of ADSs of one series for ADSs of another series (e.g., upon conversion of Partial Entitlement ADSs for Full Entitlement ADSs, upon conversion of Class C ADSs into Class A ADSs, or upon conversion of Restricted ADSs (each as defined in the applicable deposit agreement) into freely transferable ADSs, and vice versa)</w:t>
            </w:r>
          </w:p>
        </w:tc>
        <w:tc>
          <w:tcPr>
            <w:tcW w:w="120" w:type="dxa"/>
            <w:tcBorders/>
            <w:shd w:fill="auto" w:val="clear"/>
            <w:vAlign w:val="center"/>
          </w:tcPr>
          <w:p>
            <w:pPr>
              <w:pStyle w:val="TableContents"/>
              <w:spacing w:before="0" w:after="283"/>
              <w:rPr/>
            </w:pPr>
            <w:r>
              <w:rPr/>
              <w:t>  </w:t>
            </w:r>
          </w:p>
        </w:tc>
        <w:tc>
          <w:tcPr>
            <w:tcW w:w="2674" w:type="dxa"/>
            <w:tcBorders/>
            <w:shd w:fill="auto" w:val="clear"/>
            <w:vAlign w:val="center"/>
          </w:tcPr>
          <w:p>
            <w:pPr>
              <w:pStyle w:val="TableContents"/>
              <w:spacing w:before="0" w:after="283"/>
              <w:rPr/>
            </w:pPr>
            <w:r>
              <w:rPr/>
              <w:t>Up to US$0.05 per ADS (or fraction thereof) converted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an ADS holder, you will also be responsible to pay certain charges such as: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(including any applicable stamp duty or SDRT);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 </w:t>
            </w:r>
          </w:p>
        </w:tc>
      </w:tr>
    </w:tbl>
    <w:p>
      <w:pPr>
        <w:pStyle w:val="TextBody"/>
        <w:spacing w:before="0" w:after="0"/>
        <w:jc w:val="left"/>
        <w:rPr/>
      </w:pPr>
      <w:r>
        <w:rPr/>
        <w:t> </w:t>
      </w:r>
    </w:p>
    <w:tbl>
      <w:tblPr>
        <w:tblW w:w="5950" w:type="dxa"/>
        <w:jc w:val="left"/>
        <w:tblInd w:w="0" w:type="dxa"/>
        <w:tblCellMar>
          <w:top w:w="0" w:type="dxa"/>
          <w:left w:w="0" w:type="dxa"/>
          <w:bottom w:w="0" w:type="dxa"/>
          <w:right w:w="0" w:type="dxa"/>
        </w:tblCellMar>
      </w:tblPr>
      <w:tblGrid>
        <w:gridCol w:w="75"/>
        <w:gridCol w:w="110"/>
        <w:gridCol w:w="60"/>
        <w:gridCol w:w="5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fees, expenses, spreads, taxes and other charges of the Depositary and/or service providers (which may be a division, branch or affiliate of the Depositary) in the conversion of foreign currency;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reasonable and customary out-of-pocket expenses incurred by the Depositary in connection with compliance with exchange control regulations and other regulatory requirements applicable to Class A Shares or Class C Shares, ADSs and ADRs;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ADR program;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payable to the Depositary by any party to the applicable deposit agreement pursuant to any ancillary agreement to the applicable deposit agreement in respect of the ADR program, the ADSs, and the ADRs. </w:t>
            </w:r>
          </w:p>
        </w:tc>
      </w:tr>
    </w:tbl>
    <w:p>
      <w:pPr>
        <w:pStyle w:val="TextBody"/>
        <w:spacing w:before="240" w:after="0"/>
        <w:jc w:val="left"/>
        <w:rPr>
          <w:rFonts w:ascii="Times New Roman" w:hAnsi="Times New Roman"/>
          <w:sz w:val="20"/>
        </w:rPr>
      </w:pPr>
      <w:r>
        <w:rPr>
          <w:rFonts w:ascii="Times New Roman" w:hAnsi="Times New Roman"/>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before="240" w:after="0"/>
        <w:jc w:val="left"/>
        <w:rPr>
          <w:rFonts w:ascii="Times New Roman" w:hAnsi="Times New Roman"/>
          <w:sz w:val="20"/>
        </w:rPr>
      </w:pPr>
      <w:r>
        <w:rPr>
          <w:rFonts w:ascii="Times New Roman" w:hAnsi="Times New Roman"/>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w:t>
      </w:r>
    </w:p>
    <w:p>
      <w:pPr>
        <w:pStyle w:val="TextBody"/>
        <w:spacing w:before="360" w:after="0"/>
        <w:jc w:val="left"/>
        <w:rPr>
          <w:rFonts w:ascii="Times New Roman" w:hAnsi="Times New Roman"/>
          <w:b/>
          <w:i/>
          <w:sz w:val="20"/>
        </w:rPr>
      </w:pPr>
      <w:r>
        <w:rPr>
          <w:rFonts w:ascii="Times New Roman" w:hAnsi="Times New Roman"/>
          <w:b/>
          <w:i/>
          <w:sz w:val="20"/>
        </w:rPr>
        <w:t xml:space="preserve">Fees and Other Payments Made by the Depositary to Us </w:t>
      </w:r>
    </w:p>
    <w:p>
      <w:pPr>
        <w:pStyle w:val="TextBody"/>
        <w:spacing w:before="120" w:after="0"/>
        <w:jc w:val="left"/>
        <w:rPr>
          <w:rFonts w:ascii="Times New Roman" w:hAnsi="Times New Roman"/>
          <w:sz w:val="20"/>
        </w:rPr>
      </w:pPr>
      <w:r>
        <w:rPr>
          <w:rFonts w:ascii="Times New Roman" w:hAnsi="Times New Roman"/>
          <w:sz w:val="20"/>
        </w:rPr>
        <w:t xml:space="preserve">The Depositary may reimburse the Company for certain expenses incurred by the Company in respect of the ADR program, by making available a portion of the ADS fees charged in respect of the ADR program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otherwise, upon such terms and conditions as the Company and the Depositary agree from time to time. The Depositary also has agreed to pay certain legal expenses on behalf of the Company. </w:t>
      </w:r>
    </w:p>
    <w:p>
      <w:pPr>
        <w:pStyle w:val="TextBody"/>
        <w:spacing w:before="360" w:after="0"/>
        <w:jc w:val="left"/>
        <w:rPr>
          <w:rFonts w:ascii="Times New Roman" w:hAnsi="Times New Roman"/>
          <w:b/>
          <w:i/>
          <w:sz w:val="20"/>
        </w:rPr>
      </w:pPr>
      <w:r>
        <w:rPr>
          <w:rFonts w:ascii="Times New Roman" w:hAnsi="Times New Roman"/>
          <w:b/>
          <w:i/>
          <w:sz w:val="20"/>
        </w:rPr>
        <w:t xml:space="preserve">Amendments and Termination </w:t>
      </w:r>
    </w:p>
    <w:p>
      <w:pPr>
        <w:pStyle w:val="TextBody"/>
        <w:spacing w:before="120" w:after="0"/>
        <w:jc w:val="left"/>
        <w:rPr>
          <w:rFonts w:ascii="Times New Roman" w:hAnsi="Times New Roman"/>
          <w:sz w:val="20"/>
        </w:rPr>
      </w:pPr>
      <w:r>
        <w:rPr>
          <w:rFonts w:ascii="Times New Roman" w:hAnsi="Times New Roman"/>
          <w:sz w:val="20"/>
        </w:rPr>
        <w:t xml:space="preserve">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 </w:t>
      </w:r>
    </w:p>
    <w:p>
      <w:pPr>
        <w:pStyle w:val="TextBody"/>
        <w:spacing w:before="240" w:after="0"/>
        <w:jc w:val="left"/>
        <w:rPr>
          <w:rFonts w:ascii="Times New Roman" w:hAnsi="Times New Roman"/>
          <w:sz w:val="20"/>
        </w:rPr>
      </w:pPr>
      <w:r>
        <w:rPr>
          <w:rFonts w:ascii="Times New Roman" w:hAnsi="Times New Roman"/>
          <w:sz w:val="20"/>
        </w:rPr>
        <w:t xml:space="preserve">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 </w:t>
      </w:r>
    </w:p>
    <w:p>
      <w:pPr>
        <w:pStyle w:val="TextBody"/>
        <w:spacing w:before="240" w:after="0"/>
        <w:jc w:val="left"/>
        <w:rPr>
          <w:rFonts w:ascii="Times New Roman" w:hAnsi="Times New Roman"/>
          <w:sz w:val="20"/>
        </w:rPr>
      </w:pPr>
      <w:r>
        <w:rPr>
          <w:rFonts w:ascii="Times New Roman" w:hAnsi="Times New Roman"/>
          <w:sz w:val="20"/>
        </w:rPr>
        <w:t xml:space="preserve">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 </w:t>
      </w:r>
    </w:p>
    <w:p>
      <w:pPr>
        <w:pStyle w:val="TextBody"/>
        <w:spacing w:before="240" w:after="0"/>
        <w:jc w:val="left"/>
        <w:rPr>
          <w:rFonts w:ascii="Times New Roman" w:hAnsi="Times New Roman"/>
          <w:sz w:val="20"/>
        </w:rPr>
      </w:pPr>
      <w:r>
        <w:rPr>
          <w:rFonts w:ascii="Times New Roman" w:hAnsi="Times New Roman"/>
          <w:sz w:val="20"/>
        </w:rPr>
        <w:t xml:space="preserve">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 </w:t>
      </w:r>
    </w:p>
    <w:p>
      <w:pPr>
        <w:pStyle w:val="TextBody"/>
        <w:spacing w:before="240" w:after="0"/>
        <w:jc w:val="left"/>
        <w:rPr>
          <w:rFonts w:ascii="Times New Roman" w:hAnsi="Times New Roman"/>
          <w:sz w:val="20"/>
        </w:rPr>
      </w:pPr>
      <w:r>
        <w:rPr>
          <w:rFonts w:ascii="Times New Roman" w:hAnsi="Times New Roman"/>
          <w:sz w:val="20"/>
        </w:rPr>
        <w:t xml:space="preserve">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w:t>
      </w:r>
    </w:p>
    <w:p>
      <w:pPr>
        <w:pStyle w:val="TextBody"/>
        <w:spacing w:before="360" w:after="0"/>
        <w:jc w:val="left"/>
        <w:rPr>
          <w:rFonts w:ascii="Times New Roman" w:hAnsi="Times New Roman"/>
          <w:b/>
          <w:i/>
          <w:sz w:val="20"/>
        </w:rPr>
      </w:pPr>
      <w:r>
        <w:rPr>
          <w:rFonts w:ascii="Times New Roman" w:hAnsi="Times New Roman"/>
          <w:b/>
          <w:i/>
          <w:sz w:val="20"/>
        </w:rPr>
        <w:t xml:space="preserve">Books of Depositary </w:t>
      </w:r>
    </w:p>
    <w:p>
      <w:pPr>
        <w:pStyle w:val="TextBody"/>
        <w:spacing w:before="120" w:after="0"/>
        <w:jc w:val="left"/>
        <w:rPr>
          <w:rFonts w:ascii="Times New Roman" w:hAnsi="Times New Roman"/>
          <w:sz w:val="20"/>
        </w:rPr>
      </w:pPr>
      <w:r>
        <w:rPr>
          <w:rFonts w:ascii="Times New Roman" w:hAnsi="Times New Roman"/>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w:t>
      </w:r>
    </w:p>
    <w:p>
      <w:pPr>
        <w:pStyle w:val="TextBody"/>
        <w:spacing w:before="240" w:after="0"/>
        <w:jc w:val="left"/>
        <w:rPr>
          <w:rFonts w:ascii="Times New Roman" w:hAnsi="Times New Roman"/>
          <w:sz w:val="20"/>
        </w:rPr>
      </w:pPr>
      <w:r>
        <w:rPr>
          <w:rFonts w:ascii="Times New Roman" w:hAnsi="Times New Roman"/>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spacing w:before="360" w:after="0"/>
        <w:jc w:val="left"/>
        <w:rPr>
          <w:rFonts w:ascii="Times New Roman" w:hAnsi="Times New Roman"/>
          <w:b/>
          <w:i/>
          <w:sz w:val="20"/>
        </w:rPr>
      </w:pPr>
      <w:r>
        <w:rPr>
          <w:rFonts w:ascii="Times New Roman" w:hAnsi="Times New Roman"/>
          <w:b/>
          <w:i/>
          <w:sz w:val="20"/>
        </w:rPr>
        <w:t xml:space="preserve">Transmission of Notices, Reports and Proxy Soliciting Material </w:t>
      </w:r>
    </w:p>
    <w:p>
      <w:pPr>
        <w:pStyle w:val="TextBody"/>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Limitations on Obligations and Liabilities </w:t>
      </w:r>
    </w:p>
    <w:p>
      <w:pPr>
        <w:pStyle w:val="TextBody"/>
        <w:spacing w:before="120" w:after="0"/>
        <w:jc w:val="left"/>
        <w:rPr>
          <w:rFonts w:ascii="Times New Roman" w:hAnsi="Times New Roman"/>
          <w:sz w:val="20"/>
        </w:rPr>
      </w:pPr>
      <w:r>
        <w:rPr>
          <w:rFonts w:ascii="Times New Roman" w:hAnsi="Times New Roman"/>
          <w:sz w:val="20"/>
        </w:rPr>
        <w:t xml:space="preserve">The deposit agreement limits the Company’s obligations and the Depositary’s obligations to you. Please note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are obligated only to take the actions specifically stated in the deposit agreement without negligence or bad faith.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Depositary shall not be liable for acts or omissions of any successor Depositary in connection with any matter arising wholly after the resignation or removal of the Depositary.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will not be obligated to perform any act that is inconsistent with the terms of the deposit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disclaim any liability by reason of any exercise of, or failure to exercise, any discretion provided for in the deposit agreement or in the Company’s articles of association or in any provisions of or governing the securities on deposit.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may rely without any liability upon any written notice, request or other document believed to be genuine and to have been signed or presented by the proper parties.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also disclaim liability for any consequential or punitive damages for any breach of the terms of the deposit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disclaim liability arising out of losses, liabilities, taxes, charges or expenses resulting from the manner in which a holder or beneficial owner of ADSs holds ADSs, including resulting from holding ADSs through a brokerage account.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rPr/>
      </w:pPr>
      <w:r>
        <w:rPr/>
      </w:r>
    </w:p>
    <w:p>
      <w:pPr>
        <w:pStyle w:val="Heading5"/>
        <w:rPr/>
      </w:pPr>
      <w:hyperlink w:anchor="toc">
        <w:r>
          <w:rPr>
            <w:rStyle w:val="InternetLink"/>
          </w:rPr>
          <w:t>Table of Contents</w:t>
        </w:r>
      </w:hyperlink>
    </w:p>
    <w:tbl>
      <w:tblPr>
        <w:tblW w:w="8335" w:type="dxa"/>
        <w:jc w:val="left"/>
        <w:tblInd w:w="0" w:type="dxa"/>
        <w:tblCellMar>
          <w:top w:w="0" w:type="dxa"/>
          <w:left w:w="0" w:type="dxa"/>
          <w:bottom w:w="0" w:type="dxa"/>
          <w:right w:w="0" w:type="dxa"/>
        </w:tblCellMar>
      </w:tblPr>
      <w:tblGrid>
        <w:gridCol w:w="75"/>
        <w:gridCol w:w="110"/>
        <w:gridCol w:w="60"/>
        <w:gridCol w:w="8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disclaimer of any Securities Act liability is intended by any provision of the deposit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Nothing in the deposit agreement gives rise to a partnership or joint venture, or establishes a fiduciary relationship, among the Company, the Depositary and you as ADS holder.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 </w:t>
            </w:r>
          </w:p>
        </w:tc>
      </w:tr>
    </w:tbl>
    <w:p>
      <w:pPr>
        <w:pStyle w:val="TextBody"/>
        <w:spacing w:before="360" w:after="0"/>
        <w:jc w:val="left"/>
        <w:rPr>
          <w:rFonts w:ascii="Times New Roman" w:hAnsi="Times New Roman"/>
          <w:b/>
          <w:i/>
          <w:sz w:val="20"/>
        </w:rPr>
      </w:pPr>
      <w:r>
        <w:rPr>
          <w:rFonts w:ascii="Times New Roman" w:hAnsi="Times New Roman"/>
          <w:b/>
          <w:i/>
          <w:sz w:val="20"/>
        </w:rPr>
        <w:t xml:space="preserve">Taxes </w:t>
      </w:r>
    </w:p>
    <w:p>
      <w:pPr>
        <w:pStyle w:val="TextBody"/>
        <w:spacing w:before="120" w:after="0"/>
        <w:jc w:val="left"/>
        <w:rPr>
          <w:rFonts w:ascii="Times New Roman" w:hAnsi="Times New Roman"/>
          <w:sz w:val="20"/>
        </w:rPr>
      </w:pPr>
      <w:r>
        <w:rPr>
          <w:rFonts w:ascii="Times New Roman" w:hAnsi="Times New Roman"/>
          <w:sz w:val="20"/>
        </w:rPr>
        <w:t xml:space="preserve">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spacing w:before="240" w:after="0"/>
        <w:jc w:val="left"/>
        <w:rPr>
          <w:rFonts w:ascii="Times New Roman" w:hAnsi="Times New Roman"/>
          <w:sz w:val="20"/>
        </w:rPr>
      </w:pPr>
      <w:r>
        <w:rPr>
          <w:rFonts w:ascii="Times New Roman" w:hAnsi="Times New Roman"/>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 </w:t>
      </w:r>
    </w:p>
    <w:p>
      <w:pPr>
        <w:pStyle w:val="TextBody"/>
        <w:spacing w:before="360" w:after="0"/>
        <w:jc w:val="left"/>
        <w:rPr>
          <w:rFonts w:ascii="Times New Roman" w:hAnsi="Times New Roman"/>
          <w:b/>
          <w:i/>
          <w:sz w:val="20"/>
        </w:rPr>
      </w:pPr>
      <w:r>
        <w:rPr>
          <w:rFonts w:ascii="Times New Roman" w:hAnsi="Times New Roman"/>
          <w:b/>
          <w:i/>
          <w:sz w:val="20"/>
        </w:rPr>
        <w:t xml:space="preserve">Foreign Currency Conversion </w:t>
      </w:r>
    </w:p>
    <w:p>
      <w:pPr>
        <w:pStyle w:val="TextBody"/>
        <w:spacing w:before="120" w:after="0"/>
        <w:jc w:val="left"/>
        <w:rPr>
          <w:rFonts w:ascii="Times New Roman" w:hAnsi="Times New Roman"/>
          <w:sz w:val="20"/>
        </w:rPr>
      </w:pPr>
      <w:r>
        <w:rPr>
          <w:rFonts w:ascii="Times New Roman" w:hAnsi="Times New Roman"/>
          <w:sz w:val="20"/>
        </w:rPr>
        <w:t xml:space="preserve">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w:t>
      </w:r>
    </w:p>
    <w:p>
      <w:pPr>
        <w:pStyle w:val="TextBody"/>
        <w:spacing w:before="240" w:after="0"/>
        <w:jc w:val="left"/>
        <w:rPr>
          <w:rFonts w:ascii="Times New Roman" w:hAnsi="Times New Roman"/>
          <w:sz w:val="20"/>
        </w:rPr>
      </w:pPr>
      <w:r>
        <w:rPr>
          <w:rFonts w:ascii="Times New Roman" w:hAnsi="Times New Roman"/>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Convert the foreign currency to the extent practical and lawful and distribute the U.S. dollars to the applicable holders for whom the conversion and distribution is lawful and practical. </w:t>
            </w:r>
          </w:p>
        </w:tc>
      </w:tr>
    </w:tbl>
    <w:p>
      <w:pPr>
        <w:pStyle w:val="TextBody"/>
        <w:spacing w:before="0" w:after="0"/>
        <w:jc w:val="left"/>
        <w:rPr/>
      </w:pPr>
      <w:r>
        <w:rPr/>
        <w:t> </w:t>
      </w:r>
    </w:p>
    <w:tbl>
      <w:tblPr>
        <w:tblW w:w="8860" w:type="dxa"/>
        <w:jc w:val="left"/>
        <w:tblInd w:w="0" w:type="dxa"/>
        <w:tblCellMar>
          <w:top w:w="0" w:type="dxa"/>
          <w:left w:w="0" w:type="dxa"/>
          <w:bottom w:w="0" w:type="dxa"/>
          <w:right w:w="0" w:type="dxa"/>
        </w:tblCellMar>
      </w:tblPr>
      <w:tblGrid>
        <w:gridCol w:w="75"/>
        <w:gridCol w:w="110"/>
        <w:gridCol w:w="60"/>
        <w:gridCol w:w="8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Distribute the foreign currency to the applicable holders for whom the distribution is lawful and practical. </w:t>
            </w:r>
          </w:p>
        </w:tc>
      </w:tr>
    </w:tbl>
    <w:p>
      <w:pPr>
        <w:pStyle w:val="TextBody"/>
        <w:spacing w:before="0" w:after="0"/>
        <w:jc w:val="left"/>
        <w:rPr/>
      </w:pPr>
      <w:r>
        <w:rPr/>
        <w:t> </w:t>
      </w:r>
    </w:p>
    <w:tbl>
      <w:tblPr>
        <w:tblW w:w="6985" w:type="dxa"/>
        <w:jc w:val="left"/>
        <w:tblInd w:w="0" w:type="dxa"/>
        <w:tblCellMar>
          <w:top w:w="0" w:type="dxa"/>
          <w:left w:w="0" w:type="dxa"/>
          <w:bottom w:w="0" w:type="dxa"/>
          <w:right w:w="0" w:type="dxa"/>
        </w:tblCellMar>
      </w:tblPr>
      <w:tblGrid>
        <w:gridCol w:w="75"/>
        <w:gridCol w:w="110"/>
        <w:gridCol w:w="60"/>
        <w:gridCol w:w="6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Hold the foreign currency (without liability for interest) for the applicable holders. </w:t>
            </w:r>
          </w:p>
        </w:tc>
      </w:tr>
    </w:tbl>
    <w:p>
      <w:pPr>
        <w:pStyle w:val="TextBody"/>
        <w:spacing w:before="360" w:after="0"/>
        <w:jc w:val="left"/>
        <w:rPr>
          <w:rFonts w:ascii="Times New Roman" w:hAnsi="Times New Roman"/>
          <w:b/>
          <w:i/>
          <w:sz w:val="20"/>
        </w:rPr>
      </w:pPr>
      <w:r>
        <w:rPr>
          <w:rFonts w:ascii="Times New Roman" w:hAnsi="Times New Roman"/>
          <w:b/>
          <w:i/>
          <w:sz w:val="20"/>
        </w:rPr>
        <w:t xml:space="preserve">Governing Law/Waiver of Jury Trial </w:t>
      </w:r>
    </w:p>
    <w:p>
      <w:pPr>
        <w:pStyle w:val="TextBody"/>
        <w:spacing w:before="120" w:after="0"/>
        <w:jc w:val="left"/>
        <w:rPr>
          <w:rFonts w:ascii="Times New Roman" w:hAnsi="Times New Roman"/>
          <w:sz w:val="20"/>
        </w:rPr>
      </w:pPr>
      <w:r>
        <w:rPr>
          <w:rFonts w:ascii="Times New Roman" w:hAnsi="Times New Roman"/>
          <w:sz w:val="20"/>
        </w:rPr>
        <w:t xml:space="preserve">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 </w:t>
      </w:r>
    </w:p>
    <w:p>
      <w:pPr>
        <w:pStyle w:val="TextBody"/>
        <w:spacing w:before="240" w:after="0"/>
        <w:jc w:val="left"/>
        <w:rPr>
          <w:rFonts w:ascii="Times New Roman" w:hAnsi="Times New Roman"/>
          <w:sz w:val="20"/>
        </w:rPr>
      </w:pPr>
      <w:r>
        <w:rPr>
          <w:rFonts w:ascii="Times New Roman" w:hAnsi="Times New Roman"/>
          <w:sz w:val="20"/>
        </w:rPr>
        <w:t xml:space="preserve">As an owner of ADSs, you irrevocably agree that any legal action arising out of the Deposit Agreement, the ADSs or the ADRs, involving the Company or the Depositary, may only be instituted in a state or federal court in the city of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 PARTY TO THE DEPOSIT AGREEMENT, YOU IRREVOCABLY WAIVE, TO THE FULLEST EXTENT PERMITTED BY APPLICABLE LAW, YOUR RIGHT TO TRIAL BY JURY IN ANY LEGAL PROCEEDING ARISING OUT OF THE DEPOSIT AGREEMENT OR THE ADRs AGAINST THE COMPANY AND/ OR THE DEPOSITARY. </w:t>
      </w:r>
    </w:p>
    <w:p>
      <w:pPr>
        <w:pStyle w:val="TextBody"/>
        <w:spacing w:before="240" w:after="0"/>
        <w:jc w:val="left"/>
        <w:rPr>
          <w:rFonts w:ascii="Times New Roman" w:hAnsi="Times New Roman"/>
          <w:sz w:val="20"/>
        </w:rPr>
      </w:pPr>
      <w:r>
        <w:rPr>
          <w:rFonts w:ascii="Times New Roman" w:hAnsi="Times New Roman"/>
          <w:sz w:val="20"/>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Times New Roman" w:hAnsi="Times New Roman"/>
          <w:i/>
          <w:sz w:val="20"/>
        </w:rPr>
        <w:t>If the Company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Restricted ADSs </w:t>
      </w:r>
    </w:p>
    <w:p>
      <w:pPr>
        <w:pStyle w:val="TextBody"/>
        <w:spacing w:before="120" w:after="0"/>
        <w:jc w:val="left"/>
        <w:rPr>
          <w:rFonts w:ascii="Times New Roman" w:hAnsi="Times New Roman"/>
          <w:sz w:val="20"/>
        </w:rPr>
      </w:pPr>
      <w:r>
        <w:rPr>
          <w:rFonts w:ascii="Times New Roman" w:hAnsi="Times New Roman"/>
          <w:sz w:val="20"/>
        </w:rPr>
        <w:t xml:space="preserve">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 </w:t>
      </w:r>
    </w:p>
    <w:p>
      <w:pPr>
        <w:pStyle w:val="TextBody"/>
        <w:spacing w:before="240" w:after="0"/>
        <w:jc w:val="left"/>
        <w:rPr>
          <w:rFonts w:ascii="Times New Roman" w:hAnsi="Times New Roman"/>
          <w:sz w:val="20"/>
        </w:rPr>
      </w:pPr>
      <w:r>
        <w:rPr>
          <w:rFonts w:ascii="Times New Roman" w:hAnsi="Times New Roman"/>
          <w:sz w:val="20"/>
        </w:rPr>
        <w:t xml:space="preserve">The Restricted ADSs differ from the freely transferable ADSs in certain respects. These differences include the following: </w:t>
      </w:r>
    </w:p>
    <w:p>
      <w:pPr>
        <w:pStyle w:val="TextBody"/>
        <w:spacing w:before="0" w:after="0"/>
        <w:jc w:val="left"/>
        <w:rPr/>
      </w:pPr>
      <w:r>
        <w:rPr/>
        <w:t> </w:t>
      </w:r>
    </w:p>
    <w:tbl>
      <w:tblPr>
        <w:tblW w:w="9145" w:type="dxa"/>
        <w:jc w:val="left"/>
        <w:tblInd w:w="0" w:type="dxa"/>
        <w:tblCellMar>
          <w:top w:w="0" w:type="dxa"/>
          <w:left w:w="0" w:type="dxa"/>
          <w:bottom w:w="0" w:type="dxa"/>
          <w:right w:w="0" w:type="dxa"/>
        </w:tblCellMar>
      </w:tblPr>
      <w:tblGrid>
        <w:gridCol w:w="75"/>
        <w:gridCol w:w="110"/>
        <w:gridCol w:w="60"/>
        <w:gridCol w:w="8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Listing</w:t>
            </w:r>
            <w:r>
              <w:rPr>
                <w:rFonts w:ascii="Times New Roman" w:hAnsi="Times New Roman"/>
                <w:sz w:val="20"/>
              </w:rPr>
              <w:t xml:space="preserve">: The Restricted ADSs are not listed on any securities exchange or trading system in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CUSIP Number</w:t>
            </w:r>
            <w:r>
              <w:rPr>
                <w:rFonts w:ascii="Times New Roman" w:hAnsi="Times New Roman"/>
                <w:sz w:val="20"/>
              </w:rPr>
              <w:t xml:space="preserve">: The CUSIP number for the Restricted ADSs is different from the CUSIP number for the freely transferable ADSs.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xml:space="preserve">: The Restricted ADSs may, after issuance, be sold or otherwise transferred only on the terms described below. </w:t>
            </w:r>
          </w:p>
        </w:tc>
      </w:tr>
    </w:tbl>
    <w:p>
      <w:pPr>
        <w:pStyle w:val="TextBody"/>
        <w:spacing w:before="0" w:after="0"/>
        <w:jc w:val="left"/>
        <w:rPr/>
      </w:pPr>
      <w:r>
        <w:rPr/>
        <w:t> </w:t>
      </w:r>
    </w:p>
    <w:tbl>
      <w:tblPr>
        <w:tblW w:w="10120" w:type="dxa"/>
        <w:jc w:val="left"/>
        <w:tblInd w:w="0" w:type="dxa"/>
        <w:tblCellMar>
          <w:top w:w="0" w:type="dxa"/>
          <w:left w:w="0" w:type="dxa"/>
          <w:bottom w:w="0" w:type="dxa"/>
          <w:right w:w="0" w:type="dxa"/>
        </w:tblCellMar>
      </w:tblPr>
      <w:tblGrid>
        <w:gridCol w:w="75"/>
        <w:gridCol w:w="110"/>
        <w:gridCol w:w="60"/>
        <w:gridCol w:w="9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Legend</w:t>
            </w:r>
            <w:r>
              <w:rPr>
                <w:rFonts w:ascii="Times New Roman" w:hAnsi="Times New Roman"/>
                <w:sz w:val="20"/>
              </w:rPr>
              <w:t xml:space="preserve">: The Restricted ADSs will be subject to a transfer legend substantially in the form of all or some of the following: </w:t>
            </w:r>
          </w:p>
        </w:tc>
      </w:tr>
    </w:tbl>
    <w:p>
      <w:pPr>
        <w:pStyle w:val="TextBody"/>
        <w:spacing w:before="240" w:after="0"/>
        <w:jc w:val="left"/>
        <w:rPr/>
      </w:pPr>
      <w:r>
        <w:rPr/>
        <w:t>“</w:t>
      </w:r>
      <w:r>
        <w:rPr>
          <w:rFonts w:ascii="Times New Roman" w:hAnsi="Times New Roman"/>
          <w:sz w:val="20"/>
        </w:rPr>
        <w:t xml:space="preserve">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 </w:t>
      </w:r>
    </w:p>
    <w:p>
      <w:pPr>
        <w:pStyle w:val="TextBody"/>
        <w:spacing w:before="240" w:after="0"/>
        <w:jc w:val="left"/>
        <w:rPr>
          <w:rFonts w:ascii="Times New Roman" w:hAnsi="Times New Roman"/>
          <w:sz w:val="20"/>
        </w:rPr>
      </w:pPr>
      <w:r>
        <w:rPr>
          <w:rFonts w:ascii="Times New Roman" w:hAnsi="Times New Roman"/>
          <w:sz w:val="20"/>
        </w:rPr>
        <w:t xml:space="preserve">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Segregation of Shares</w:t>
            </w:r>
            <w:r>
              <w:rPr>
                <w:rFonts w:ascii="Times New Roman" w:hAnsi="Times New Roman"/>
                <w:sz w:val="20"/>
              </w:rPr>
              <w:t xml:space="preserve">: Restricted Shares deposited with the custodian with respect to Restricted ADSs shall be held separate and distinct from the deposited securities held under the applicable deposit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Lack of Fungibility</w:t>
            </w:r>
            <w:r>
              <w:rPr>
                <w:rFonts w:ascii="Times New Roman" w:hAnsi="Times New Roman"/>
                <w:sz w:val="20"/>
              </w:rPr>
              <w:t xml:space="preserve">: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Withdrawal</w:t>
            </w:r>
            <w:r>
              <w:rPr>
                <w:rFonts w:ascii="Times New Roman" w:hAnsi="Times New Roman"/>
                <w:sz w:val="20"/>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inter alia,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Book-Entry Settlement</w:t>
            </w:r>
            <w:r>
              <w:rPr>
                <w:rFonts w:ascii="Times New Roman" w:hAnsi="Times New Roman"/>
                <w:sz w:val="20"/>
              </w:rPr>
              <w:t xml:space="preserve">: The Restricted ADSs are not expected to be eligible for inclusion in any book-entry settlement system, including, without limitation, the book-entry settlement system maintained by DTC.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Conversion of RADSs into ADSs</w:t>
            </w:r>
            <w:r>
              <w:rPr>
                <w:rFonts w:ascii="Times New Roman" w:hAnsi="Times New Roman"/>
                <w:sz w:val="20"/>
              </w:rPr>
              <w:t xml:space="preserve">: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Conversion of Class C ADSs </w:t>
      </w:r>
    </w:p>
    <w:p>
      <w:pPr>
        <w:pStyle w:val="TextBody"/>
        <w:spacing w:before="120" w:after="0"/>
        <w:jc w:val="left"/>
        <w:rPr>
          <w:rFonts w:ascii="Times New Roman" w:hAnsi="Times New Roman"/>
          <w:sz w:val="20"/>
        </w:rPr>
      </w:pPr>
      <w:r>
        <w:rPr>
          <w:rFonts w:ascii="Times New Roman" w:hAnsi="Times New Roman"/>
          <w:sz w:val="20"/>
        </w:rPr>
        <w:t xml:space="preserve">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 </w:t>
      </w:r>
    </w:p>
    <w:p>
      <w:pPr>
        <w:pStyle w:val="TextBody"/>
        <w:spacing w:before="240" w:after="0"/>
        <w:jc w:val="left"/>
        <w:rPr>
          <w:rFonts w:ascii="Times New Roman" w:hAnsi="Times New Roman"/>
          <w:sz w:val="20"/>
        </w:rPr>
      </w:pPr>
      <w:r>
        <w:rPr>
          <w:rFonts w:ascii="Times New Roman" w:hAnsi="Times New Roman"/>
          <w:sz w:val="20"/>
        </w:rPr>
        <w:t xml:space="preserve">Any holder of Class C ADSs wishing to convert the Class C Shares represented by their Class C ADSs into Class A ADSs will need to take the following actions: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deliver to Citibank, N.A., as conversion agent and the Depositary, a duly completed ADS / Class C Share conversion form together with the applicable conversion price (in U.S. Dollars) and applicable taxes. </w:t>
            </w:r>
          </w:p>
        </w:tc>
      </w:tr>
    </w:tbl>
    <w:p>
      <w:pPr>
        <w:pStyle w:val="TextBody"/>
        <w:spacing w:before="240" w:after="0"/>
        <w:jc w:val="left"/>
        <w:rPr>
          <w:rFonts w:ascii="Times New Roman" w:hAnsi="Times New Roman"/>
          <w:sz w:val="20"/>
        </w:rPr>
      </w:pPr>
      <w:r>
        <w:rPr>
          <w:rFonts w:ascii="Times New Roman" w:hAnsi="Times New Roman"/>
          <w:sz w:val="20"/>
        </w:rPr>
        <w:t xml:space="preserve">Holders of Class C ADSs who duly convert the Class C Shares represented by their Class C ADSs will receive the Class A Shares represented by Class A ADSs, subject in each case to the terms of the Class C Shares in the Polestar Articles and the applicable deposit agreement. </w:t>
      </w:r>
    </w:p>
    <w:p>
      <w:pPr>
        <w:pStyle w:val="TextBody"/>
        <w:spacing w:before="240" w:after="0"/>
        <w:jc w:val="left"/>
        <w:rPr>
          <w:rFonts w:ascii="Times New Roman" w:hAnsi="Times New Roman"/>
          <w:sz w:val="20"/>
        </w:rPr>
      </w:pPr>
      <w:r>
        <w:rPr>
          <w:rFonts w:ascii="Times New Roman" w:hAnsi="Times New Roman"/>
          <w:sz w:val="20"/>
        </w:rPr>
        <w:t xml:space="preserve">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 (iii) the applicable conversion price and taxes. The form conversion instructions to be delivered to the applicable conversion agent, may be obtained from the Depositary. </w:t>
      </w:r>
    </w:p>
    <w:p>
      <w:pPr>
        <w:pStyle w:val="TextBody"/>
        <w:spacing w:before="240" w:after="0"/>
        <w:jc w:val="left"/>
        <w:rPr>
          <w:rFonts w:ascii="Times New Roman" w:hAnsi="Times New Roman"/>
          <w:sz w:val="20"/>
        </w:rPr>
      </w:pPr>
      <w:r>
        <w:rPr>
          <w:rFonts w:ascii="Times New Roman" w:hAnsi="Times New Roman"/>
          <w:sz w:val="20"/>
        </w:rPr>
        <w:t xml:space="preserve">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 </w:t>
      </w:r>
    </w:p>
    <w:p>
      <w:pPr>
        <w:pStyle w:val="TextBody"/>
        <w:spacing w:before="360" w:after="0"/>
        <w:jc w:val="left"/>
        <w:rPr>
          <w:rFonts w:ascii="Times New Roman" w:hAnsi="Times New Roman"/>
          <w:b/>
          <w:i/>
          <w:sz w:val="20"/>
        </w:rPr>
      </w:pPr>
      <w:r>
        <w:rPr>
          <w:rFonts w:ascii="Times New Roman" w:hAnsi="Times New Roman"/>
          <w:b/>
          <w:i/>
          <w:sz w:val="20"/>
        </w:rPr>
        <w:t xml:space="preserve">Mandatory Conversion of Class C Shares </w:t>
      </w:r>
    </w:p>
    <w:p>
      <w:pPr>
        <w:pStyle w:val="TextBody"/>
        <w:spacing w:before="120" w:after="0"/>
        <w:jc w:val="left"/>
        <w:rPr>
          <w:rFonts w:ascii="Times New Roman" w:hAnsi="Times New Roman"/>
          <w:sz w:val="20"/>
        </w:rPr>
      </w:pPr>
      <w:r>
        <w:rPr>
          <w:rFonts w:ascii="Times New Roman" w:hAnsi="Times New Roman"/>
          <w:sz w:val="20"/>
        </w:rPr>
        <w:t xml:space="preserve">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 </w:t>
      </w:r>
    </w:p>
    <w:p>
      <w:pPr>
        <w:pStyle w:val="TextBody"/>
        <w:spacing w:before="240" w:after="0"/>
        <w:jc w:val="left"/>
        <w:rPr>
          <w:rFonts w:ascii="Times New Roman" w:hAnsi="Times New Roman"/>
          <w:sz w:val="20"/>
        </w:rPr>
      </w:pPr>
      <w:r>
        <w:rPr>
          <w:rFonts w:ascii="Times New Roman" w:hAnsi="Times New Roman"/>
          <w:sz w:val="20"/>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472016_23"/>
      <w:bookmarkEnd w:id="25"/>
      <w:r>
        <w:rPr>
          <w:rFonts w:ascii="Times New Roman" w:hAnsi="Times New Roman"/>
          <w:b/>
          <w:sz w:val="20"/>
        </w:rPr>
        <w:t xml:space="preserve">SECURITIES ELIGIBLE FOR FUTURE SALE </w:t>
      </w:r>
    </w:p>
    <w:p>
      <w:pPr>
        <w:pStyle w:val="TextBody"/>
        <w:spacing w:before="240" w:after="0"/>
        <w:jc w:val="left"/>
        <w:rPr>
          <w:rFonts w:ascii="Times New Roman" w:hAnsi="Times New Roman"/>
          <w:sz w:val="20"/>
        </w:rPr>
      </w:pPr>
      <w:r>
        <w:rPr>
          <w:rFonts w:ascii="Times New Roman" w:hAnsi="Times New Roman"/>
          <w:sz w:val="20"/>
        </w:rPr>
        <w:t xml:space="preserve">As of the date of this prospectus, the following securities were issued and outstanding: 467,708,923 Class A ADSs, 1,642,233,575 Class B ADSs, 20,499,965 Class C-1 ADSs and 4,500,000 Class C-2 ADSs. The Class C ADSs entitle the holder to purchase one Class A ADS per Class C ADS at an exercise price of $11.50 per Class A ADS. </w:t>
      </w:r>
    </w:p>
    <w:p>
      <w:pPr>
        <w:pStyle w:val="TextBody"/>
        <w:spacing w:before="240" w:after="0"/>
        <w:jc w:val="left"/>
        <w:rPr>
          <w:rFonts w:ascii="Times New Roman" w:hAnsi="Times New Roman"/>
          <w:sz w:val="20"/>
        </w:rPr>
      </w:pPr>
      <w:r>
        <w:rPr>
          <w:rFonts w:ascii="Times New Roman" w:hAnsi="Times New Roman"/>
          <w:sz w:val="20"/>
        </w:rPr>
        <w:t xml:space="preserve">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 </w:t>
      </w:r>
    </w:p>
    <w:p>
      <w:pPr>
        <w:pStyle w:val="TextBody"/>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 </w:t>
      </w:r>
    </w:p>
    <w:p>
      <w:pPr>
        <w:pStyle w:val="TextBody"/>
        <w:spacing w:before="240" w:after="0"/>
        <w:jc w:val="left"/>
        <w:rPr>
          <w:rFonts w:ascii="Times New Roman" w:hAnsi="Times New Roman"/>
          <w:sz w:val="20"/>
        </w:rPr>
      </w:pPr>
      <w:r>
        <w:rPr>
          <w:rFonts w:ascii="Times New Roman" w:hAnsi="Times New Roman"/>
          <w:sz w:val="20"/>
        </w:rPr>
        <w:t xml:space="preserve">We have also granted the GGI Sponsor, the PIPE Investors, Snita, the Former Parent Convertible Notes Holders and West Investments VIII, LLC certain customary registration rights for the Class A ADSs they purchased in a private placement pursuant to the Sponsor Subscription Agreement, the PIPE Subscription Agreements, the Volvo Cars PIPE Subscription Agreement, the Volvo Cars Preference Subscription Agreement and a consulting marketing services agreement, as applicable. </w:t>
      </w:r>
    </w:p>
    <w:p>
      <w:pPr>
        <w:pStyle w:val="TextBody"/>
        <w:spacing w:before="240" w:after="0"/>
        <w:jc w:val="left"/>
        <w:rPr>
          <w:rFonts w:ascii="Times New Roman" w:hAnsi="Times New Roman"/>
          <w:sz w:val="20"/>
        </w:rPr>
      </w:pPr>
      <w:r>
        <w:rPr>
          <w:rFonts w:ascii="Times New Roman" w:hAnsi="Times New Roman"/>
          <w:sz w:val="20"/>
        </w:rPr>
        <w:t xml:space="preserve">We are registering the offer and sale of the securities covered by this prospectus to satisfy these registration rights. The offer and sale of the Conversion Shares issuable pursuant to the Snita Term Loan Facility, none of which have been issued to date, have not been registered and such securities are not covered by this prospectus. </w:t>
      </w:r>
    </w:p>
    <w:p>
      <w:pPr>
        <w:pStyle w:val="TextBody"/>
        <w:spacing w:before="360" w:after="0"/>
        <w:jc w:val="left"/>
        <w:rPr>
          <w:rFonts w:ascii="Times New Roman" w:hAnsi="Times New Roman"/>
          <w:b/>
          <w:sz w:val="20"/>
        </w:rPr>
      </w:pPr>
      <w:r>
        <w:rPr>
          <w:rFonts w:ascii="Times New Roman" w:hAnsi="Times New Roman"/>
          <w:b/>
          <w:sz w:val="20"/>
        </w:rPr>
        <w:t xml:space="preserve">Rule 144 </w:t>
      </w:r>
    </w:p>
    <w:p>
      <w:pPr>
        <w:pStyle w:val="TextBody"/>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 </w:t>
      </w:r>
    </w:p>
    <w:p>
      <w:pPr>
        <w:pStyle w:val="TextBody"/>
        <w:spacing w:before="240" w:after="0"/>
        <w:jc w:val="left"/>
        <w:rPr>
          <w:rFonts w:ascii="Times New Roman" w:hAnsi="Times New Roman"/>
          <w:sz w:val="20"/>
        </w:rPr>
      </w:pPr>
      <w:r>
        <w:rPr>
          <w:rFonts w:ascii="Times New Roman" w:hAnsi="Times New Roman"/>
          <w:sz w:val="20"/>
        </w:rPr>
        <w:t xml:space="preserve">Persons who have beneficially owned restricted Class A ADSs or Class C ADSs for at least six months but who are our affiliates at the time of, or at any time during the three months preceding, a sale, would be subject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additional restrictions, by which such person would be entitled to sell within any three-month period only a number of securities that does not exceed the greater of: </w:t>
      </w:r>
    </w:p>
    <w:p>
      <w:pPr>
        <w:pStyle w:val="TextBody"/>
        <w:spacing w:before="0" w:after="0"/>
        <w:jc w:val="left"/>
        <w:rPr/>
      </w:pPr>
      <w:r>
        <w:rPr/>
        <w:t> </w:t>
      </w:r>
    </w:p>
    <w:tbl>
      <w:tblPr>
        <w:tblW w:w="7255" w:type="dxa"/>
        <w:jc w:val="left"/>
        <w:tblInd w:w="0" w:type="dxa"/>
        <w:tblCellMar>
          <w:top w:w="0" w:type="dxa"/>
          <w:left w:w="0" w:type="dxa"/>
          <w:bottom w:w="0" w:type="dxa"/>
          <w:right w:w="0" w:type="dxa"/>
        </w:tblCellMar>
      </w:tblPr>
      <w:tblGrid>
        <w:gridCol w:w="75"/>
        <w:gridCol w:w="110"/>
        <w:gridCol w:w="60"/>
        <w:gridCol w:w="7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one percent (1%) of the total number of Class A ADSs then issued and outstanding;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average weekly reported trading volume of the applicable ADSs during the four calendar weeks preceding the filing of a notice on Form 144 with respect to the sale. </w:t>
            </w:r>
          </w:p>
        </w:tc>
      </w:tr>
    </w:tbl>
    <w:p>
      <w:pPr>
        <w:pStyle w:val="TextBody"/>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the Company. </w:t>
      </w:r>
    </w:p>
    <w:p>
      <w:pPr>
        <w:pStyle w:val="TextBody"/>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75"/>
        <w:gridCol w:w="110"/>
        <w:gridCol w:w="60"/>
        <w:gridCol w:w="7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spacing w:before="0" w:after="0"/>
        <w:jc w:val="left"/>
        <w:rPr/>
      </w:pPr>
      <w:r>
        <w:rPr/>
        <w:t> </w:t>
      </w:r>
    </w:p>
    <w:tbl>
      <w:tblPr>
        <w:tblW w:w="9190" w:type="dxa"/>
        <w:jc w:val="left"/>
        <w:tblInd w:w="0" w:type="dxa"/>
        <w:tblCellMar>
          <w:top w:w="0" w:type="dxa"/>
          <w:left w:w="0" w:type="dxa"/>
          <w:bottom w:w="0" w:type="dxa"/>
          <w:right w:w="0" w:type="dxa"/>
        </w:tblCellMar>
      </w:tblPr>
      <w:tblGrid>
        <w:gridCol w:w="75"/>
        <w:gridCol w:w="110"/>
        <w:gridCol w:w="60"/>
        <w:gridCol w:w="8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one year has elapsed from the time that the issuer filed Form 20-F type information with the SEC, which we filed on June 29, 2022, reflecting its status as an entity that is not a shell company. </w:t>
            </w:r>
          </w:p>
        </w:tc>
      </w:tr>
    </w:tbl>
    <w:p>
      <w:pPr>
        <w:pStyle w:val="TextBody"/>
        <w:spacing w:before="360" w:after="0"/>
        <w:jc w:val="left"/>
        <w:rPr>
          <w:rFonts w:ascii="Times New Roman" w:hAnsi="Times New Roman"/>
          <w:b/>
          <w:sz w:val="20"/>
        </w:rPr>
      </w:pPr>
      <w:r>
        <w:rPr>
          <w:rFonts w:ascii="Times New Roman" w:hAnsi="Times New Roman"/>
          <w:b/>
          <w:sz w:val="20"/>
        </w:rPr>
        <w:t xml:space="preserve">Regulation S </w:t>
      </w:r>
    </w:p>
    <w:p>
      <w:pPr>
        <w:pStyle w:val="TextBody"/>
        <w:spacing w:before="120" w:after="0"/>
        <w:jc w:val="left"/>
        <w:rPr>
          <w:rFonts w:ascii="Times New Roman" w:hAnsi="Times New Roman"/>
          <w:sz w:val="20"/>
        </w:rPr>
      </w:pPr>
      <w:r>
        <w:rPr>
          <w:rFonts w:ascii="Times New Roman" w:hAnsi="Times New Roman"/>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t>
      </w:r>
    </w:p>
    <w:p>
      <w:pPr>
        <w:pStyle w:val="TextBody"/>
        <w:spacing w:before="240" w:after="0"/>
        <w:jc w:val="left"/>
        <w:rPr>
          <w:rFonts w:ascii="Times New Roman" w:hAnsi="Times New Roman"/>
          <w:sz w:val="20"/>
        </w:rPr>
      </w:pPr>
      <w:r>
        <w:rPr>
          <w:rFonts w:ascii="Times New Roman" w:hAnsi="Times New Roman"/>
          <w:sz w:val="20"/>
        </w:rPr>
        <w:t xml:space="preserve">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 </w:t>
      </w:r>
    </w:p>
    <w:p>
      <w:pPr>
        <w:pStyle w:val="TextBody"/>
        <w:spacing w:before="360" w:after="0"/>
        <w:jc w:val="left"/>
        <w:rPr>
          <w:rFonts w:ascii="Times New Roman" w:hAnsi="Times New Roman"/>
          <w:b/>
          <w:sz w:val="20"/>
        </w:rPr>
      </w:pPr>
      <w:r>
        <w:rPr>
          <w:rFonts w:ascii="Times New Roman" w:hAnsi="Times New Roman"/>
          <w:b/>
          <w:sz w:val="20"/>
        </w:rPr>
        <w:t xml:space="preserve">Rule 701 </w:t>
      </w:r>
    </w:p>
    <w:p>
      <w:pPr>
        <w:pStyle w:val="TextBody"/>
        <w:spacing w:before="120" w:after="0"/>
        <w:jc w:val="left"/>
        <w:rPr>
          <w:rFonts w:ascii="Times New Roman" w:hAnsi="Times New Roman"/>
          <w:sz w:val="20"/>
        </w:rPr>
      </w:pPr>
      <w:r>
        <w:rPr>
          <w:rFonts w:ascii="Times New Roman" w:hAnsi="Times New Roman"/>
          <w:sz w:val="20"/>
        </w:rPr>
        <w:t xml:space="preserve">In general, under Rule 701 of the Securities Act as currently in effect, to the extent we adhere to the requirements of Rule 701 in issuing such securities, each of our employees, consultants or advisors who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spacing w:before="360" w:after="0"/>
        <w:jc w:val="left"/>
        <w:rPr>
          <w:rFonts w:ascii="Times New Roman" w:hAnsi="Times New Roman"/>
          <w:b/>
          <w:sz w:val="20"/>
        </w:rPr>
      </w:pPr>
      <w:r>
        <w:rPr>
          <w:rFonts w:ascii="Times New Roman" w:hAnsi="Times New Roman"/>
          <w:b/>
          <w:sz w:val="20"/>
        </w:rPr>
        <w:t xml:space="preserve">Earn Out </w:t>
      </w:r>
    </w:p>
    <w:p>
      <w:pPr>
        <w:pStyle w:val="TextBody"/>
        <w:spacing w:before="120" w:after="0"/>
        <w:jc w:val="left"/>
        <w:rPr>
          <w:rFonts w:ascii="Times New Roman" w:hAnsi="Times New Roman"/>
          <w:sz w:val="20"/>
        </w:rPr>
      </w:pPr>
      <w:r>
        <w:rPr>
          <w:rFonts w:ascii="Times New Roman" w:hAnsi="Times New Roman"/>
          <w:sz w:val="20"/>
        </w:rPr>
        <w:t xml:space="preserve">As described in the Business Combination Agreement, the Former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Business Combination Closing. </w:t>
      </w:r>
    </w:p>
    <w:p>
      <w:pPr>
        <w:pStyle w:val="TextBody"/>
        <w:spacing w:before="240" w:after="0"/>
        <w:jc w:val="left"/>
        <w:rPr>
          <w:rFonts w:ascii="Times New Roman" w:hAnsi="Times New Roman"/>
          <w:sz w:val="20"/>
        </w:rPr>
      </w:pPr>
      <w:r>
        <w:rPr>
          <w:rFonts w:ascii="Times New Roman" w:hAnsi="Times New Roman"/>
          <w:sz w:val="20"/>
        </w:rPr>
        <w:t xml:space="preserve">The Earn Out Shares will be issued by the Company to the Former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Business Combination Closing, the Company will not be required to issue the Earn Out Shares in respect of such Volume Weighted Average ADS Price threshold. The Former Parent Shareholders will be entitled to Earn Out Shares in the event an acceleration event (as described in the Business Combination Agreement) occurs.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472016_24"/>
      <w:bookmarkEnd w:id="26"/>
      <w:r>
        <w:rPr>
          <w:rFonts w:ascii="Times New Roman" w:hAnsi="Times New Roman"/>
          <w:b/>
          <w:sz w:val="20"/>
        </w:rPr>
        <w:t xml:space="preserve">TAXATION </w:t>
      </w:r>
    </w:p>
    <w:p>
      <w:pPr>
        <w:pStyle w:val="TextBody"/>
        <w:spacing w:before="240" w:after="0"/>
        <w:jc w:val="left"/>
        <w:rPr>
          <w:rFonts w:ascii="Times New Roman" w:hAnsi="Times New Roman"/>
          <w:b/>
          <w:sz w:val="20"/>
        </w:rPr>
      </w:pPr>
      <w:r>
        <w:rPr>
          <w:rFonts w:ascii="Times New Roman" w:hAnsi="Times New Roman"/>
          <w:b/>
          <w:sz w:val="20"/>
        </w:rPr>
        <w:t xml:space="preserve">Material U.S. Federal Income Tax Considerations </w:t>
      </w:r>
    </w:p>
    <w:p>
      <w:pPr>
        <w:pStyle w:val="TextBody"/>
        <w:spacing w:before="120" w:after="0"/>
        <w:jc w:val="left"/>
        <w:rPr>
          <w:rFonts w:ascii="Times New Roman" w:hAnsi="Times New Roman"/>
          <w:sz w:val="20"/>
        </w:rPr>
      </w:pPr>
      <w:r>
        <w:rPr>
          <w:rFonts w:ascii="Times New Roman" w:hAnsi="Times New Roman"/>
          <w:sz w:val="20"/>
        </w:rPr>
        <w:t xml:space="preserve">This section describes the material U.S. federal income tax considerations to U.S. Holders (as defined below)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 </w:t>
      </w:r>
    </w:p>
    <w:p>
      <w:pPr>
        <w:pStyle w:val="TextBody"/>
        <w:spacing w:before="0" w:after="0"/>
        <w:jc w:val="left"/>
        <w:rPr/>
      </w:pPr>
      <w:r>
        <w:rPr/>
        <w:t> </w:t>
      </w:r>
    </w:p>
    <w:tbl>
      <w:tblPr>
        <w:tblW w:w="1810" w:type="dxa"/>
        <w:jc w:val="left"/>
        <w:tblInd w:w="0" w:type="dxa"/>
        <w:tblCellMar>
          <w:top w:w="0" w:type="dxa"/>
          <w:left w:w="0" w:type="dxa"/>
          <w:bottom w:w="0" w:type="dxa"/>
          <w:right w:w="0" w:type="dxa"/>
        </w:tblCellMar>
      </w:tblPr>
      <w:tblGrid>
        <w:gridCol w:w="75"/>
        <w:gridCol w:w="110"/>
        <w:gridCol w:w="60"/>
        <w:gridCol w:w="1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brokers or dealers; </w:t>
            </w:r>
          </w:p>
        </w:tc>
      </w:tr>
    </w:tbl>
    <w:p>
      <w:pPr>
        <w:pStyle w:val="TextBody"/>
        <w:spacing w:before="0" w:after="0"/>
        <w:jc w:val="left"/>
        <w:rPr/>
      </w:pPr>
      <w:r>
        <w:rPr/>
        <w:t> </w:t>
      </w:r>
    </w:p>
    <w:tbl>
      <w:tblPr>
        <w:tblW w:w="8785" w:type="dxa"/>
        <w:jc w:val="left"/>
        <w:tblInd w:w="0" w:type="dxa"/>
        <w:tblCellMar>
          <w:top w:w="0" w:type="dxa"/>
          <w:left w:w="0" w:type="dxa"/>
          <w:bottom w:w="0" w:type="dxa"/>
          <w:right w:w="0" w:type="dxa"/>
        </w:tblCellMar>
      </w:tblPr>
      <w:tblGrid>
        <w:gridCol w:w="75"/>
        <w:gridCol w:w="110"/>
        <w:gridCol w:w="60"/>
        <w:gridCol w:w="8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jc w:val="left"/>
        <w:rPr/>
      </w:pPr>
      <w:r>
        <w:rPr/>
        <w:t> </w:t>
      </w:r>
    </w:p>
    <w:tbl>
      <w:tblPr>
        <w:tblW w:w="1570" w:type="dxa"/>
        <w:jc w:val="left"/>
        <w:tblInd w:w="0" w:type="dxa"/>
        <w:tblCellMar>
          <w:top w:w="0" w:type="dxa"/>
          <w:left w:w="0" w:type="dxa"/>
          <w:bottom w:w="0" w:type="dxa"/>
          <w:right w:w="0" w:type="dxa"/>
        </w:tblCellMar>
      </w:tblPr>
      <w:tblGrid>
        <w:gridCol w:w="75"/>
        <w:gridCol w:w="110"/>
        <w:gridCol w:w="60"/>
        <w:gridCol w:w="1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S-corporations; </w:t>
            </w:r>
          </w:p>
        </w:tc>
      </w:tr>
    </w:tbl>
    <w:p>
      <w:pPr>
        <w:pStyle w:val="TextBody"/>
        <w:spacing w:before="0" w:after="0"/>
        <w:jc w:val="left"/>
        <w:rPr/>
      </w:pPr>
      <w:r>
        <w:rPr/>
        <w:t> </w:t>
      </w:r>
    </w:p>
    <w:tbl>
      <w:tblPr>
        <w:tblW w:w="4630" w:type="dxa"/>
        <w:jc w:val="left"/>
        <w:tblInd w:w="0" w:type="dxa"/>
        <w:tblCellMar>
          <w:top w:w="0" w:type="dxa"/>
          <w:left w:w="0" w:type="dxa"/>
          <w:bottom w:w="0" w:type="dxa"/>
          <w:right w:w="0" w:type="dxa"/>
        </w:tblCellMar>
      </w:tblPr>
      <w:tblGrid>
        <w:gridCol w:w="75"/>
        <w:gridCol w:w="110"/>
        <w:gridCol w:w="60"/>
        <w:gridCol w:w="4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spacing w:before="0" w:after="0"/>
        <w:jc w:val="left"/>
        <w:rPr/>
      </w:pPr>
      <w:r>
        <w:rPr/>
        <w:t> </w:t>
      </w:r>
    </w:p>
    <w:tbl>
      <w:tblPr>
        <w:tblW w:w="4780" w:type="dxa"/>
        <w:jc w:val="left"/>
        <w:tblInd w:w="0" w:type="dxa"/>
        <w:tblCellMar>
          <w:top w:w="0" w:type="dxa"/>
          <w:left w:w="0" w:type="dxa"/>
          <w:bottom w:w="0" w:type="dxa"/>
          <w:right w:w="0" w:type="dxa"/>
        </w:tblCellMar>
      </w:tblPr>
      <w:tblGrid>
        <w:gridCol w:w="75"/>
        <w:gridCol w:w="110"/>
        <w:gridCol w:w="60"/>
        <w:gridCol w:w="4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person subject to the base erosion and anti-abuse tax; </w:t>
            </w:r>
          </w:p>
        </w:tc>
      </w:tr>
    </w:tbl>
    <w:p>
      <w:pPr>
        <w:pStyle w:val="TextBody"/>
        <w:spacing w:before="0" w:after="0"/>
        <w:jc w:val="left"/>
        <w:rPr/>
      </w:pPr>
      <w:r>
        <w:rPr/>
        <w:t> </w:t>
      </w:r>
    </w:p>
    <w:tbl>
      <w:tblPr>
        <w:tblW w:w="1450" w:type="dxa"/>
        <w:jc w:val="left"/>
        <w:tblInd w:w="0" w:type="dxa"/>
        <w:tblCellMar>
          <w:top w:w="0" w:type="dxa"/>
          <w:left w:w="0" w:type="dxa"/>
          <w:bottom w:w="0" w:type="dxa"/>
          <w:right w:w="0" w:type="dxa"/>
        </w:tblCellMar>
      </w:tblPr>
      <w:tblGrid>
        <w:gridCol w:w="75"/>
        <w:gridCol w:w="110"/>
        <w:gridCol w:w="60"/>
        <w:gridCol w:w="1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mutual funds; </w:t>
            </w:r>
          </w:p>
        </w:tc>
      </w:tr>
    </w:tbl>
    <w:p>
      <w:pPr>
        <w:pStyle w:val="TextBody"/>
        <w:spacing w:before="0" w:after="0"/>
        <w:jc w:val="left"/>
        <w:rPr/>
      </w:pPr>
      <w:r>
        <w:rPr/>
        <w:t> </w:t>
      </w:r>
    </w:p>
    <w:tbl>
      <w:tblPr>
        <w:tblW w:w="1525" w:type="dxa"/>
        <w:jc w:val="left"/>
        <w:tblInd w:w="0" w:type="dxa"/>
        <w:tblCellMar>
          <w:top w:w="0" w:type="dxa"/>
          <w:left w:w="0" w:type="dxa"/>
          <w:bottom w:w="0" w:type="dxa"/>
          <w:right w:w="0" w:type="dxa"/>
        </w:tblCellMar>
      </w:tblPr>
      <w:tblGrid>
        <w:gridCol w:w="75"/>
        <w:gridCol w:w="110"/>
        <w:gridCol w:w="60"/>
        <w:gridCol w:w="1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pension funds; </w:t>
            </w:r>
          </w:p>
        </w:tc>
      </w:tr>
    </w:tbl>
    <w:p>
      <w:pPr>
        <w:pStyle w:val="TextBody"/>
        <w:spacing w:before="0" w:after="0"/>
        <w:jc w:val="left"/>
        <w:rPr/>
      </w:pPr>
      <w:r>
        <w:rPr/>
        <w:t> </w:t>
      </w:r>
    </w:p>
    <w:tbl>
      <w:tblPr>
        <w:tblW w:w="1750" w:type="dxa"/>
        <w:jc w:val="left"/>
        <w:tblInd w:w="0" w:type="dxa"/>
        <w:tblCellMar>
          <w:top w:w="0" w:type="dxa"/>
          <w:left w:w="0" w:type="dxa"/>
          <w:bottom w:w="0" w:type="dxa"/>
          <w:right w:w="0" w:type="dxa"/>
        </w:tblCellMar>
      </w:tblPr>
      <w:tblGrid>
        <w:gridCol w:w="75"/>
        <w:gridCol w:w="110"/>
        <w:gridCol w:w="60"/>
        <w:gridCol w:w="1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trusts and estates;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75"/>
        <w:gridCol w:w="110"/>
        <w:gridCol w:w="6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investors subject to the alternative minimum tax provisions of the Code; </w:t>
            </w:r>
          </w:p>
        </w:tc>
      </w:tr>
    </w:tbl>
    <w:p>
      <w:pPr>
        <w:pStyle w:val="TextBody"/>
        <w:spacing w:before="0" w:after="0"/>
        <w:jc w:val="left"/>
        <w:rPr/>
      </w:pPr>
      <w:r>
        <w:rPr/>
        <w:t> </w:t>
      </w:r>
    </w:p>
    <w:tbl>
      <w:tblPr>
        <w:tblW w:w="9175" w:type="dxa"/>
        <w:jc w:val="left"/>
        <w:tblInd w:w="0" w:type="dxa"/>
        <w:tblCellMar>
          <w:top w:w="0" w:type="dxa"/>
          <w:left w:w="0" w:type="dxa"/>
          <w:bottom w:w="0" w:type="dxa"/>
          <w:right w:w="0" w:type="dxa"/>
        </w:tblCellMar>
      </w:tblPr>
      <w:tblGrid>
        <w:gridCol w:w="75"/>
        <w:gridCol w:w="110"/>
        <w:gridCol w:w="60"/>
        <w:gridCol w:w="8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accrual method taxpayers that file applicable financial statements as described in Section 451(b) of the Code; </w:t>
            </w:r>
          </w:p>
        </w:tc>
      </w:tr>
    </w:tbl>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75"/>
        <w:gridCol w:w="110"/>
        <w:gridCol w:w="60"/>
        <w:gridCol w:w="4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investors subject to the U.S. “anti-inversion” rules;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tax-exempt organizations (including private foundations), qualified retirement plans, individual retirement accounts or other tax deferred accounts;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banks or other financial institutions, underwriters, insurance companies, real estate investment trusts or regulated investment companies; </w:t>
            </w:r>
          </w:p>
        </w:tc>
      </w:tr>
    </w:tbl>
    <w:p>
      <w:pPr>
        <w:pStyle w:val="TextBody"/>
        <w:spacing w:before="0" w:after="0"/>
        <w:jc w:val="left"/>
        <w:rPr/>
      </w:pPr>
      <w:r>
        <w:rPr/>
        <w:t> </w:t>
      </w:r>
    </w:p>
    <w:tbl>
      <w:tblPr>
        <w:tblW w:w="5665" w:type="dxa"/>
        <w:jc w:val="left"/>
        <w:tblInd w:w="0" w:type="dxa"/>
        <w:tblCellMar>
          <w:top w:w="0" w:type="dxa"/>
          <w:left w:w="0" w:type="dxa"/>
          <w:bottom w:w="0" w:type="dxa"/>
          <w:right w:w="0" w:type="dxa"/>
        </w:tblCellMar>
      </w:tblPr>
      <w:tblGrid>
        <w:gridCol w:w="75"/>
        <w:gridCol w:w="110"/>
        <w:gridCol w:w="60"/>
        <w:gridCol w:w="54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that own (directly, indirectly, or by attribution) 5% or more (by vote or value) of any class of AD securities or of the Company in the aggregate;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holding AD securities as part of a straddle, hedging or conversion transaction, constructive sale, or other arrangement involving more than one position; </w:t>
            </w:r>
          </w:p>
        </w:tc>
      </w:tr>
    </w:tbl>
    <w:p>
      <w:pPr>
        <w:pStyle w:val="TextBody"/>
        <w:spacing w:before="0" w:after="0"/>
        <w:jc w:val="left"/>
        <w:rPr/>
      </w:pPr>
      <w:r>
        <w:rPr/>
        <w:t> </w:t>
      </w:r>
    </w:p>
    <w:tbl>
      <w:tblPr>
        <w:tblW w:w="6805" w:type="dxa"/>
        <w:jc w:val="left"/>
        <w:tblInd w:w="0" w:type="dxa"/>
        <w:tblCellMar>
          <w:top w:w="0" w:type="dxa"/>
          <w:left w:w="0" w:type="dxa"/>
          <w:bottom w:w="0" w:type="dxa"/>
          <w:right w:w="0" w:type="dxa"/>
        </w:tblCellMar>
      </w:tblPr>
      <w:tblGrid>
        <w:gridCol w:w="75"/>
        <w:gridCol w:w="110"/>
        <w:gridCol w:w="60"/>
        <w:gridCol w:w="6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who purchased Subscription Shares as part of the Subscription Investments or the Volvo Cars Preference Subscription Investment; </w:t>
            </w:r>
          </w:p>
        </w:tc>
      </w:tr>
    </w:tbl>
    <w:p>
      <w:pPr>
        <w:pStyle w:val="TextBody"/>
        <w:spacing w:before="0" w:after="0"/>
        <w:jc w:val="left"/>
        <w:rPr/>
      </w:pPr>
      <w:r>
        <w:rPr/>
        <w:t> </w:t>
      </w:r>
    </w:p>
    <w:tbl>
      <w:tblPr>
        <w:tblW w:w="5305" w:type="dxa"/>
        <w:jc w:val="left"/>
        <w:tblInd w:w="0" w:type="dxa"/>
        <w:tblCellMar>
          <w:top w:w="0" w:type="dxa"/>
          <w:left w:w="0" w:type="dxa"/>
          <w:bottom w:w="0" w:type="dxa"/>
          <w:right w:w="0" w:type="dxa"/>
        </w:tblCellMar>
      </w:tblPr>
      <w:tblGrid>
        <w:gridCol w:w="75"/>
        <w:gridCol w:w="110"/>
        <w:gridCol w:w="60"/>
        <w:gridCol w:w="50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GGI Sponsor and the initial independent directors of GGI; </w:t>
            </w:r>
          </w:p>
        </w:tc>
      </w:tr>
    </w:tbl>
    <w:p>
      <w:pPr>
        <w:pStyle w:val="TextBody"/>
        <w:spacing w:before="0" w:after="0"/>
        <w:jc w:val="left"/>
        <w:rPr/>
      </w:pPr>
      <w:r>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that received AD securities as compensation for services; or </w:t>
            </w:r>
          </w:p>
        </w:tc>
      </w:tr>
    </w:tbl>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controlled foreign corporations or passive foreign investment companies. </w:t>
            </w:r>
          </w:p>
        </w:tc>
      </w:tr>
    </w:tbl>
    <w:p>
      <w:pPr>
        <w:pStyle w:val="TextBody"/>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 </w:t>
      </w:r>
    </w:p>
    <w:p>
      <w:pPr>
        <w:pStyle w:val="TextBody"/>
        <w:spacing w:before="240" w:after="0"/>
        <w:jc w:val="left"/>
        <w:rPr>
          <w:rFonts w:ascii="Times New Roman" w:hAnsi="Times New Roman"/>
          <w:sz w:val="20"/>
        </w:rPr>
      </w:pPr>
      <w:r>
        <w:rPr>
          <w:rFonts w:ascii="Times New Roman" w:hAnsi="Times New Roman"/>
          <w:sz w:val="20"/>
        </w:rPr>
        <w:t xml:space="preserve">ALL HOLDERS OF AD SECURITIES ARE URGED TO CONSULT THEIR TAX ADVISORS REGARDING THE TAX CONSIDERATIONS RELATING TO THE OWNERSHIP AND DISPOSITION OF AD SECURITIES, INCLUDING THE EFFECTS OF U.S. FEDERAL, STATE, AND LOCAL AND NON-U.S. TAX LAWS. </w:t>
      </w:r>
    </w:p>
    <w:p>
      <w:pPr>
        <w:pStyle w:val="TextBody"/>
        <w:spacing w:before="360" w:after="0"/>
        <w:jc w:val="left"/>
        <w:rPr>
          <w:rFonts w:ascii="Times New Roman" w:hAnsi="Times New Roman"/>
          <w:i/>
          <w:sz w:val="20"/>
        </w:rPr>
      </w:pPr>
      <w:r>
        <w:rPr>
          <w:rFonts w:ascii="Times New Roman" w:hAnsi="Times New Roman"/>
          <w:i/>
          <w:sz w:val="20"/>
        </w:rPr>
        <w:t xml:space="preserve">U.S. Federal Income Tax Treatment of the Company </w:t>
      </w:r>
    </w:p>
    <w:p>
      <w:pPr>
        <w:pStyle w:val="TextBody"/>
        <w:spacing w:before="120" w:after="0"/>
        <w:jc w:val="left"/>
        <w:rPr>
          <w:rFonts w:ascii="Times New Roman" w:hAnsi="Times New Roman"/>
          <w:sz w:val="20"/>
        </w:rPr>
      </w:pPr>
      <w:r>
        <w:rPr>
          <w:rFonts w:ascii="Times New Roman" w:hAnsi="Times New Roman"/>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spacing w:before="240" w:after="0"/>
        <w:jc w:val="left"/>
        <w:rPr>
          <w:rFonts w:ascii="Times New Roman" w:hAnsi="Times New Roman"/>
          <w:sz w:val="20"/>
        </w:rPr>
      </w:pPr>
      <w:r>
        <w:rPr>
          <w:rFonts w:ascii="Times New Roman" w:hAnsi="Times New Roman"/>
          <w:sz w:val="20"/>
        </w:rPr>
        <w:t xml:space="preserve">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“Section 7874 ownership percentage”) is at least 80% (by either vote or value) (this test is referred to as the “80% ownership test” and the three-prong test described in clauses (i)–(iii) above is referred to as the “Section 7874(b) expatriation test”). </w:t>
      </w:r>
    </w:p>
    <w:p>
      <w:pPr>
        <w:pStyle w:val="TextBody"/>
        <w:spacing w:before="240" w:after="0"/>
        <w:jc w:val="left"/>
        <w:rPr>
          <w:rFonts w:ascii="Times New Roman" w:hAnsi="Times New Roman"/>
          <w:sz w:val="20"/>
        </w:rPr>
      </w:pPr>
      <w:r>
        <w:rPr>
          <w:rFonts w:ascii="Times New Roman" w:hAnsi="Times New Roman"/>
          <w:sz w:val="20"/>
        </w:rPr>
        <w:t xml:space="preserve">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 </w:t>
      </w:r>
    </w:p>
    <w:p>
      <w:pPr>
        <w:pStyle w:val="TextBody"/>
        <w:spacing w:before="240" w:after="0"/>
        <w:jc w:val="left"/>
        <w:rPr>
          <w:rFonts w:ascii="Times New Roman" w:hAnsi="Times New Roman"/>
          <w:sz w:val="20"/>
        </w:rPr>
      </w:pPr>
      <w:r>
        <w:rPr>
          <w:rFonts w:ascii="Times New Roman" w:hAnsi="Times New Roman"/>
          <w:sz w:val="20"/>
        </w:rPr>
        <w:t xml:space="preserve">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was less than 60% after the Business Combination. Accordingly, we do not believe the Company will be treated as a U.S. corporation for U.S. federal income tax purposes, dividends paid by the Company may be “qualified dividends” (subject to the discussion below regarding the passive foreign investment company rules and other applicable requirements under Section 1 of the Code) and we do not expect the U.S. subsidiaries of the Company to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 </w:t>
      </w:r>
    </w:p>
    <w:p>
      <w:pPr>
        <w:pStyle w:val="TextBody"/>
        <w:spacing w:before="240" w:after="0"/>
        <w:jc w:val="left"/>
        <w:rPr>
          <w:rFonts w:ascii="Times New Roman" w:hAnsi="Times New Roman"/>
          <w:sz w:val="20"/>
        </w:rPr>
      </w:pPr>
      <w:r>
        <w:rPr>
          <w:rFonts w:ascii="Times New Roman" w:hAnsi="Times New Roman"/>
          <w:sz w:val="20"/>
        </w:rPr>
        <w:t xml:space="preserve">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 </w:t>
      </w:r>
    </w:p>
    <w:p>
      <w:pPr>
        <w:pStyle w:val="TextBody"/>
        <w:spacing w:before="360" w:after="0"/>
        <w:jc w:val="left"/>
        <w:rPr>
          <w:rFonts w:ascii="Times New Roman" w:hAnsi="Times New Roman"/>
          <w:i/>
          <w:sz w:val="20"/>
        </w:rPr>
      </w:pPr>
      <w:r>
        <w:rPr>
          <w:rFonts w:ascii="Times New Roman" w:hAnsi="Times New Roman"/>
          <w:i/>
          <w:sz w:val="20"/>
        </w:rPr>
        <w:t xml:space="preserve">American Depositary Shares </w:t>
      </w:r>
    </w:p>
    <w:p>
      <w:pPr>
        <w:pStyle w:val="TextBody"/>
        <w:spacing w:before="120" w:after="0"/>
        <w:jc w:val="left"/>
        <w:rPr>
          <w:rFonts w:ascii="Times New Roman" w:hAnsi="Times New Roman"/>
          <w:sz w:val="20"/>
        </w:rPr>
      </w:pPr>
      <w:r>
        <w:rPr>
          <w:rFonts w:ascii="Times New Roman" w:hAnsi="Times New Roman"/>
          <w:sz w:val="20"/>
        </w:rPr>
        <w:t xml:space="preserve">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 </w:t>
      </w:r>
    </w:p>
    <w:p>
      <w:pPr>
        <w:pStyle w:val="TextBody"/>
        <w:spacing w:before="240" w:after="0"/>
        <w:jc w:val="left"/>
        <w:rPr>
          <w:rFonts w:ascii="Times New Roman" w:hAnsi="Times New Roman"/>
          <w:sz w:val="20"/>
        </w:rPr>
      </w:pPr>
      <w:r>
        <w:rPr>
          <w:rFonts w:ascii="Times New Roman" w:hAnsi="Times New Roman"/>
          <w:sz w:val="20"/>
        </w:rPr>
        <w:t xml:space="preserve">The remainder of this discussion assumes that, for U.S. federal income tax purposes, ownership of AD securities will be treated as ownership of the underlying Class A Shares or Class C Shares (as applicable). </w:t>
      </w:r>
    </w:p>
    <w:p>
      <w:pPr>
        <w:pStyle w:val="TextBody"/>
        <w:spacing w:before="360" w:after="0"/>
        <w:jc w:val="left"/>
        <w:rPr>
          <w:rFonts w:ascii="Times New Roman" w:hAnsi="Times New Roman"/>
          <w:i/>
          <w:sz w:val="20"/>
        </w:rPr>
      </w:pPr>
      <w:r>
        <w:rPr>
          <w:rFonts w:ascii="Times New Roman" w:hAnsi="Times New Roman"/>
          <w:i/>
          <w:sz w:val="20"/>
        </w:rPr>
        <w:t xml:space="preserve">U.S. Holders </w:t>
      </w:r>
    </w:p>
    <w:p>
      <w:pPr>
        <w:pStyle w:val="TextBody"/>
        <w:spacing w:before="120" w:after="0"/>
        <w:jc w:val="left"/>
        <w:rPr>
          <w:rFonts w:ascii="Times New Roman" w:hAnsi="Times New Roman"/>
          <w:sz w:val="20"/>
        </w:rPr>
      </w:pPr>
      <w:r>
        <w:rPr>
          <w:rFonts w:ascii="Times New Roman" w:hAnsi="Times New Roman"/>
          <w:sz w:val="20"/>
        </w:rPr>
        <w:t xml:space="preserve">For purposes of this discussion, a U.S. Holder means a beneficial owner of AD securities that is, for U.S. federal income tax purposes: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rPr/>
      </w:pPr>
      <w:r>
        <w:rPr/>
      </w:r>
    </w:p>
    <w:p>
      <w:pPr>
        <w:pStyle w:val="Heading5"/>
        <w:rPr/>
      </w:pPr>
      <w:hyperlink w:anchor="toc">
        <w:r>
          <w:rPr>
            <w:rStyle w:val="InternetLink"/>
          </w:rPr>
          <w:t>Table of Contents</w:t>
        </w:r>
      </w:hyperlink>
    </w:p>
    <w:tbl>
      <w:tblPr>
        <w:tblW w:w="7315" w:type="dxa"/>
        <w:jc w:val="left"/>
        <w:tblInd w:w="0" w:type="dxa"/>
        <w:tblCellMar>
          <w:top w:w="0" w:type="dxa"/>
          <w:left w:w="0" w:type="dxa"/>
          <w:bottom w:w="0" w:type="dxa"/>
          <w:right w:w="0" w:type="dxa"/>
        </w:tblCellMar>
      </w:tblPr>
      <w:tblGrid>
        <w:gridCol w:w="75"/>
        <w:gridCol w:w="110"/>
        <w:gridCol w:w="60"/>
        <w:gridCol w:w="70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tc>
      </w:tr>
    </w:tbl>
    <w:p>
      <w:pPr>
        <w:pStyle w:val="TextBody"/>
        <w:spacing w:before="360" w:after="0"/>
        <w:jc w:val="left"/>
        <w:rPr>
          <w:rFonts w:ascii="Times New Roman" w:hAnsi="Times New Roman"/>
          <w:i/>
          <w:sz w:val="20"/>
        </w:rPr>
      </w:pPr>
      <w:r>
        <w:rPr>
          <w:rFonts w:ascii="Times New Roman" w:hAnsi="Times New Roman"/>
          <w:i/>
          <w:sz w:val="20"/>
        </w:rPr>
        <w:t xml:space="preserve">Consequences to Holders of Class A ADSs </w:t>
      </w:r>
    </w:p>
    <w:p>
      <w:pPr>
        <w:pStyle w:val="TextBody"/>
        <w:spacing w:before="120" w:after="0"/>
        <w:jc w:val="left"/>
        <w:rPr>
          <w:rFonts w:ascii="Times New Roman" w:hAnsi="Times New Roman"/>
          <w:b/>
          <w:sz w:val="20"/>
        </w:rPr>
      </w:pPr>
      <w:r>
        <w:rPr>
          <w:rFonts w:ascii="Times New Roman" w:hAnsi="Times New Roman"/>
          <w:b/>
          <w:sz w:val="20"/>
        </w:rPr>
        <w:t xml:space="preserve">a. Distributions on Class A ADSs </w:t>
      </w:r>
    </w:p>
    <w:p>
      <w:pPr>
        <w:pStyle w:val="TextBody"/>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 </w:t>
      </w:r>
    </w:p>
    <w:p>
      <w:pPr>
        <w:pStyle w:val="TextBody"/>
        <w:spacing w:before="240" w:after="0"/>
        <w:jc w:val="left"/>
        <w:rPr>
          <w:rFonts w:ascii="Times New Roman" w:hAnsi="Times New Roman"/>
          <w:sz w:val="20"/>
        </w:rPr>
      </w:pPr>
      <w:r>
        <w:rPr>
          <w:rFonts w:ascii="Times New Roman" w:hAnsi="Times New Roman"/>
          <w:sz w:val="20"/>
        </w:rPr>
        <w:t xml:space="preserve">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 </w:t>
      </w:r>
    </w:p>
    <w:p>
      <w:pPr>
        <w:pStyle w:val="TextBody"/>
        <w:spacing w:before="360" w:after="0"/>
        <w:jc w:val="left"/>
        <w:rPr>
          <w:rFonts w:ascii="Times New Roman" w:hAnsi="Times New Roman"/>
          <w:b/>
          <w:sz w:val="20"/>
        </w:rPr>
      </w:pPr>
      <w:r>
        <w:rPr>
          <w:rFonts w:ascii="Times New Roman" w:hAnsi="Times New Roman"/>
          <w:b/>
          <w:sz w:val="20"/>
        </w:rPr>
        <w:t xml:space="preserve">b. Sale, Exchange, Redemption or Other Taxable Disposition of Class A ADSs </w:t>
      </w:r>
    </w:p>
    <w:p>
      <w:pPr>
        <w:pStyle w:val="TextBody"/>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 </w:t>
      </w:r>
    </w:p>
    <w:p>
      <w:pPr>
        <w:pStyle w:val="TextBody"/>
        <w:spacing w:before="240" w:after="0"/>
        <w:jc w:val="left"/>
        <w:rPr>
          <w:rFonts w:ascii="Times New Roman" w:hAnsi="Times New Roman"/>
          <w:sz w:val="20"/>
        </w:rPr>
      </w:pPr>
      <w:r>
        <w:rPr>
          <w:rFonts w:ascii="Times New Roman" w:hAnsi="Times New Roman"/>
          <w:sz w:val="20"/>
        </w:rPr>
        <w:t xml:space="preserve">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 </w:t>
      </w:r>
    </w:p>
    <w:p>
      <w:pPr>
        <w:pStyle w:val="TextBody"/>
        <w:spacing w:before="240" w:after="0"/>
        <w:jc w:val="left"/>
        <w:rPr>
          <w:rFonts w:ascii="Times New Roman" w:hAnsi="Times New Roman"/>
          <w:sz w:val="20"/>
        </w:rPr>
      </w:pPr>
      <w:r>
        <w:rPr>
          <w:rFonts w:ascii="Times New Roman" w:hAnsi="Times New Roman"/>
          <w:sz w:val="20"/>
        </w:rPr>
        <w:t xml:space="preserve">In determining whether any of the foregoing tests are satisfied, a U.S. Holder takes into account not only Class A ADSs actually owned by the U.S. Holder, but also shares of stock of the Company that are actually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w:t>
      </w:r>
    </w:p>
    <w:p>
      <w:pPr>
        <w:pStyle w:val="TextBody"/>
        <w:spacing w:before="240" w:after="0"/>
        <w:jc w:val="left"/>
        <w:rPr>
          <w:rFonts w:ascii="Times New Roman" w:hAnsi="Times New Roman"/>
          <w:sz w:val="20"/>
        </w:rPr>
      </w:pPr>
      <w:r>
        <w:rPr>
          <w:rFonts w:ascii="Times New Roman" w:hAnsi="Times New Roman"/>
          <w:sz w:val="20"/>
        </w:rPr>
        <w:t xml:space="preserve">If the redemption qualifies as a sale of stock by the U.S. Holder under Section 302 of the Code, the U.S. Holder generally will be required to recognize gain or loss with the consequences described in the first paragraph under this heading. </w:t>
      </w:r>
    </w:p>
    <w:p>
      <w:pPr>
        <w:pStyle w:val="TextBody"/>
        <w:spacing w:before="240" w:after="0"/>
        <w:jc w:val="left"/>
        <w:rPr>
          <w:rFonts w:ascii="Times New Roman" w:hAnsi="Times New Roman"/>
          <w:sz w:val="20"/>
        </w:rPr>
      </w:pPr>
      <w:r>
        <w:rPr>
          <w:rFonts w:ascii="Times New Roman" w:hAnsi="Times New Roman"/>
          <w:sz w:val="20"/>
        </w:rPr>
        <w:t xml:space="preserve">If the redemption does not qualify as a sale of stock under Section 302 of the Code, then the U.S. Holder will be treated as receiving a distribution as described above in “—Distributions on Class A ADSs.” </w:t>
      </w:r>
    </w:p>
    <w:p>
      <w:pPr>
        <w:pStyle w:val="TextBody"/>
        <w:spacing w:before="360" w:after="0"/>
        <w:jc w:val="left"/>
        <w:rPr>
          <w:rFonts w:ascii="Times New Roman" w:hAnsi="Times New Roman"/>
          <w:i/>
          <w:sz w:val="20"/>
        </w:rPr>
      </w:pPr>
      <w:r>
        <w:rPr>
          <w:rFonts w:ascii="Times New Roman" w:hAnsi="Times New Roman"/>
          <w:i/>
          <w:sz w:val="20"/>
        </w:rPr>
        <w:t xml:space="preserve">Consequences to Holders of Class C ADSs </w:t>
      </w:r>
    </w:p>
    <w:p>
      <w:pPr>
        <w:pStyle w:val="TextBody"/>
        <w:spacing w:before="120" w:after="0"/>
        <w:jc w:val="left"/>
        <w:rPr>
          <w:rFonts w:ascii="Times New Roman" w:hAnsi="Times New Roman"/>
          <w:sz w:val="20"/>
        </w:rPr>
      </w:pPr>
      <w:r>
        <w:rPr>
          <w:rFonts w:ascii="Times New Roman" w:hAnsi="Times New Roman"/>
          <w:sz w:val="20"/>
        </w:rPr>
        <w:t xml:space="preserve">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However, holders of Class C ADSs are urged to consult their tax advisors regarding the U.S. federal income tax considerations relating to the ownership, conversion, or disposition of Class C ADSs. </w:t>
      </w:r>
    </w:p>
    <w:p>
      <w:pPr>
        <w:pStyle w:val="TextBody"/>
        <w:spacing w:before="360" w:after="0"/>
        <w:jc w:val="left"/>
        <w:rPr>
          <w:rFonts w:ascii="Times New Roman" w:hAnsi="Times New Roman"/>
          <w:b/>
          <w:sz w:val="20"/>
        </w:rPr>
      </w:pPr>
      <w:r>
        <w:rPr>
          <w:rFonts w:ascii="Times New Roman" w:hAnsi="Times New Roman"/>
          <w:b/>
          <w:sz w:val="20"/>
        </w:rPr>
        <w:t xml:space="preserve">a. Class C ADSs Treated as Stock </w:t>
      </w:r>
    </w:p>
    <w:p>
      <w:pPr>
        <w:pStyle w:val="TextBody"/>
        <w:spacing w:before="120" w:after="0"/>
        <w:jc w:val="left"/>
        <w:rPr>
          <w:rFonts w:ascii="Times New Roman" w:hAnsi="Times New Roman"/>
          <w:sz w:val="20"/>
        </w:rPr>
      </w:pPr>
      <w:r>
        <w:rPr>
          <w:rFonts w:ascii="Times New Roman" w:hAnsi="Times New Roman"/>
          <w:sz w:val="20"/>
        </w:rPr>
        <w:t xml:space="preserve">The following discussion assumes that the Class C ADSs are treated as stock for applicable U.S. federal income tax purposes. </w:t>
      </w:r>
    </w:p>
    <w:p>
      <w:pPr>
        <w:pStyle w:val="TextBody"/>
        <w:spacing w:before="36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Sale, Exchange, Redemption or Other Taxable Disposition of Class C ADSs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the Class C ADSs are treated as stock for U.S. federal income tax purposes, then the consequences of a sale, exchange, redemption or other taxable disposition of a Class C ADSs are the same as described above under the heading “—Sale, Exchange, Redemption or Other Taxable Disposition of Class A ADSs.” </w:t>
      </w:r>
    </w:p>
    <w:p>
      <w:pPr>
        <w:pStyle w:val="TextBody"/>
        <w:spacing w:before="36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Conversion of a Class C ADS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 </w:t>
      </w:r>
    </w:p>
    <w:p>
      <w:pPr>
        <w:pStyle w:val="TextBody"/>
        <w:spacing w:before="240" w:after="0"/>
        <w:jc w:val="left"/>
        <w:rPr>
          <w:rFonts w:ascii="Times New Roman" w:hAnsi="Times New Roman"/>
          <w:sz w:val="20"/>
        </w:rPr>
      </w:pPr>
      <w:r>
        <w:rPr>
          <w:rFonts w:ascii="Times New Roman" w:hAnsi="Times New Roman"/>
          <w:sz w:val="20"/>
        </w:rPr>
        <w:t xml:space="preserve">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 </w:t>
      </w:r>
    </w:p>
    <w:p>
      <w:pPr>
        <w:pStyle w:val="TextBody"/>
        <w:spacing w:before="240" w:after="0"/>
        <w:jc w:val="left"/>
        <w:rPr>
          <w:rFonts w:ascii="Times New Roman" w:hAnsi="Times New Roman"/>
          <w:sz w:val="20"/>
        </w:rPr>
      </w:pPr>
      <w:r>
        <w:rPr>
          <w:rFonts w:ascii="Times New Roman" w:hAnsi="Times New Roman"/>
          <w:sz w:val="20"/>
        </w:rPr>
        <w:t xml:space="preserve">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 </w:t>
      </w:r>
    </w:p>
    <w:p>
      <w:pPr>
        <w:pStyle w:val="TextBody"/>
        <w:spacing w:before="360" w:after="0"/>
        <w:jc w:val="left"/>
        <w:rPr>
          <w:rFonts w:ascii="Times New Roman" w:hAnsi="Times New Roman"/>
          <w:b/>
          <w:sz w:val="20"/>
        </w:rPr>
      </w:pPr>
      <w:r>
        <w:rPr>
          <w:rFonts w:ascii="Times New Roman" w:hAnsi="Times New Roman"/>
          <w:b/>
          <w:sz w:val="20"/>
        </w:rPr>
        <w:t xml:space="preserve">b. Class C ADS Treated as Warrants </w:t>
      </w:r>
    </w:p>
    <w:p>
      <w:pPr>
        <w:pStyle w:val="TextBody"/>
        <w:spacing w:before="120" w:after="0"/>
        <w:jc w:val="left"/>
        <w:rPr>
          <w:rFonts w:ascii="Times New Roman" w:hAnsi="Times New Roman"/>
          <w:sz w:val="20"/>
        </w:rPr>
      </w:pPr>
      <w:r>
        <w:rPr>
          <w:rFonts w:ascii="Times New Roman" w:hAnsi="Times New Roman"/>
          <w:sz w:val="20"/>
        </w:rPr>
        <w:t xml:space="preserve">The following section assumes that the Class C ADSs are treated as warrants exercisable for Class A common stock, notwithstanding the Company’s position that the Class C ADSs are treated as stock. </w:t>
      </w:r>
    </w:p>
    <w:p>
      <w:pPr>
        <w:pStyle w:val="TextBody"/>
        <w:spacing w:before="36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Sale, Exchange, Redemption or Other Taxable Disposition of Class C ADSs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the Class C ADSs are treated as warrants for U.S. federal income tax purposes, then the consequences of a sale, exchange, redemption or other taxable disposition of a Class C ADSs are the same as described above under the heading “—Sale, Exchange, Redemption or Other Taxable Disposition of Class A ADSs.” </w:t>
      </w:r>
    </w:p>
    <w:p>
      <w:pPr>
        <w:pStyle w:val="TextBody"/>
        <w:spacing w:before="36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Conversion of a Class C ADS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 converted to a Class A ADS prior to the applicable expiration date (a “conversion expiration”), a U.S. Holder generally will recognize a capital loss equal to such U.S. Holder’s tax basis in the Class C ADS. </w:t>
      </w:r>
    </w:p>
    <w:p>
      <w:pPr>
        <w:pStyle w:val="TextBody"/>
        <w:spacing w:before="240" w:after="0"/>
        <w:jc w:val="left"/>
        <w:rPr>
          <w:rFonts w:ascii="Times New Roman" w:hAnsi="Times New Roman"/>
          <w:sz w:val="20"/>
        </w:rPr>
      </w:pPr>
      <w:r>
        <w:rPr>
          <w:rFonts w:ascii="Times New Roman" w:hAnsi="Times New Roman"/>
          <w:sz w:val="20"/>
        </w:rPr>
        <w:t xml:space="preserve">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“—Class C ADSs Treated as Stock.” </w:t>
      </w:r>
    </w:p>
    <w:p>
      <w:pPr>
        <w:pStyle w:val="TextBody"/>
        <w:spacing w:before="240" w:after="0"/>
        <w:jc w:val="left"/>
        <w:rPr>
          <w:rFonts w:ascii="Times New Roman" w:hAnsi="Times New Roman"/>
          <w:sz w:val="20"/>
        </w:rPr>
      </w:pPr>
      <w:r>
        <w:rPr>
          <w:rFonts w:ascii="Times New Roman" w:hAnsi="Times New Roman"/>
          <w:sz w:val="20"/>
        </w:rPr>
        <w:t xml:space="preserve">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“surrendered Class C ADSs”).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 </w:t>
      </w:r>
    </w:p>
    <w:p>
      <w:pPr>
        <w:pStyle w:val="TextBody"/>
        <w:spacing w:before="240" w:after="0"/>
        <w:jc w:val="left"/>
        <w:rPr>
          <w:rFonts w:ascii="Times New Roman" w:hAnsi="Times New Roman"/>
          <w:sz w:val="20"/>
        </w:rPr>
      </w:pPr>
      <w:r>
        <w:rPr>
          <w:rFonts w:ascii="Times New Roman" w:hAnsi="Times New Roman"/>
          <w:sz w:val="20"/>
        </w:rPr>
        <w:t xml:space="preserve">Further, under certain conditions, the Company has the right to redeem Class C ADSs for cash or for Class A ADSs, as discussed in the sections titled “—Redemption of Class C Shares for Cash,” and “—Redemption of Class C Shares for Class A ADSs,” respectively. If the Class C ADSs are redeemed for cash, the tax consequences generally will be as described in the section titled “—Sale, Exchange, Redemption or Other Taxable Disposition of Class A ADSs.” </w:t>
      </w:r>
    </w:p>
    <w:p>
      <w:pPr>
        <w:pStyle w:val="TextBody"/>
        <w:spacing w:before="240" w:after="0"/>
        <w:jc w:val="left"/>
        <w:rPr>
          <w:rFonts w:ascii="Times New Roman" w:hAnsi="Times New Roman"/>
          <w:sz w:val="20"/>
        </w:rPr>
      </w:pPr>
      <w:r>
        <w:rPr>
          <w:rFonts w:ascii="Times New Roman" w:hAnsi="Times New Roman"/>
          <w:sz w:val="20"/>
        </w:rPr>
        <w:t xml:space="preserve">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 </w:t>
      </w:r>
    </w:p>
    <w:p>
      <w:pPr>
        <w:pStyle w:val="TextBody"/>
        <w:spacing w:before="360" w:after="0"/>
        <w:jc w:val="left"/>
        <w:rPr>
          <w:rFonts w:ascii="Times New Roman" w:hAnsi="Times New Roman"/>
          <w:i/>
          <w:sz w:val="20"/>
        </w:rPr>
      </w:pPr>
      <w:r>
        <w:rPr>
          <w:rFonts w:ascii="Times New Roman" w:hAnsi="Times New Roman"/>
          <w:i/>
          <w:sz w:val="20"/>
        </w:rPr>
        <w:t xml:space="preserve">Possible Constructive Distributions </w:t>
      </w:r>
    </w:p>
    <w:p>
      <w:pPr>
        <w:pStyle w:val="TextBody"/>
        <w:spacing w:before="120" w:after="0"/>
        <w:jc w:val="left"/>
        <w:rPr>
          <w:rFonts w:ascii="Times New Roman" w:hAnsi="Times New Roman"/>
          <w:sz w:val="20"/>
        </w:rPr>
      </w:pPr>
      <w:r>
        <w:rPr>
          <w:rFonts w:ascii="Times New Roman" w:hAnsi="Times New Roman"/>
          <w:sz w:val="20"/>
        </w:rPr>
        <w:t xml:space="preserve">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“—Distributions on Class A ADSs” above. Such constructive distributions would be subject to tax as described under that section in the same manner as if the U.S. holder received a cash distribution from the Company equal to the fair market value of such increased interest. </w:t>
      </w:r>
    </w:p>
    <w:p>
      <w:pPr>
        <w:pStyle w:val="TextBody"/>
        <w:spacing w:before="36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spacing w:before="120" w:after="0"/>
        <w:jc w:val="left"/>
        <w:rPr>
          <w:rFonts w:ascii="Times New Roman" w:hAnsi="Times New Roman"/>
          <w:sz w:val="20"/>
        </w:rPr>
      </w:pPr>
      <w:r>
        <w:rPr>
          <w:rFonts w:ascii="Times New Roman" w:hAnsi="Times New Roman"/>
          <w:sz w:val="20"/>
        </w:rPr>
        <w:t xml:space="preserve">The treatment of U.S. Holders of the AD securities could be materially different from that described above if the Company is treated as a passive foreign investment company, or PFIC, for U.S. federal income tax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spacing w:before="240" w:after="0"/>
        <w:jc w:val="left"/>
        <w:rPr>
          <w:rFonts w:ascii="Times New Roman" w:hAnsi="Times New Roman"/>
          <w:sz w:val="20"/>
        </w:rPr>
      </w:pPr>
      <w:r>
        <w:rPr>
          <w:rFonts w:ascii="Times New Roman" w:hAnsi="Times New Roman"/>
          <w:sz w:val="20"/>
        </w:rPr>
        <w:t xml:space="preserve">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2022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w:t>
      </w:r>
    </w:p>
    <w:p>
      <w:pPr>
        <w:pStyle w:val="TextBody"/>
        <w:spacing w:before="240" w:after="0"/>
        <w:jc w:val="left"/>
        <w:rPr>
          <w:rFonts w:ascii="Times New Roman" w:hAnsi="Times New Roman"/>
          <w:sz w:val="20"/>
        </w:rPr>
      </w:pPr>
      <w:r>
        <w:rPr>
          <w:rFonts w:ascii="Times New Roman" w:hAnsi="Times New Roman"/>
          <w:sz w:val="20"/>
        </w:rPr>
        <w:t xml:space="preserve">If the Company is or becomes a PFIC during any year in which a U.S. Holder holds AD securities and such U.S. Holder does not make 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gain or excess distribution will be allocated ratably over the period during which the U.S. Holder held its AD securities; </w:t>
            </w:r>
          </w:p>
        </w:tc>
      </w:tr>
    </w:tbl>
    <w:p>
      <w:pPr>
        <w:pStyle w:val="TextBody"/>
        <w:spacing w:before="0" w:after="0"/>
        <w:jc w:val="left"/>
        <w:rPr/>
      </w:pPr>
      <w:r>
        <w:rPr/>
        <w:t> </w:t>
      </w:r>
    </w:p>
    <w:tbl>
      <w:tblPr>
        <w:tblW w:w="7390" w:type="dxa"/>
        <w:jc w:val="left"/>
        <w:tblInd w:w="0" w:type="dxa"/>
        <w:tblCellMar>
          <w:top w:w="0" w:type="dxa"/>
          <w:left w:w="0" w:type="dxa"/>
          <w:bottom w:w="0" w:type="dxa"/>
          <w:right w:w="0" w:type="dxa"/>
        </w:tblCellMar>
      </w:tblPr>
      <w:tblGrid>
        <w:gridCol w:w="75"/>
        <w:gridCol w:w="110"/>
        <w:gridCol w:w="60"/>
        <w:gridCol w:w="7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allocated to the current taxable year will be treated as ordinary income;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tc>
      </w:tr>
    </w:tbl>
    <w:p>
      <w:pPr>
        <w:pStyle w:val="TextBody"/>
        <w:spacing w:before="240" w:after="0"/>
        <w:jc w:val="left"/>
        <w:rPr>
          <w:rFonts w:ascii="Times New Roman" w:hAnsi="Times New Roman"/>
          <w:sz w:val="20"/>
        </w:rPr>
      </w:pPr>
      <w:r>
        <w:rPr>
          <w:rFonts w:ascii="Times New Roman" w:hAnsi="Times New Roman"/>
          <w:sz w:val="20"/>
        </w:rPr>
        <w:t xml:space="preserve">In lieu of being subject to the special tax rules discussed above with regard to its Class A ADSs, a U.S. Holder may make a mark-to-market election with respect to its AD securities and with respect to its Class C ADSs if treated as stock. A U.S. Holder may make 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 </w:t>
      </w:r>
    </w:p>
    <w:p>
      <w:pPr>
        <w:pStyle w:val="TextBody"/>
        <w:spacing w:before="240" w:after="0"/>
        <w:jc w:val="left"/>
        <w:rPr>
          <w:rFonts w:ascii="Times New Roman" w:hAnsi="Times New Roman"/>
          <w:sz w:val="20"/>
        </w:rPr>
      </w:pPr>
      <w:r>
        <w:rPr>
          <w:rFonts w:ascii="Times New Roman" w:hAnsi="Times New Roman"/>
          <w:sz w:val="20"/>
        </w:rPr>
        <w:t xml:space="preserve">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U.S. Holders are urged to consult their tax advisors concerning the U.S. federal income tax consequences of holding AD securities in the event that the Company is considered a PFIC in any taxable year.</w:t>
      </w:r>
    </w:p>
    <w:p>
      <w:pPr>
        <w:pStyle w:val="TextBody"/>
        <w:spacing w:before="360" w:after="0"/>
        <w:jc w:val="left"/>
        <w:rPr>
          <w:rFonts w:ascii="Times New Roman" w:hAnsi="Times New Roman"/>
          <w:i/>
          <w:sz w:val="20"/>
        </w:rPr>
      </w:pPr>
      <w:r>
        <w:rPr>
          <w:rFonts w:ascii="Times New Roman" w:hAnsi="Times New Roman"/>
          <w:i/>
          <w:sz w:val="20"/>
        </w:rPr>
        <w:t xml:space="preserve">Additional Reporting Requirements </w:t>
      </w:r>
    </w:p>
    <w:p>
      <w:pPr>
        <w:pStyle w:val="TextBody"/>
        <w:spacing w:before="120" w:after="0"/>
        <w:jc w:val="left"/>
        <w:rPr>
          <w:rFonts w:ascii="Times New Roman" w:hAnsi="Times New Roman"/>
          <w:sz w:val="20"/>
        </w:rPr>
      </w:pPr>
      <w:r>
        <w:rPr>
          <w:rFonts w:ascii="Times New Roman" w:hAnsi="Times New Roman"/>
          <w:sz w:val="20"/>
        </w:rPr>
        <w:t xml:space="preserve">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 </w:t>
      </w:r>
    </w:p>
    <w:p>
      <w:pPr>
        <w:pStyle w:val="TextBody"/>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spacing w:before="360" w:after="0"/>
        <w:jc w:val="left"/>
        <w:rPr>
          <w:rFonts w:ascii="Times New Roman" w:hAnsi="Times New Roman"/>
          <w:b/>
          <w:sz w:val="20"/>
        </w:rPr>
      </w:pPr>
      <w:r>
        <w:rPr>
          <w:rFonts w:ascii="Times New Roman" w:hAnsi="Times New Roman"/>
          <w:b/>
          <w:sz w:val="20"/>
        </w:rPr>
        <w:t xml:space="preserve">Material United Kingdom Tax Considerations </w:t>
      </w:r>
    </w:p>
    <w:p>
      <w:pPr>
        <w:pStyle w:val="TextBody"/>
        <w:spacing w:before="120" w:after="0"/>
        <w:jc w:val="left"/>
        <w:rPr>
          <w:rFonts w:ascii="Times New Roman" w:hAnsi="Times New Roman"/>
          <w:sz w:val="20"/>
        </w:rPr>
      </w:pPr>
      <w:r>
        <w:rPr>
          <w:rFonts w:ascii="Times New Roman" w:hAnsi="Times New Roman"/>
          <w:sz w:val="20"/>
        </w:rPr>
        <w:t xml:space="preserve">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 </w:t>
      </w:r>
    </w:p>
    <w:p>
      <w:pPr>
        <w:pStyle w:val="TextBody"/>
        <w:spacing w:before="240" w:after="0"/>
        <w:jc w:val="left"/>
        <w:rPr>
          <w:rFonts w:ascii="Times New Roman" w:hAnsi="Times New Roman"/>
          <w:sz w:val="20"/>
        </w:rPr>
      </w:pPr>
      <w:r>
        <w:rPr>
          <w:rFonts w:ascii="Times New Roman" w:hAnsi="Times New Roman"/>
          <w:sz w:val="20"/>
        </w:rPr>
        <w:t xml:space="preserve">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 </w:t>
      </w:r>
    </w:p>
    <w:p>
      <w:pPr>
        <w:pStyle w:val="TextBody"/>
        <w:spacing w:before="360" w:after="0"/>
        <w:jc w:val="left"/>
        <w:rPr>
          <w:rFonts w:ascii="Times New Roman" w:hAnsi="Times New Roman"/>
          <w:b/>
          <w:sz w:val="20"/>
        </w:rPr>
      </w:pPr>
      <w:r>
        <w:rPr>
          <w:rFonts w:ascii="Times New Roman" w:hAnsi="Times New Roman"/>
          <w:b/>
          <w:sz w:val="20"/>
        </w:rPr>
        <w:t xml:space="preserve">Dividend Withholding Tax </w:t>
      </w:r>
    </w:p>
    <w:p>
      <w:pPr>
        <w:pStyle w:val="TextBody"/>
        <w:spacing w:before="120" w:after="0"/>
        <w:jc w:val="left"/>
        <w:rPr>
          <w:rFonts w:ascii="Times New Roman" w:hAnsi="Times New Roman"/>
          <w:sz w:val="20"/>
        </w:rPr>
      </w:pPr>
      <w:r>
        <w:rPr>
          <w:rFonts w:ascii="Times New Roman" w:hAnsi="Times New Roman"/>
          <w:sz w:val="20"/>
        </w:rPr>
        <w:t xml:space="preserve">Dividends paid by the Company in respect of Class A Shares and Class C Shares should not be subject to any withholding or deduction for or on account of United Kingdom income tax. </w:t>
      </w:r>
    </w:p>
    <w:p>
      <w:pPr>
        <w:pStyle w:val="TextBody"/>
        <w:spacing w:before="360" w:after="0"/>
        <w:jc w:val="left"/>
        <w:rPr>
          <w:rFonts w:ascii="Times New Roman" w:hAnsi="Times New Roman"/>
          <w:b/>
          <w:sz w:val="20"/>
        </w:rPr>
      </w:pPr>
      <w:r>
        <w:rPr>
          <w:rFonts w:ascii="Times New Roman" w:hAnsi="Times New Roman"/>
          <w:b/>
          <w:sz w:val="20"/>
        </w:rPr>
        <w:t xml:space="preserve">Stamp Duty and Stamp Duty Reserve Tax—Transfers of AD securities </w:t>
      </w:r>
    </w:p>
    <w:p>
      <w:pPr>
        <w:pStyle w:val="TextBody"/>
        <w:spacing w:before="120" w:after="0"/>
        <w:jc w:val="left"/>
        <w:rPr>
          <w:rFonts w:ascii="Times New Roman" w:hAnsi="Times New Roman"/>
          <w:sz w:val="20"/>
        </w:rPr>
      </w:pPr>
      <w:r>
        <w:rPr>
          <w:rFonts w:ascii="Times New Roman" w:hAnsi="Times New Roman"/>
          <w:sz w:val="20"/>
        </w:rPr>
        <w:t xml:space="preserve">The statement in this section assumes that the AD securities are held at all relevant times through the clearance service facilities of DTC and that all transfers of the AD securities take place in paperless form without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creation of any written instrument of transfer. This section does not consider the implications of transfers of, or agreements to transfer, any Company securities held in certificated form. </w:t>
      </w:r>
    </w:p>
    <w:p>
      <w:pPr>
        <w:pStyle w:val="TextBody"/>
        <w:spacing w:before="240" w:after="0"/>
        <w:jc w:val="left"/>
        <w:rPr>
          <w:rFonts w:ascii="Times New Roman" w:hAnsi="Times New Roman"/>
          <w:sz w:val="20"/>
        </w:rPr>
      </w:pPr>
      <w:r>
        <w:rPr>
          <w:rFonts w:ascii="Times New Roman" w:hAnsi="Times New Roman"/>
          <w:sz w:val="20"/>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472016_25"/>
      <w:bookmarkEnd w:id="27"/>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 </w:t>
      </w:r>
    </w:p>
    <w:p>
      <w:pPr>
        <w:pStyle w:val="TextBody"/>
        <w:spacing w:before="240" w:after="0"/>
        <w:jc w:val="left"/>
        <w:rPr>
          <w:rFonts w:ascii="Times New Roman" w:hAnsi="Times New Roman"/>
          <w:sz w:val="20"/>
        </w:rPr>
      </w:pPr>
      <w:r>
        <w:rPr>
          <w:rFonts w:ascii="Times New Roman" w:hAnsi="Times New Roman"/>
          <w:sz w:val="20"/>
        </w:rPr>
        <w:t xml:space="preserve">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 </w:t>
      </w:r>
    </w:p>
    <w:p>
      <w:pPr>
        <w:pStyle w:val="TextBody"/>
        <w:spacing w:before="240" w:after="0"/>
        <w:jc w:val="left"/>
        <w:rPr>
          <w:rFonts w:ascii="Times New Roman" w:hAnsi="Times New Roman"/>
          <w:sz w:val="20"/>
        </w:rPr>
      </w:pPr>
      <w:r>
        <w:rPr>
          <w:rFonts w:ascii="Times New Roman" w:hAnsi="Times New Roman"/>
          <w:sz w:val="20"/>
        </w:rPr>
        <w:t xml:space="preserve">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 </w:t>
      </w:r>
    </w:p>
    <w:p>
      <w:pPr>
        <w:pStyle w:val="TextBody"/>
        <w:spacing w:before="0" w:after="0"/>
        <w:jc w:val="left"/>
        <w:rPr/>
      </w:pPr>
      <w:r>
        <w:rPr/>
        <w:t> </w:t>
      </w:r>
    </w:p>
    <w:tbl>
      <w:tblPr>
        <w:tblW w:w="7525" w:type="dxa"/>
        <w:jc w:val="left"/>
        <w:tblInd w:w="0" w:type="dxa"/>
        <w:tblCellMar>
          <w:top w:w="0" w:type="dxa"/>
          <w:left w:w="0" w:type="dxa"/>
          <w:bottom w:w="0" w:type="dxa"/>
          <w:right w:w="0" w:type="dxa"/>
        </w:tblCellMar>
      </w:tblPr>
      <w:tblGrid>
        <w:gridCol w:w="75"/>
        <w:gridCol w:w="110"/>
        <w:gridCol w:w="60"/>
        <w:gridCol w:w="7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applicable exchange;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prospectus supplement hereto that provide for periodic sales of their securities on the basis of parameters described in such trading plans; </w:t>
            </w:r>
          </w:p>
        </w:tc>
      </w:tr>
    </w:tbl>
    <w:p>
      <w:pPr>
        <w:pStyle w:val="TextBody"/>
        <w:spacing w:before="0" w:after="0"/>
        <w:jc w:val="left"/>
        <w:rPr/>
      </w:pPr>
      <w:r>
        <w:rPr/>
        <w:t> </w:t>
      </w:r>
    </w:p>
    <w:tbl>
      <w:tblPr>
        <w:tblW w:w="7300" w:type="dxa"/>
        <w:jc w:val="left"/>
        <w:tblInd w:w="0" w:type="dxa"/>
        <w:tblCellMar>
          <w:top w:w="0" w:type="dxa"/>
          <w:left w:w="0" w:type="dxa"/>
          <w:bottom w:w="0" w:type="dxa"/>
          <w:right w:w="0" w:type="dxa"/>
        </w:tblCellMar>
      </w:tblPr>
      <w:tblGrid>
        <w:gridCol w:w="75"/>
        <w:gridCol w:w="110"/>
        <w:gridCol w:w="60"/>
        <w:gridCol w:w="70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spacing w:before="0" w:after="0"/>
        <w:jc w:val="left"/>
        <w:rPr/>
      </w:pPr>
      <w:r>
        <w:rPr/>
        <w:t> </w:t>
      </w:r>
    </w:p>
    <w:tbl>
      <w:tblPr>
        <w:tblW w:w="9955" w:type="dxa"/>
        <w:jc w:val="left"/>
        <w:tblInd w:w="0" w:type="dxa"/>
        <w:tblCellMar>
          <w:top w:w="0" w:type="dxa"/>
          <w:left w:w="0" w:type="dxa"/>
          <w:bottom w:w="0" w:type="dxa"/>
          <w:right w:w="0" w:type="dxa"/>
        </w:tblCellMar>
      </w:tblPr>
      <w:tblGrid>
        <w:gridCol w:w="75"/>
        <w:gridCol w:w="110"/>
        <w:gridCol w:w="60"/>
        <w:gridCol w:w="9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and/or warrant;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directly to purchasers, including through a specific bidding, auction or other process or in privately negotiated transactions;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spacing w:before="0" w:after="0"/>
        <w:jc w:val="left"/>
        <w:rPr/>
      </w:pPr>
      <w:r>
        <w:rPr/>
        <w:t> </w:t>
      </w:r>
    </w:p>
    <w:tbl>
      <w:tblPr>
        <w:tblW w:w="7165" w:type="dxa"/>
        <w:jc w:val="left"/>
        <w:tblInd w:w="0" w:type="dxa"/>
        <w:tblCellMar>
          <w:top w:w="0" w:type="dxa"/>
          <w:left w:w="0" w:type="dxa"/>
          <w:bottom w:w="0" w:type="dxa"/>
          <w:right w:w="0" w:type="dxa"/>
        </w:tblCellMar>
      </w:tblPr>
      <w:tblGrid>
        <w:gridCol w:w="75"/>
        <w:gridCol w:w="110"/>
        <w:gridCol w:w="60"/>
        <w:gridCol w:w="6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an exchange distribution in accordance with the rules of the applicable exchange;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the distribution by any Selling Securityholder to its employees, partners (including limited partners), members or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whereby broker-dealers may agree with the Selling Securityholders to sell a specified number of such shares at a stipulated price per share; </w:t>
            </w:r>
          </w:p>
        </w:tc>
      </w:tr>
    </w:tbl>
    <w:p>
      <w:pPr>
        <w:pStyle w:val="TextBody"/>
        <w:spacing w:before="0" w:after="0"/>
        <w:jc w:val="left"/>
        <w:rPr/>
      </w:pPr>
      <w:r>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spacing w:before="0" w:after="0"/>
        <w:jc w:val="left"/>
        <w:rPr/>
      </w:pPr>
      <w:r>
        <w:rPr/>
        <w:t> </w:t>
      </w:r>
    </w:p>
    <w:tbl>
      <w:tblPr>
        <w:tblW w:w="3535" w:type="dxa"/>
        <w:jc w:val="left"/>
        <w:tblInd w:w="0" w:type="dxa"/>
        <w:tblCellMar>
          <w:top w:w="0" w:type="dxa"/>
          <w:left w:w="0" w:type="dxa"/>
          <w:bottom w:w="0" w:type="dxa"/>
          <w:right w:w="0" w:type="dxa"/>
        </w:tblCellMar>
      </w:tblPr>
      <w:tblGrid>
        <w:gridCol w:w="75"/>
        <w:gridCol w:w="110"/>
        <w:gridCol w:w="60"/>
        <w:gridCol w:w="3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delayed delivery requirements; </w:t>
            </w:r>
          </w:p>
        </w:tc>
      </w:tr>
    </w:tbl>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75"/>
        <w:gridCol w:w="110"/>
        <w:gridCol w:w="60"/>
        <w:gridCol w:w="4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pledge to secured debts and other obligations; </w:t>
            </w:r>
          </w:p>
        </w:tc>
      </w:tr>
    </w:tbl>
    <w:p>
      <w:pPr>
        <w:pStyle w:val="TextBody"/>
        <w:spacing w:before="0" w:after="0"/>
        <w:jc w:val="left"/>
        <w:rPr/>
      </w:pPr>
      <w:r>
        <w:rPr/>
        <w:t> </w:t>
      </w:r>
    </w:p>
    <w:tbl>
      <w:tblPr>
        <w:tblW w:w="5365" w:type="dxa"/>
        <w:jc w:val="left"/>
        <w:tblInd w:w="0" w:type="dxa"/>
        <w:tblCellMar>
          <w:top w:w="0" w:type="dxa"/>
          <w:left w:w="0" w:type="dxa"/>
          <w:bottom w:w="0" w:type="dxa"/>
          <w:right w:w="0" w:type="dxa"/>
        </w:tblCellMar>
      </w:tblPr>
      <w:tblGrid>
        <w:gridCol w:w="75"/>
        <w:gridCol w:w="110"/>
        <w:gridCol w:w="60"/>
        <w:gridCol w:w="5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spacing w:before="0" w:after="0"/>
        <w:jc w:val="left"/>
        <w:rPr/>
      </w:pPr>
      <w:r>
        <w:rPr/>
        <w:t> </w:t>
      </w:r>
    </w:p>
    <w:tbl>
      <w:tblPr>
        <w:tblW w:w="4810" w:type="dxa"/>
        <w:jc w:val="left"/>
        <w:tblInd w:w="0" w:type="dxa"/>
        <w:tblCellMar>
          <w:top w:w="0" w:type="dxa"/>
          <w:left w:w="0" w:type="dxa"/>
          <w:bottom w:w="0" w:type="dxa"/>
          <w:right w:w="0" w:type="dxa"/>
        </w:tblCellMar>
      </w:tblPr>
      <w:tblGrid>
        <w:gridCol w:w="75"/>
        <w:gridCol w:w="110"/>
        <w:gridCol w:w="60"/>
        <w:gridCol w:w="4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 and who acquired such securities in connection with such transactions, will be deemed to have been made pursuant to a distribution and therefore made by an “underwriter” within the meaning of the Securities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have the sole and absolute discretion not to accept any purchase offer or make any sale of securities if they deem the purchase price to be unsatisfactory at any particular time. </w:t>
      </w:r>
    </w:p>
    <w:p>
      <w:pPr>
        <w:pStyle w:val="TextBody"/>
        <w:spacing w:before="240" w:after="0"/>
        <w:jc w:val="left"/>
        <w:rPr>
          <w:rFonts w:ascii="Times New Roman" w:hAnsi="Times New Roman"/>
          <w:sz w:val="20"/>
        </w:rPr>
      </w:pPr>
      <w:r>
        <w:rPr>
          <w:rFonts w:ascii="Times New Roman" w:hAnsi="Times New Roman"/>
          <w:sz w:val="20"/>
        </w:rPr>
        <w:t xml:space="preserve">A Selling Securityholder that is an entity may elect to make a pro rata in-kind distribution of securities to its members, partners or shareholders pursuant to the registration statement of which this prospectus is a part by delivering a prospectus with a plan of distribution.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 </w:t>
      </w:r>
    </w:p>
    <w:p>
      <w:pPr>
        <w:pStyle w:val="TextBody"/>
        <w:spacing w:before="240" w:after="0"/>
        <w:jc w:val="left"/>
        <w:rPr>
          <w:rFonts w:ascii="Times New Roman" w:hAnsi="Times New Roman"/>
          <w:sz w:val="20"/>
        </w:rPr>
      </w:pPr>
      <w:r>
        <w:rPr>
          <w:rFonts w:ascii="Times New Roman" w:hAnsi="Times New Roman"/>
          <w:sz w:val="20"/>
        </w:rPr>
        <w:t xml:space="preserve">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110"/>
        <w:gridCol w:w="60"/>
        <w:gridCol w:w="3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name of the participating broker-dealer(s); </w:t>
            </w:r>
          </w:p>
        </w:tc>
      </w:tr>
    </w:tbl>
    <w:p>
      <w:pPr>
        <w:pStyle w:val="TextBody"/>
        <w:spacing w:before="0" w:after="0"/>
        <w:jc w:val="left"/>
        <w:rPr/>
      </w:pPr>
      <w:r>
        <w:rPr/>
        <w:t> </w:t>
      </w:r>
    </w:p>
    <w:tbl>
      <w:tblPr>
        <w:tblW w:w="2905" w:type="dxa"/>
        <w:jc w:val="left"/>
        <w:tblInd w:w="0" w:type="dxa"/>
        <w:tblCellMar>
          <w:top w:w="0" w:type="dxa"/>
          <w:left w:w="0" w:type="dxa"/>
          <w:bottom w:w="0" w:type="dxa"/>
          <w:right w:w="0" w:type="dxa"/>
        </w:tblCellMar>
      </w:tblPr>
      <w:tblGrid>
        <w:gridCol w:w="75"/>
        <w:gridCol w:w="110"/>
        <w:gridCol w:w="60"/>
        <w:gridCol w:w="2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specific securities involved; </w:t>
            </w:r>
          </w:p>
        </w:tc>
      </w:tr>
    </w:tbl>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initial price at which such securities are to be sold; </w:t>
            </w:r>
          </w:p>
        </w:tc>
      </w:tr>
    </w:tbl>
    <w:p>
      <w:pPr>
        <w:pStyle w:val="TextBody"/>
        <w:spacing w:before="0" w:after="0"/>
        <w:jc w:val="left"/>
        <w:rPr/>
      </w:pPr>
      <w:r>
        <w:rPr/>
        <w:t> </w:t>
      </w:r>
    </w:p>
    <w:tbl>
      <w:tblPr>
        <w:tblW w:w="8860" w:type="dxa"/>
        <w:jc w:val="left"/>
        <w:tblInd w:w="0" w:type="dxa"/>
        <w:tblCellMar>
          <w:top w:w="0" w:type="dxa"/>
          <w:left w:w="0" w:type="dxa"/>
          <w:bottom w:w="0" w:type="dxa"/>
          <w:right w:w="0" w:type="dxa"/>
        </w:tblCellMar>
      </w:tblPr>
      <w:tblGrid>
        <w:gridCol w:w="75"/>
        <w:gridCol w:w="110"/>
        <w:gridCol w:w="60"/>
        <w:gridCol w:w="8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commissions paid or discounts or concessions allowed to such broker-dealer(s), where applicable; and </w:t>
            </w:r>
          </w:p>
        </w:tc>
      </w:tr>
    </w:tbl>
    <w:p>
      <w:pPr>
        <w:pStyle w:val="TextBody"/>
        <w:spacing w:before="0" w:after="0"/>
        <w:jc w:val="left"/>
        <w:rPr/>
      </w:pPr>
      <w:r>
        <w:rPr/>
        <w:t> </w:t>
      </w:r>
    </w:p>
    <w:tbl>
      <w:tblPr>
        <w:tblW w:w="3370" w:type="dxa"/>
        <w:jc w:val="left"/>
        <w:tblInd w:w="0" w:type="dxa"/>
        <w:tblCellMar>
          <w:top w:w="0" w:type="dxa"/>
          <w:left w:w="0" w:type="dxa"/>
          <w:bottom w:w="0" w:type="dxa"/>
          <w:right w:w="0" w:type="dxa"/>
        </w:tblCellMar>
      </w:tblPr>
      <w:tblGrid>
        <w:gridCol w:w="75"/>
        <w:gridCol w:w="110"/>
        <w:gridCol w:w="60"/>
        <w:gridCol w:w="3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facts material to the transaction. </w:t>
            </w:r>
          </w:p>
        </w:tc>
      </w:tr>
    </w:tbl>
    <w:p>
      <w:pPr>
        <w:pStyle w:val="TextBody"/>
        <w:spacing w:before="240" w:after="0"/>
        <w:jc w:val="left"/>
        <w:rPr>
          <w:rFonts w:ascii="Times New Roman" w:hAnsi="Times New Roman"/>
          <w:sz w:val="20"/>
        </w:rPr>
      </w:pPr>
      <w:r>
        <w:rPr>
          <w:rFonts w:ascii="Times New Roman" w:hAnsi="Times New Roman"/>
          <w:sz w:val="20"/>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the extent required, we will use our best efforts to file one or more supplements to this prospectus to describe any material information with respect to the plan of distribution not previously disclosed in this prospectus or any material change to such information. </w:t>
      </w:r>
    </w:p>
    <w:p>
      <w:pPr>
        <w:pStyle w:val="TextBody"/>
        <w:spacing w:before="240" w:after="0"/>
        <w:jc w:val="left"/>
        <w:rPr>
          <w:rFonts w:ascii="Times New Roman" w:hAnsi="Times New Roman"/>
          <w:sz w:val="20"/>
        </w:rPr>
      </w:pPr>
      <w:r>
        <w:rPr>
          <w:rFonts w:ascii="Times New Roman" w:hAnsi="Times New Roman"/>
          <w:sz w:val="20"/>
        </w:rPr>
        <w:t xml:space="preserve">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 </w:t>
      </w:r>
    </w:p>
    <w:p>
      <w:pPr>
        <w:pStyle w:val="TextBody"/>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 </w:t>
      </w:r>
    </w:p>
    <w:p>
      <w:pPr>
        <w:pStyle w:val="TextBody"/>
        <w:spacing w:before="0" w:after="0"/>
        <w:jc w:val="left"/>
        <w:rPr/>
      </w:pPr>
      <w:r>
        <w:rPr/>
        <w:t> </w:t>
      </w:r>
    </w:p>
    <w:tbl>
      <w:tblPr>
        <w:tblW w:w="7465" w:type="dxa"/>
        <w:jc w:val="left"/>
        <w:tblInd w:w="0" w:type="dxa"/>
        <w:tblCellMar>
          <w:top w:w="0" w:type="dxa"/>
          <w:left w:w="0" w:type="dxa"/>
          <w:bottom w:w="0" w:type="dxa"/>
          <w:right w:w="0" w:type="dxa"/>
        </w:tblCellMar>
      </w:tblPr>
      <w:tblGrid>
        <w:gridCol w:w="75"/>
        <w:gridCol w:w="110"/>
        <w:gridCol w:w="60"/>
        <w:gridCol w:w="7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any underwriters for any such offer; or </w:t>
            </w:r>
          </w:p>
        </w:tc>
      </w:tr>
    </w:tbl>
    <w:p>
      <w:pPr>
        <w:pStyle w:val="TextBody"/>
        <w:spacing w:before="0" w:after="0"/>
        <w:jc w:val="left"/>
        <w:rPr/>
      </w:pPr>
      <w:r>
        <w:rPr/>
        <w:t> </w:t>
      </w:r>
    </w:p>
    <w:tbl>
      <w:tblPr>
        <w:tblW w:w="7045" w:type="dxa"/>
        <w:jc w:val="left"/>
        <w:tblInd w:w="0" w:type="dxa"/>
        <w:tblCellMar>
          <w:top w:w="0" w:type="dxa"/>
          <w:left w:w="0" w:type="dxa"/>
          <w:bottom w:w="0" w:type="dxa"/>
          <w:right w:w="0" w:type="dxa"/>
        </w:tblCellMar>
      </w:tblPr>
      <w:tblGrid>
        <w:gridCol w:w="75"/>
        <w:gridCol w:w="110"/>
        <w:gridCol w:w="60"/>
        <w:gridCol w:w="6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spacing w:before="240" w:after="0"/>
        <w:jc w:val="left"/>
        <w:rPr>
          <w:rFonts w:ascii="Times New Roman" w:hAnsi="Times New Roman"/>
          <w:sz w:val="20"/>
        </w:rPr>
      </w:pPr>
      <w:r>
        <w:rPr>
          <w:rFonts w:ascii="Times New Roman" w:hAnsi="Times New Roman"/>
          <w:sz w:val="20"/>
        </w:rPr>
        <w:t xml:space="preserve">provided that no such offer of securities shall require us or the representatives to publish a prospectus pursuant to Article 3 of the Prospectus Regulation or supplement a prospectus pursuant to Article 23 of the Prospectus Regulation. </w:t>
      </w:r>
    </w:p>
    <w:p>
      <w:pPr>
        <w:pStyle w:val="TextBody"/>
        <w:spacing w:before="240" w:after="0"/>
        <w:jc w:val="left"/>
        <w:rPr>
          <w:rFonts w:ascii="Times New Roman" w:hAnsi="Times New Roman"/>
          <w:sz w:val="20"/>
        </w:rPr>
      </w:pPr>
      <w:r>
        <w:rPr>
          <w:rFonts w:ascii="Times New Roman" w:hAnsi="Times New Roman"/>
          <w:sz w:val="20"/>
        </w:rPr>
        <w:t xml:space="preserve">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 </w:t>
      </w:r>
    </w:p>
    <w:p>
      <w:pPr>
        <w:pStyle w:val="TextBody"/>
        <w:spacing w:before="240" w:after="0"/>
        <w:jc w:val="left"/>
        <w:rPr>
          <w:rFonts w:ascii="Times New Roman" w:hAnsi="Times New Roman"/>
          <w:sz w:val="20"/>
        </w:rPr>
      </w:pPr>
      <w:r>
        <w:rPr>
          <w:rFonts w:ascii="Times New Roman" w:hAnsi="Times New Roman"/>
          <w:sz w:val="20"/>
        </w:rPr>
        <w:t xml:space="preserve">We, the representatives and each of our and the representatives’ affiliates will rely upon the truth and accuracy of the foregoing representations, acknowledgements and agreements. </w:t>
      </w:r>
    </w:p>
    <w:p>
      <w:pPr>
        <w:pStyle w:val="TextBody"/>
        <w:spacing w:before="240" w:after="0"/>
        <w:jc w:val="left"/>
        <w:rPr>
          <w:rFonts w:ascii="Times New Roman" w:hAnsi="Times New Roman"/>
          <w:sz w:val="20"/>
        </w:rPr>
      </w:pPr>
      <w:r>
        <w:rPr>
          <w:rFonts w:ascii="Times New Roman" w:hAnsi="Times New Roman"/>
          <w:sz w:val="20"/>
        </w:rPr>
        <w:t xml:space="preserve">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 </w:t>
      </w:r>
    </w:p>
    <w:p>
      <w:pPr>
        <w:pStyle w:val="TextBody"/>
        <w:spacing w:before="360" w:after="0"/>
        <w:jc w:val="left"/>
        <w:rPr>
          <w:rFonts w:ascii="Times New Roman" w:hAnsi="Times New Roman"/>
          <w:b/>
          <w:sz w:val="20"/>
        </w:rPr>
      </w:pPr>
      <w:r>
        <w:rPr>
          <w:rFonts w:ascii="Times New Roman" w:hAnsi="Times New Roman"/>
          <w:b/>
          <w:sz w:val="20"/>
        </w:rPr>
        <w:t xml:space="preserve">MiFID II Product Governance </w:t>
      </w:r>
    </w:p>
    <w:p>
      <w:pPr>
        <w:pStyle w:val="TextBody"/>
        <w:spacing w:before="120" w:after="0"/>
        <w:jc w:val="left"/>
        <w:rPr>
          <w:rFonts w:ascii="Times New Roman" w:hAnsi="Times New Roman"/>
          <w:sz w:val="20"/>
        </w:rPr>
      </w:pPr>
      <w:r>
        <w:rPr>
          <w:rFonts w:ascii="Times New Roman" w:hAnsi="Times New Roman"/>
          <w:sz w:val="20"/>
        </w:rPr>
        <w:t xml:space="preserve">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 </w:t>
      </w:r>
    </w:p>
    <w:p>
      <w:pPr>
        <w:pStyle w:val="TextBody"/>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spacing w:before="120" w:after="0"/>
        <w:jc w:val="left"/>
        <w:rPr>
          <w:rFonts w:ascii="Times New Roman" w:hAnsi="Times New Roman"/>
          <w:sz w:val="20"/>
        </w:rPr>
      </w:pPr>
      <w:r>
        <w:rPr>
          <w:rFonts w:ascii="Times New Roman" w:hAnsi="Times New Roman"/>
          <w:sz w:val="20"/>
        </w:rPr>
        <w:t xml:space="preserve">No Class A Shares or Class C Shares or ADSs have been offered or will be offered, pursuant to any offering contemplated hereby, to the public in the United Kingdom prior to the publication of a prospectus in relation to such Class A Shares or Class C Shares or ADSs which has been approved by the Financial Conduct Authority, except that the Class A Shares or Class C Shares may be offered to the public in the United Kingdom at any time: </w:t>
      </w:r>
    </w:p>
    <w:p>
      <w:pPr>
        <w:pStyle w:val="TextBody"/>
        <w:spacing w:before="0" w:after="0"/>
        <w:jc w:val="left"/>
        <w:rPr/>
      </w:pPr>
      <w:r>
        <w:rPr/>
        <w:t> </w:t>
      </w:r>
    </w:p>
    <w:tbl>
      <w:tblPr>
        <w:tblW w:w="9145" w:type="dxa"/>
        <w:jc w:val="left"/>
        <w:tblInd w:w="0" w:type="dxa"/>
        <w:tblCellMar>
          <w:top w:w="0" w:type="dxa"/>
          <w:left w:w="0" w:type="dxa"/>
          <w:bottom w:w="0" w:type="dxa"/>
          <w:right w:w="0" w:type="dxa"/>
        </w:tblCellMar>
      </w:tblPr>
      <w:tblGrid>
        <w:gridCol w:w="75"/>
        <w:gridCol w:w="275"/>
        <w:gridCol w:w="879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8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5"/>
        <w:gridCol w:w="9875"/>
      </w:tblGrid>
      <w:tr>
        <w:trPr/>
        <w:tc>
          <w:tcPr>
            <w:tcW w:w="75"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left"/>
              <w:rPr/>
            </w:pPr>
            <w:r>
              <w:rPr/>
              <w:t>(b)</w:t>
            </w:r>
          </w:p>
        </w:tc>
        <w:tc>
          <w:tcPr>
            <w:tcW w:w="9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any underwriters for any such offer;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25"/>
        <w:gridCol w:w="9905"/>
      </w:tblGrid>
      <w:tr>
        <w:trPr/>
        <w:tc>
          <w:tcPr>
            <w:tcW w:w="75"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jc w:val="left"/>
              <w:rPr/>
            </w:pPr>
            <w:r>
              <w:rPr/>
              <w:t>(c)</w:t>
            </w:r>
          </w:p>
        </w:tc>
        <w:tc>
          <w:tcPr>
            <w:tcW w:w="9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any other circumstances falling within Section 86 of the FSMA, provided that no such offer of the Class A Shares or Class C Shares or ADSs shall require the Company or any underwriter to publish a prospectus pursuant to Section 85 of the FSMA or supplement a prospectus pursuant to Article 23 of the UK Prospectus Regulation. </w:t>
            </w:r>
          </w:p>
        </w:tc>
      </w:tr>
    </w:tbl>
    <w:p>
      <w:pPr>
        <w:pStyle w:val="TextBody"/>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Class A Shares or Class C Shares and ADSs in the United Kingdom means the communication in any form and by any means of sufficient information on the terms of the offer and any Class A Shares or Class C Shares to be offered so as to enable an investor to decide to purchase or subscribe for any Class A Shares or Class C Shares or ADSs and the expression “UK Prospectus Regulation” means Regulation (EU) 2017/1129 as it forms part of domestic law by virtue of the European Union (Withdrawal) Act 2018.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472016_26"/>
      <w:bookmarkEnd w:id="28"/>
      <w:r>
        <w:rPr>
          <w:rFonts w:ascii="Times New Roman" w:hAnsi="Times New Roman"/>
          <w:b/>
          <w:sz w:val="20"/>
        </w:rPr>
        <w:t xml:space="preserve">EXPENSES RELATED TO THE OFFERING </w:t>
      </w:r>
    </w:p>
    <w:p>
      <w:pPr>
        <w:pStyle w:val="TextBody"/>
        <w:spacing w:before="240" w:after="0"/>
        <w:jc w:val="left"/>
        <w:rPr>
          <w:rFonts w:ascii="Times New Roman" w:hAnsi="Times New Roman"/>
          <w:sz w:val="20"/>
        </w:rPr>
      </w:pPr>
      <w:r>
        <w:rPr>
          <w:rFonts w:ascii="Times New Roman" w:hAnsi="Times New Roman"/>
          <w:sz w:val="20"/>
        </w:rPr>
        <w:t xml:space="preserve">We estimate the following expenses in connection with the offer and sale of our Class A ADSs and Class C-2 ADSs by the Selling Securityholders. With the exception of the SEC Registration Fee, all amounts are estimates. </w:t>
      </w:r>
    </w:p>
    <w:p>
      <w:pPr>
        <w:pStyle w:val="TextBody"/>
        <w:spacing w:before="0" w:after="0"/>
        <w:jc w:val="left"/>
        <w:rPr/>
      </w:pPr>
      <w:r>
        <w:rPr/>
        <w:t> </w:t>
      </w:r>
    </w:p>
    <w:tbl>
      <w:tblPr>
        <w:tblW w:w="4130" w:type="dxa"/>
        <w:jc w:val="left"/>
        <w:tblInd w:w="0" w:type="dxa"/>
        <w:tblCellMar>
          <w:top w:w="0" w:type="dxa"/>
          <w:left w:w="0" w:type="dxa"/>
          <w:bottom w:w="0" w:type="dxa"/>
          <w:right w:w="0" w:type="dxa"/>
        </w:tblCellMar>
      </w:tblPr>
      <w:tblGrid>
        <w:gridCol w:w="2675"/>
        <w:gridCol w:w="120"/>
        <w:gridCol w:w="140"/>
        <w:gridCol w:w="980"/>
        <w:gridCol w:w="215"/>
      </w:tblGrid>
      <w:tr>
        <w:trPr/>
        <w:tc>
          <w:tcPr>
            <w:tcW w:w="26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6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SEC registration fee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2,074,885</w:t>
            </w:r>
          </w:p>
        </w:tc>
        <w:tc>
          <w:tcPr>
            <w:tcW w:w="21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FINRA filing fee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Legal fees and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Accountants’ fees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Printing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60,000</w:t>
            </w:r>
          </w:p>
        </w:tc>
        <w:tc>
          <w:tcPr>
            <w:tcW w:w="21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Transfer agent fees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Miscellaneous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defined at this time. </w:t>
            </w:r>
          </w:p>
        </w:tc>
      </w:tr>
    </w:tbl>
    <w:tbl>
      <w:tblPr>
        <w:tblW w:w="6055" w:type="dxa"/>
        <w:jc w:val="left"/>
        <w:tblInd w:w="0" w:type="dxa"/>
        <w:tblCellMar>
          <w:top w:w="0" w:type="dxa"/>
          <w:left w:w="0" w:type="dxa"/>
          <w:bottom w:w="0" w:type="dxa"/>
          <w:right w:w="0" w:type="dxa"/>
        </w:tblCellMar>
      </w:tblPr>
      <w:tblGrid>
        <w:gridCol w:w="155"/>
        <w:gridCol w:w="5900"/>
      </w:tblGrid>
      <w:tr>
        <w:trPr/>
        <w:tc>
          <w:tcPr>
            <w:tcW w:w="155" w:type="dxa"/>
            <w:tcBorders/>
            <w:shd w:fill="auto" w:val="clear"/>
            <w:vAlign w:val="center"/>
          </w:tcPr>
          <w:p>
            <w:pPr>
              <w:pStyle w:val="TableContents"/>
              <w:spacing w:before="0" w:after="283"/>
              <w:jc w:val="left"/>
              <w:rPr/>
            </w:pPr>
            <w:r>
              <w:rPr/>
              <w:t>†</w:t>
            </w:r>
          </w:p>
        </w:tc>
        <w:tc>
          <w:tcPr>
            <w:tcW w:w="59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Estimated solely for purposes of this section. Actual expenses may vary. </w:t>
            </w:r>
          </w:p>
        </w:tc>
      </w:tr>
    </w:tbl>
    <w:p>
      <w:pPr>
        <w:pStyle w:val="TextBody"/>
        <w:spacing w:before="24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securities offered by this prospectus, whereas the Selling Securityholders will bear all incremental selling expenses, including commissions, brokerage fees and other similar selling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472016_27"/>
      <w:bookmarkEnd w:id="29"/>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Class A Shares and Class C Shares shall be passed on by Kirkland &amp; Ellis International LLP, as our counsel with respect to certain legal matters as to English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472016_28"/>
      <w:bookmarkEnd w:id="30"/>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Polestar Automotive Holding UK PLC (formerly known as Polestar Automotive Holding UK Limited) as of December 31, 2022 and 2021 and for each of the three years in the period ended December 31, 2022, included in this prospectus have been audited by Deloitte AB, independent registered public accounting firm as stated in their report. Such financial statements are included in reliance upon the report of such firm given upon their authority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472016_29"/>
      <w:bookmarkEnd w:id="31"/>
      <w:r>
        <w:rPr>
          <w:rFonts w:ascii="Times New Roman" w:hAnsi="Times New Roman"/>
          <w:b/>
          <w:sz w:val="20"/>
        </w:rPr>
        <w:t xml:space="preserve">SERVICE OF PROCESS AND ENFORCEMENT OF LIABILITIES </w:t>
      </w:r>
    </w:p>
    <w:p>
      <w:pPr>
        <w:pStyle w:val="TextBody"/>
        <w:spacing w:before="240" w:after="0"/>
        <w:jc w:val="left"/>
        <w:rPr>
          <w:rFonts w:ascii="Times New Roman" w:hAnsi="Times New Roman"/>
          <w:sz w:val="20"/>
        </w:rPr>
      </w:pPr>
      <w:r>
        <w:rPr>
          <w:rFonts w:ascii="Times New Roman" w:hAnsi="Times New Roman"/>
          <w:sz w:val="20"/>
        </w:rPr>
        <w:t xml:space="preserve">Polestar is incorporated and currently existing under the laws of England and Wales. In addition, most of its directors and officers reside outside of the United States and most of its assets are located outside of the United States. As a result, it may be difficult for investors to effect service of process in the United States on Polestar or those persons or to enforce in the United States judgments obtained in United States courts against Polestar or those persons based on the civil liability or other provisions of the United States securities laws or other laws. </w:t>
      </w:r>
    </w:p>
    <w:p>
      <w:pPr>
        <w:pStyle w:val="TextBody"/>
        <w:spacing w:before="240" w:after="0"/>
        <w:jc w:val="left"/>
        <w:rPr>
          <w:rFonts w:ascii="Times New Roman" w:hAnsi="Times New Roman"/>
          <w:sz w:val="20"/>
        </w:rPr>
      </w:pPr>
      <w:r>
        <w:rPr>
          <w:rFonts w:ascii="Times New Roman" w:hAnsi="Times New Roman"/>
          <w:sz w:val="20"/>
        </w:rPr>
        <w:t xml:space="preserve">In addition, uncertainty exists as to whether the courts of England and Wales would: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recognize or enforce judgments of United States courts obtained against Polestar or its directors or officers predicated upon the civil liabilities provisions of the securities laws of the United States or any state in the United States;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entertain original actions brought in England and Wales against Polestar or its directors or officers predicated upon the securities laws of the United States or any state in the United States. </w:t>
            </w:r>
          </w:p>
        </w:tc>
      </w:tr>
    </w:tbl>
    <w:p>
      <w:pPr>
        <w:pStyle w:val="TextBody"/>
        <w:spacing w:before="240" w:after="0"/>
        <w:jc w:val="left"/>
        <w:rPr>
          <w:rFonts w:ascii="Times New Roman" w:hAnsi="Times New Roman"/>
          <w:sz w:val="20"/>
        </w:rPr>
      </w:pPr>
      <w:r>
        <w:rPr>
          <w:rFonts w:ascii="Times New Roman" w:hAnsi="Times New Roman"/>
          <w:sz w:val="20"/>
        </w:rPr>
        <w:t xml:space="preserve">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Polestar in United States courts will be treated by the courts of England and Wales as a cause of action in itself and sued upon as a debt at common law so that no retrial of the issues will be necessary, </w:t>
      </w:r>
      <w:r>
        <w:rPr>
          <w:rFonts w:ascii="Times New Roman" w:hAnsi="Times New Roman"/>
          <w:i/>
          <w:sz w:val="20"/>
        </w:rPr>
        <w:t>provided</w:t>
      </w:r>
      <w:r>
        <w:rPr>
          <w:rFonts w:ascii="Times New Roman" w:hAnsi="Times New Roman"/>
          <w:sz w:val="20"/>
        </w:rPr>
        <w:t xml:space="preserve"> that: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relevant U.S. court had jurisdiction over the original proceedings according to English conflicts of laws principles at the time when proceedings were initiated—in order to establish that, it would be necessary that Polestar either submitted to the U.S. jurisdiction or were resident/present or carrying on business within the U.S. jurisdiction and were duly served with process;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U.S. judgment was final and conclusive in the sense of being final and unalterable in the court that pronounced it and being for a definite sum of money and it is currently enforceable in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judgment given by the courts was not in respect of penalties, taxes, fines, or similar fiscal or revenue obligations (or otherwise based on a U.S. law that an English court considers to relate to a penal, revenue or other public law); </w:t>
            </w:r>
          </w:p>
        </w:tc>
      </w:tr>
    </w:tbl>
    <w:p>
      <w:pPr>
        <w:pStyle w:val="TextBody"/>
        <w:spacing w:before="0" w:after="0"/>
        <w:jc w:val="left"/>
        <w:rPr/>
      </w:pPr>
      <w:r>
        <w:rPr/>
        <w:t> </w:t>
      </w:r>
    </w:p>
    <w:tbl>
      <w:tblPr>
        <w:tblW w:w="3610" w:type="dxa"/>
        <w:jc w:val="left"/>
        <w:tblInd w:w="0" w:type="dxa"/>
        <w:tblCellMar>
          <w:top w:w="0" w:type="dxa"/>
          <w:left w:w="0" w:type="dxa"/>
          <w:bottom w:w="0" w:type="dxa"/>
          <w:right w:w="0" w:type="dxa"/>
        </w:tblCellMar>
      </w:tblPr>
      <w:tblGrid>
        <w:gridCol w:w="75"/>
        <w:gridCol w:w="110"/>
        <w:gridCol w:w="60"/>
        <w:gridCol w:w="3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judgment was not procured by fraud;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judgment was not obtained following a breach of a jurisdictional or arbitration clause, unless with the agreement of the defendant or the defendant’s subsequent submission to the jurisdiction of the court;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recognition or enforcement of the judgment in England and Wales would not be contrary to public policy or the Human Rights Act 1998; </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75"/>
        <w:gridCol w:w="110"/>
        <w:gridCol w:w="60"/>
        <w:gridCol w:w="7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proceedings pursuant to which judgment was obtained were not contrary to natural justice;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the U.K. Protection of Trading Interests Act 1980 or is otherwise unlawful under English law;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there is not a prior conflicting decision of an English court or the court of another jurisdiction whose judgment the English court recognizes on the issues in question between the same parties.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 </w:t>
      </w:r>
    </w:p>
    <w:p>
      <w:pPr>
        <w:pStyle w:val="TextBody"/>
        <w:spacing w:before="240" w:after="0"/>
        <w:jc w:val="left"/>
        <w:rPr>
          <w:rFonts w:ascii="Times New Roman" w:hAnsi="Times New Roman"/>
          <w:sz w:val="20"/>
        </w:rPr>
      </w:pPr>
      <w:r>
        <w:rPr>
          <w:rFonts w:ascii="Times New Roman" w:hAnsi="Times New Roman"/>
          <w:sz w:val="20"/>
        </w:rPr>
        <w:t xml:space="preserve">Subject to the foregoing, investors may be able to enforce in England and Wales judgments in civil and commercial matters that have been obtained from U.S. federal or state courts. Nevertheless, Polestar cannot assure you that those judgments will be recognized or enforceable in England and Wales. </w:t>
      </w:r>
    </w:p>
    <w:p>
      <w:pPr>
        <w:pStyle w:val="TextBody"/>
        <w:spacing w:before="240" w:after="0"/>
        <w:jc w:val="left"/>
        <w:rPr>
          <w:rFonts w:ascii="Times New Roman" w:hAnsi="Times New Roman"/>
          <w:sz w:val="20"/>
        </w:rPr>
      </w:pPr>
      <w:r>
        <w:rPr>
          <w:rFonts w:ascii="Times New Roman" w:hAnsi="Times New Roman"/>
          <w:sz w:val="20"/>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Also see “</w:t>
      </w:r>
      <w:r>
        <w:rPr>
          <w:rFonts w:ascii="Times New Roman" w:hAnsi="Times New Roman"/>
          <w:i/>
          <w:sz w:val="20"/>
        </w:rPr>
        <w:t>Risk Factors—Risks Related to Ownership of Polestar’s Securities—It may be difficult for you to bring any action or enforce any judgment obtained in the United States against Polestar or members of the Board, which may limit the remedies otherwise available to you.</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rom472016_30"/>
      <w:bookmarkEnd w:id="32"/>
      <w:r>
        <w:rPr>
          <w:rFonts w:ascii="Times New Roman" w:hAnsi="Times New Roman"/>
          <w:b/>
          <w:sz w:val="20"/>
        </w:rPr>
        <w:t xml:space="preserve">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spacing w:before="240" w:after="0"/>
        <w:jc w:val="left"/>
        <w:rPr>
          <w:rFonts w:ascii="Times New Roman" w:hAnsi="Times New Roman"/>
          <w:sz w:val="20"/>
        </w:rPr>
      </w:pPr>
      <w:r>
        <w:rPr>
          <w:rFonts w:ascii="Times New Roman" w:hAnsi="Times New Roman"/>
          <w:sz w:val="20"/>
        </w:rPr>
        <w:t xml:space="preserve">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 </w:t>
      </w:r>
    </w:p>
    <w:p>
      <w:pPr>
        <w:pStyle w:val="TextBody"/>
        <w:spacing w:before="240" w:after="0"/>
        <w:jc w:val="left"/>
        <w:rPr>
          <w:rFonts w:ascii="Times New Roman" w:hAnsi="Times New Roman"/>
          <w:sz w:val="20"/>
        </w:rPr>
      </w:pPr>
      <w:r>
        <w:rPr>
          <w:rFonts w:ascii="Times New Roman" w:hAnsi="Times New Roman"/>
          <w:sz w:val="20"/>
        </w:rPr>
        <w:t xml:space="preserve">The mailing address of Polestar’s principal executive office is Assar Gabrielssons Väg 9, 405 31 Gothenburg,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INDEX TO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Polestar Automotive Holding UK PLC </w:t>
      </w:r>
    </w:p>
    <w:p>
      <w:pPr>
        <w:pStyle w:val="TextBody"/>
        <w:spacing w:before="12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Consolidated Financial Statements — For the years ended December 31, 2022, 2021 and 2020 </w:t>
      </w:r>
    </w:p>
    <w:p>
      <w:pPr>
        <w:pStyle w:val="TextBody"/>
        <w:spacing w:before="0" w:after="0"/>
        <w:jc w:val="left"/>
        <w:rPr>
          <w:highlight w:val="white"/>
        </w:rPr>
      </w:pPr>
      <w:r>
        <w:rPr>
          <w:highlight w:val="white"/>
        </w:rPr>
        <w:t> </w:t>
      </w:r>
    </w:p>
    <w:tbl>
      <w:tblPr>
        <w:tblW w:w="10000" w:type="dxa"/>
        <w:jc w:val="left"/>
        <w:tblInd w:w="0" w:type="dxa"/>
        <w:tblCellMar>
          <w:top w:w="0" w:type="dxa"/>
          <w:left w:w="0" w:type="dxa"/>
          <w:bottom w:w="0" w:type="dxa"/>
          <w:right w:w="0" w:type="dxa"/>
        </w:tblCellMar>
      </w:tblPr>
      <w:tblGrid>
        <w:gridCol w:w="9275"/>
        <w:gridCol w:w="120"/>
        <w:gridCol w:w="60"/>
        <w:gridCol w:w="470"/>
        <w:gridCol w:w="75"/>
      </w:tblGrid>
      <w:tr>
        <w:trPr/>
        <w:tc>
          <w:tcPr>
            <w:tcW w:w="9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75" w:type="dxa"/>
            <w:tcBorders/>
            <w:shd w:fill="auto" w:val="clear"/>
            <w:vAlign w:val="center"/>
          </w:tcPr>
          <w:p>
            <w:pPr>
              <w:pStyle w:val="TableContents"/>
              <w:spacing w:before="0" w:after="0"/>
              <w:rPr/>
            </w:pPr>
            <w:hyperlink w:anchor="fin472016_1">
              <w:r>
                <w:rPr>
                  <w:rStyle w:val="InternetLink"/>
                  <w:rFonts w:ascii="Times New Roman" w:hAnsi="Times New Roman"/>
                  <w:sz w:val="20"/>
                </w:rPr>
                <w:t>Report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right"/>
              <w:rPr>
                <w:spacing w:val="0"/>
              </w:rPr>
            </w:pPr>
            <w:r>
              <w:rPr>
                <w:spacing w:val="0"/>
              </w:rPr>
              <w:t>F-3</w:t>
            </w:r>
          </w:p>
        </w:tc>
        <w:tc>
          <w:tcPr>
            <w:tcW w:w="75" w:type="dxa"/>
            <w:tcBorders/>
            <w:shd w:fill="auto" w:val="clear"/>
            <w:vAlign w:val="center"/>
          </w:tcPr>
          <w:p>
            <w:pPr>
              <w:pStyle w:val="TableContents"/>
              <w:spacing w:before="0" w:after="283"/>
              <w:rPr/>
            </w:pPr>
            <w:r>
              <w:rPr/>
              <w:t> </w:t>
            </w:r>
          </w:p>
        </w:tc>
      </w:tr>
      <w:tr>
        <w:trPr/>
        <w:tc>
          <w:tcPr>
            <w:tcW w:w="9275" w:type="dxa"/>
            <w:tcBorders/>
            <w:shd w:fill="auto" w:val="clear"/>
            <w:vAlign w:val="center"/>
          </w:tcPr>
          <w:p>
            <w:pPr>
              <w:pStyle w:val="TableContents"/>
              <w:spacing w:before="0" w:after="0"/>
              <w:rPr/>
            </w:pPr>
            <w:hyperlink w:anchor="fin472016_2">
              <w:r>
                <w:rPr>
                  <w:rStyle w:val="InternetLink"/>
                  <w:rFonts w:ascii="Times New Roman" w:hAnsi="Times New Roman"/>
                  <w:sz w:val="20"/>
                </w:rPr>
                <w:t>Consolidated Statement of Loss and Comprehensive Loss for the Years Ended December 31, 2022, 2021 and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right"/>
              <w:rPr>
                <w:spacing w:val="0"/>
              </w:rPr>
            </w:pPr>
            <w:r>
              <w:rPr>
                <w:spacing w:val="0"/>
              </w:rPr>
              <w:t>F-6</w:t>
            </w:r>
          </w:p>
        </w:tc>
        <w:tc>
          <w:tcPr>
            <w:tcW w:w="75" w:type="dxa"/>
            <w:tcBorders/>
            <w:shd w:fill="auto" w:val="clear"/>
            <w:vAlign w:val="center"/>
          </w:tcPr>
          <w:p>
            <w:pPr>
              <w:pStyle w:val="TableContents"/>
              <w:spacing w:before="0" w:after="283"/>
              <w:rPr/>
            </w:pPr>
            <w:r>
              <w:rPr/>
              <w:t> </w:t>
            </w:r>
          </w:p>
        </w:tc>
      </w:tr>
      <w:tr>
        <w:trPr/>
        <w:tc>
          <w:tcPr>
            <w:tcW w:w="9275" w:type="dxa"/>
            <w:tcBorders/>
            <w:shd w:fill="auto" w:val="clear"/>
            <w:vAlign w:val="center"/>
          </w:tcPr>
          <w:p>
            <w:pPr>
              <w:pStyle w:val="TableContents"/>
              <w:spacing w:before="0" w:after="0"/>
              <w:rPr/>
            </w:pPr>
            <w:hyperlink w:anchor="fin472016_3">
              <w:r>
                <w:rPr>
                  <w:rStyle w:val="InternetLink"/>
                  <w:rFonts w:ascii="Times New Roman" w:hAnsi="Times New Roman"/>
                  <w:sz w:val="20"/>
                </w:rPr>
                <w:t>Consolidated Statement of Financial Position as of December 31, 2022 and 2021</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right"/>
              <w:rPr>
                <w:spacing w:val="0"/>
              </w:rPr>
            </w:pPr>
            <w:r>
              <w:rPr>
                <w:spacing w:val="0"/>
              </w:rPr>
              <w:t>F-7</w:t>
            </w:r>
          </w:p>
        </w:tc>
        <w:tc>
          <w:tcPr>
            <w:tcW w:w="75" w:type="dxa"/>
            <w:tcBorders/>
            <w:shd w:fill="auto" w:val="clear"/>
            <w:vAlign w:val="center"/>
          </w:tcPr>
          <w:p>
            <w:pPr>
              <w:pStyle w:val="TableContents"/>
              <w:spacing w:before="0" w:after="283"/>
              <w:rPr/>
            </w:pPr>
            <w:r>
              <w:rPr/>
              <w:t> </w:t>
            </w:r>
          </w:p>
        </w:tc>
      </w:tr>
      <w:tr>
        <w:trPr/>
        <w:tc>
          <w:tcPr>
            <w:tcW w:w="9275" w:type="dxa"/>
            <w:tcBorders/>
            <w:shd w:fill="auto" w:val="clear"/>
            <w:vAlign w:val="center"/>
          </w:tcPr>
          <w:p>
            <w:pPr>
              <w:pStyle w:val="TableContents"/>
              <w:spacing w:before="0" w:after="0"/>
              <w:rPr/>
            </w:pPr>
            <w:hyperlink w:anchor="fin472016_4">
              <w:r>
                <w:rPr>
                  <w:rStyle w:val="InternetLink"/>
                  <w:rFonts w:ascii="Times New Roman" w:hAnsi="Times New Roman"/>
                  <w:sz w:val="20"/>
                </w:rPr>
                <w:t>Consolidated Statement of Cash Flows for the Years Ended December 31, 2022, 2021 and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right"/>
              <w:rPr>
                <w:spacing w:val="0"/>
              </w:rPr>
            </w:pPr>
            <w:r>
              <w:rPr>
                <w:spacing w:val="0"/>
              </w:rPr>
              <w:t>F-9</w:t>
            </w:r>
          </w:p>
        </w:tc>
        <w:tc>
          <w:tcPr>
            <w:tcW w:w="75" w:type="dxa"/>
            <w:tcBorders/>
            <w:shd w:fill="auto" w:val="clear"/>
            <w:vAlign w:val="center"/>
          </w:tcPr>
          <w:p>
            <w:pPr>
              <w:pStyle w:val="TableContents"/>
              <w:spacing w:before="0" w:after="283"/>
              <w:rPr/>
            </w:pPr>
            <w:r>
              <w:rPr/>
              <w:t> </w:t>
            </w:r>
          </w:p>
        </w:tc>
      </w:tr>
      <w:tr>
        <w:trPr/>
        <w:tc>
          <w:tcPr>
            <w:tcW w:w="9275" w:type="dxa"/>
            <w:tcBorders/>
            <w:shd w:fill="auto" w:val="clear"/>
            <w:vAlign w:val="center"/>
          </w:tcPr>
          <w:p>
            <w:pPr>
              <w:pStyle w:val="TableContents"/>
              <w:spacing w:before="0" w:after="0"/>
              <w:rPr/>
            </w:pPr>
            <w:hyperlink w:anchor="fin472016_5">
              <w:r>
                <w:rPr>
                  <w:rStyle w:val="InternetLink"/>
                  <w:rFonts w:ascii="Times New Roman" w:hAnsi="Times New Roman"/>
                  <w:sz w:val="20"/>
                </w:rPr>
                <w:t>Consolidated Statement of Changes in Equity for the Years Ended December 31, 2022, 2021 and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right"/>
              <w:rPr>
                <w:spacing w:val="0"/>
              </w:rPr>
            </w:pPr>
            <w:r>
              <w:rPr>
                <w:spacing w:val="0"/>
              </w:rPr>
              <w:t>F-10</w:t>
            </w:r>
          </w:p>
        </w:tc>
        <w:tc>
          <w:tcPr>
            <w:tcW w:w="75" w:type="dxa"/>
            <w:tcBorders/>
            <w:shd w:fill="auto" w:val="clear"/>
            <w:vAlign w:val="center"/>
          </w:tcPr>
          <w:p>
            <w:pPr>
              <w:pStyle w:val="TableContents"/>
              <w:spacing w:before="0" w:after="283"/>
              <w:rPr/>
            </w:pPr>
            <w:r>
              <w:rPr/>
              <w:t> </w:t>
            </w:r>
          </w:p>
        </w:tc>
      </w:tr>
      <w:tr>
        <w:trPr/>
        <w:tc>
          <w:tcPr>
            <w:tcW w:w="9275" w:type="dxa"/>
            <w:tcBorders/>
            <w:shd w:fill="auto" w:val="clear"/>
            <w:vAlign w:val="center"/>
          </w:tcPr>
          <w:p>
            <w:pPr>
              <w:pStyle w:val="TableContents"/>
              <w:spacing w:before="0" w:after="0"/>
              <w:rPr/>
            </w:pPr>
            <w:hyperlink w:anchor="fin472016_6">
              <w:r>
                <w:rPr>
                  <w:rStyle w:val="InternetLink"/>
                  <w:rFonts w:ascii="Times New Roman" w:hAnsi="Times New Roman"/>
                  <w:sz w:val="20"/>
                </w:rPr>
                <w:t>Notes to Consolidated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0"/>
              <w:jc w:val="right"/>
              <w:rPr>
                <w:spacing w:val="0"/>
              </w:rPr>
            </w:pPr>
            <w:r>
              <w:rPr>
                <w:spacing w:val="0"/>
              </w:rPr>
              <w:t>F-11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The Polestar Group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Consolidated Financial Statements for the Years Ended December 31, 2022, 2021 and 2020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 </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To the shareholders and the Board of Directors of Polestar Automotive Holding UK PLC: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Opinion on the Financial Statements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We have audited the accompanying consolidated statements of financial position of Polestar Automotive Holding UK PLC (formerly known as Polestar Automotive Holding UK Limited) (the “Company”) as of December 31, 2022 and 2021, the related consolidated statements of loss and comprehensive loss,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(IFRS) as issued by the International Accounting Standards Board.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Going Concern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accompanying financial statements have been prepared assuming that the Company will continue as a going concern. As discussed in Note 1 to the financial statements, the Company requires additional financing to support operating and development activities that raise substantial doubt about its ability to continue as a going concern. Management’s plans concerning these matters are also described in Note 1. The financial statements do not include any adjustments that might result from the outcome of this uncertainty.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Basis for Opinion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Critical Audit Matters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 </w:t>
      </w:r>
    </w:p>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Revenue — Refer to Notes 1 and 4 to the financial statements </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Critical Audit Matter Description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revenue primarily consists of revenue from the sales of vehicles, which are sold to individuals, fleet customers, financial service providers, dealers and importers based on contractual agreements. The Company recognizes revenue at the point in time when the customer obtains control of the vehicle, and thus has the ability to direct the use of, and obtain the benefits from, the vehicle. During the year ended December 31, 2022, the Company recognized $2,404 million of revenue related to sales of vehicles.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identified revenue recognition related to the sales of vehicles as a critical audit matter because of the nature of the various agreements and the complexity of certain terms in these contracts that may affect the timing or measurement of revenue recognition. This required both extensive audit effort due to the variation and complexity in terms in some of the contracts and a high degree of auditor judgment in determining the audit procedures as well as the nature and extent of audit evidence required to determine that revenue recognition was appropriate.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How the Critical Audit Matter Was Addressed in the Audit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Our audit procedures related to revenue recognized for the sale of vehicles included, but were not limited to: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obtained an understanding of management’s process for identifying and reviewing contracts with all types of customers and determining the revenue recognition treatment in accordance with IFRS 15, </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a sample of agreements with customers, we obtained the contract and assessed the contract for those terms that could impact the appropriateness of revenue recognition. For those contracts identified with complex terms, we evaluated whether the Company appropriately accounted for those contracts in accordance with IFRS 15.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performed detailed transaction testing for a sample of revenue from the sale of vehicles, by obtaining and inspecting sales orders or contracts with the customer and other related source documents, including delivery documents, invoices and cash receipts, as applicable, to determine that control had transferred to the customer.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a sample of revenue from the sale of vehicles for certain customers, we also confirmed directly with the customers the contract terms and conditions.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considered audit evidence obtained throughout our audit as to whether there is any wider information relevant to the point in time at which the Company recognizes revenue.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addressed this matter by performing procedures to evaluate audit evidence and the nature and extent of audit procedures performed in connection with forming our overall opinion on the consolidated financial statements. </w:t>
            </w:r>
          </w:p>
        </w:tc>
      </w:tr>
    </w:tbl>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Inventories — Refer to Notes 1 and 18 to the financial statements </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Critical Audit Matter Description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had inventories of $659 million at December 31, 2022. Inventories includes new, used, and internal vehicles that are held in geographically disparate locations. Management employs a range of procedures, including physical counts to record and verify the existence, completeness, and condition of inventories. Inventories are valued at the lower of cost or net realizable value.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We identified the existence, completeness, and valuation of inventories as a critical audit matter because of the extent of effort in performing procedures and evaluating audit evidence due to the geographical dispersion of the Company’s inventories.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How the Critical Audit Matter Was Addressed in the Audit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Our audit procedures related to inventory existence, completeness and valuation included, but were not limited to: </w:t>
      </w:r>
    </w:p>
    <w:p>
      <w:pPr>
        <w:pStyle w:val="TextBody"/>
        <w:spacing w:before="0" w:after="0"/>
        <w:jc w:val="left"/>
        <w:rPr>
          <w:highlight w:val="white"/>
        </w:rPr>
      </w:pPr>
      <w:r>
        <w:rPr>
          <w:highlight w:val="white"/>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a selection of inventory locations: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observed management’s inventory count procedures close to the </w:t>
            </w:r>
          </w:p>
          <w:p>
            <w:pPr>
              <w:pStyle w:val="TableContents"/>
              <w:spacing w:before="0" w:after="0"/>
              <w:jc w:val="left"/>
              <w:rPr>
                <w:rFonts w:ascii="Times New Roman" w:hAnsi="Times New Roman"/>
                <w:spacing w:val="0"/>
                <w:sz w:val="20"/>
              </w:rPr>
            </w:pPr>
            <w:r>
              <w:rPr>
                <w:rFonts w:ascii="Times New Roman" w:hAnsi="Times New Roman"/>
                <w:spacing w:val="0"/>
                <w:sz w:val="20"/>
              </w:rPr>
              <w:t>year-end</w:t>
            </w:r>
          </w:p>
          <w:p>
            <w:pPr>
              <w:pStyle w:val="TableContents"/>
              <w:spacing w:before="0" w:after="0"/>
              <w:jc w:val="left"/>
              <w:rPr>
                <w:rFonts w:ascii="Times New Roman" w:hAnsi="Times New Roman"/>
                <w:sz w:val="20"/>
              </w:rPr>
            </w:pPr>
            <w:r>
              <w:rPr>
                <w:rFonts w:ascii="Times New Roman" w:hAnsi="Times New Roman"/>
                <w:sz w:val="20"/>
              </w:rPr>
              <w:t xml:space="preserve">date and performed independent sample counts and tested the Company’s roll-forward or roll-back of balances, between the time of the inventory count and December 31, 2022, or </w:t>
            </w:r>
          </w:p>
        </w:tc>
      </w:tr>
    </w:tbl>
    <w:p>
      <w:pPr>
        <w:pStyle w:val="TextBody"/>
        <w:spacing w:before="0" w:after="0"/>
        <w:jc w:val="left"/>
        <w:rPr>
          <w:highlight w:val="white"/>
        </w:rPr>
      </w:pPr>
      <w:r>
        <w:rPr>
          <w:highlight w:val="white"/>
        </w:rPr>
        <w:t> </w:t>
      </w:r>
    </w:p>
    <w:tbl>
      <w:tblPr>
        <w:tblW w:w="6520" w:type="dxa"/>
        <w:jc w:val="left"/>
        <w:tblInd w:w="0" w:type="dxa"/>
        <w:tblCellMar>
          <w:top w:w="0" w:type="dxa"/>
          <w:left w:w="0" w:type="dxa"/>
          <w:bottom w:w="0" w:type="dxa"/>
          <w:right w:w="0" w:type="dxa"/>
        </w:tblCellMar>
      </w:tblPr>
      <w:tblGrid>
        <w:gridCol w:w="75"/>
        <w:gridCol w:w="110"/>
        <w:gridCol w:w="60"/>
        <w:gridCol w:w="6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obtained confirmations to test the inventory held at third-party locations. </w:t>
            </w:r>
          </w:p>
        </w:tc>
      </w:tr>
    </w:tbl>
    <w:p>
      <w:pPr>
        <w:pStyle w:val="TextBody"/>
        <w:spacing w:before="0" w:after="0"/>
        <w:jc w:val="left"/>
        <w:rPr>
          <w:highlight w:val="white"/>
        </w:rPr>
      </w:pPr>
      <w:r>
        <w:rPr>
          <w:highlight w:val="white"/>
        </w:rPr>
        <w:t> </w:t>
      </w:r>
    </w:p>
    <w:tbl>
      <w:tblPr>
        <w:tblW w:w="10075" w:type="dxa"/>
        <w:jc w:val="left"/>
        <w:tblInd w:w="0" w:type="dxa"/>
        <w:tblCellMar>
          <w:top w:w="0" w:type="dxa"/>
          <w:left w:w="0" w:type="dxa"/>
          <w:bottom w:w="0" w:type="dxa"/>
          <w:right w:w="0" w:type="dxa"/>
        </w:tblCellMar>
      </w:tblPr>
      <w:tblGrid>
        <w:gridCol w:w="75"/>
        <w:gridCol w:w="110"/>
        <w:gridCol w:w="60"/>
        <w:gridCol w:w="9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a sample of inventory, we obtained third-party invoices and other relevant documents to recalculate the vehicle cost.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developed an independent expectation of the net realizable value of inventory using historic inventory activity and selling price and compared our independent expectation to the amount recorded.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performed procedures to evaluate the sufficiency and appropriateness of audit evidence and the nature and extent of audit procedures performed in connection with forming our overall opinion on the consolidated financial statements. </w:t>
            </w:r>
          </w:p>
        </w:tc>
      </w:tr>
    </w:tbl>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/s/</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Deloitte AB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Gothenburg, Sweden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April 14,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have served as the Company’s auditor since 2021.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Polestar Automotive Holding UK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 xml:space="preserve">Consolidated Statement of Loss and Comprehensive Loss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(in thousands of U.S. dollars except per share data and unless otherwise stated)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5640"/>
        <w:gridCol w:w="120"/>
        <w:gridCol w:w="93"/>
        <w:gridCol w:w="407"/>
        <w:gridCol w:w="60"/>
        <w:gridCol w:w="120"/>
        <w:gridCol w:w="60"/>
        <w:gridCol w:w="1055"/>
        <w:gridCol w:w="155"/>
        <w:gridCol w:w="60"/>
        <w:gridCol w:w="60"/>
        <w:gridCol w:w="1055"/>
        <w:gridCol w:w="155"/>
        <w:gridCol w:w="60"/>
        <w:gridCol w:w="60"/>
        <w:gridCol w:w="875"/>
        <w:gridCol w:w="170"/>
      </w:tblGrid>
      <w:tr>
        <w:trPr/>
        <w:tc>
          <w:tcPr>
            <w:tcW w:w="56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vAlign w:val="center"/>
          </w:tcPr>
          <w:p>
            <w:pPr>
              <w:pStyle w:val="TableContents"/>
              <w:spacing w:before="0" w:after="0"/>
              <w:rPr>
                <w:b/>
                <w:spacing w:val="0"/>
              </w:rPr>
            </w:pPr>
            <w:r>
              <w:rPr>
                <w:b/>
                <w:spacing w:val="0"/>
              </w:rPr>
              <w:t>Consolidated Statement of Loss</w:t>
            </w:r>
          </w:p>
        </w:tc>
        <w:tc>
          <w:tcPr>
            <w:tcW w:w="120" w:type="dxa"/>
            <w:tcBorders/>
            <w:shd w:fill="auto" w:val="clear"/>
            <w:vAlign w:val="center"/>
          </w:tcPr>
          <w:p>
            <w:pPr>
              <w:pStyle w:val="TableContents"/>
              <w:spacing w:before="0" w:after="283"/>
              <w:rPr/>
            </w:pPr>
            <w:r>
              <w:rPr/>
              <w:t>  </w:t>
            </w:r>
          </w:p>
        </w:tc>
        <w:tc>
          <w:tcPr>
            <w:tcW w:w="427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2,461,896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1,337,181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610,245</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Cost of sales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(2,342,453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(1,336,321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(553,724</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119,443</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860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56,521</w:t>
            </w:r>
          </w:p>
        </w:tc>
        <w:tc>
          <w:tcPr>
            <w:tcW w:w="170" w:type="dxa"/>
            <w:tcBorders/>
            <w:shd w:fill="CCEEFF" w:val="clear"/>
            <w:vAlign w:val="center"/>
          </w:tcPr>
          <w:p>
            <w:pPr>
              <w:pStyle w:val="TableContents"/>
              <w:spacing w:before="0" w:after="0"/>
              <w:rPr>
                <w:spacing w:val="0"/>
              </w:rPr>
            </w:pPr>
            <w:r>
              <w:rPr>
                <w:spacing w:val="0"/>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(864,598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(714,724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(314,926</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(167,242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(232,922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(183,849</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income and expense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(48,053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1,766</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(372,318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Operating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(1,286,280</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(994,839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(440,488</w:t>
            </w:r>
          </w:p>
        </w:tc>
        <w:tc>
          <w:tcPr>
            <w:tcW w:w="170" w:type="dxa"/>
            <w:tcBorders/>
            <w:shd w:fill="auto" w:val="clear"/>
            <w:vAlign w:val="center"/>
          </w:tcPr>
          <w:p>
            <w:pPr>
              <w:pStyle w:val="TableContents"/>
              <w:spacing w:before="0" w:after="0"/>
              <w:rPr>
                <w:b/>
                <w:spacing w:val="0"/>
              </w:rPr>
            </w:pPr>
            <w:r>
              <w:rPr>
                <w:b/>
                <w:spacing w:val="0"/>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Finance income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8,552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32,970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3,199</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Finance expense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(108,435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(45,249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(34,034</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Fair value change - </w:t>
            </w:r>
          </w:p>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rights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902,068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35,090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(449,005</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(1,007,118</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(471,323</w:t>
            </w:r>
          </w:p>
        </w:tc>
        <w:tc>
          <w:tcPr>
            <w:tcW w:w="170" w:type="dxa"/>
            <w:tcBorders/>
            <w:shd w:fill="CCEEFF" w:val="clear"/>
            <w:vAlign w:val="center"/>
          </w:tcPr>
          <w:p>
            <w:pPr>
              <w:pStyle w:val="TableContents"/>
              <w:spacing w:before="0" w:after="0"/>
              <w:rPr>
                <w:b/>
                <w:spacing w:val="0"/>
              </w:rPr>
            </w:pPr>
            <w:r>
              <w:rPr>
                <w:b/>
                <w:spacing w:val="0"/>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(16,784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(13,535</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(465,789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(1,007,454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(484,858</w:t>
            </w:r>
          </w:p>
        </w:tc>
        <w:tc>
          <w:tcPr>
            <w:tcW w:w="170" w:type="dxa"/>
            <w:tcBorders/>
            <w:shd w:fill="CCEEFF" w:val="clear"/>
            <w:vAlign w:val="center"/>
          </w:tcPr>
          <w:p>
            <w:pPr>
              <w:pStyle w:val="TableContents"/>
              <w:spacing w:before="0" w:after="0"/>
              <w:rPr>
                <w:b/>
                <w:spacing w:val="0"/>
              </w:rPr>
            </w:pPr>
            <w:r>
              <w:rPr>
                <w:b/>
                <w:spacing w:val="0"/>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loss per share (in U.S. dollars)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Basic and diluted</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(0.23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(0.53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(0.29</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Consolidated Statement of Comprehensive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(465,789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(1,007,454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(484,858</w:t>
            </w:r>
          </w:p>
        </w:tc>
        <w:tc>
          <w:tcPr>
            <w:tcW w:w="170" w:type="dxa"/>
            <w:tcBorders/>
            <w:shd w:fill="CCEEFF" w:val="clear"/>
            <w:vAlign w:val="center"/>
          </w:tcPr>
          <w:p>
            <w:pPr>
              <w:pStyle w:val="TableContents"/>
              <w:spacing w:before="0" w:after="0"/>
              <w:rPr>
                <w:b/>
                <w:spacing w:val="0"/>
              </w:rPr>
            </w:pPr>
            <w:r>
              <w:rPr>
                <w:b/>
                <w:spacing w:val="0"/>
              </w:rPr>
              <w:t>) </w:t>
            </w:r>
          </w:p>
        </w:tc>
      </w:tr>
      <w:tr>
        <w:trPr/>
        <w:tc>
          <w:tcPr>
            <w:tcW w:w="56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Other comprehensive income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Items that may be subsequently reclassified to the Consolidated Statement of 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Exchange rate differences from translation of foreign operations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4,519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(33,149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30,266</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other comprehensive income (loss)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4,519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(33,149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30,266</w:t>
            </w:r>
          </w:p>
        </w:tc>
        <w:tc>
          <w:tcPr>
            <w:tcW w:w="170" w:type="dxa"/>
            <w:tcBorders/>
            <w:shd w:fill="CCEEFF" w:val="clear"/>
            <w:vAlign w:val="center"/>
          </w:tcPr>
          <w:p>
            <w:pPr>
              <w:pStyle w:val="TableContents"/>
              <w:spacing w:before="0" w:after="0"/>
              <w:rPr>
                <w:spacing w:val="0"/>
              </w:rPr>
            </w:pPr>
            <w:r>
              <w:rPr>
                <w:spacing w:val="0"/>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(461,270</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(1,040,603</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(454,592</w:t>
            </w:r>
          </w:p>
        </w:tc>
        <w:tc>
          <w:tcPr>
            <w:tcW w:w="170" w:type="dxa"/>
            <w:tcBorders/>
            <w:shd w:fill="auto" w:val="clear"/>
            <w:vAlign w:val="center"/>
          </w:tcPr>
          <w:p>
            <w:pPr>
              <w:pStyle w:val="TableContents"/>
              <w:spacing w:before="0" w:after="0"/>
              <w:rPr>
                <w:b/>
                <w:spacing w:val="0"/>
              </w:rPr>
            </w:pPr>
            <w:r>
              <w:rPr>
                <w:b/>
                <w:spacing w:val="0"/>
              </w:rPr>
              <w:t>) </w:t>
            </w:r>
          </w:p>
        </w:tc>
      </w:tr>
      <w:tr>
        <w:trPr/>
        <w:tc>
          <w:tcPr>
            <w:tcW w:w="5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 </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 xml:space="preserve">Consolidated Statement of Financial Position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(in thousands of U.S. dollars unless otherwise stated) </w:t>
      </w:r>
    </w:p>
    <w:p>
      <w:pPr>
        <w:pStyle w:val="TextBody"/>
        <w:spacing w:before="0" w:after="0"/>
        <w:jc w:val="left"/>
        <w:rPr>
          <w:highlight w:val="white"/>
        </w:rPr>
      </w:pPr>
      <w:r>
        <w:rPr>
          <w:highlight w:val="white"/>
        </w:rPr>
        <w:t> </w:t>
      </w:r>
    </w:p>
    <w:tbl>
      <w:tblPr>
        <w:tblW w:w="6793" w:type="dxa"/>
        <w:jc w:val="left"/>
        <w:tblInd w:w="0" w:type="dxa"/>
        <w:tblCellMar>
          <w:top w:w="0" w:type="dxa"/>
          <w:left w:w="0" w:type="dxa"/>
          <w:bottom w:w="0" w:type="dxa"/>
          <w:right w:w="0" w:type="dxa"/>
        </w:tblCellMar>
      </w:tblPr>
      <w:tblGrid>
        <w:gridCol w:w="2945"/>
        <w:gridCol w:w="120"/>
        <w:gridCol w:w="64"/>
        <w:gridCol w:w="667"/>
        <w:gridCol w:w="64"/>
        <w:gridCol w:w="129"/>
        <w:gridCol w:w="64"/>
        <w:gridCol w:w="1136"/>
        <w:gridCol w:w="166"/>
        <w:gridCol w:w="64"/>
        <w:gridCol w:w="64"/>
        <w:gridCol w:w="1140"/>
        <w:gridCol w:w="170"/>
      </w:tblGrid>
      <w:tr>
        <w:trPr/>
        <w:tc>
          <w:tcPr>
            <w:tcW w:w="2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58"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the year ended December 31,</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 and goodwill</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13</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1,396,477</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1,368,356</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10,14</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258,048</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208,193</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Vehicles under operating leases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10</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92,198</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120,626</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15</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5,306</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1,682</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tax asset</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11</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7,755</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3,850</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investments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15</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2,333</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 xml:space="preserve">Total </w:t>
            </w:r>
          </w:p>
          <w:p>
            <w:pPr>
              <w:pStyle w:val="TableContents"/>
              <w:spacing w:before="0" w:after="0"/>
              <w:rPr>
                <w:rFonts w:ascii="Times New Roman" w:hAnsi="Times New Roman"/>
                <w:b/>
                <w:spacing w:val="0"/>
                <w:sz w:val="20"/>
              </w:rPr>
            </w:pPr>
            <w:r>
              <w:rPr>
                <w:rFonts w:ascii="Times New Roman" w:hAnsi="Times New Roman"/>
                <w:b/>
                <w:spacing w:val="0"/>
                <w:sz w:val="20"/>
              </w:rPr>
              <w:t>non-current</w:t>
            </w:r>
          </w:p>
          <w:p>
            <w:pPr>
              <w:pStyle w:val="TableContents"/>
              <w:spacing w:before="0" w:after="0"/>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1136" w:type="dxa"/>
            <w:tcBorders/>
            <w:shd w:fill="CCEEFF" w:val="clear"/>
            <w:vAlign w:val="center"/>
          </w:tcPr>
          <w:p>
            <w:pPr>
              <w:pStyle w:val="TableContents"/>
              <w:spacing w:before="0" w:after="0"/>
              <w:jc w:val="right"/>
              <w:rPr>
                <w:b/>
                <w:spacing w:val="0"/>
              </w:rPr>
            </w:pPr>
            <w:r>
              <w:rPr>
                <w:b/>
                <w:spacing w:val="0"/>
              </w:rPr>
              <w:t>1,762,117</w:t>
            </w:r>
          </w:p>
        </w:tc>
        <w:tc>
          <w:tcPr>
            <w:tcW w:w="166" w:type="dxa"/>
            <w:tcBorders/>
            <w:shd w:fill="CCEEFF" w:val="clear"/>
            <w:vAlign w:val="center"/>
          </w:tcPr>
          <w:p>
            <w:pPr>
              <w:pStyle w:val="TableContents"/>
              <w:spacing w:before="0" w:after="0"/>
              <w:rPr>
                <w:spacing w:val="0"/>
              </w:rPr>
            </w:pPr>
            <w:r>
              <w:rPr>
                <w:spacing w:val="0"/>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1140" w:type="dxa"/>
            <w:tcBorders/>
            <w:shd w:fill="CCEEFF" w:val="clear"/>
            <w:vAlign w:val="center"/>
          </w:tcPr>
          <w:p>
            <w:pPr>
              <w:pStyle w:val="TableContents"/>
              <w:spacing w:before="0" w:after="0"/>
              <w:jc w:val="right"/>
              <w:rPr>
                <w:b/>
                <w:spacing w:val="0"/>
              </w:rPr>
            </w:pPr>
            <w:r>
              <w:rPr>
                <w:b/>
                <w:spacing w:val="0"/>
              </w:rPr>
              <w:t>1,702,707</w:t>
            </w:r>
          </w:p>
        </w:tc>
        <w:tc>
          <w:tcPr>
            <w:tcW w:w="170" w:type="dxa"/>
            <w:tcBorders/>
            <w:shd w:fill="CCEEFF"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Current assets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15</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973,877</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756,677</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Marketable securities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15</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1,258</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receivables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17</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246,107</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157,753</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17, 25</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74,996</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14,688</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25</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49,060</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5,103</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18</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658,559</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545,743</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tax assets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7,184</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5,562</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Assets held for sale</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26</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63,224</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current assets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19</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107,327</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120,202</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current assets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1136" w:type="dxa"/>
            <w:tcBorders/>
            <w:shd w:fill="auto" w:val="clear"/>
            <w:vAlign w:val="center"/>
          </w:tcPr>
          <w:p>
            <w:pPr>
              <w:pStyle w:val="TableContents"/>
              <w:spacing w:before="0" w:after="0"/>
              <w:jc w:val="right"/>
              <w:rPr>
                <w:b/>
                <w:spacing w:val="0"/>
              </w:rPr>
            </w:pPr>
            <w:r>
              <w:rPr>
                <w:b/>
                <w:spacing w:val="0"/>
              </w:rPr>
              <w:t>2,180,334</w:t>
            </w:r>
          </w:p>
        </w:tc>
        <w:tc>
          <w:tcPr>
            <w:tcW w:w="166" w:type="dxa"/>
            <w:tcBorders/>
            <w:shd w:fill="auto" w:val="clear"/>
            <w:vAlign w:val="center"/>
          </w:tcPr>
          <w:p>
            <w:pPr>
              <w:pStyle w:val="TableContents"/>
              <w:spacing w:before="0" w:after="0"/>
              <w:rPr>
                <w:spacing w:val="0"/>
              </w:rPr>
            </w:pPr>
            <w:r>
              <w:rPr>
                <w:spacing w:val="0"/>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1140" w:type="dxa"/>
            <w:tcBorders/>
            <w:shd w:fill="auto" w:val="clear"/>
            <w:vAlign w:val="center"/>
          </w:tcPr>
          <w:p>
            <w:pPr>
              <w:pStyle w:val="TableContents"/>
              <w:spacing w:before="0" w:after="0"/>
              <w:jc w:val="right"/>
              <w:rPr>
                <w:b/>
                <w:spacing w:val="0"/>
              </w:rPr>
            </w:pPr>
            <w:r>
              <w:rPr>
                <w:b/>
                <w:spacing w:val="0"/>
              </w:rPr>
              <w:t>1,606,986</w:t>
            </w:r>
          </w:p>
        </w:tc>
        <w:tc>
          <w:tcPr>
            <w:tcW w:w="170" w:type="dxa"/>
            <w:tcBorders/>
            <w:shd w:fill="auto"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1136" w:type="dxa"/>
            <w:tcBorders/>
            <w:shd w:fill="CCEEFF" w:val="clear"/>
            <w:vAlign w:val="center"/>
          </w:tcPr>
          <w:p>
            <w:pPr>
              <w:pStyle w:val="TableContents"/>
              <w:spacing w:before="0" w:after="0"/>
              <w:jc w:val="right"/>
              <w:rPr>
                <w:b/>
                <w:spacing w:val="0"/>
              </w:rPr>
            </w:pPr>
            <w:r>
              <w:rPr>
                <w:b/>
                <w:spacing w:val="0"/>
              </w:rPr>
              <w:t>3,942,451</w:t>
            </w:r>
          </w:p>
        </w:tc>
        <w:tc>
          <w:tcPr>
            <w:tcW w:w="166" w:type="dxa"/>
            <w:tcBorders/>
            <w:shd w:fill="CCEEFF" w:val="clear"/>
            <w:vAlign w:val="center"/>
          </w:tcPr>
          <w:p>
            <w:pPr>
              <w:pStyle w:val="TableContents"/>
              <w:spacing w:before="0" w:after="0"/>
              <w:rPr>
                <w:spacing w:val="0"/>
              </w:rPr>
            </w:pPr>
            <w:r>
              <w:rPr>
                <w:spacing w:val="0"/>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1140" w:type="dxa"/>
            <w:tcBorders/>
            <w:shd w:fill="CCEEFF" w:val="clear"/>
            <w:vAlign w:val="center"/>
          </w:tcPr>
          <w:p>
            <w:pPr>
              <w:pStyle w:val="TableContents"/>
              <w:spacing w:before="0" w:after="0"/>
              <w:jc w:val="right"/>
              <w:rPr>
                <w:b/>
                <w:spacing w:val="0"/>
              </w:rPr>
            </w:pPr>
            <w:r>
              <w:rPr>
                <w:b/>
                <w:spacing w:val="0"/>
              </w:rPr>
              <w:t>3,309,693</w:t>
            </w:r>
          </w:p>
        </w:tc>
        <w:tc>
          <w:tcPr>
            <w:tcW w:w="170" w:type="dxa"/>
            <w:tcBorders/>
            <w:shd w:fill="CCEEFF" w:val="clear"/>
            <w:vAlign w:val="center"/>
          </w:tcPr>
          <w:p>
            <w:pPr>
              <w:pStyle w:val="TableContents"/>
              <w:spacing w:before="0" w:after="0"/>
              <w:rPr>
                <w:spacing w:val="0"/>
              </w:rPr>
            </w:pPr>
            <w:r>
              <w:rPr>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Equity</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 capital</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(21,165</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(1,865,909</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contributed capital</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(3,584,232</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(35,231</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currency translation reserve</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12,265</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16,784</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Accumulated deficit</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3,726,775</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1,761,860</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equity</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20</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1136" w:type="dxa"/>
            <w:tcBorders/>
            <w:shd w:fill="CCEEFF" w:val="clear"/>
            <w:vAlign w:val="center"/>
          </w:tcPr>
          <w:p>
            <w:pPr>
              <w:pStyle w:val="TableContents"/>
              <w:spacing w:before="0" w:after="0"/>
              <w:jc w:val="right"/>
              <w:rPr>
                <w:b/>
                <w:spacing w:val="0"/>
              </w:rPr>
            </w:pPr>
            <w:r>
              <w:rPr>
                <w:b/>
                <w:spacing w:val="0"/>
              </w:rPr>
              <w:t>133,643</w:t>
            </w:r>
          </w:p>
        </w:tc>
        <w:tc>
          <w:tcPr>
            <w:tcW w:w="166" w:type="dxa"/>
            <w:tcBorders/>
            <w:shd w:fill="CCEEFF" w:val="clear"/>
            <w:vAlign w:val="center"/>
          </w:tcPr>
          <w:p>
            <w:pPr>
              <w:pStyle w:val="TableContents"/>
              <w:spacing w:before="0" w:after="0"/>
              <w:rPr>
                <w:spacing w:val="0"/>
              </w:rPr>
            </w:pPr>
            <w:r>
              <w:rPr>
                <w:spacing w:val="0"/>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1140" w:type="dxa"/>
            <w:tcBorders/>
            <w:shd w:fill="CCEEFF" w:val="clear"/>
            <w:vAlign w:val="center"/>
          </w:tcPr>
          <w:p>
            <w:pPr>
              <w:pStyle w:val="TableContents"/>
              <w:spacing w:before="0" w:after="0"/>
              <w:jc w:val="right"/>
              <w:rPr>
                <w:b/>
                <w:spacing w:val="0"/>
              </w:rPr>
            </w:pPr>
            <w:r>
              <w:rPr>
                <w:b/>
                <w:spacing w:val="0"/>
              </w:rPr>
              <w:t>(122,496</w:t>
            </w:r>
          </w:p>
        </w:tc>
        <w:tc>
          <w:tcPr>
            <w:tcW w:w="170" w:type="dxa"/>
            <w:tcBorders/>
            <w:shd w:fill="CCEEFF" w:val="clear"/>
            <w:vAlign w:val="center"/>
          </w:tcPr>
          <w:p>
            <w:pPr>
              <w:pStyle w:val="TableContents"/>
              <w:spacing w:before="0" w:after="0"/>
              <w:rPr>
                <w:b/>
                <w:spacing w:val="0"/>
              </w:rPr>
            </w:pPr>
            <w:r>
              <w:rPr>
                <w:b/>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Liabilities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contract liabilities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4</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(50,252</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(28,922</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11</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(476</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(509</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provisions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21</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(73,985</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(38,711</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15</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(14,753</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(11,764</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liability</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16</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(598,570</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interest-bearing liabilities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10, 15</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(85,556</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(66,575</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 xml:space="preserve">Total </w:t>
            </w:r>
          </w:p>
          <w:p>
            <w:pPr>
              <w:pStyle w:val="TableContents"/>
              <w:spacing w:before="0" w:after="0"/>
              <w:rPr>
                <w:rFonts w:ascii="Times New Roman" w:hAnsi="Times New Roman"/>
                <w:b/>
                <w:spacing w:val="0"/>
                <w:sz w:val="20"/>
              </w:rPr>
            </w:pPr>
            <w:r>
              <w:rPr>
                <w:rFonts w:ascii="Times New Roman" w:hAnsi="Times New Roman"/>
                <w:b/>
                <w:spacing w:val="0"/>
                <w:sz w:val="20"/>
              </w:rPr>
              <w:t>non-current</w:t>
            </w:r>
          </w:p>
          <w:p>
            <w:pPr>
              <w:pStyle w:val="TableContents"/>
              <w:spacing w:before="0" w:after="0"/>
              <w:rPr>
                <w:rFonts w:ascii="Times New Roman" w:hAnsi="Times New Roman"/>
                <w:b/>
                <w:sz w:val="20"/>
              </w:rPr>
            </w:pPr>
            <w:r>
              <w:rPr>
                <w:rFonts w:ascii="Times New Roman" w:hAnsi="Times New Roman"/>
                <w:b/>
                <w:sz w:val="20"/>
              </w:rPr>
              <w:t>liabilities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1136" w:type="dxa"/>
            <w:tcBorders/>
            <w:shd w:fill="auto" w:val="clear"/>
            <w:vAlign w:val="center"/>
          </w:tcPr>
          <w:p>
            <w:pPr>
              <w:pStyle w:val="TableContents"/>
              <w:spacing w:before="0" w:after="0"/>
              <w:jc w:val="right"/>
              <w:rPr>
                <w:b/>
                <w:spacing w:val="0"/>
              </w:rPr>
            </w:pPr>
            <w:r>
              <w:rPr>
                <w:b/>
                <w:spacing w:val="0"/>
              </w:rPr>
              <w:t>(823,592</w:t>
            </w:r>
          </w:p>
        </w:tc>
        <w:tc>
          <w:tcPr>
            <w:tcW w:w="166" w:type="dxa"/>
            <w:tcBorders/>
            <w:shd w:fill="auto" w:val="clear"/>
            <w:vAlign w:val="center"/>
          </w:tcPr>
          <w:p>
            <w:pPr>
              <w:pStyle w:val="TableContents"/>
              <w:spacing w:before="0" w:after="0"/>
              <w:rPr>
                <w:b/>
                <w:spacing w:val="0"/>
              </w:rPr>
            </w:pPr>
            <w:r>
              <w:rPr>
                <w:b/>
                <w:spacing w:val="0"/>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1140" w:type="dxa"/>
            <w:tcBorders/>
            <w:shd w:fill="auto" w:val="clear"/>
            <w:vAlign w:val="center"/>
          </w:tcPr>
          <w:p>
            <w:pPr>
              <w:pStyle w:val="TableContents"/>
              <w:spacing w:before="0" w:after="0"/>
              <w:jc w:val="right"/>
              <w:rPr>
                <w:b/>
                <w:spacing w:val="0"/>
              </w:rPr>
            </w:pPr>
            <w:r>
              <w:rPr>
                <w:b/>
                <w:spacing w:val="0"/>
              </w:rPr>
              <w:t>(146,481</w:t>
            </w:r>
          </w:p>
        </w:tc>
        <w:tc>
          <w:tcPr>
            <w:tcW w:w="170" w:type="dxa"/>
            <w:tcBorders/>
            <w:shd w:fill="auto" w:val="clear"/>
            <w:vAlign w:val="center"/>
          </w:tcPr>
          <w:p>
            <w:pPr>
              <w:pStyle w:val="TableContents"/>
              <w:spacing w:before="0" w:after="0"/>
              <w:rPr>
                <w:b/>
                <w:spacing w:val="0"/>
              </w:rPr>
            </w:pPr>
            <w:r>
              <w:rPr>
                <w:b/>
                <w:spacing w:val="0"/>
              </w:rPr>
              <w:t>) </w:t>
            </w:r>
          </w:p>
        </w:tc>
      </w:tr>
      <w:tr>
        <w:trPr/>
        <w:tc>
          <w:tcPr>
            <w:tcW w:w="2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1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payables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15</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(98,458</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(114,296</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payables - related parties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15, 25</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(957,497</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(1,427,678</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expenses - related parties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25</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(164,902</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(315,756</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15</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(40,869</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(36,415</w:t>
            </w:r>
          </w:p>
        </w:tc>
        <w:tc>
          <w:tcPr>
            <w:tcW w:w="170" w:type="dxa"/>
            <w:tcBorders/>
            <w:shd w:fill="CCEEFF" w:val="clear"/>
            <w:vAlign w:val="center"/>
          </w:tcPr>
          <w:p>
            <w:pPr>
              <w:pStyle w:val="TableContents"/>
              <w:spacing w:before="0" w:after="283"/>
              <w:rPr/>
            </w:pPr>
            <w:r>
              <w:rPr/>
              <w:t>) </w:t>
            </w:r>
          </w:p>
        </w:tc>
      </w:tr>
      <w:tr>
        <w:trPr/>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Current provisions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21</w:t>
            </w:r>
          </w:p>
        </w:tc>
        <w:tc>
          <w:tcPr>
            <w:tcW w:w="64"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(74,907</w:t>
            </w:r>
          </w:p>
        </w:tc>
        <w:tc>
          <w:tcPr>
            <w:tcW w:w="16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140" w:type="dxa"/>
            <w:tcBorders/>
            <w:shd w:fill="auto" w:val="clear"/>
            <w:vAlign w:val="center"/>
          </w:tcPr>
          <w:p>
            <w:pPr>
              <w:pStyle w:val="TableContents"/>
              <w:spacing w:before="0" w:after="283"/>
              <w:jc w:val="right"/>
              <w:rPr/>
            </w:pPr>
            <w:r>
              <w:rPr/>
              <w:t>(44,042</w:t>
            </w:r>
          </w:p>
        </w:tc>
        <w:tc>
          <w:tcPr>
            <w:tcW w:w="170" w:type="dxa"/>
            <w:tcBorders/>
            <w:shd w:fill="auto" w:val="clear"/>
            <w:vAlign w:val="center"/>
          </w:tcPr>
          <w:p>
            <w:pPr>
              <w:pStyle w:val="TableContents"/>
              <w:spacing w:before="0" w:after="283"/>
              <w:rPr/>
            </w:pPr>
            <w:r>
              <w:rPr/>
              <w:t>) </w:t>
            </w:r>
          </w:p>
        </w:tc>
      </w:tr>
      <w:tr>
        <w:trPr/>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23</w:t>
            </w:r>
          </w:p>
        </w:tc>
        <w:tc>
          <w:tcPr>
            <w:tcW w:w="64"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(1,328,752</w:t>
            </w:r>
          </w:p>
        </w:tc>
        <w:tc>
          <w:tcPr>
            <w:tcW w:w="166"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0" w:type="dxa"/>
            <w:tcBorders/>
            <w:shd w:fill="CCEEFF" w:val="clear"/>
            <w:vAlign w:val="center"/>
          </w:tcPr>
          <w:p>
            <w:pPr>
              <w:pStyle w:val="TableContents"/>
              <w:spacing w:before="0" w:after="283"/>
              <w:jc w:val="right"/>
              <w:rPr/>
            </w:pPr>
            <w:r>
              <w:rPr/>
              <w:t>(642,338</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F-7 </w:t>
      </w:r>
    </w:p>
    <w:p>
      <w:pPr>
        <w:pStyle w:val="HorizontalLine"/>
        <w:rPr/>
      </w:pPr>
      <w:r>
        <w:rPr/>
      </w:r>
    </w:p>
    <w:p>
      <w:pPr>
        <w:pStyle w:val="TextBody"/>
        <w:spacing w:before="0" w:after="0"/>
        <w:rPr/>
      </w:pPr>
      <w:hyperlink w:anchor="toc">
        <w:r>
          <w:rPr>
            <w:rStyle w:val="InternetLink"/>
            <w:highlight w:val="white"/>
          </w:rPr>
          <w:t>Table of Contents</w:t>
        </w:r>
      </w:hyperlink>
    </w:p>
    <w:tbl>
      <w:tblPr>
        <w:tblW w:w="7887" w:type="dxa"/>
        <w:jc w:val="left"/>
        <w:tblInd w:w="0" w:type="dxa"/>
        <w:tblCellMar>
          <w:top w:w="0" w:type="dxa"/>
          <w:left w:w="0" w:type="dxa"/>
          <w:bottom w:w="0" w:type="dxa"/>
          <w:right w:w="0" w:type="dxa"/>
        </w:tblCellMar>
      </w:tblPr>
      <w:tblGrid>
        <w:gridCol w:w="4040"/>
        <w:gridCol w:w="120"/>
        <w:gridCol w:w="65"/>
        <w:gridCol w:w="614"/>
        <w:gridCol w:w="65"/>
        <w:gridCol w:w="131"/>
        <w:gridCol w:w="65"/>
        <w:gridCol w:w="1156"/>
        <w:gridCol w:w="169"/>
        <w:gridCol w:w="65"/>
        <w:gridCol w:w="65"/>
        <w:gridCol w:w="1162"/>
        <w:gridCol w:w="170"/>
      </w:tblGrid>
      <w:tr>
        <w:trPr/>
        <w:tc>
          <w:tcPr>
            <w:tcW w:w="4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57"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the year ended December 31,</w:t>
            </w:r>
          </w:p>
        </w:tc>
        <w:tc>
          <w:tcPr>
            <w:tcW w:w="170"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22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22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tax liabilities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4"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(10,617</w:t>
            </w:r>
          </w:p>
        </w:tc>
        <w:tc>
          <w:tcPr>
            <w:tcW w:w="169"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62" w:type="dxa"/>
            <w:tcBorders/>
            <w:shd w:fill="CCEEFF" w:val="clear"/>
            <w:vAlign w:val="center"/>
          </w:tcPr>
          <w:p>
            <w:pPr>
              <w:pStyle w:val="TableContents"/>
              <w:spacing w:before="0" w:after="283"/>
              <w:jc w:val="right"/>
              <w:rPr/>
            </w:pPr>
            <w:r>
              <w:rPr/>
              <w:t>(13,089</w:t>
            </w:r>
          </w:p>
        </w:tc>
        <w:tc>
          <w:tcPr>
            <w:tcW w:w="170" w:type="dxa"/>
            <w:tcBorders/>
            <w:shd w:fill="CCEEFF"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jc w:val="right"/>
              <w:rPr/>
            </w:pPr>
            <w:r>
              <w:rPr/>
              <w:t>10,15</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(21,545</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jc w:val="right"/>
              <w:rPr/>
            </w:pPr>
            <w:r>
              <w:rPr/>
              <w:t>(10,283</w:t>
            </w:r>
          </w:p>
        </w:tc>
        <w:tc>
          <w:tcPr>
            <w:tcW w:w="170"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 - related parties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4" w:type="dxa"/>
            <w:tcBorders/>
            <w:shd w:fill="CCEEFF" w:val="clear"/>
            <w:vAlign w:val="center"/>
          </w:tcPr>
          <w:p>
            <w:pPr>
              <w:pStyle w:val="TableContents"/>
              <w:spacing w:before="0" w:after="283"/>
              <w:jc w:val="right"/>
              <w:rPr/>
            </w:pPr>
            <w:r>
              <w:rPr/>
              <w:t>25</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(16,690</w:t>
            </w:r>
          </w:p>
        </w:tc>
        <w:tc>
          <w:tcPr>
            <w:tcW w:w="169"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62" w:type="dxa"/>
            <w:tcBorders/>
            <w:shd w:fill="CCEEFF" w:val="clear"/>
            <w:vAlign w:val="center"/>
          </w:tcPr>
          <w:p>
            <w:pPr>
              <w:pStyle w:val="TableContents"/>
              <w:spacing w:before="0" w:after="283"/>
              <w:jc w:val="right"/>
              <w:rPr/>
            </w:pPr>
            <w:r>
              <w:rPr/>
              <w:t>(13,789</w:t>
            </w:r>
          </w:p>
        </w:tc>
        <w:tc>
          <w:tcPr>
            <w:tcW w:w="170" w:type="dxa"/>
            <w:tcBorders/>
            <w:shd w:fill="CCEEFF"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Current contract liabilities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jc w:val="right"/>
              <w:rPr/>
            </w:pPr>
            <w:r>
              <w:rPr/>
              <w:t>4</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(46,217</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jc w:val="right"/>
              <w:rPr/>
            </w:pPr>
            <w:r>
              <w:rPr/>
              <w:t>(58,368</w:t>
            </w:r>
          </w:p>
        </w:tc>
        <w:tc>
          <w:tcPr>
            <w:tcW w:w="170"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Class C Shares liability</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4" w:type="dxa"/>
            <w:tcBorders/>
            <w:shd w:fill="CCEEFF" w:val="clear"/>
            <w:vAlign w:val="center"/>
          </w:tcPr>
          <w:p>
            <w:pPr>
              <w:pStyle w:val="TableContents"/>
              <w:spacing w:before="0" w:after="283"/>
              <w:jc w:val="right"/>
              <w:rPr/>
            </w:pPr>
            <w:r>
              <w:rPr/>
              <w:t>16</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(28,000</w:t>
            </w:r>
          </w:p>
        </w:tc>
        <w:tc>
          <w:tcPr>
            <w:tcW w:w="169"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62"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liabilities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jc w:val="right"/>
              <w:rPr/>
            </w:pPr>
            <w:r>
              <w:rPr/>
              <w:t>22</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(393,790</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jc w:val="right"/>
              <w:rPr/>
            </w:pPr>
            <w:r>
              <w:rPr/>
              <w:t>(364,662</w:t>
            </w:r>
          </w:p>
        </w:tc>
        <w:tc>
          <w:tcPr>
            <w:tcW w:w="170"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current liabilities - related parties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4" w:type="dxa"/>
            <w:tcBorders/>
            <w:shd w:fill="CCEEFF" w:val="clear"/>
            <w:vAlign w:val="center"/>
          </w:tcPr>
          <w:p>
            <w:pPr>
              <w:pStyle w:val="TableContents"/>
              <w:spacing w:before="0" w:after="283"/>
              <w:jc w:val="right"/>
              <w:rPr/>
            </w:pPr>
            <w:r>
              <w:rPr/>
              <w:t>25</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(70,258</w:t>
            </w:r>
          </w:p>
        </w:tc>
        <w:tc>
          <w:tcPr>
            <w:tcW w:w="169"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62"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6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156" w:type="dxa"/>
            <w:tcBorders/>
            <w:shd w:fill="auto" w:val="clear"/>
            <w:vAlign w:val="center"/>
          </w:tcPr>
          <w:p>
            <w:pPr>
              <w:pStyle w:val="TableContents"/>
              <w:spacing w:before="0" w:after="0"/>
              <w:jc w:val="right"/>
              <w:rPr>
                <w:b/>
                <w:spacing w:val="0"/>
              </w:rPr>
            </w:pPr>
            <w:r>
              <w:rPr>
                <w:b/>
                <w:spacing w:val="0"/>
              </w:rPr>
              <w:t>(3,252,502</w:t>
            </w:r>
          </w:p>
        </w:tc>
        <w:tc>
          <w:tcPr>
            <w:tcW w:w="169" w:type="dxa"/>
            <w:tcBorders/>
            <w:shd w:fill="auto" w:val="clear"/>
            <w:vAlign w:val="center"/>
          </w:tcPr>
          <w:p>
            <w:pPr>
              <w:pStyle w:val="TableContents"/>
              <w:spacing w:before="0" w:after="0"/>
              <w:rPr>
                <w:b/>
                <w:spacing w:val="0"/>
              </w:rPr>
            </w:pPr>
            <w:r>
              <w:rPr>
                <w:b/>
                <w:spacing w:val="0"/>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162" w:type="dxa"/>
            <w:tcBorders/>
            <w:shd w:fill="auto" w:val="clear"/>
            <w:vAlign w:val="center"/>
          </w:tcPr>
          <w:p>
            <w:pPr>
              <w:pStyle w:val="TableContents"/>
              <w:spacing w:before="0" w:after="0"/>
              <w:jc w:val="right"/>
              <w:rPr>
                <w:b/>
                <w:spacing w:val="0"/>
              </w:rPr>
            </w:pPr>
            <w:r>
              <w:rPr>
                <w:b/>
                <w:spacing w:val="0"/>
              </w:rPr>
              <w:t>(3,040,716</w:t>
            </w:r>
          </w:p>
        </w:tc>
        <w:tc>
          <w:tcPr>
            <w:tcW w:w="170" w:type="dxa"/>
            <w:tcBorders/>
            <w:shd w:fill="auto" w:val="clear"/>
            <w:vAlign w:val="center"/>
          </w:tcPr>
          <w:p>
            <w:pPr>
              <w:pStyle w:val="TableContents"/>
              <w:spacing w:before="0" w:after="0"/>
              <w:rPr>
                <w:b/>
                <w:spacing w:val="0"/>
              </w:rPr>
            </w:pPr>
            <w:r>
              <w:rPr>
                <w:b/>
                <w:spacing w:val="0"/>
              </w:rPr>
              <w:t>) </w:t>
            </w:r>
          </w:p>
        </w:tc>
      </w:tr>
      <w:tr>
        <w:trPr/>
        <w:tc>
          <w:tcPr>
            <w:tcW w:w="4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6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liabilities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14"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0"/>
              <w:rPr>
                <w:spacing w:val="0"/>
              </w:rPr>
            </w:pPr>
            <w:r>
              <w:rPr>
                <w:spacing w:val="0"/>
              </w:rPr>
              <w:t> </w:t>
            </w:r>
          </w:p>
        </w:tc>
        <w:tc>
          <w:tcPr>
            <w:tcW w:w="1156" w:type="dxa"/>
            <w:tcBorders/>
            <w:shd w:fill="CCEEFF" w:val="clear"/>
            <w:vAlign w:val="center"/>
          </w:tcPr>
          <w:p>
            <w:pPr>
              <w:pStyle w:val="TableContents"/>
              <w:spacing w:before="0" w:after="0"/>
              <w:jc w:val="right"/>
              <w:rPr>
                <w:b/>
                <w:spacing w:val="0"/>
              </w:rPr>
            </w:pPr>
            <w:r>
              <w:rPr>
                <w:b/>
                <w:spacing w:val="0"/>
              </w:rPr>
              <w:t>(4,076,094</w:t>
            </w:r>
          </w:p>
        </w:tc>
        <w:tc>
          <w:tcPr>
            <w:tcW w:w="169" w:type="dxa"/>
            <w:tcBorders/>
            <w:shd w:fill="CCEEFF" w:val="clear"/>
            <w:vAlign w:val="center"/>
          </w:tcPr>
          <w:p>
            <w:pPr>
              <w:pStyle w:val="TableContents"/>
              <w:spacing w:before="0" w:after="0"/>
              <w:rPr>
                <w:b/>
                <w:spacing w:val="0"/>
              </w:rPr>
            </w:pPr>
            <w:r>
              <w:rPr>
                <w:b/>
                <w:spacing w:val="0"/>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0"/>
              <w:rPr>
                <w:spacing w:val="0"/>
              </w:rPr>
            </w:pPr>
            <w:r>
              <w:rPr>
                <w:spacing w:val="0"/>
              </w:rPr>
              <w:t> </w:t>
            </w:r>
          </w:p>
        </w:tc>
        <w:tc>
          <w:tcPr>
            <w:tcW w:w="1162" w:type="dxa"/>
            <w:tcBorders/>
            <w:shd w:fill="CCEEFF" w:val="clear"/>
            <w:vAlign w:val="center"/>
          </w:tcPr>
          <w:p>
            <w:pPr>
              <w:pStyle w:val="TableContents"/>
              <w:spacing w:before="0" w:after="0"/>
              <w:jc w:val="right"/>
              <w:rPr>
                <w:b/>
                <w:spacing w:val="0"/>
              </w:rPr>
            </w:pPr>
            <w:r>
              <w:rPr>
                <w:b/>
                <w:spacing w:val="0"/>
              </w:rPr>
              <w:t>(3,187,197</w:t>
            </w:r>
          </w:p>
        </w:tc>
        <w:tc>
          <w:tcPr>
            <w:tcW w:w="170" w:type="dxa"/>
            <w:tcBorders/>
            <w:shd w:fill="CCEEFF" w:val="clear"/>
            <w:vAlign w:val="center"/>
          </w:tcPr>
          <w:p>
            <w:pPr>
              <w:pStyle w:val="TableContents"/>
              <w:spacing w:before="0" w:after="0"/>
              <w:rPr>
                <w:b/>
                <w:spacing w:val="0"/>
              </w:rPr>
            </w:pPr>
            <w:r>
              <w:rPr>
                <w:b/>
                <w:spacing w:val="0"/>
              </w:rPr>
              <w:t>) </w:t>
            </w:r>
          </w:p>
        </w:tc>
      </w:tr>
      <w:tr>
        <w:trPr/>
        <w:tc>
          <w:tcPr>
            <w:tcW w:w="4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6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equity and liabilities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156" w:type="dxa"/>
            <w:tcBorders/>
            <w:shd w:fill="auto" w:val="clear"/>
            <w:vAlign w:val="center"/>
          </w:tcPr>
          <w:p>
            <w:pPr>
              <w:pStyle w:val="TableContents"/>
              <w:spacing w:before="0" w:after="0"/>
              <w:jc w:val="right"/>
              <w:rPr>
                <w:b/>
                <w:spacing w:val="0"/>
              </w:rPr>
            </w:pPr>
            <w:r>
              <w:rPr>
                <w:b/>
                <w:spacing w:val="0"/>
              </w:rPr>
              <w:t>(3,942,451</w:t>
            </w:r>
          </w:p>
        </w:tc>
        <w:tc>
          <w:tcPr>
            <w:tcW w:w="169" w:type="dxa"/>
            <w:tcBorders/>
            <w:shd w:fill="auto" w:val="clear"/>
            <w:vAlign w:val="center"/>
          </w:tcPr>
          <w:p>
            <w:pPr>
              <w:pStyle w:val="TableContents"/>
              <w:spacing w:before="0" w:after="0"/>
              <w:rPr>
                <w:b/>
                <w:spacing w:val="0"/>
              </w:rPr>
            </w:pPr>
            <w:r>
              <w:rPr>
                <w:b/>
                <w:spacing w:val="0"/>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162" w:type="dxa"/>
            <w:tcBorders/>
            <w:shd w:fill="auto" w:val="clear"/>
            <w:vAlign w:val="center"/>
          </w:tcPr>
          <w:p>
            <w:pPr>
              <w:pStyle w:val="TableContents"/>
              <w:spacing w:before="0" w:after="0"/>
              <w:jc w:val="right"/>
              <w:rPr>
                <w:b/>
                <w:spacing w:val="0"/>
              </w:rPr>
            </w:pPr>
            <w:r>
              <w:rPr>
                <w:b/>
                <w:spacing w:val="0"/>
              </w:rPr>
              <w:t>(3,309,693</w:t>
            </w:r>
          </w:p>
        </w:tc>
        <w:tc>
          <w:tcPr>
            <w:tcW w:w="170" w:type="dxa"/>
            <w:tcBorders/>
            <w:shd w:fill="auto" w:val="clear"/>
            <w:vAlign w:val="center"/>
          </w:tcPr>
          <w:p>
            <w:pPr>
              <w:pStyle w:val="TableContents"/>
              <w:spacing w:before="0" w:after="0"/>
              <w:rPr>
                <w:b/>
                <w:spacing w:val="0"/>
              </w:rPr>
            </w:pPr>
            <w:r>
              <w:rPr>
                <w:b/>
                <w:spacing w:val="0"/>
              </w:rPr>
              <w:t>) </w:t>
            </w:r>
          </w:p>
        </w:tc>
      </w:tr>
      <w:tr>
        <w:trPr/>
        <w:tc>
          <w:tcPr>
            <w:tcW w:w="4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4"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69"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16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Polestar Automotive Holding UK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 xml:space="preserve">Consolidated Statement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(in thousands of U.S. dollars unless otherwise stated)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5460"/>
        <w:gridCol w:w="120"/>
        <w:gridCol w:w="60"/>
        <w:gridCol w:w="620"/>
        <w:gridCol w:w="60"/>
        <w:gridCol w:w="120"/>
        <w:gridCol w:w="60"/>
        <w:gridCol w:w="1055"/>
        <w:gridCol w:w="155"/>
        <w:gridCol w:w="60"/>
        <w:gridCol w:w="60"/>
        <w:gridCol w:w="1055"/>
        <w:gridCol w:w="155"/>
        <w:gridCol w:w="60"/>
        <w:gridCol w:w="60"/>
        <w:gridCol w:w="875"/>
        <w:gridCol w:w="170"/>
      </w:tblGrid>
      <w:tr>
        <w:trPr/>
        <w:tc>
          <w:tcPr>
            <w:tcW w:w="5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45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(465,789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(1,007,454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(484,858</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Adjustments to reconcile net loss to net cash flows: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158,392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239,164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216,077</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Warranties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84,992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63,114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58,651</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Inventory impairment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27,877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31,984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35,984</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Finance income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(8,552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(32,969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(3,199</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Finance expense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108,435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45,249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34,034</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Fair value change - </w:t>
            </w:r>
          </w:p>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rights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(902,068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(35,090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372,318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16,784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13,535</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Losses on disposals of 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non-cash</w:t>
            </w:r>
          </w:p>
          <w:p>
            <w:pPr>
              <w:pStyle w:val="TableContents"/>
              <w:spacing w:before="0" w:after="0"/>
              <w:rPr>
                <w:rFonts w:ascii="Times New Roman" w:hAnsi="Times New Roman"/>
                <w:sz w:val="20"/>
              </w:rPr>
            </w:pPr>
            <w:r>
              <w:rPr>
                <w:rFonts w:ascii="Times New Roman" w:hAnsi="Times New Roman"/>
                <w:sz w:val="20"/>
              </w:rPr>
              <w:t>expense and income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18,997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11,560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14,048</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operating assets and liabilities: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(226,638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(290,442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(428,067</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13,373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70,220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17,071</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 prepaid expenses and other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(220,118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48,574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(268,004</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payables, accrued expenses and other liabilities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52,801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519,676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764,661</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received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8,552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3,199</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paid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(68,130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(12,564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(30,198</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Taxes paid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(19,559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used for operating activities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(1,083,423</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(312,156</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(57,050</w:t>
            </w:r>
          </w:p>
        </w:tc>
        <w:tc>
          <w:tcPr>
            <w:tcW w:w="170" w:type="dxa"/>
            <w:tcBorders/>
            <w:shd w:fill="CCEEFF" w:val="clear"/>
            <w:vAlign w:val="center"/>
          </w:tcPr>
          <w:p>
            <w:pPr>
              <w:pStyle w:val="TableContents"/>
              <w:spacing w:before="0" w:after="0"/>
              <w:rPr>
                <w:b/>
                <w:spacing w:val="0"/>
              </w:rPr>
            </w:pPr>
            <w:r>
              <w:rPr>
                <w:b/>
                <w:spacing w:val="0"/>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jc w:val="right"/>
              <w:rPr/>
            </w:pPr>
            <w:r>
              <w:rPr/>
              <w:t>14, 24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(32,269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(24,701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(49,599</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13, 24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(681,204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(104,971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(194,108</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 to other investments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Cash used for investing activities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(715,973</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(129,672</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(243,707</w:t>
            </w:r>
          </w:p>
        </w:tc>
        <w:tc>
          <w:tcPr>
            <w:tcW w:w="170" w:type="dxa"/>
            <w:tcBorders/>
            <w:shd w:fill="auto" w:val="clear"/>
            <w:vAlign w:val="center"/>
          </w:tcPr>
          <w:p>
            <w:pPr>
              <w:pStyle w:val="TableContents"/>
              <w:spacing w:before="0" w:after="0"/>
              <w:rPr>
                <w:b/>
                <w:spacing w:val="0"/>
              </w:rPr>
            </w:pPr>
            <w:r>
              <w:rPr>
                <w:b/>
                <w:spacing w:val="0"/>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Change in restricted deposits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48,830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134,681</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Proceeds from short-term borrowings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2,149,799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698,882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569,087</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Principal repayments of short-term borrowings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(1,426,935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(411,950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(780,167</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Principal repayments of lease liabilities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(18,905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(8,578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(2,298</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the issuance of share capital and other contributed capital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1,417,973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582,388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438,340</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Transaction costs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(38,903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Cash provided by financing activities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2,083,029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909,572</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359,643</w:t>
            </w:r>
          </w:p>
        </w:tc>
        <w:tc>
          <w:tcPr>
            <w:tcW w:w="170" w:type="dxa"/>
            <w:tcBorders/>
            <w:shd w:fill="auto" w:val="clear"/>
            <w:vAlign w:val="center"/>
          </w:tcPr>
          <w:p>
            <w:pPr>
              <w:pStyle w:val="TableContents"/>
              <w:spacing w:before="0" w:after="0"/>
              <w:rPr>
                <w:spacing w:val="0"/>
              </w:rPr>
            </w:pPr>
            <w:r>
              <w:rPr>
                <w:spacing w:val="0"/>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exchange rate changes on cash and cash equivalents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(66,433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(27,491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21,340</w:t>
            </w:r>
          </w:p>
        </w:tc>
        <w:tc>
          <w:tcPr>
            <w:tcW w:w="170" w:type="dxa"/>
            <w:tcBorders/>
            <w:shd w:fill="CCEEFF"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increase (decrease) in cash and cash equivalents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217,200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440,253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80,226</w:t>
            </w:r>
          </w:p>
        </w:tc>
        <w:tc>
          <w:tcPr>
            <w:tcW w:w="170" w:type="dxa"/>
            <w:tcBorders/>
            <w:shd w:fill="auto" w:val="clear"/>
            <w:vAlign w:val="center"/>
          </w:tcPr>
          <w:p>
            <w:pPr>
              <w:pStyle w:val="TableContents"/>
              <w:spacing w:before="0" w:after="0"/>
              <w:rPr>
                <w:spacing w:val="0"/>
              </w:rPr>
            </w:pPr>
            <w:r>
              <w:rPr>
                <w:spacing w:val="0"/>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and cash equivalents at the beginning of the period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756,677</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316,424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b/>
                <w:spacing w:val="0"/>
              </w:rPr>
            </w:pPr>
            <w:r>
              <w:rPr>
                <w:b/>
                <w:spacing w:val="0"/>
              </w:rPr>
              <w:t>236,198</w:t>
            </w:r>
          </w:p>
        </w:tc>
        <w:tc>
          <w:tcPr>
            <w:tcW w:w="170" w:type="dxa"/>
            <w:tcBorders/>
            <w:shd w:fill="CCEEFF" w:val="clear"/>
            <w:vAlign w:val="center"/>
          </w:tcPr>
          <w:p>
            <w:pPr>
              <w:pStyle w:val="TableContents"/>
              <w:spacing w:before="0" w:after="0"/>
              <w:rPr>
                <w:spacing w:val="0"/>
              </w:rPr>
            </w:pPr>
            <w:r>
              <w:rPr>
                <w:spacing w:val="0"/>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Cash and cash equivalents at the end of the period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973,877</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756,677</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316,424</w:t>
            </w:r>
          </w:p>
        </w:tc>
        <w:tc>
          <w:tcPr>
            <w:tcW w:w="170" w:type="dxa"/>
            <w:tcBorders/>
            <w:shd w:fill="auto" w:val="clear"/>
            <w:vAlign w:val="center"/>
          </w:tcPr>
          <w:p>
            <w:pPr>
              <w:pStyle w:val="TableContents"/>
              <w:spacing w:before="0" w:after="0"/>
              <w:rPr>
                <w:spacing w:val="0"/>
              </w:rPr>
            </w:pPr>
            <w:r>
              <w:rPr>
                <w:spacing w:val="0"/>
              </w:rPr>
              <w:t> </w:t>
            </w:r>
          </w:p>
        </w:tc>
      </w:tr>
      <w:tr>
        <w:trPr/>
        <w:tc>
          <w:tcPr>
            <w:tcW w:w="5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F-9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Polestar Automotive Holding UK PLC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 xml:space="preserve">Consolidated Statement of Changes in Equity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(in thousands of U.S. dollars unless otherwise stated)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395"/>
        <w:gridCol w:w="120"/>
        <w:gridCol w:w="93"/>
        <w:gridCol w:w="407"/>
        <w:gridCol w:w="60"/>
        <w:gridCol w:w="120"/>
        <w:gridCol w:w="60"/>
        <w:gridCol w:w="1055"/>
        <w:gridCol w:w="155"/>
        <w:gridCol w:w="60"/>
        <w:gridCol w:w="69"/>
        <w:gridCol w:w="1136"/>
        <w:gridCol w:w="155"/>
        <w:gridCol w:w="60"/>
        <w:gridCol w:w="82"/>
        <w:gridCol w:w="1033"/>
        <w:gridCol w:w="155"/>
        <w:gridCol w:w="60"/>
        <w:gridCol w:w="73"/>
        <w:gridCol w:w="1297"/>
        <w:gridCol w:w="155"/>
        <w:gridCol w:w="120"/>
        <w:gridCol w:w="60"/>
        <w:gridCol w:w="1055"/>
        <w:gridCol w:w="170"/>
      </w:tblGrid>
      <w:tr>
        <w:trPr/>
        <w:tc>
          <w:tcPr>
            <w:tcW w:w="2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w:t>
              <w:br/>
              <w:t>capital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Other</w:t>
              <w:br/>
              <w:t>contributed</w:t>
              <w:br/>
              <w:t>capital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Currency</w:t>
              <w:br/>
              <w:t>translation</w:t>
              <w:br/>
              <w:t>reserve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Accumulated</w:t>
              <w:br/>
              <w:t>deficit</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January 1, 2020</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879,232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(13,901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(274,169</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591,162</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(484,858</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(484,858</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30,266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30,266</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spacing w:val="0"/>
              </w:rPr>
            </w:pPr>
            <w:r>
              <w:rPr>
                <w:spacing w:val="0"/>
              </w:rPr>
              <w:t> </w:t>
            </w:r>
          </w:p>
        </w:tc>
        <w:tc>
          <w:tcPr>
            <w:tcW w:w="1136"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spacing w:val="0"/>
              </w:rPr>
            </w:pPr>
            <w:r>
              <w:rPr>
                <w:spacing w:val="0"/>
              </w:rPr>
              <w:t> </w:t>
            </w:r>
          </w:p>
        </w:tc>
        <w:tc>
          <w:tcPr>
            <w:tcW w:w="1033" w:type="dxa"/>
            <w:tcBorders/>
            <w:shd w:fill="auto" w:val="clear"/>
            <w:vAlign w:val="center"/>
          </w:tcPr>
          <w:p>
            <w:pPr>
              <w:pStyle w:val="TableContents"/>
              <w:spacing w:before="0" w:after="0"/>
              <w:jc w:val="right"/>
              <w:rPr>
                <w:b/>
                <w:spacing w:val="0"/>
              </w:rPr>
            </w:pPr>
            <w:r>
              <w:rPr>
                <w:b/>
                <w:spacing w:val="0"/>
              </w:rPr>
              <w:t>30,266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1297" w:type="dxa"/>
            <w:tcBorders/>
            <w:shd w:fill="auto" w:val="clear"/>
            <w:vAlign w:val="center"/>
          </w:tcPr>
          <w:p>
            <w:pPr>
              <w:pStyle w:val="TableContents"/>
              <w:spacing w:before="0" w:after="0"/>
              <w:jc w:val="right"/>
              <w:rPr>
                <w:b/>
                <w:spacing w:val="0"/>
              </w:rPr>
            </w:pPr>
            <w:r>
              <w:rPr>
                <w:b/>
                <w:spacing w:val="0"/>
              </w:rPr>
              <w:t>(484,858</w:t>
            </w:r>
          </w:p>
        </w:tc>
        <w:tc>
          <w:tcPr>
            <w:tcW w:w="155" w:type="dxa"/>
            <w:tcBorders>
              <w:right w:val="single" w:sz="6" w:space="0" w:color="000000"/>
            </w:tcBorders>
            <w:shd w:fill="auto" w:val="clear"/>
            <w:tcMar>
              <w:right w:w="28" w:type="dxa"/>
            </w:tcM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(454,592</w:t>
            </w:r>
          </w:p>
        </w:tc>
        <w:tc>
          <w:tcPr>
            <w:tcW w:w="170" w:type="dxa"/>
            <w:tcBorders/>
            <w:shd w:fill="auto" w:val="clear"/>
            <w:vAlign w:val="center"/>
          </w:tcPr>
          <w:p>
            <w:pPr>
              <w:pStyle w:val="TableContents"/>
              <w:spacing w:before="0" w:after="0"/>
              <w:rPr>
                <w:b/>
                <w:spacing w:val="0"/>
              </w:rPr>
            </w:pPr>
            <w:r>
              <w:rPr>
                <w:b/>
                <w:spacing w:val="0"/>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Changes in the consolidated group</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880,412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(879,232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4,621</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5,801</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Issuance of new shares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438,340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438,340</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2020</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1,318,752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0"/>
              <w:rPr>
                <w:spacing w:val="0"/>
              </w:rPr>
            </w:pPr>
            <w:r>
              <w:rPr>
                <w:spacing w:val="0"/>
              </w:rPr>
              <w:t> </w:t>
            </w:r>
          </w:p>
        </w:tc>
        <w:tc>
          <w:tcPr>
            <w:tcW w:w="1136"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0"/>
              <w:rPr>
                <w:spacing w:val="0"/>
              </w:rPr>
            </w:pPr>
            <w:r>
              <w:rPr>
                <w:spacing w:val="0"/>
              </w:rPr>
              <w:t> </w:t>
            </w:r>
          </w:p>
        </w:tc>
        <w:tc>
          <w:tcPr>
            <w:tcW w:w="1033" w:type="dxa"/>
            <w:tcBorders/>
            <w:shd w:fill="CCEEFF" w:val="clear"/>
            <w:vAlign w:val="center"/>
          </w:tcPr>
          <w:p>
            <w:pPr>
              <w:pStyle w:val="TableContents"/>
              <w:spacing w:before="0" w:after="0"/>
              <w:jc w:val="right"/>
              <w:rPr>
                <w:b/>
                <w:spacing w:val="0"/>
              </w:rPr>
            </w:pPr>
            <w:r>
              <w:rPr>
                <w:b/>
                <w:spacing w:val="0"/>
              </w:rPr>
              <w:t>16,365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97" w:type="dxa"/>
            <w:tcBorders/>
            <w:shd w:fill="CCEEFF" w:val="clear"/>
            <w:vAlign w:val="center"/>
          </w:tcPr>
          <w:p>
            <w:pPr>
              <w:pStyle w:val="TableContents"/>
              <w:spacing w:before="0" w:after="0"/>
              <w:jc w:val="right"/>
              <w:rPr>
                <w:b/>
                <w:spacing w:val="0"/>
              </w:rPr>
            </w:pPr>
            <w:r>
              <w:rPr>
                <w:b/>
                <w:spacing w:val="0"/>
              </w:rPr>
              <w:t>(754,406</w:t>
            </w:r>
          </w:p>
        </w:tc>
        <w:tc>
          <w:tcPr>
            <w:tcW w:w="155" w:type="dxa"/>
            <w:tcBorders>
              <w:right w:val="single" w:sz="6" w:space="0" w:color="000000"/>
            </w:tcBorders>
            <w:shd w:fill="CCEEFF" w:val="clear"/>
            <w:tcMar>
              <w:right w:w="28" w:type="dxa"/>
            </w:tcM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580,711</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(1,007,454</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(1,007,454</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comprehensive 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(33,149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(33,149</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spacing w:val="0"/>
              </w:rPr>
            </w:pPr>
            <w:r>
              <w:rPr>
                <w:spacing w:val="0"/>
              </w:rPr>
              <w:t> </w:t>
            </w:r>
          </w:p>
        </w:tc>
        <w:tc>
          <w:tcPr>
            <w:tcW w:w="1136"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spacing w:val="0"/>
              </w:rPr>
            </w:pPr>
            <w:r>
              <w:rPr>
                <w:spacing w:val="0"/>
              </w:rPr>
              <w:t> </w:t>
            </w:r>
          </w:p>
        </w:tc>
        <w:tc>
          <w:tcPr>
            <w:tcW w:w="1033" w:type="dxa"/>
            <w:tcBorders/>
            <w:shd w:fill="auto" w:val="clear"/>
            <w:vAlign w:val="center"/>
          </w:tcPr>
          <w:p>
            <w:pPr>
              <w:pStyle w:val="TableContents"/>
              <w:spacing w:before="0" w:after="0"/>
              <w:jc w:val="right"/>
              <w:rPr>
                <w:b/>
                <w:spacing w:val="0"/>
              </w:rPr>
            </w:pPr>
            <w:r>
              <w:rPr>
                <w:b/>
                <w:spacing w:val="0"/>
              </w:rPr>
              <w:t>(33,149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1297" w:type="dxa"/>
            <w:tcBorders/>
            <w:shd w:fill="auto" w:val="clear"/>
            <w:vAlign w:val="center"/>
          </w:tcPr>
          <w:p>
            <w:pPr>
              <w:pStyle w:val="TableContents"/>
              <w:spacing w:before="0" w:after="0"/>
              <w:jc w:val="right"/>
              <w:rPr>
                <w:b/>
                <w:spacing w:val="0"/>
              </w:rPr>
            </w:pPr>
            <w:r>
              <w:rPr>
                <w:b/>
                <w:spacing w:val="0"/>
              </w:rPr>
              <w:t>(1,007,454</w:t>
            </w:r>
          </w:p>
        </w:tc>
        <w:tc>
          <w:tcPr>
            <w:tcW w:w="155" w:type="dxa"/>
            <w:tcBorders>
              <w:right w:val="single" w:sz="6" w:space="0" w:color="000000"/>
            </w:tcBorders>
            <w:shd w:fill="auto" w:val="clear"/>
            <w:tcMar>
              <w:right w:w="28" w:type="dxa"/>
            </w:tcM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(1,040,603</w:t>
            </w:r>
          </w:p>
        </w:tc>
        <w:tc>
          <w:tcPr>
            <w:tcW w:w="170" w:type="dxa"/>
            <w:tcBorders/>
            <w:shd w:fill="auto" w:val="clear"/>
            <w:vAlign w:val="center"/>
          </w:tcPr>
          <w:p>
            <w:pPr>
              <w:pStyle w:val="TableContents"/>
              <w:spacing w:before="0" w:after="0"/>
              <w:rPr>
                <w:b/>
                <w:spacing w:val="0"/>
              </w:rPr>
            </w:pPr>
            <w:r>
              <w:rPr>
                <w:b/>
                <w:spacing w:val="0"/>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Issuance of Convertible Notes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35,231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35,231</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Issuance of new shares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547,157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547,157</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1,865,909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0"/>
              <w:rPr>
                <w:spacing w:val="0"/>
              </w:rPr>
            </w:pPr>
            <w:r>
              <w:rPr>
                <w:spacing w:val="0"/>
              </w:rPr>
              <w:t> </w:t>
            </w:r>
          </w:p>
        </w:tc>
        <w:tc>
          <w:tcPr>
            <w:tcW w:w="1136" w:type="dxa"/>
            <w:tcBorders/>
            <w:shd w:fill="CCEEFF" w:val="clear"/>
            <w:vAlign w:val="center"/>
          </w:tcPr>
          <w:p>
            <w:pPr>
              <w:pStyle w:val="TableContents"/>
              <w:spacing w:before="0" w:after="0"/>
              <w:jc w:val="right"/>
              <w:rPr>
                <w:b/>
                <w:spacing w:val="0"/>
              </w:rPr>
            </w:pPr>
            <w:r>
              <w:rPr>
                <w:b/>
                <w:spacing w:val="0"/>
              </w:rPr>
              <w:t>35,231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0"/>
              <w:rPr>
                <w:spacing w:val="0"/>
              </w:rPr>
            </w:pPr>
            <w:r>
              <w:rPr>
                <w:spacing w:val="0"/>
              </w:rPr>
              <w:t> </w:t>
            </w:r>
          </w:p>
        </w:tc>
        <w:tc>
          <w:tcPr>
            <w:tcW w:w="1033" w:type="dxa"/>
            <w:tcBorders/>
            <w:shd w:fill="CCEEFF" w:val="clear"/>
            <w:vAlign w:val="center"/>
          </w:tcPr>
          <w:p>
            <w:pPr>
              <w:pStyle w:val="TableContents"/>
              <w:spacing w:before="0" w:after="0"/>
              <w:jc w:val="right"/>
              <w:rPr>
                <w:b/>
                <w:spacing w:val="0"/>
              </w:rPr>
            </w:pPr>
            <w:r>
              <w:rPr>
                <w:b/>
                <w:spacing w:val="0"/>
              </w:rPr>
              <w:t>(16,784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97" w:type="dxa"/>
            <w:tcBorders/>
            <w:shd w:fill="CCEEFF" w:val="clear"/>
            <w:vAlign w:val="center"/>
          </w:tcPr>
          <w:p>
            <w:pPr>
              <w:pStyle w:val="TableContents"/>
              <w:spacing w:before="0" w:after="0"/>
              <w:jc w:val="right"/>
              <w:rPr>
                <w:b/>
                <w:spacing w:val="0"/>
              </w:rPr>
            </w:pPr>
            <w:r>
              <w:rPr>
                <w:b/>
                <w:spacing w:val="0"/>
              </w:rPr>
              <w:t>(1,761,860</w:t>
            </w:r>
          </w:p>
        </w:tc>
        <w:tc>
          <w:tcPr>
            <w:tcW w:w="155" w:type="dxa"/>
            <w:tcBorders>
              <w:right w:val="single" w:sz="6" w:space="0" w:color="000000"/>
            </w:tcBorders>
            <w:shd w:fill="CCEEFF" w:val="clear"/>
            <w:tcMar>
              <w:right w:w="28" w:type="dxa"/>
            </w:tcM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122,496</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(465,789</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(465,789</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4,519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4,519</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spacing w:val="0"/>
              </w:rPr>
            </w:pPr>
            <w:r>
              <w:rPr>
                <w:spacing w:val="0"/>
              </w:rPr>
              <w:t> </w:t>
            </w:r>
          </w:p>
        </w:tc>
        <w:tc>
          <w:tcPr>
            <w:tcW w:w="1136"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spacing w:val="0"/>
              </w:rPr>
            </w:pPr>
            <w:r>
              <w:rPr>
                <w:spacing w:val="0"/>
              </w:rPr>
              <w:t> </w:t>
            </w:r>
          </w:p>
        </w:tc>
        <w:tc>
          <w:tcPr>
            <w:tcW w:w="1033" w:type="dxa"/>
            <w:tcBorders/>
            <w:shd w:fill="auto" w:val="clear"/>
            <w:vAlign w:val="center"/>
          </w:tcPr>
          <w:p>
            <w:pPr>
              <w:pStyle w:val="TableContents"/>
              <w:spacing w:before="0" w:after="0"/>
              <w:jc w:val="right"/>
              <w:rPr>
                <w:b/>
                <w:spacing w:val="0"/>
              </w:rPr>
            </w:pPr>
            <w:r>
              <w:rPr>
                <w:b/>
                <w:spacing w:val="0"/>
              </w:rPr>
              <w:t>4,519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1297" w:type="dxa"/>
            <w:tcBorders/>
            <w:shd w:fill="auto" w:val="clear"/>
            <w:vAlign w:val="center"/>
          </w:tcPr>
          <w:p>
            <w:pPr>
              <w:pStyle w:val="TableContents"/>
              <w:spacing w:before="0" w:after="0"/>
              <w:jc w:val="right"/>
              <w:rPr>
                <w:b/>
                <w:spacing w:val="0"/>
              </w:rPr>
            </w:pPr>
            <w:r>
              <w:rPr>
                <w:b/>
                <w:spacing w:val="0"/>
              </w:rPr>
              <w:t>(465,789</w:t>
            </w:r>
          </w:p>
        </w:tc>
        <w:tc>
          <w:tcPr>
            <w:tcW w:w="155" w:type="dxa"/>
            <w:tcBorders>
              <w:right w:val="single" w:sz="6" w:space="0" w:color="000000"/>
            </w:tcBorders>
            <w:shd w:fill="auto" w:val="clear"/>
            <w:tcMar>
              <w:right w:w="28" w:type="dxa"/>
            </w:tcM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(461,270</w:t>
            </w:r>
          </w:p>
        </w:tc>
        <w:tc>
          <w:tcPr>
            <w:tcW w:w="170" w:type="dxa"/>
            <w:tcBorders/>
            <w:shd w:fill="auto" w:val="clear"/>
            <w:vAlign w:val="center"/>
          </w:tcPr>
          <w:p>
            <w:pPr>
              <w:pStyle w:val="TableContents"/>
              <w:spacing w:before="0" w:after="0"/>
              <w:rPr>
                <w:b/>
                <w:spacing w:val="0"/>
              </w:rPr>
            </w:pPr>
            <w:r>
              <w:rPr>
                <w:b/>
                <w:spacing w:val="0"/>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Merger with Gores Guggenheim Inc.</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Changes in the consolidated group</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(1,846,472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1,846,472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1,512</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1,512</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Issuance of Volvo Cars Preference Shares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588,237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588,826</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Issuance to Convertible Note holders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Issuance to PIPE investors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249,735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250,000</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Issuance to GGI shareholders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521,285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522,107</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Listing expense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372,318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372,318</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Transaction costs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(38,903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(38,903</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rights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97" w:type="dxa"/>
            <w:tcBorders/>
            <w:shd w:fill="CCEEFF" w:val="clear"/>
            <w:vAlign w:val="center"/>
          </w:tcPr>
          <w:p>
            <w:pPr>
              <w:pStyle w:val="TableContents"/>
              <w:spacing w:before="0" w:after="283"/>
              <w:jc w:val="right"/>
              <w:rPr/>
            </w:pPr>
            <w:r>
              <w:rPr/>
              <w:t>(1,500,638</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(1,500,638</w:t>
            </w:r>
          </w:p>
        </w:tc>
        <w:tc>
          <w:tcPr>
            <w:tcW w:w="170" w:type="dxa"/>
            <w:tcBorders/>
            <w:shd w:fill="CCEEFF"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9,900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97"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9,909</w:t>
            </w:r>
          </w:p>
        </w:tc>
        <w:tc>
          <w:tcPr>
            <w:tcW w:w="170" w:type="dxa"/>
            <w:tcBorders/>
            <w:shd w:fill="auto" w:val="clear"/>
            <w:vAlign w:val="center"/>
          </w:tcPr>
          <w:p>
            <w:pPr>
              <w:pStyle w:val="TableContents"/>
              <w:spacing w:before="0" w:after="283"/>
              <w:rPr/>
            </w:pPr>
            <w:r>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21,165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0"/>
              <w:rPr>
                <w:spacing w:val="0"/>
              </w:rPr>
            </w:pPr>
            <w:r>
              <w:rPr>
                <w:spacing w:val="0"/>
              </w:rPr>
              <w:t> </w:t>
            </w:r>
          </w:p>
        </w:tc>
        <w:tc>
          <w:tcPr>
            <w:tcW w:w="1136" w:type="dxa"/>
            <w:tcBorders/>
            <w:shd w:fill="CCEEFF" w:val="clear"/>
            <w:vAlign w:val="center"/>
          </w:tcPr>
          <w:p>
            <w:pPr>
              <w:pStyle w:val="TableContents"/>
              <w:spacing w:before="0" w:after="0"/>
              <w:jc w:val="right"/>
              <w:rPr>
                <w:b/>
                <w:spacing w:val="0"/>
              </w:rPr>
            </w:pPr>
            <w:r>
              <w:rPr>
                <w:b/>
                <w:spacing w:val="0"/>
              </w:rPr>
              <w:t>3,584,232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0"/>
              <w:rPr>
                <w:spacing w:val="0"/>
              </w:rPr>
            </w:pPr>
            <w:r>
              <w:rPr>
                <w:spacing w:val="0"/>
              </w:rPr>
              <w:t> </w:t>
            </w:r>
          </w:p>
        </w:tc>
        <w:tc>
          <w:tcPr>
            <w:tcW w:w="1033" w:type="dxa"/>
            <w:tcBorders/>
            <w:shd w:fill="CCEEFF" w:val="clear"/>
            <w:vAlign w:val="center"/>
          </w:tcPr>
          <w:p>
            <w:pPr>
              <w:pStyle w:val="TableContents"/>
              <w:spacing w:before="0" w:after="0"/>
              <w:jc w:val="right"/>
              <w:rPr>
                <w:b/>
                <w:spacing w:val="0"/>
              </w:rPr>
            </w:pPr>
            <w:r>
              <w:rPr>
                <w:b/>
                <w:spacing w:val="0"/>
              </w:rPr>
              <w:t>(12,265</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97" w:type="dxa"/>
            <w:tcBorders/>
            <w:shd w:fill="CCEEFF" w:val="clear"/>
            <w:vAlign w:val="center"/>
          </w:tcPr>
          <w:p>
            <w:pPr>
              <w:pStyle w:val="TableContents"/>
              <w:spacing w:before="0" w:after="0"/>
              <w:jc w:val="right"/>
              <w:rPr>
                <w:b/>
                <w:spacing w:val="0"/>
              </w:rPr>
            </w:pPr>
            <w:r>
              <w:rPr>
                <w:b/>
                <w:spacing w:val="0"/>
              </w:rPr>
              <w:t>(3,726,775</w:t>
            </w:r>
          </w:p>
        </w:tc>
        <w:tc>
          <w:tcPr>
            <w:tcW w:w="155" w:type="dxa"/>
            <w:tcBorders>
              <w:right w:val="single" w:sz="6" w:space="0" w:color="000000"/>
            </w:tcBorders>
            <w:shd w:fill="CCEEFF" w:val="clear"/>
            <w:tcMar>
              <w:right w:w="28" w:type="dxa"/>
            </w:tcM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(133,643</w:t>
            </w:r>
          </w:p>
        </w:tc>
        <w:tc>
          <w:tcPr>
            <w:tcW w:w="170" w:type="dxa"/>
            <w:tcBorders/>
            <w:shd w:fill="CCEEFF" w:val="clear"/>
            <w:vAlign w:val="center"/>
          </w:tcPr>
          <w:p>
            <w:pPr>
              <w:pStyle w:val="TableContents"/>
              <w:spacing w:before="0" w:after="0"/>
              <w:rPr>
                <w:b/>
                <w:spacing w:val="0"/>
              </w:rPr>
            </w:pPr>
            <w:r>
              <w:rPr>
                <w:b/>
                <w:spacing w:val="0"/>
              </w:rPr>
              <w:t>) </w:t>
            </w:r>
          </w:p>
        </w:tc>
      </w:tr>
      <w:tr>
        <w:trPr/>
        <w:tc>
          <w:tcPr>
            <w:tcW w:w="2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0"/>
              <w:rPr>
                <w:bdr w:val="single" w:sz="2" w:space="1" w:color="000000"/>
              </w:rPr>
            </w:pPr>
            <w:r>
              <w:rPr>
                <w:bdr w:val="single" w:sz="2" w:space="1" w:color="000000"/>
              </w:rPr>
              <w:t> </w:t>
            </w:r>
          </w:p>
        </w:tc>
        <w:tc>
          <w:tcPr>
            <w:tcW w:w="103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9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F-10 </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 xml:space="preserve">Notes to the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(in thousands of U.S. dollars unless otherwise stated)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Note 1 - Significant accounting policies and judgements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General information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 Assar Gabrielssons väg 9, 405 31 Göteborg, Sweden.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Merger with Gores Guggenheim, Inc.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Convertible Notes of the Former Parent outstanding immediately prior to the Closing were automatically converted into 4,306,466 Class A Shares in the Parent in the form of American depositary shares;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Former Parent was separated from Polestar Group and issued 294,877,349 Class A Shares in the Parent in the form of American depositary shares, 1,642,233,575 Class B Shares in the Parent in the form of American depositary shares, and the right to receive an earn out of a variable number of additional Class A Shares and Class B Shares, depending on the daily volume weighted average price of Class A Shares in the future;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GGI units outstanding immediately prior to the Closing held by GGI Stockholders were automatically separated and the holder was deemed to hold one share of GGI Class A Common Stock and </w:t>
            </w:r>
          </w:p>
          <w:p>
            <w:pPr>
              <w:pStyle w:val="TableContents"/>
              <w:spacing w:before="0" w:after="0"/>
              <w:jc w:val="left"/>
              <w:rPr>
                <w:rFonts w:ascii="Times New Roman" w:hAnsi="Times New Roman"/>
                <w:spacing w:val="0"/>
                <w:sz w:val="20"/>
              </w:rPr>
            </w:pPr>
            <w:r>
              <w:rPr>
                <w:rFonts w:ascii="Times New Roman" w:hAnsi="Times New Roman"/>
                <w:spacing w:val="0"/>
                <w:sz w:val="20"/>
              </w:rPr>
              <w:t>one-fifth</w:t>
            </w:r>
          </w:p>
          <w:p>
            <w:pPr>
              <w:pStyle w:val="TableContents"/>
              <w:spacing w:before="0" w:after="0"/>
              <w:jc w:val="left"/>
              <w:rPr>
                <w:rFonts w:ascii="Times New Roman" w:hAnsi="Times New Roman"/>
                <w:sz w:val="20"/>
              </w:rPr>
            </w:pPr>
            <w:r>
              <w:rPr>
                <w:rFonts w:ascii="Times New Roman" w:hAnsi="Times New Roman"/>
                <w:sz w:val="20"/>
              </w:rPr>
              <w:t xml:space="preserve">of a GGI Public Warrant;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GGI Class A Common Stock issued and outstanding, other than those held in treasury, were exchanged for 63,734,797 Class A Shares in the Parent in the form of American depositary shares;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GGI Class F Common Stock issued and outstanding, other than those held in treasury, were exchanged for 18,459,165 Class A Shares in the Parent in the form of American depositary shares;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F-11 </w:t>
      </w:r>
    </w:p>
    <w:p>
      <w:pPr>
        <w:pStyle w:val="HorizontalLine"/>
        <w:rPr/>
      </w:pPr>
      <w:r>
        <w:rPr/>
      </w:r>
    </w:p>
    <w:p>
      <w:pPr>
        <w:pStyle w:val="TextBody"/>
        <w:spacing w:before="0" w:after="0"/>
        <w:rPr/>
      </w:pPr>
      <w:hyperlink w:anchor="toc">
        <w:r>
          <w:rPr>
            <w:rStyle w:val="InternetLink"/>
            <w:highlight w:val="white"/>
          </w:rPr>
          <w:t>Table of Contents</w:t>
        </w:r>
      </w:hyperlink>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GGI Common Stock held in treasury were canceled and extinguished without consideration;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GGI Public Warrants issued and outstanding immediately prior to the Closing were exchanged for 15,999,965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in the Parent in the form of American depositary shares with effectively the same terms as the GGI Public Warrants and are exercisable for Class A Shares in the Parent;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GGI Private Warrants issued and outstanding immediately prior to the Closing were exchanged for 9,000,000 </w:t>
            </w:r>
          </w:p>
          <w:p>
            <w:pPr>
              <w:pStyle w:val="TableContents"/>
              <w:spacing w:before="0" w:after="0"/>
              <w:jc w:val="left"/>
              <w:rPr>
                <w:rFonts w:ascii="Times New Roman" w:hAnsi="Times New Roman"/>
                <w:spacing w:val="0"/>
                <w:sz w:val="20"/>
              </w:rPr>
            </w:pPr>
            <w:r>
              <w:rPr>
                <w:rFonts w:ascii="Times New Roman" w:hAnsi="Times New Roman"/>
                <w:spacing w:val="0"/>
                <w:sz w:val="20"/>
              </w:rPr>
              <w:t>Class C-2</w:t>
            </w:r>
          </w:p>
          <w:p>
            <w:pPr>
              <w:pStyle w:val="TableContents"/>
              <w:spacing w:before="0" w:after="0"/>
              <w:jc w:val="left"/>
              <w:rPr>
                <w:rFonts w:ascii="Times New Roman" w:hAnsi="Times New Roman"/>
                <w:sz w:val="20"/>
              </w:rPr>
            </w:pPr>
            <w:r>
              <w:rPr>
                <w:rFonts w:ascii="Times New Roman" w:hAnsi="Times New Roman"/>
                <w:sz w:val="20"/>
              </w:rPr>
              <w:t xml:space="preserve">Shares in the Parent in the form of American depositary shares with effectively the same terms as the GGI Private Warrants and are exercisable for Class A Shares in the Parent;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pursuant to the PIPE Subscription Agreements, third-party investors purchased 25,423,445 Class A Shares in Parent in the form of American depositary shares and Volvo Cars purchased 1,117,390 Class A Shares in Parent in the form of American depositary shares, for a total of 26,540,835 Class A Shares in Parent in the form of American depositary shares for an aggregate total of $250,000; 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pursuant to the Volvo Cars Preference Subscription Agreement, Volvo Cars purchased 58,882,610 Preference Shares in the Parent for an aggregate total of $588,826 which automatically converted to Class A Shares in the Parent in the form of American depositary shares thereafter.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had been recognized by GGI and deducted from the gross proceeds raised. The merger was accounted for as a reverse recapitalization, in accordance with the relevant International Financial Reporting Standards (“IFRS”). Refer to Note 16 - Reverse recapitalization for additional information on the reverse recapitalization.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Immediately following the closing of the transaction, Parent changed its name to Polestar Automotive Holding UK PLC and began trading on the National Association of Securities Dealers Automated Quotations (“Nasdaq”) under the ticker symbol PSNY. Net loss per share has been recast to retroactively reflect the shares issued by the parent to the former parent for December 31, 2021 and December 31, 2020. Refer to Note 12 - Net loss per share and Note 20 - Equity for additional information.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the Former Parent owns 89.2% of the Group. The remaining 10.8% is owned by external investors.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Basis of preparation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Consolidated Financial Statements in this annual report of Polestar Group are prepared in accordance with the IFRS issued by the International Accounting Standards Board (“IASB”). The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annual report is prepared in the presentation currency, U.S. Dollar (“USD”). All amounts are stated in thousands of USD (“TUSD”), unless otherwise stated.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Periods discussed prior to June 23, 2022 represent the operations of Polestar Automotive Holding Limited and its consolidated subsidiaries.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F-12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Going Concern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Group’s financial statements have been prepared on a basis that assumes Polestar Group will continue as a going concern and the ordinary course of business will continue in alignment with Management’s 2023-2027 business plan.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2022, 2021 and 2020, amounted to $465,789, $1,007,454, and $484,858, respectively. Negative operating and investing cash flows for the years ended December 31, 2022, 2021 and 2020, amounted to $1,799,396, $441,828, and $300,757,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Management’s 2023-2027 business plan indicates that Polestar Group depends on additional financing that is expected to be funded via a combination of new short-term working capital loan arrangements, long-term loan arrangements, shareholder loans with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Adoption of new and revised standards </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Effects of new and amended IFRS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Management has concluded the adoption of any of the below accounting pronouncements has not or will not have a material impact on the Group’s financial statements.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May 2020, the IASB issued amendments to IAS 16 - Property, Plant and Equipment. The amendments prohibit deducting from the cost of an item of property, plant and equipment any proceeds from selling items produced while bringing that asset to the location and condition necessary for it to be capable of operating in the manner intended by management. Instead, an entity recognizes the proceeds from selling such items, and the cost of producing those items, in profit or loss. This became effective annual reporting period beginning on January 1, 2022 and does not have a material effect on the Groups financial statements.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May 2020, the IASB issued amendments to IAS 37 related to onerous contracts - cost to fulfilling a contract. The amendments specify that the ‘cost of fulfilling’ a contract comprises the ‘costs that relate directly to the contract.’ Costs that relate directly to a contract can either be incremental costs of fulfilling that contract (examples would be direct labor, materials) or an allocation of other costs that relate directly to fulfilling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contracts (an example would be the allocation of the depreciation charge for an item of property, plant and equipment used in fulfilling the contract). This became effective annual reporting period beginning on January 1, 2022 and does not have a material effect on the Groups financial statements.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 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New and amended IFRS issued but not yet effective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Management has concluded the adoption of any of the below accounting pronouncements, that were issued but not effective for the period ended December 31, 2022, will not have a material impact on the Group’s financial statements.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January 2020, the IASB published amendments to IAS 1 which clarify the presentation of liabilities as current or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2024.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June 2020, the IASB published amendments to IFRS 4 which deferred the expiry date of the temporary exemption from applying IFRS 9 to annual periods beginning on or after January 1,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 The improvements are applicable for annual periods beginning on or after January 1,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2024.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February 2021, the IASB issued amendments to IAS 8: Definition of Accounting Estimates which clarify how companies should distinguish changes in accounting policies from changes in accounting estimates. These amendments are effective on or after January 1,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December 2021, the IASB issued an amendment to IFRS 17: Initial Application of IFRS 17 and IFRS 9 – Comparative Information, which provides a transition option relating to comparative information about financial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September 2022, the IASB issued an amendment to IFRS 16 which clarifies how a seller-lessee subsequently measures sale and leaseback transactions that satisfy the requirements in IFRS 15 to be accounted for as a sale. This amendment is effective on or after January 1, 2024.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October 2022, the IASB issued an amendment to IAS 1 which clarifies how conditions with which an entity must comply within twelve months after the reporting period affect the classification of a liability. The amendment is effective on or after January 1, 2024.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Presentation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the Consolidated Statement of Financial Position, an asset is classified as a current asset when it is held primarily for the purpose of trading, is expected to be realized within twelve months of the date of the Consolidated Statement of Financial Position or consists of cash or cash equivalents, provided it is not subject to any restrictions. All other assets are classified as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 liability is classified as a current liability when it is held primarily for the purpose of trading or is expected to be settled within twelve months of the date of the Consolidated Statement of Financial Position. All other liabilities are classified as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Presentation reclassifications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presentation reclassifications have been made for the comparative information for the year ended December 31, 2021: </w:t>
      </w:r>
    </w:p>
    <w:p>
      <w:pPr>
        <w:pStyle w:val="TextBody"/>
        <w:spacing w:before="0" w:after="0"/>
        <w:jc w:val="left"/>
        <w:rPr>
          <w:highlight w:val="white"/>
        </w:rPr>
      </w:pPr>
      <w:r>
        <w:rPr>
          <w:highlight w:val="white"/>
        </w:rPr>
        <w:t> </w:t>
      </w:r>
    </w:p>
    <w:tbl>
      <w:tblPr>
        <w:tblW w:w="3460" w:type="dxa"/>
        <w:jc w:val="left"/>
        <w:tblInd w:w="0" w:type="dxa"/>
        <w:tblCellMar>
          <w:top w:w="0" w:type="dxa"/>
          <w:left w:w="0" w:type="dxa"/>
          <w:bottom w:w="0" w:type="dxa"/>
          <w:right w:w="0" w:type="dxa"/>
        </w:tblCellMar>
      </w:tblPr>
      <w:tblGrid>
        <w:gridCol w:w="75"/>
        <w:gridCol w:w="110"/>
        <w:gridCol w:w="60"/>
        <w:gridCol w:w="32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Consolidated Statement of Cash Flows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Cash used for Vehicles under operating leases of $120,626 is now presented together with Inventories. Vehicles are reclassified from Inventories to Assets under operating leases when sold with a repurchase commitment and subsequently reclassified to Inventories when they are repurchased. Since the Group presents the </w:t>
            </w:r>
          </w:p>
          <w:p>
            <w:pPr>
              <w:pStyle w:val="TableContents"/>
              <w:spacing w:before="0" w:after="0"/>
              <w:jc w:val="left"/>
              <w:rPr>
                <w:rFonts w:ascii="Times New Roman" w:hAnsi="Times New Roman"/>
                <w:spacing w:val="0"/>
                <w:sz w:val="20"/>
              </w:rPr>
            </w:pPr>
            <w:r>
              <w:rPr>
                <w:rFonts w:ascii="Times New Roman" w:hAnsi="Times New Roman"/>
                <w:spacing w:val="0"/>
                <w:sz w:val="20"/>
              </w:rPr>
              <w:t>non-cash</w:t>
            </w:r>
          </w:p>
          <w:p>
            <w:pPr>
              <w:pStyle w:val="TableContents"/>
              <w:spacing w:before="0" w:after="0"/>
              <w:jc w:val="left"/>
              <w:rPr>
                <w:rFonts w:ascii="Times New Roman" w:hAnsi="Times New Roman"/>
                <w:sz w:val="20"/>
              </w:rPr>
            </w:pPr>
            <w:r>
              <w:rPr>
                <w:rFonts w:ascii="Times New Roman" w:hAnsi="Times New Roman"/>
                <w:sz w:val="20"/>
              </w:rPr>
              <w:t xml:space="preserve">impact on cash from depreciation of Assets under operating leases within Depreciation and amortization in the Consolidated Statement of Cash Flows, this presentation better reflects the nature of cash movements related to vehicles as all vehicles purchased and sold by Polestar are initially recognized and subsequently derecognized via Inventories. </w:t>
            </w:r>
          </w:p>
        </w:tc>
      </w:tr>
    </w:tbl>
    <w:p>
      <w:pPr>
        <w:pStyle w:val="TextBody"/>
        <w:spacing w:before="0" w:after="0"/>
        <w:jc w:val="left"/>
        <w:rPr>
          <w:highlight w:val="white"/>
        </w:rPr>
      </w:pPr>
      <w:r>
        <w:rPr>
          <w:highlight w:val="white"/>
        </w:rPr>
        <w:t> </w:t>
      </w:r>
    </w:p>
    <w:tbl>
      <w:tblPr>
        <w:tblW w:w="4900" w:type="dxa"/>
        <w:jc w:val="left"/>
        <w:tblInd w:w="0" w:type="dxa"/>
        <w:tblCellMar>
          <w:top w:w="0" w:type="dxa"/>
          <w:left w:w="0" w:type="dxa"/>
          <w:bottom w:w="0" w:type="dxa"/>
          <w:right w:w="0" w:type="dxa"/>
        </w:tblCellMar>
      </w:tblPr>
      <w:tblGrid>
        <w:gridCol w:w="75"/>
        <w:gridCol w:w="110"/>
        <w:gridCol w:w="60"/>
        <w:gridCol w:w="46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Note 1 - Significant accounting policies and judgements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Under Segment reporting, the Group’s revenue from external customers by geographical location for Belgium, Canada, Denmark, Finland, and Switzerland of $53,339, $17,493, $38,538, $10,048, and $41,115, respectively, have been separated from Other regions. The Group’s </w:t>
            </w:r>
          </w:p>
          <w:p>
            <w:pPr>
              <w:pStyle w:val="TableContents"/>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spacing w:before="0" w:after="0"/>
              <w:jc w:val="left"/>
              <w:rPr>
                <w:rFonts w:ascii="Times New Roman" w:hAnsi="Times New Roman"/>
                <w:sz w:val="20"/>
              </w:rPr>
            </w:pPr>
            <w:r>
              <w:rPr>
                <w:rFonts w:ascii="Times New Roman" w:hAnsi="Times New Roman"/>
                <w:sz w:val="20"/>
              </w:rPr>
              <w:t xml:space="preserve">assets by geographical location for Norway and Netherlands of $1,660 and $2,541, respectively, have been collapsed into Other regions. These changes have been made to align with the presentation with that of the year ended December 31, 2022. </w:t>
            </w:r>
          </w:p>
        </w:tc>
      </w:tr>
    </w:tbl>
    <w:p>
      <w:pPr>
        <w:pStyle w:val="TextBody"/>
        <w:spacing w:before="0" w:after="0"/>
        <w:jc w:val="left"/>
        <w:rPr>
          <w:highlight w:val="white"/>
        </w:rPr>
      </w:pPr>
      <w:r>
        <w:rPr>
          <w:highlight w:val="white"/>
        </w:rPr>
        <w:t> </w:t>
      </w:r>
    </w:p>
    <w:tbl>
      <w:tblPr>
        <w:tblW w:w="1735" w:type="dxa"/>
        <w:jc w:val="left"/>
        <w:tblInd w:w="0" w:type="dxa"/>
        <w:tblCellMar>
          <w:top w:w="0" w:type="dxa"/>
          <w:left w:w="0" w:type="dxa"/>
          <w:bottom w:w="0" w:type="dxa"/>
          <w:right w:w="0" w:type="dxa"/>
        </w:tblCellMar>
      </w:tblPr>
      <w:tblGrid>
        <w:gridCol w:w="75"/>
        <w:gridCol w:w="110"/>
        <w:gridCol w:w="60"/>
        <w:gridCol w:w="1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Note 4 - Revenue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Total contract liabilities Utilized during the year of $54,146 is now separated into the two lines: (1) Settled during the year of $43,469 and (2) Released during the year of $10,677. Settled during the year corresponds to contract liabilities that initially resulted in a reduction of revenue at contract inception and have subsequently been paid out in cash during the year. Utilized during the year corresponds to contract liabilities that initially resulted in a constraint on revenue at contract inception that has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F-15 </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been subsequently released (i.e., </w:t>
            </w:r>
          </w:p>
          <w:p>
            <w:pPr>
              <w:pStyle w:val="TableContents"/>
              <w:spacing w:before="0" w:after="0"/>
              <w:rPr>
                <w:rFonts w:ascii="Times New Roman" w:hAnsi="Times New Roman"/>
                <w:spacing w:val="0"/>
                <w:sz w:val="20"/>
              </w:rPr>
            </w:pPr>
            <w:r>
              <w:rPr>
                <w:rFonts w:ascii="Times New Roman" w:hAnsi="Times New Roman"/>
                <w:spacing w:val="0"/>
                <w:sz w:val="20"/>
              </w:rPr>
              <w:t>non-cash)</w:t>
            </w:r>
          </w:p>
          <w:p>
            <w:pPr>
              <w:pStyle w:val="TableContents"/>
              <w:spacing w:before="0" w:after="0"/>
              <w:rPr>
                <w:rFonts w:ascii="Times New Roman" w:hAnsi="Times New Roman"/>
                <w:sz w:val="20"/>
              </w:rPr>
            </w:pPr>
            <w:r>
              <w:rPr>
                <w:rFonts w:ascii="Times New Roman" w:hAnsi="Times New Roman"/>
                <w:sz w:val="20"/>
              </w:rPr>
              <w:t xml:space="preserve">and recognized as revenue during the year. This presentation better reflects the nature of the each category of contract liability and the related impact in the Consolidated Financial Statements.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presentation reclassifications have been made for the comparative information for the year ended December 31, 2020: </w:t>
      </w:r>
    </w:p>
    <w:p>
      <w:pPr>
        <w:pStyle w:val="TextBody"/>
        <w:spacing w:before="0" w:after="0"/>
        <w:jc w:val="left"/>
        <w:rPr>
          <w:highlight w:val="white"/>
        </w:rPr>
      </w:pPr>
      <w:r>
        <w:rPr>
          <w:highlight w:val="white"/>
        </w:rPr>
        <w:t> </w:t>
      </w:r>
    </w:p>
    <w:tbl>
      <w:tblPr>
        <w:tblW w:w="4900" w:type="dxa"/>
        <w:jc w:val="left"/>
        <w:tblInd w:w="0" w:type="dxa"/>
        <w:tblCellMar>
          <w:top w:w="0" w:type="dxa"/>
          <w:left w:w="0" w:type="dxa"/>
          <w:bottom w:w="0" w:type="dxa"/>
          <w:right w:w="0" w:type="dxa"/>
        </w:tblCellMar>
      </w:tblPr>
      <w:tblGrid>
        <w:gridCol w:w="75"/>
        <w:gridCol w:w="110"/>
        <w:gridCol w:w="60"/>
        <w:gridCol w:w="46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Note 1 - Significant accounting policies and judgements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Under Segment reporting, the Group’s revenue from external customers by geographical location for Belgium, Canada, and Switzerland of $22,974, $3,007, and $580, respectively, have been separated from Other regions. These changes have been made to align with the presentation with that of the year ended December 31, 2022.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Basis of consolidation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2022, 2021 and 2020, the Parent had thirty-three, thirty-three, and eighteen fully consolidated subsidiaries, respectively.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Segment reporting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Group uses the “management approach” in determining reportable operating segments. The management approach considers the internal organization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tables show the breakdown of Polestar Group’s revenue from external customers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assets (PPE, vehicles under operating leases, and intangibles and goodwill) by geographical location where Polestar company recognizing the revenue is located:                 </w:t>
      </w:r>
    </w:p>
    <w:p>
      <w:pPr>
        <w:pStyle w:val="TextBody"/>
        <w:spacing w:before="0" w:after="0"/>
        <w:jc w:val="left"/>
        <w:rPr>
          <w:highlight w:val="white"/>
        </w:rPr>
      </w:pPr>
      <w:r>
        <w:rPr>
          <w:highlight w:val="white"/>
        </w:rPr>
        <w:t> </w:t>
      </w:r>
    </w:p>
    <w:tbl>
      <w:tblPr>
        <w:tblW w:w="4369" w:type="dxa"/>
        <w:jc w:val="left"/>
        <w:tblInd w:w="0" w:type="dxa"/>
        <w:tblCellMar>
          <w:top w:w="0" w:type="dxa"/>
          <w:left w:w="0" w:type="dxa"/>
          <w:bottom w:w="0" w:type="dxa"/>
          <w:right w:w="0" w:type="dxa"/>
        </w:tblCellMar>
      </w:tblPr>
      <w:tblGrid>
        <w:gridCol w:w="770"/>
        <w:gridCol w:w="120"/>
        <w:gridCol w:w="69"/>
        <w:gridCol w:w="927"/>
        <w:gridCol w:w="69"/>
        <w:gridCol w:w="139"/>
        <w:gridCol w:w="69"/>
        <w:gridCol w:w="927"/>
        <w:gridCol w:w="69"/>
        <w:gridCol w:w="139"/>
        <w:gridCol w:w="69"/>
        <w:gridCol w:w="927"/>
        <w:gridCol w:w="75"/>
      </w:tblGrid>
      <w:tr>
        <w:trPr/>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4"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7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Revenue</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USA</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523,537</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248,168</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25,077</w:t>
            </w:r>
          </w:p>
        </w:tc>
        <w:tc>
          <w:tcPr>
            <w:tcW w:w="75" w:type="dxa"/>
            <w:tcBorders/>
            <w:shd w:fill="auto" w:val="clear"/>
            <w:vAlign w:val="center"/>
          </w:tcPr>
          <w:p>
            <w:pPr>
              <w:pStyle w:val="TableContents"/>
              <w:spacing w:before="0" w:after="283"/>
              <w:rPr/>
            </w:pPr>
            <w:r>
              <w:rPr/>
              <w:t> </w:t>
            </w:r>
          </w:p>
        </w:tc>
      </w:tr>
      <w:tr>
        <w:trPr/>
        <w:tc>
          <w:tcPr>
            <w:tcW w:w="7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Sweden</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368,277</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189,656</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162,062</w:t>
            </w:r>
          </w:p>
        </w:tc>
        <w:tc>
          <w:tcPr>
            <w:tcW w:w="75" w:type="dxa"/>
            <w:tcBorders/>
            <w:shd w:fill="CCEE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UK</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338,182</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206,866</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41,605</w:t>
            </w:r>
          </w:p>
        </w:tc>
        <w:tc>
          <w:tcPr>
            <w:tcW w:w="75" w:type="dxa"/>
            <w:tcBorders/>
            <w:shd w:fill="auto" w:val="clear"/>
            <w:vAlign w:val="center"/>
          </w:tcPr>
          <w:p>
            <w:pPr>
              <w:pStyle w:val="TableContents"/>
              <w:spacing w:before="0" w:after="283"/>
              <w:rPr/>
            </w:pPr>
            <w:r>
              <w:rPr/>
              <w:t> </w:t>
            </w:r>
          </w:p>
        </w:tc>
      </w:tr>
      <w:tr>
        <w:trPr/>
        <w:tc>
          <w:tcPr>
            <w:tcW w:w="7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Germany</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289,213</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117,549</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34,880</w:t>
            </w:r>
          </w:p>
        </w:tc>
        <w:tc>
          <w:tcPr>
            <w:tcW w:w="75" w:type="dxa"/>
            <w:tcBorders/>
            <w:shd w:fill="CCEE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Norway</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232,357</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231,456</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156,077</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F-16 </w:t>
      </w:r>
    </w:p>
    <w:p>
      <w:pPr>
        <w:pStyle w:val="HorizontalLine"/>
        <w:rPr/>
      </w:pPr>
      <w:r>
        <w:rPr/>
      </w:r>
    </w:p>
    <w:p>
      <w:pPr>
        <w:pStyle w:val="TextBody"/>
        <w:spacing w:before="0" w:after="0"/>
        <w:rPr/>
      </w:pPr>
      <w:hyperlink w:anchor="toc">
        <w:r>
          <w:rPr>
            <w:rStyle w:val="InternetLink"/>
            <w:highlight w:val="white"/>
          </w:rPr>
          <w:t>Table of Contents</w:t>
        </w:r>
      </w:hyperlink>
    </w:p>
    <w:tbl>
      <w:tblPr>
        <w:tblW w:w="4733" w:type="dxa"/>
        <w:jc w:val="left"/>
        <w:tblInd w:w="0" w:type="dxa"/>
        <w:tblCellMar>
          <w:top w:w="0" w:type="dxa"/>
          <w:left w:w="0" w:type="dxa"/>
          <w:bottom w:w="0" w:type="dxa"/>
          <w:right w:w="0" w:type="dxa"/>
        </w:tblCellMar>
      </w:tblPr>
      <w:tblGrid>
        <w:gridCol w:w="1130"/>
        <w:gridCol w:w="120"/>
        <w:gridCol w:w="62"/>
        <w:gridCol w:w="1012"/>
        <w:gridCol w:w="62"/>
        <w:gridCol w:w="124"/>
        <w:gridCol w:w="62"/>
        <w:gridCol w:w="1012"/>
        <w:gridCol w:w="62"/>
        <w:gridCol w:w="124"/>
        <w:gridCol w:w="62"/>
        <w:gridCol w:w="826"/>
        <w:gridCol w:w="75"/>
      </w:tblGrid>
      <w:tr>
        <w:trPr/>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8"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119,498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  </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Netherlands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108,966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135,030</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150,133</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Belgium</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88,812</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53,339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22,974</w:t>
            </w:r>
          </w:p>
        </w:tc>
        <w:tc>
          <w:tcPr>
            <w:tcW w:w="75" w:type="dxa"/>
            <w:tcBorders/>
            <w:shd w:fill="CCEEFF"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Canada</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85,521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17,493</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3,007</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Denmark</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67,235</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38,538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Australia</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64,539</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Finland</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42,281</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10,048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Switzerland</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39,274</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41,115</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580</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China</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38,218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40,819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13,850</w:t>
            </w:r>
          </w:p>
        </w:tc>
        <w:tc>
          <w:tcPr>
            <w:tcW w:w="75" w:type="dxa"/>
            <w:tcBorders/>
            <w:shd w:fill="CCEEFF"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regions</w:t>
            </w:r>
          </w:p>
          <w:p>
            <w:pPr>
              <w:pStyle w:val="TableContents"/>
              <w:spacing w:before="0" w:after="0"/>
              <w:rPr>
                <w:rFonts w:ascii="Times New Roman" w:hAnsi="Times New Roman"/>
                <w:sz w:val="12"/>
              </w:rPr>
            </w:pPr>
            <w:r>
              <w:rPr>
                <w:rFonts w:ascii="Times New Roman" w:hAnsi="Times New Roman"/>
                <w:sz w:val="12"/>
              </w:rPr>
              <w:t>1</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55,986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7,104</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0"/>
              <w:rPr>
                <w:spacing w:val="0"/>
              </w:rPr>
            </w:pPr>
            <w:r>
              <w:rPr>
                <w:spacing w:val="0"/>
              </w:rPr>
              <w:t> </w:t>
            </w:r>
          </w:p>
        </w:tc>
        <w:tc>
          <w:tcPr>
            <w:tcW w:w="1012" w:type="dxa"/>
            <w:tcBorders/>
            <w:shd w:fill="CCEEFF" w:val="clear"/>
            <w:vAlign w:val="center"/>
          </w:tcPr>
          <w:p>
            <w:pPr>
              <w:pStyle w:val="TableContents"/>
              <w:spacing w:before="0" w:after="0"/>
              <w:jc w:val="right"/>
              <w:rPr>
                <w:b/>
                <w:spacing w:val="0"/>
              </w:rPr>
            </w:pPr>
            <w:r>
              <w:rPr>
                <w:b/>
                <w:spacing w:val="0"/>
              </w:rPr>
              <w:t>2,461,896</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0"/>
              <w:rPr>
                <w:spacing w:val="0"/>
              </w:rPr>
            </w:pPr>
            <w:r>
              <w:rPr>
                <w:spacing w:val="0"/>
              </w:rPr>
              <w:t> </w:t>
            </w:r>
          </w:p>
        </w:tc>
        <w:tc>
          <w:tcPr>
            <w:tcW w:w="1012" w:type="dxa"/>
            <w:tcBorders/>
            <w:shd w:fill="CCEEFF" w:val="clear"/>
            <w:vAlign w:val="center"/>
          </w:tcPr>
          <w:p>
            <w:pPr>
              <w:pStyle w:val="TableContents"/>
              <w:spacing w:before="0" w:after="0"/>
              <w:jc w:val="right"/>
              <w:rPr>
                <w:b/>
                <w:spacing w:val="0"/>
              </w:rPr>
            </w:pPr>
            <w:r>
              <w:rPr>
                <w:b/>
                <w:spacing w:val="0"/>
              </w:rPr>
              <w:t>1,337,181</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0"/>
              <w:rPr>
                <w:spacing w:val="0"/>
              </w:rPr>
            </w:pPr>
            <w:r>
              <w:rPr>
                <w:spacing w:val="0"/>
              </w:rPr>
              <w:t> </w:t>
            </w:r>
          </w:p>
        </w:tc>
        <w:tc>
          <w:tcPr>
            <w:tcW w:w="826" w:type="dxa"/>
            <w:tcBorders/>
            <w:shd w:fill="CCEEFF" w:val="clear"/>
            <w:vAlign w:val="center"/>
          </w:tcPr>
          <w:p>
            <w:pPr>
              <w:pStyle w:val="TableContents"/>
              <w:spacing w:before="0" w:after="0"/>
              <w:jc w:val="right"/>
              <w:rPr>
                <w:b/>
                <w:spacing w:val="0"/>
              </w:rPr>
            </w:pPr>
            <w:r>
              <w:rPr>
                <w:b/>
                <w:spacing w:val="0"/>
              </w:rPr>
              <w:t>610,245</w:t>
            </w:r>
          </w:p>
        </w:tc>
        <w:tc>
          <w:tcPr>
            <w:tcW w:w="75" w:type="dxa"/>
            <w:tcBorders/>
            <w:shd w:fill="CCEEFF" w:val="clear"/>
            <w:vAlign w:val="center"/>
          </w:tcPr>
          <w:p>
            <w:pPr>
              <w:pStyle w:val="TableContents"/>
              <w:spacing w:before="0" w:after="283"/>
              <w:rPr/>
            </w:pPr>
            <w:r>
              <w:rPr/>
              <w:t> </w:t>
            </w:r>
          </w:p>
        </w:tc>
      </w:tr>
      <w:tr>
        <w:trPr/>
        <w:tc>
          <w:tcPr>
            <w:tcW w:w="11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7255" w:type="dxa"/>
        <w:jc w:val="left"/>
        <w:tblInd w:w="0" w:type="dxa"/>
        <w:tblCellMar>
          <w:top w:w="0" w:type="dxa"/>
          <w:left w:w="0" w:type="dxa"/>
          <w:bottom w:w="0" w:type="dxa"/>
          <w:right w:w="0" w:type="dxa"/>
        </w:tblCellMar>
      </w:tblPr>
      <w:tblGrid>
        <w:gridCol w:w="155"/>
        <w:gridCol w:w="7100"/>
      </w:tblGrid>
      <w:tr>
        <w:trPr/>
        <w:tc>
          <w:tcPr>
            <w:tcW w:w="155" w:type="dxa"/>
            <w:tcBorders/>
            <w:shd w:fill="auto" w:val="clear"/>
            <w:vAlign w:val="center"/>
          </w:tcPr>
          <w:p>
            <w:pPr>
              <w:pStyle w:val="TableContents"/>
              <w:spacing w:before="0" w:after="283"/>
              <w:jc w:val="left"/>
              <w:rPr/>
            </w:pPr>
            <w:r>
              <w:rPr/>
              <w:t>1</w:t>
            </w:r>
          </w:p>
        </w:tc>
        <w:tc>
          <w:tcPr>
            <w:tcW w:w="71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 Revenue: Other regions primarily consist of Austria and Singapore in 2022 and 2021. </w:t>
            </w:r>
          </w:p>
        </w:tc>
      </w:tr>
    </w:tbl>
    <w:p>
      <w:pPr>
        <w:pStyle w:val="TextBody"/>
        <w:spacing w:before="0" w:after="0"/>
        <w:jc w:val="left"/>
        <w:rPr>
          <w:highlight w:val="white"/>
        </w:rPr>
      </w:pPr>
      <w:r>
        <w:rPr>
          <w:highlight w:val="white"/>
        </w:rPr>
        <w:t> </w:t>
      </w:r>
    </w:p>
    <w:tbl>
      <w:tblPr>
        <w:tblW w:w="3855" w:type="dxa"/>
        <w:jc w:val="left"/>
        <w:tblInd w:w="0" w:type="dxa"/>
        <w:tblCellMar>
          <w:top w:w="0" w:type="dxa"/>
          <w:left w:w="0" w:type="dxa"/>
          <w:bottom w:w="0" w:type="dxa"/>
          <w:right w:w="0" w:type="dxa"/>
        </w:tblCellMar>
      </w:tblPr>
      <w:tblGrid>
        <w:gridCol w:w="1400"/>
        <w:gridCol w:w="120"/>
        <w:gridCol w:w="60"/>
        <w:gridCol w:w="980"/>
        <w:gridCol w:w="60"/>
        <w:gridCol w:w="120"/>
        <w:gridCol w:w="60"/>
        <w:gridCol w:w="980"/>
        <w:gridCol w:w="75"/>
      </w:tblGrid>
      <w:tr>
        <w:trPr/>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Non-current</w:t>
            </w:r>
          </w:p>
          <w:p>
            <w:pPr>
              <w:pStyle w:val="TableContents"/>
              <w:spacing w:before="0" w:after="0"/>
              <w:rPr>
                <w:rFonts w:ascii="Times New Roman" w:hAnsi="Times New Roman"/>
                <w:b/>
                <w:sz w:val="20"/>
              </w:rPr>
            </w:pPr>
            <w:r>
              <w:rPr>
                <w:rFonts w:ascii="Times New Roman" w:hAnsi="Times New Roman"/>
                <w:b/>
                <w:sz w:val="20"/>
              </w:rPr>
              <w:t>assets</w:t>
            </w:r>
          </w:p>
          <w:p>
            <w:pPr>
              <w:pStyle w:val="TableContents"/>
              <w:spacing w:before="0" w:after="0"/>
              <w:rPr>
                <w:rFonts w:ascii="Times New Roman" w:hAnsi="Times New Roman"/>
                <w:b/>
                <w:sz w:val="12"/>
              </w:rPr>
            </w:pPr>
            <w:r>
              <w:rPr>
                <w:rFonts w:ascii="Times New Roman" w:hAnsi="Times New Roman"/>
                <w:b/>
                <w:sz w:val="12"/>
              </w:rPr>
              <w:t>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Sweden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1,151,920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954,842</w:t>
            </w:r>
          </w:p>
        </w:tc>
        <w:tc>
          <w:tcPr>
            <w:tcW w:w="75" w:type="dxa"/>
            <w:tcBorders/>
            <w:shd w:fill="auto"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China</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474,301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532,492</w:t>
            </w:r>
          </w:p>
        </w:tc>
        <w:tc>
          <w:tcPr>
            <w:tcW w:w="75" w:type="dxa"/>
            <w:tcBorders/>
            <w:shd w:fill="CCEEFF"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USA</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37,752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64,072</w:t>
            </w:r>
          </w:p>
        </w:tc>
        <w:tc>
          <w:tcPr>
            <w:tcW w:w="75" w:type="dxa"/>
            <w:tcBorders/>
            <w:shd w:fill="auto"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Germany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36,747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24,009</w:t>
            </w:r>
          </w:p>
        </w:tc>
        <w:tc>
          <w:tcPr>
            <w:tcW w:w="75" w:type="dxa"/>
            <w:tcBorders/>
            <w:shd w:fill="CCEEFF"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United Kingdom</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22,777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2,484</w:t>
            </w:r>
          </w:p>
        </w:tc>
        <w:tc>
          <w:tcPr>
            <w:tcW w:w="75" w:type="dxa"/>
            <w:tcBorders/>
            <w:shd w:fill="auto" w:val="clear"/>
            <w:vAlign w:val="center"/>
          </w:tcPr>
          <w:p>
            <w:pPr>
              <w:pStyle w:val="TableContents"/>
              <w:spacing w:before="0" w:after="283"/>
              <w:rPr/>
            </w:pPr>
            <w:r>
              <w:rPr/>
              <w:t> </w:t>
            </w:r>
          </w:p>
        </w:tc>
      </w:tr>
      <w:tr>
        <w:trPr/>
        <w:tc>
          <w:tcPr>
            <w:tcW w:w="14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regions</w:t>
            </w:r>
          </w:p>
          <w:p>
            <w:pPr>
              <w:pStyle w:val="TableContents"/>
              <w:spacing w:before="0" w:after="0"/>
              <w:rPr>
                <w:rFonts w:ascii="Times New Roman" w:hAnsi="Times New Roman"/>
                <w:sz w:val="12"/>
              </w:rPr>
            </w:pPr>
            <w:r>
              <w:rPr>
                <w:rFonts w:ascii="Times New Roman" w:hAnsi="Times New Roman"/>
                <w:sz w:val="12"/>
              </w:rPr>
              <w:t>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28,532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13,869</w:t>
            </w:r>
          </w:p>
        </w:tc>
        <w:tc>
          <w:tcPr>
            <w:tcW w:w="75" w:type="dxa"/>
            <w:tcBorders/>
            <w:shd w:fill="CCEEFF"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1,752,029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1,591,768</w:t>
            </w:r>
          </w:p>
        </w:tc>
        <w:tc>
          <w:tcPr>
            <w:tcW w:w="75" w:type="dxa"/>
            <w:tcBorders/>
            <w:shd w:fill="auto"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6355" w:type="dxa"/>
        <w:jc w:val="left"/>
        <w:tblInd w:w="0" w:type="dxa"/>
        <w:tblCellMar>
          <w:top w:w="0" w:type="dxa"/>
          <w:left w:w="0" w:type="dxa"/>
          <w:bottom w:w="0" w:type="dxa"/>
          <w:right w:w="0" w:type="dxa"/>
        </w:tblCellMar>
      </w:tblPr>
      <w:tblGrid>
        <w:gridCol w:w="155"/>
        <w:gridCol w:w="6200"/>
      </w:tblGrid>
      <w:tr>
        <w:trPr/>
        <w:tc>
          <w:tcPr>
            <w:tcW w:w="155" w:type="dxa"/>
            <w:tcBorders/>
            <w:shd w:fill="auto" w:val="clear"/>
            <w:vAlign w:val="center"/>
          </w:tcPr>
          <w:p>
            <w:pPr>
              <w:pStyle w:val="TableContents"/>
              <w:spacing w:before="0" w:after="283"/>
              <w:jc w:val="left"/>
              <w:rPr/>
            </w:pPr>
            <w:r>
              <w:rPr/>
              <w:t>2</w:t>
            </w:r>
          </w:p>
        </w:tc>
        <w:tc>
          <w:tcPr>
            <w:tcW w:w="62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 </w:t>
            </w:r>
          </w:p>
          <w:p>
            <w:pPr>
              <w:pStyle w:val="TableContents"/>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spacing w:before="0" w:after="0"/>
              <w:jc w:val="left"/>
              <w:rPr>
                <w:rFonts w:ascii="Times New Roman" w:hAnsi="Times New Roman"/>
                <w:sz w:val="20"/>
              </w:rPr>
            </w:pPr>
            <w:r>
              <w:rPr>
                <w:rFonts w:ascii="Times New Roman" w:hAnsi="Times New Roman"/>
                <w:sz w:val="20"/>
              </w:rPr>
              <w:t xml:space="preserve">assets: excludes Financial assets,, Deferred tax asset, and Other investments. </w:t>
            </w:r>
          </w:p>
        </w:tc>
      </w:tr>
    </w:tbl>
    <w:tbl>
      <w:tblPr>
        <w:tblW w:w="9775" w:type="dxa"/>
        <w:jc w:val="left"/>
        <w:tblInd w:w="0" w:type="dxa"/>
        <w:tblCellMar>
          <w:top w:w="0" w:type="dxa"/>
          <w:left w:w="0" w:type="dxa"/>
          <w:bottom w:w="0" w:type="dxa"/>
          <w:right w:w="0" w:type="dxa"/>
        </w:tblCellMar>
      </w:tblPr>
      <w:tblGrid>
        <w:gridCol w:w="290"/>
        <w:gridCol w:w="9485"/>
      </w:tblGrid>
      <w:tr>
        <w:trPr/>
        <w:tc>
          <w:tcPr>
            <w:tcW w:w="290" w:type="dxa"/>
            <w:tcBorders/>
            <w:shd w:fill="auto" w:val="clear"/>
            <w:vAlign w:val="center"/>
          </w:tcPr>
          <w:p>
            <w:pPr>
              <w:pStyle w:val="TableContents"/>
              <w:spacing w:before="0" w:after="283"/>
              <w:jc w:val="left"/>
              <w:rPr/>
            </w:pPr>
            <w:r>
              <w:rPr/>
              <w:t>3 -</w:t>
            </w:r>
          </w:p>
        </w:tc>
        <w:tc>
          <w:tcPr>
            <w:tcW w:w="9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regions primarily consist of Belgium, Switzerland and Australia in 2022 and Canada and Netherlands in 2021.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Foreign currency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preparing the financial statements of the Group, transactions in currencies other than the entity’s functional currency (i.e., foreign currencies) are recognized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recognized in the Consolidated Statement of Loss and Comprehensive Loss.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more information about currency risk, see Note 2 - Financial risk management.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Accounting policies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Use of estimates and judgements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in which the estimates are revised, and prospectively thereafter. Details of critical estimates and judgements which the Group considers to have a significant impact upon the financial statements are set out below and the corresponding impacts can be seen in the following notes: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Revenue recognition – The expected cost plus margin approach is used for determining the transaction price of performance obligations included with sales of vehicles. and the residual amount of the transaction price is allocated to the performance obligation associated with the delivery of the vehicle. Polestar also offers volume related discounts to fleet customers which impacts its estimation of the consideration it will be entitled to in exchange for the delivery of vehicles. Sales of vehicles with repurchase obligations are accounted for as operating leases and the related revenue is recorded as lease income. – Note 4 - Revenue.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Intangible assets – Polestar conducts various internal development projects which are divided into the concept phase and product development phase. Once a project reaches the product development phase, internally developed intellectual property is capitalized in intangible assets. Polestar conducts an analysis to estimate the useful life for internally developed intellectual property, acquired intellectual property, and software at the point in time when they are capitalized in intangible assets. – refer to Note 13 - Intangible assets and goodwill.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Impairment – Polestar conducts routine evaluations of intangible assets and goodwill for evidence of impairment indicators. At least annually and when impairment indicators exist, Polestar conducts an impairment test at the cash generating unit level (Polestar Group constitutes a single CGU). – refer to Note 13 - Intangible assets and goodwill.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Valuation of loss carry-forwards – The recognition of deferred tax assets requires estimates to be made about the level of future taxable income and the timing of recovery of deferred tax assets, taking into account the relevant tax jurisdictions – refer to Note 11 - Income tax expense.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Valuation of the financial liability for the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and </w:t>
            </w:r>
          </w:p>
          <w:p>
            <w:pPr>
              <w:pStyle w:val="TableContents"/>
              <w:spacing w:before="0" w:after="0"/>
              <w:jc w:val="left"/>
              <w:rPr>
                <w:rFonts w:ascii="Times New Roman" w:hAnsi="Times New Roman"/>
                <w:spacing w:val="0"/>
                <w:sz w:val="20"/>
              </w:rPr>
            </w:pPr>
            <w:r>
              <w:rPr>
                <w:rFonts w:ascii="Times New Roman" w:hAnsi="Times New Roman"/>
                <w:spacing w:val="0"/>
                <w:sz w:val="20"/>
              </w:rPr>
              <w:t>Class C-2</w:t>
            </w:r>
          </w:p>
          <w:p>
            <w:pPr>
              <w:pStyle w:val="TableContents"/>
              <w:spacing w:before="0" w:after="0"/>
              <w:jc w:val="left"/>
              <w:rPr>
                <w:rFonts w:ascii="Times New Roman" w:hAnsi="Times New Roman"/>
                <w:sz w:val="20"/>
              </w:rPr>
            </w:pPr>
            <w:r>
              <w:rPr>
                <w:rFonts w:ascii="Times New Roman" w:hAnsi="Times New Roman"/>
                <w:sz w:val="20"/>
              </w:rPr>
              <w:t xml:space="preserve">Shares (collectively, “Class C Shares”) –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are publicly traded on the NASDAQ (i.e., an active market). </w:t>
            </w:r>
          </w:p>
          <w:p>
            <w:pPr>
              <w:pStyle w:val="TableContents"/>
              <w:spacing w:before="0" w:after="0"/>
              <w:jc w:val="left"/>
              <w:rPr>
                <w:rFonts w:ascii="Times New Roman" w:hAnsi="Times New Roman"/>
                <w:spacing w:val="0"/>
                <w:sz w:val="20"/>
              </w:rPr>
            </w:pPr>
            <w:r>
              <w:rPr>
                <w:rFonts w:ascii="Times New Roman" w:hAnsi="Times New Roman"/>
                <w:spacing w:val="0"/>
                <w:sz w:val="20"/>
              </w:rPr>
              <w:t>Class C-2</w:t>
            </w:r>
          </w:p>
          <w:p>
            <w:pPr>
              <w:pStyle w:val="TableContents"/>
              <w:spacing w:before="0" w:after="0"/>
              <w:jc w:val="left"/>
              <w:rPr>
                <w:rFonts w:ascii="Times New Roman" w:hAnsi="Times New Roman"/>
                <w:sz w:val="20"/>
              </w:rPr>
            </w:pPr>
            <w:r>
              <w:rPr>
                <w:rFonts w:ascii="Times New Roman" w:hAnsi="Times New Roman"/>
                <w:sz w:val="20"/>
              </w:rPr>
              <w:t xml:space="preserve">Shares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Note 16 - Reverse recapitalization.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Valuation of the financial liability for the Former Parent’s contingent </w:t>
            </w:r>
          </w:p>
          <w:p>
            <w:pPr>
              <w:pStyle w:val="TableContents"/>
              <w:spacing w:before="0" w:after="0"/>
              <w:jc w:val="left"/>
              <w:rPr>
                <w:rFonts w:ascii="Times New Roman" w:hAnsi="Times New Roman"/>
                <w:spacing w:val="0"/>
                <w:sz w:val="20"/>
              </w:rPr>
            </w:pPr>
            <w:r>
              <w:rPr>
                <w:rFonts w:ascii="Times New Roman" w:hAnsi="Times New Roman"/>
                <w:spacing w:val="0"/>
                <w:sz w:val="20"/>
              </w:rPr>
              <w:t>Earn-out</w:t>
            </w:r>
          </w:p>
          <w:p>
            <w:pPr>
              <w:pStyle w:val="TableContents"/>
              <w:spacing w:before="0" w:after="0"/>
              <w:jc w:val="left"/>
              <w:rPr>
                <w:rFonts w:ascii="Times New Roman" w:hAnsi="Times New Roman"/>
                <w:sz w:val="20"/>
              </w:rPr>
            </w:pPr>
            <w:r>
              <w:rPr>
                <w:rFonts w:ascii="Times New Roman" w:hAnsi="Times New Roman"/>
                <w:sz w:val="20"/>
              </w:rPr>
              <w:t xml:space="preserve">rights – The contingent </w:t>
            </w:r>
          </w:p>
          <w:p>
            <w:pPr>
              <w:pStyle w:val="TableContents"/>
              <w:spacing w:before="0" w:after="0"/>
              <w:jc w:val="left"/>
              <w:rPr>
                <w:rFonts w:ascii="Times New Roman" w:hAnsi="Times New Roman"/>
                <w:spacing w:val="0"/>
                <w:sz w:val="20"/>
              </w:rPr>
            </w:pPr>
            <w:r>
              <w:rPr>
                <w:rFonts w:ascii="Times New Roman" w:hAnsi="Times New Roman"/>
                <w:spacing w:val="0"/>
                <w:sz w:val="20"/>
              </w:rPr>
              <w:t>Earn-out</w:t>
            </w:r>
          </w:p>
          <w:p>
            <w:pPr>
              <w:pStyle w:val="TableContents"/>
              <w:spacing w:before="0" w:after="0"/>
              <w:jc w:val="left"/>
              <w:rPr>
                <w:rFonts w:ascii="Times New Roman" w:hAnsi="Times New Roman"/>
                <w:sz w:val="20"/>
              </w:rPr>
            </w:pPr>
            <w:r>
              <w:rPr>
                <w:rFonts w:ascii="Times New Roman" w:hAnsi="Times New Roman"/>
                <w:sz w:val="20"/>
              </w:rPr>
              <w:t xml:space="preserve">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Note 16 - Reverse recapitalization.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Actual results could differ materially from those estimates using different assumptions or under different conditions.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Cash and cash equivalents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Cash consists of cash in banks with an original term of three months or less. All highly-liquid, short-term investments that are readily convertible to known amounts of cash and subject to an insignificant risk of changes in value are classified as cash equivalents and presented as such in the Consolidated Statement of Cash Flows.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Marketable securities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Marketable securities are financial instruments with maturities less than one year when acquired that can quickly be converted into cash. Polestar’s marketable securities consist of short-term money market funds (i.e., time deposits in banks). The balance in marketable securities as of December 31, 2022 and 2021 amounted to nil and $1,258, respectively</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Restricted cash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Restricted cash are Cash and cash equivalents held by Polestar for specified use which are unavailable to the overall Group for general, operational purposes. As of December 31, 2022 and 2021, the Group had no restricted cash.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Government grants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Group’s subsidiaries based in the People’s Republic of China received government grants which were conditioned to be used for production related costs and grants for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non-specified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purposes. The groups subsidiary based in UK received government grants conditioned to be used for product development activities. Both these grants are not tied to the future trends or performance of the Group and are not required to be refunded under any circumstance. The Group’s subsidiary based in Singapore received government grants related to incentivizing job growth. The Job growth incentive is given by Inland Revenue Authority of Singapore (IRAS) SG government agency to support employers to expand local hiring. Receipt of such grants are either reported as a deduction to the related expense or as other operating income, depending on the nature of the grant received. The amount of government grants received as of December 31, 2022 and 2021 was $3,773 and $309, respectively.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Revenue recognition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Group disaggregates revenue by major category based on what it believes are the primary economic factors that may impact the nature, amount, timing, and uncertainty of revenue and cash flows from customer contracts.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Sales of vehicles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Revenue from the sales of vehicles includes sales of the Group’s vehicles as well as related accessories and services. Revenue is recognized when the customer obtains control of delivered goods or services, and thus has the ability to direct the use of, and obtain the benefits from, the goods or services. Polestar Group includes various services and maintenance (i.e., extended service) offers with the sale of each vehicle for a period of time specified in the contract.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Group also provides connected services, including access to the internet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over-the-air</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software and performance updates, which provide Polestar’s customers new features and improvements to existing vehicle functionality. Although Polestar’s connected services improve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in-vehicle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experience, it is not required when driving a Polestar vehicle.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F-19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recognized on a straight-line basis over the contract period as a stand-ready obligation. The deferred revenue is presented as contract liabilities, since the customers’ payments are made before the services are transferred.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will recognize revenue related to the extended service on a straight-line basis over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3-year</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period following initial recognition, consistent with the terms of the contractually offered services. Polestar will recognize revenue related to connected services on a straight-line basis over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8-year</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period following initial recognition, consistent with the expected utilization of the services.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recognized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Vehicles were historically only sold to individuals (end customers), fleet customers, financial service providers, and dealers. During the year ended December 31, 2022, Polestar began selling to importers as well. Importer markets exist where the Group does not have its own direct sales unit, so a third party imports Polestar vehicles and sells them to end users.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Since commercialization of Polestar vehicles commenced in the third quarter of 2020, the Group had not recognized a significant number of customer returns, and therefore has not accrued any obligations for returns, refunds, or other similar obligations for the years ended December 31, 2022 and 2021. Further, contracts with importers specify the importer does not have the right to return vehicles.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up-front,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cash, and accounts for it under IFRS 15 as a direct reduction to the transaction price. Polestar will continue to evaluate its method for recognizing RVGs and amend how it accounts for them, if necessary.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There are no significant payment terms for end customers, fleet customers, financial service providers, dealers or importers as payment is due on or near the date of invoice. Consideration received by fleet customers is variable in nature as the customer can receive volume related discounts, which are annual rebates based on the number of vehicles ordered throughout the year. There is no variability in consideration received from importers as they are charged a fixed price per vehicle. There is no significant variability in consideration received from other customers.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F-20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Sales of software and performance engineered kits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know-how</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to Volvo Cars, which is when Volvo Cars obtains control of the intellectual property and has the ability to direct the use of, and obtain the benefits from, the license. The Group recognizes license revenue from sales-based royalties in the period in which Volvo Cars’ sales of software occur.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Revenue from the sales of performance engineered kits is related to intellectual property licensed to Volvo Cars under which Volvo Cars obtained rights to provide optimizations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know-how</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to Volvo Cars, which is when Volvo Cars obtains control of the intellectual property and has the ability to direct the use of, and obtain the benefits from, the license. The Group recognizes license revenue from sales-based royalties in the period in which Volvo Cars’ sales of vehicles with the performance engineered kits occur. During the year ended December 31, 2020, revenue from the sale of performance engineered kits was inclusive of a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one-time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contract termination fee paid by Volvo Cars that was accounted for as a contract modification. Polestar Group and Volvo Cars entered into a new license agreement in December 2020.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There are no significant payment terms as payment is due near the date of invoice.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Sales of carbon credits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Revenue from the sale of carbon credits is recognized when the performance obligation is satisfied and when the customer, an original equipment manufacturer (“OEM”), obtains control of the carbon credits and has the ability to direct the use of, and obtain the benefits from, the carbon credits transferred.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There are no significant payment terms as payment is due near the date of invoice.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Vehicle leasing revenue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During the years ended December 31, 2022 and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Operating leases are initially measured at cost and depreciated on a straight-line basis over the lease term to the estimated residual value. Incremental direct costs incurred in connection with the acquisition of operating lease contracts are capitalized and also amortized on a straight-line basis over the lease term. In the Consolidated Statement of Financial Position, such operating leases are presented as vehicles under operating leases and recognized as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assets. Vehicle leasing revenue is recognized on a straight-line basis over the lease term. For sales of vehicles with repurchase obligations that are accounted for as operating leases, the entire amount due to Polestar is paid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up-front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at contract inception. Deferred revenue is recorded for the difference between the cash received from the sale of the vehicle and the vehicle’s repurchase value, where the associated liability is recorded in Other current liabilities in the Consolidated Statement of Financial Position.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Other revenue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recognized over time.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performance obligation related to intellectual property licensed to Volvo Cars is satisfied at the point in time the Group transfers the licensed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know-how</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to Volvo Cars which is when Volvo Cars obtains control of the intellectual property and has the ability to direct the use of, and obtain the benefits from, the license. The Group recognizes license revenue from sales-based royalties in the period in which Volvo Cars’ sales of parts and accessories occur.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There are no significant payment terms as payment is due near the date of invoice.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Contract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Contract liabilities to customers are obligations related to contracts with customers and are recognized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the Group satisfies its performance obligations, revenue is recognized, and the contract liability is reduced. As stated above, delivery of services and maintenance is within the customer’s control. Accordingly, the Group expects to recognize revenue related to such service contract liabilities over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3-year</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period following initial recognition, consistent with the terms of the contractually offered services. Related to connected services, the Group expects to recognize revenue over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8-year</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period following initial recognition, consistent with the expected utilization of the services. In the case of volume related discounts that are triggered over time, a short-term contract liability will also be recognized as payment is due within a twelve-month period, in line with contractual payment terms. For deferred revenue generated through operating leases, the Group expects to recognize revenue on a straight-line basis, consistent with the terms of the contract.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Cost of sales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For the years ended December 31, 2022, 2021 and 2020, cost of sales amounted to $2,342,453, $1,336,321, and $553,724, respectively. Costs of sales are related to the sales of vehicles and related accessories and services, which primarily consists of contract manufacturing costs, depreciation related to PPE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(“ROU”) assets, amortization of intangible assets related to manufacturing engineering, warehousing and transportation costs for inventory, customs duties, and charges to write down the carrying value of inventory when it exceeds the estimated net realizable value. Sales of software and performance engineered kits and other revenue are related to items which were originally developed with the intent of internal use, not with the intent to sell. As such, all costs were appropriately capitalized or expensed as described in </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Accounting policies – Intangible assets and goodwill – Internally developed IP</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Employee benefits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 compensates its employees through short-term employee benefits, other long-term benefits, and post-employment benefits. Generally, an employee benefit is recognized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F-22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Short-term employee benefits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Short-term employee benefits consist of wages, salaries, social benefit costs, paid annual leave and paid sick leave, and bonuses that are expected to be settled within twelve months of the reporting period in which services are rendered. Short-term employee benefits are recognized at the undiscounted amounts expected to be paid when the liabilities are settled and presented within current provisions and other current liabilities in the Consolidated Statement of Financial Position.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pay-out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is made on a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pro-rata</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basis based on employment during the year. Employees need to have joined the organization as of December 1st of the year in order to be eligible for the program. An estimate of the expected costs of the program are calculated and recognized at the end of each reporting period.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Other long-term benefits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annual Long Term Variable Pay Program (“LTVP”)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incentivize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recognized on the annual grant date, subsequently remeasured at the end of reach reporting date, and presented within current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provisions in the Consolidated Statement of Financial Position.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Post-employment benefits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Group’s post-employment benefits are comprised of defined contribution pension plans and the Swedish defined benefit pension (“ITP 2”) that is managed by the mutual insurance company Alecta.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recognized in the reporting period in which services are rendered and presented within current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provisions in the Consolidated Statement of Financial Position. Contribution rates are unique to each employee.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Group’s share of the total savings premiums for ITP 2 in Alecta for the years ended December 31, 2022, 2021 and 2020, amounted to 0.20597%, 0.13056%, and 0.05375%, respectively. Further, Polestar Group’s share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of the total number of active policy holders as of December 31, 2022, 2021 and 2020, amounted to 0.07340%, 0.04485%, and 0.02605%,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2022 and 2021, Alecta’s surplus of consolidation level amounted to 172%, 172%, and 148%, respectively.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Share-based payments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Consolidated Statement of Loss and Comprehensive Loss that corresponds with the nature of the services provided.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the Group granted equity settled share-based payments to employees in the form of free shares, restricted stock units (“RSU”), and performance stock units (“PSU”) through the 2022 Omnibus Incentive Plan. The Group also granted equity settled share-based payments in exchange for certain marketing services through November 1, 2023 and the service of a public listing of the Group on the Nasdaq through the merger with GGI. Refer to Note 16 - Reverse recapitalization for detail on the merger with GGI. Refer to Note 7 - Share-based payment for more detail on the 2022 Omnibus Incentive Plan and marketing service agreement.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Leases </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Polestar as lessee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2022 and 2021, no material lease extension options existed.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At the lease commencement date, an ROU asset and a lease liability are recognized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in-substance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non-lease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components in the measurement of the lease liability for all asset classes is applied.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amortization of the ROU asset, refer to Note 10 - Leases. The ROU asset is reduced by impairment losses, if any, and adjusted for certain remeasurements of the lease liability.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elected the practical expedient to account for leases with lease terms which end within twelve months of the initial date of application as a short-term lease. The Group also elected the practical expedient to not recognize a ROU asset and lease liability for short-term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leases. Low value assets are defined as asset classes that are typically of low value, for example, small IT equipment (cellphones, laptops, computers, printers) and office furniture. Payments associated with short-term leases and leases of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assets are recognized on a straight-line basis as an expense over the lease term in the Consolidated Statement of Loss and Comprehensive Loss.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the Consolidated Statement of Financial Position, the lease liabilities are presented within current interest-bearing liabilities and other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interest-bearing liabilities in the Consolidated Statement of Financial Position. In the Consolidated Statement of Loss and Comprehensive Loss, depreciation expense of the ROU assets is presented on the same line item(s) as similar items of PPE. The interest expense on the lease liability is presented as part of finance expense. In the Consolidated Statement of Cash Flows, amortization of the lease liability is presented as an adjustment to arrive at cash flows from operating activities, lease related interest expense is presented within cash flows from operating activities, and principal repayments of lease liabilities is presented within cash flows from financing activities.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recognized as ROU assets by the Group from the day production starts.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Sale leaseback transactions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Polestar as lessor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the Consolidated Statement of Financial Position, vehicles associated with the Group’s operating leases are recognized as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capitalized and amortized on a straight-line method over the lease term. Liabilities related to repurchase obligations are recognized as other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and current liabilities. Following repurchase by Polestar, the vehicles are reclassified to inventory.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Finance income and expense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F-25</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Income tax expense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Group’s Income tax expense consists of current tax and deferred tax. Taxes are recognized in the Consolidated Statement of Loss and Comprehensive Loss, except when the underlying transaction is recognized directly in equity, whereupon related taxation is also recognized in equity.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Deferred tax assets and liabilities are measured at the nominal amount and at the tax rates that are expected to be applied when the asset is realized or the liability is settled, using the tax rates and tax rules that have been enacted or substantively enacted at the date of the Consolidated Statement of Financial Position.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Deferred tax assets relating to deductible temporary differences and loss carry forwards are recognized to the extent it is probable that they will be utilized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Unrecognized deferred tax assets are reassessed at each reporting date and recognized to the extent that it has become probable that future taxable profits will be available against which they can be used. If needed, the carrying amount of the deferred tax asset will be altered.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Earnings per share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519"/>
        <w:gridCol w:w="120"/>
        <w:gridCol w:w="7566"/>
      </w:tblGrid>
      <w:tr>
        <w:trPr/>
        <w:tc>
          <w:tcPr>
            <w:tcW w:w="25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66" w:type="dxa"/>
            <w:tcBorders/>
            <w:shd w:fill="auto" w:val="clear"/>
            <w:vAlign w:val="center"/>
          </w:tcPr>
          <w:p>
            <w:pPr>
              <w:pStyle w:val="TableContents"/>
              <w:spacing w:before="0" w:after="283"/>
              <w:rPr>
                <w:sz w:val="4"/>
                <w:szCs w:val="4"/>
              </w:rPr>
            </w:pPr>
            <w:r>
              <w:rPr>
                <w:sz w:val="4"/>
                <w:szCs w:val="4"/>
              </w:rPr>
            </w:r>
          </w:p>
        </w:tc>
      </w:tr>
      <w:tr>
        <w:trPr/>
        <w:tc>
          <w:tcPr>
            <w:tcW w:w="2519" w:type="dxa"/>
            <w:tcBorders/>
            <w:shd w:fill="auto" w:val="clear"/>
            <w:vAlign w:val="center"/>
          </w:tcPr>
          <w:p>
            <w:pPr>
              <w:pStyle w:val="TableContents"/>
              <w:spacing w:before="0" w:after="0"/>
              <w:jc w:val="center"/>
              <w:rPr>
                <w:b/>
                <w:spacing w:val="0"/>
              </w:rPr>
            </w:pPr>
            <w:r>
              <w:rPr>
                <w:b/>
                <w:spacing w:val="0"/>
              </w:rPr>
              <w:t>POS Class</w:t>
            </w:r>
          </w:p>
        </w:tc>
        <w:tc>
          <w:tcPr>
            <w:tcW w:w="120" w:type="dxa"/>
            <w:tcBorders/>
            <w:shd w:fill="auto" w:val="clear"/>
            <w:vAlign w:val="center"/>
          </w:tcPr>
          <w:p>
            <w:pPr>
              <w:pStyle w:val="TableContents"/>
              <w:spacing w:before="0" w:after="283"/>
              <w:rPr/>
            </w:pPr>
            <w:r>
              <w:rPr/>
              <w:t>  </w:t>
            </w:r>
          </w:p>
        </w:tc>
        <w:tc>
          <w:tcPr>
            <w:tcW w:w="7566" w:type="dxa"/>
            <w:tcBorders/>
            <w:shd w:fill="auto" w:val="clear"/>
            <w:vAlign w:val="center"/>
          </w:tcPr>
          <w:p>
            <w:pPr>
              <w:pStyle w:val="TableContents"/>
              <w:spacing w:before="0" w:after="0"/>
              <w:jc w:val="center"/>
              <w:rPr>
                <w:b/>
                <w:spacing w:val="0"/>
              </w:rPr>
            </w:pPr>
            <w:r>
              <w:rPr>
                <w:b/>
                <w:spacing w:val="0"/>
              </w:rPr>
              <w:t>EPIS Denominator Adjustment Method</w:t>
            </w:r>
          </w:p>
        </w:tc>
      </w:tr>
      <w:tr>
        <w:trPr/>
        <w:tc>
          <w:tcPr>
            <w:tcW w:w="2519" w:type="dxa"/>
            <w:tcBorders/>
            <w:shd w:fill="auto" w:val="clear"/>
            <w:vAlign w:val="center"/>
          </w:tcPr>
          <w:p>
            <w:pPr>
              <w:pStyle w:val="TableContents"/>
              <w:spacing w:before="0" w:after="283"/>
              <w:jc w:val="center"/>
              <w:rPr/>
            </w:pPr>
            <w:r>
              <w:rPr/>
              <w:t>Unvested equity-settled RSUs</w:t>
            </w:r>
          </w:p>
        </w:tc>
        <w:tc>
          <w:tcPr>
            <w:tcW w:w="120" w:type="dxa"/>
            <w:tcBorders/>
            <w:shd w:fill="auto" w:val="clear"/>
            <w:vAlign w:val="center"/>
          </w:tcPr>
          <w:p>
            <w:pPr>
              <w:pStyle w:val="TableContents"/>
              <w:spacing w:before="0" w:after="283"/>
              <w:rPr/>
            </w:pPr>
            <w:r>
              <w:rPr/>
              <w:t>  </w:t>
            </w:r>
          </w:p>
        </w:tc>
        <w:tc>
          <w:tcPr>
            <w:tcW w:w="7566" w:type="dxa"/>
            <w:tcBorders/>
            <w:shd w:fill="auto" w:val="clear"/>
            <w:vAlign w:val="center"/>
          </w:tcPr>
          <w:p>
            <w:pPr>
              <w:pStyle w:val="TableContents"/>
              <w:spacing w:before="0" w:after="0"/>
              <w:jc w:val="center"/>
              <w:rPr/>
            </w:pPr>
            <w:r>
              <w:rPr/>
              <w:t>Treasury share</w:t>
            </w:r>
          </w:p>
          <w:p>
            <w:pPr>
              <w:pStyle w:val="TableContents"/>
              <w:spacing w:before="0" w:after="0"/>
              <w:jc w:val="center"/>
              <w:rPr>
                <w:sz w:val="12"/>
              </w:rPr>
            </w:pPr>
            <w:r>
              <w:rPr>
                <w:sz w:val="12"/>
              </w:rPr>
              <w:t>1</w:t>
            </w:r>
          </w:p>
        </w:tc>
      </w:tr>
      <w:tr>
        <w:trPr/>
        <w:tc>
          <w:tcPr>
            <w:tcW w:w="2519" w:type="dxa"/>
            <w:tcBorders/>
            <w:shd w:fill="auto" w:val="clear"/>
            <w:vAlign w:val="center"/>
          </w:tcPr>
          <w:p>
            <w:pPr>
              <w:pStyle w:val="TableContents"/>
              <w:spacing w:before="0" w:after="283"/>
              <w:jc w:val="center"/>
              <w:rPr/>
            </w:pPr>
            <w:r>
              <w:rPr/>
              <w:t>Class C Shares</w:t>
            </w:r>
          </w:p>
        </w:tc>
        <w:tc>
          <w:tcPr>
            <w:tcW w:w="120" w:type="dxa"/>
            <w:tcBorders/>
            <w:shd w:fill="auto" w:val="clear"/>
            <w:vAlign w:val="center"/>
          </w:tcPr>
          <w:p>
            <w:pPr>
              <w:pStyle w:val="TableContents"/>
              <w:spacing w:before="0" w:after="283"/>
              <w:rPr/>
            </w:pPr>
            <w:r>
              <w:rPr/>
              <w:t>  </w:t>
            </w:r>
          </w:p>
        </w:tc>
        <w:tc>
          <w:tcPr>
            <w:tcW w:w="7566" w:type="dxa"/>
            <w:tcBorders/>
            <w:shd w:fill="auto" w:val="clear"/>
            <w:vAlign w:val="center"/>
          </w:tcPr>
          <w:p>
            <w:pPr>
              <w:pStyle w:val="TableContents"/>
              <w:spacing w:before="0" w:after="283"/>
              <w:jc w:val="center"/>
              <w:rPr/>
            </w:pPr>
            <w:r>
              <w:rPr/>
              <w:t>Treasury share</w:t>
            </w:r>
          </w:p>
        </w:tc>
      </w:tr>
      <w:tr>
        <w:trPr/>
        <w:tc>
          <w:tcPr>
            <w:tcW w:w="2519" w:type="dxa"/>
            <w:tcBorders/>
            <w:shd w:fill="auto" w:val="clear"/>
            <w:vAlign w:val="center"/>
          </w:tcPr>
          <w:p>
            <w:pPr>
              <w:pStyle w:val="TableContents"/>
              <w:spacing w:before="0" w:after="0"/>
              <w:jc w:val="center"/>
              <w:rPr>
                <w:spacing w:val="0"/>
              </w:rPr>
            </w:pPr>
            <w:r>
              <w:rPr>
                <w:spacing w:val="0"/>
              </w:rPr>
              <w:t>Earn-out</w:t>
            </w:r>
          </w:p>
          <w:p>
            <w:pPr>
              <w:pStyle w:val="TableContents"/>
              <w:spacing w:before="0" w:after="0"/>
              <w:jc w:val="center"/>
              <w:rPr/>
            </w:pPr>
            <w:r>
              <w:rPr/>
              <w:t>Rights and PSUs</w:t>
            </w:r>
          </w:p>
        </w:tc>
        <w:tc>
          <w:tcPr>
            <w:tcW w:w="120" w:type="dxa"/>
            <w:tcBorders/>
            <w:shd w:fill="auto" w:val="clear"/>
            <w:vAlign w:val="center"/>
          </w:tcPr>
          <w:p>
            <w:pPr>
              <w:pStyle w:val="TableContents"/>
              <w:spacing w:before="0" w:after="283"/>
              <w:rPr/>
            </w:pPr>
            <w:r>
              <w:rPr/>
              <w:t>  </w:t>
            </w:r>
          </w:p>
        </w:tc>
        <w:tc>
          <w:tcPr>
            <w:tcW w:w="7566" w:type="dxa"/>
            <w:tcBorders/>
            <w:shd w:fill="auto" w:val="clear"/>
            <w:vAlign w:val="center"/>
          </w:tcPr>
          <w:p>
            <w:pPr>
              <w:pStyle w:val="TableContents"/>
              <w:spacing w:before="0" w:after="283"/>
              <w:jc w:val="center"/>
              <w:rPr/>
            </w:pPr>
            <w:r>
              <w:rPr/>
              <w:t>The number of shares issuable if the reporting date were the end of the contingency period</w:t>
            </w:r>
          </w:p>
        </w:tc>
      </w:tr>
      <w:tr>
        <w:trPr/>
        <w:tc>
          <w:tcPr>
            <w:tcW w:w="2519" w:type="dxa"/>
            <w:tcBorders/>
            <w:shd w:fill="auto" w:val="clear"/>
            <w:vAlign w:val="center"/>
          </w:tcPr>
          <w:p>
            <w:pPr>
              <w:pStyle w:val="TableContents"/>
              <w:spacing w:before="0" w:after="283"/>
              <w:jc w:val="center"/>
              <w:rPr/>
            </w:pPr>
            <w:r>
              <w:rPr/>
              <w:t>Convertible Notes</w:t>
            </w:r>
          </w:p>
        </w:tc>
        <w:tc>
          <w:tcPr>
            <w:tcW w:w="120" w:type="dxa"/>
            <w:tcBorders/>
            <w:shd w:fill="auto" w:val="clear"/>
            <w:vAlign w:val="center"/>
          </w:tcPr>
          <w:p>
            <w:pPr>
              <w:pStyle w:val="TableContents"/>
              <w:spacing w:before="0" w:after="283"/>
              <w:rPr/>
            </w:pPr>
            <w:r>
              <w:rPr/>
              <w:t>  </w:t>
            </w:r>
          </w:p>
        </w:tc>
        <w:tc>
          <w:tcPr>
            <w:tcW w:w="7566" w:type="dxa"/>
            <w:tcBorders/>
            <w:shd w:fill="auto" w:val="clear"/>
            <w:vAlign w:val="center"/>
          </w:tcPr>
          <w:p>
            <w:pPr>
              <w:pStyle w:val="TableContents"/>
              <w:spacing w:before="0" w:after="283"/>
              <w:jc w:val="center"/>
              <w:rPr/>
            </w:pPr>
            <w:r>
              <w:rPr/>
              <w:t>The number of shares issued assuming conversion occurred at the beginning of the reporting period</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F-26</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1 -</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treasury share method prescribed by IAS 33, </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Earnings Per Share</w:t>
            </w:r>
          </w:p>
          <w:p>
            <w:pPr>
              <w:pStyle w:val="TableContents"/>
              <w:spacing w:before="0" w:after="0"/>
              <w:jc w:val="left"/>
              <w:rPr>
                <w:rFonts w:ascii="Times New Roman" w:hAnsi="Times New Roman"/>
                <w:sz w:val="20"/>
              </w:rPr>
            </w:pPr>
            <w:r>
              <w:rPr>
                <w:rFonts w:ascii="Times New Roman" w:hAnsi="Times New Roman"/>
                <w:sz w:val="20"/>
              </w:rPr>
              <w:t xml:space="preserve">(“IAS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Intangible assets and goodwill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An intangible asset is recognized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 </w:t>
      </w:r>
    </w:p>
    <w:p>
      <w:pPr>
        <w:pStyle w:val="TextBody"/>
        <w:spacing w:before="240" w:after="0"/>
        <w:jc w:val="left"/>
        <w:rPr>
          <w:rFonts w:ascii="Times New Roman" w:hAnsi="Times New Roman"/>
          <w:sz w:val="20"/>
          <w:highlight w:val="white"/>
        </w:rPr>
      </w:pPr>
      <w:r>
        <w:rPr>
          <w:rFonts w:ascii="Times New Roman" w:hAnsi="Times New Roman"/>
          <w:sz w:val="20"/>
          <w:highlight w:val="white"/>
        </w:rPr>
        <w:t>Intangible assets are measured at acquisition or internal development cost, less accumulated amortization and, as applicable, impairment loss. Intangible assets with finite lives are amortized on a straight-line basis. The Group makes estimates and judgements related to expected usage of intangible assets in accordance with Management’s 2023-2027 business plan, product life cycles, technological obsolescence, developments, and advancements specific to the battery electric vehicle industry. Management estimates the useful life of intangible assets by taking into account judgements on how the Group plans to utilize such intangibles in accordance with the business plan and any related rights and obligations under its contractual agreements. The estimated useful life and amortization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p>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Manufacturing engineering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Amortization for manufacturing engineering, reflecting engineering performed in terms of production facility layout, is included in Cost of sales.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Acquired IP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Acquired IP are finite-lived intangible assets which are amortized once the acquired IP is ready for its intended use, over their estimated useful lives for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3-7</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years. The remaining useful life of acquired IP is between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1-6</w:t>
      </w:r>
    </w:p>
    <w:p>
      <w:pPr>
        <w:pStyle w:val="TextBody"/>
        <w:spacing w:before="240" w:after="0"/>
        <w:jc w:val="left"/>
        <w:rPr>
          <w:rFonts w:ascii="Times New Roman" w:hAnsi="Times New Roman"/>
          <w:sz w:val="20"/>
          <w:highlight w:val="white"/>
        </w:rPr>
      </w:pPr>
      <w:r>
        <w:rPr>
          <w:rFonts w:ascii="Times New Roman" w:hAnsi="Times New Roman"/>
          <w:sz w:val="20"/>
          <w:highlight w:val="white"/>
        </w:rPr>
        <w:t>years</w:t>
      </w:r>
    </w:p>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Amortization of acquired IP related to the PS1 and PS2 is included in research and development expenses as it represents foundational IP that is leveraged across multiple functions of the Group. Amortization of acquired IP related to the PS1 terminated in connection with the end of PS1 production in accordance with plan as of December 31, 2021. All PS1 assets have been fully amortized.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Internally developed IP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Internally developed IP are finite-lived intangible assets which are amortized over their estimated useful lives for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3-7</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years. Amortization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capitalized upon the commencement of product development. Each phase is identified by work plans, budgeted, and tracked internally by research and development personnel.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Costs incurred in the product development phase are capitalized when (1) the Group is conducting development activities such as designing, constructing, and testing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pre-production</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Research and development expense recognized for the years ended December 31, 2022, 2021 and 2020, amounted to $167,242, $232,922, and $183,849, respectively, and was substantially related to the amortization of PS1 technology (ceased amortization in December 2021) and PS2 technology.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Software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Software is a finite-lived intangible asset which is amortized over its estimated useful life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3-8</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years. Amortization of software is included in research and development expense and/or selling, general and administrative expense depending on the way in which the assets have been used.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Trademarks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recognized at fair value at the date of the acquisition less any accumulated impairment losses.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Goodwill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13 - Intangible assets and goodwill.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Property plant and equipment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Items of PPE are recognized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capitalized over the useful life of the asset.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Buildings under development are measured at actual costs. The actual costs include various construction expenditures during the construction period, borrowing costs capitalized before the building is ready for intended use, and other relevant costs. Buildings under development are not depreciated and are transferred to fixed assets when ready for the intended use.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useful lives are applied in Polestar Group: </w:t>
      </w:r>
    </w:p>
    <w:p>
      <w:pPr>
        <w:pStyle w:val="TextBody"/>
        <w:spacing w:before="0" w:after="0"/>
        <w:jc w:val="left"/>
        <w:rPr>
          <w:highlight w:val="white"/>
        </w:rPr>
      </w:pPr>
      <w:r>
        <w:rPr>
          <w:highlight w:val="white"/>
        </w:rPr>
        <w:t> </w:t>
      </w:r>
    </w:p>
    <w:tbl>
      <w:tblPr>
        <w:tblW w:w="4480" w:type="dxa"/>
        <w:jc w:val="left"/>
        <w:tblInd w:w="0" w:type="dxa"/>
        <w:tblCellMar>
          <w:top w:w="0" w:type="dxa"/>
          <w:left w:w="0" w:type="dxa"/>
          <w:bottom w:w="0" w:type="dxa"/>
          <w:right w:w="0" w:type="dxa"/>
        </w:tblCellMar>
      </w:tblPr>
      <w:tblGrid>
        <w:gridCol w:w="2180"/>
        <w:gridCol w:w="120"/>
        <w:gridCol w:w="2180"/>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b/>
                <w:spacing w:val="0"/>
              </w:rPr>
            </w:pPr>
            <w:r>
              <w:rPr>
                <w:b/>
                <w:spacing w:val="0"/>
              </w:rPr>
              <w:t>Asset</w:t>
            </w:r>
          </w:p>
        </w:tc>
        <w:tc>
          <w:tcPr>
            <w:tcW w:w="120" w:type="dxa"/>
            <w:tcBorders/>
            <w:shd w:fill="auto" w:val="clear"/>
            <w:vAlign w:val="center"/>
          </w:tcPr>
          <w:p>
            <w:pPr>
              <w:pStyle w:val="TableContents"/>
              <w:spacing w:before="0" w:after="283"/>
              <w:rPr/>
            </w:pPr>
            <w:r>
              <w:rPr/>
              <w:t>  </w:t>
            </w:r>
          </w:p>
        </w:tc>
        <w:tc>
          <w:tcPr>
            <w:tcW w:w="2180" w:type="dxa"/>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Useful lives (in years)</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Buildings</w:t>
            </w:r>
          </w:p>
        </w:tc>
        <w:tc>
          <w:tcPr>
            <w:tcW w:w="120" w:type="dxa"/>
            <w:tcBorders/>
            <w:shd w:fill="CCEEFF" w:val="clear"/>
            <w:vAlign w:val="center"/>
          </w:tcPr>
          <w:p>
            <w:pPr>
              <w:pStyle w:val="TableContents"/>
              <w:spacing w:before="0" w:after="283"/>
              <w:rPr/>
            </w:pPr>
            <w:r>
              <w:rPr/>
              <w:t>  </w:t>
            </w:r>
          </w:p>
        </w:tc>
        <w:tc>
          <w:tcPr>
            <w:tcW w:w="2180" w:type="dxa"/>
            <w:tcBorders/>
            <w:shd w:fill="CCEEFF" w:val="clear"/>
            <w:vAlign w:val="center"/>
          </w:tcPr>
          <w:p>
            <w:pPr>
              <w:pStyle w:val="TableContents"/>
              <w:spacing w:before="0" w:after="0"/>
              <w:jc w:val="center"/>
              <w:rPr>
                <w:spacing w:val="0"/>
              </w:rPr>
            </w:pPr>
            <w:r>
              <w:rPr>
                <w:spacing w:val="0"/>
              </w:rPr>
              <w:t>30-50</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Machinery and equipment</w:t>
            </w:r>
          </w:p>
        </w:tc>
        <w:tc>
          <w:tcPr>
            <w:tcW w:w="120" w:type="dxa"/>
            <w:tcBorders/>
            <w:shd w:fill="auto" w:val="clear"/>
            <w:vAlign w:val="center"/>
          </w:tcPr>
          <w:p>
            <w:pPr>
              <w:pStyle w:val="TableContents"/>
              <w:spacing w:before="0" w:after="283"/>
              <w:rPr/>
            </w:pPr>
            <w:r>
              <w:rPr/>
              <w:t>  </w:t>
            </w:r>
          </w:p>
        </w:tc>
        <w:tc>
          <w:tcPr>
            <w:tcW w:w="2180" w:type="dxa"/>
            <w:tcBorders/>
            <w:shd w:fill="auto" w:val="clear"/>
            <w:vAlign w:val="center"/>
          </w:tcPr>
          <w:p>
            <w:pPr>
              <w:pStyle w:val="TableContents"/>
              <w:spacing w:before="0" w:after="0"/>
              <w:jc w:val="center"/>
              <w:rPr>
                <w:spacing w:val="0"/>
              </w:rPr>
            </w:pPr>
            <w:r>
              <w:rPr>
                <w:spacing w:val="0"/>
              </w:rPr>
              <w:t>3-7</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Depreciation of PPE is included in costs of sales as well as selling or administrative expense, depending on the nature of the item being depreciated.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Tangible assets are derecognized upon disposal or when no future economic benefits are expected to arise from the continued use of the asset. Any gain or loss arising on the disposal or retirement is determined as the difference between the sales proceeds and the carrying amount of the asset and is recognized in the Consolidated Statement of Loss and Comprehensive Loss as other operating income and expense.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Impairment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impairment assessment, assets are grouped together into the smallest group of assets that generate cash inflows from continuing use that are largely independent of the cash inflows of other assets (i.e., a cash-generating-unit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utilized in Polestar Group’s operations.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 ended December 31, 2022, this discounted cash flow was calculated based on estimations regarding future cash flows as seen in the 2023-2027 business plan, a terminal growth rate of 2.0% for cash flows through the following 10 years, and an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after-tax</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discount rate of 14.0%. For the year ended December 31, 2022, this discounted cash flow was calculated based on estimations regarding future cash flows as seen in the 2021-2025 business plan, a terminal growth rate of 2.0% for cash flows through the following 10 years, and an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after-tax</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When the carrying amount of the CGU is determined to be greater than the recoverable amount, an impairment loss is recognized by first reducing the CGU’s goodwill and then reducing other assets in the CGU on a pro rata basis. For the years ended December 31, 2022 and 2021, no impairment losses were recognized. No impairment loss would have been recognized in the years ended December 31, 2022 and 2021 under a stress case scenario utilizing an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after-tax</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discount rate of 15.1% to calculate the recoverable amount of the CGU.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Financial instruments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instruments are any form of contract that gives rise to a financial asset in one company and a financial liability or equity instrument in another company.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F-29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Classification of financial assets and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classification of financial instruments is based on the business model in which these instruments are held, on their contractual cash flows and takes place at initial recognition. Assessments of the contractual cash flows are made on an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instrument-by-instrument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basis. Polestar Group applies one business model for interest-bearing instruments. All interest-bearing instruments are held to collect contractual cash flows and are carried at amortized cost.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Initial recognition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assets and liabilities are recognized on the Consolidated Statement of Financial Position on the date when Polestar Group becomes party to the contractual terms and conditions (i.e., the transaction date). Financial assets are initially recognized at the price that would be received when selling an asset in an orderly transaction between market participants at the measurement date (“Fair Value”), plus transaction costs directly attributable to the acquisition of the financial asset, except for those financial assets carried at fair value through the Consolidated Statement of Loss and Comprehensive Loss. Financial liabilities are initially recognized at the price that would be paid to transfer a liability in an orderly transaction between market participants at the measurement date (i.e., Fair Value).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Subsequent measurement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For the purpose of subsequent measurement, financial instruments are measured at amortized cost or financial fair value through profit or loss (“FVTPL”).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Financial instruments carried at FVTPL consist of financial assets with cash flows other than those of principal and interest on the nominal amount outstanding. Changes in fair value of these instruments are recognized in profit and loss as finance income (expense).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Financial instruments carried at amortized cost are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non-derivative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financial instruments with contractual cash flows that consist solely of payments of principal and interest on the nominal amount outstanding. These financial instruments are subsequently carried at amortized cost using the effective interest method. Gains and losses are recognized in the Consolidated Statement of Loss and Comprehensive Loss when the financial assets carried at amortized cost are impaired or derecognized. Interest effects on the application of the effective interest method are also recognized in the Consolidated Statement of Loss and Comprehensive Loss as well as effects from foreign currency translation.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Financial assets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assets on the Consolidated Statement of Financial Position consist of trade receivables, other current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assets, derivative assets, marketable securities and cash and cash equivalents.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 financial asset or a portion of a financial asset is derecognized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recognized.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Financial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liabilities in the Consolidated Statement of Financial Position encompass liabilities to credit institutions, trade payables, other current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liabilities, and derivative liabilities (i.e., Earn out rights and Class C Shares).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F-30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 financial liability or a portion of a financial liability is derecognized when the obligation in the contract has been fulfilled, cancelled or has expired.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classifies its derivative financial instruments and marketable securities as carried at FVTPL, while all other financial assets and liabilities are carried at amortized cost. Refer to Note 16 - Reverse recapitalization for additional information on the Earn out rights and the Class C Shares.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Impairment of financial assets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Group assesses, on a forward-looking basis, the expected credit loss associated with financial assets measured at amortized cost. For the initial recognition of financial assets carried at amortized cost, primarily trade receivables with similar risk characteristics, an analysis is made to identify the need for a provision for expected credit losses (“ECL”). The Group uses the simplified approach for estimating ECLs, which requires expected lifetime losses to be recognized from the initial recognition of the receivable. The Group considers historical credit loss experience, current economic conditions, supportable forecasts for future economic conditions, macroeconomic conditions (e.g., impacts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Covid-19</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pandemic), and other expectations of collectability. The ECL provision is reevaluated on an ongoing basis after initial recognition.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When an ECL is calculated, and if it is material, it is recognized in an allowance account which decreases the amount of gross trade receivables. The amount of the expected credit loss will be recognized as an expense in the Consolidated Statement of Loss and Comprehensive Loss. As of December 31, 2022 and 2021 no ECLs have been recognized for the Group’s financial assets, as historically credit losses have been nil, and no expected credit losses are in view.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Fair value measurement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 three-tiered hierarchy is established as a basis for considering such assumptions and for inputs used in the valuation methodologies in measuring fair value. This hierarchy requires that the Group use observable market data, when available, and minimize the use of unobservable inputs when determining fair value: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Level 1 – Quoted prices (unadjusted) in active markets for identical assets or liabilities.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Level 2 – Observable, market-based inputs, other than quoted prices, in active markets for identical assets or liabilities.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Level 3 – Unobservable inputs to the valuation methodology that are significant to the measurement of the fair value of the assets or liabilities.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Financial assets and liabilities of the Group primarily consist of cash and cash equivalents, marketable securities, restricted cash, trade receivables, trade payables, short-term and long-term borrowings,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rights, and Class C shares.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Valuation methodology for the fair value of the financial liability related to the </w:t>
      </w:r>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Class C-2</w:t>
      </w:r>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Shares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represents a derivative financial instrument that is carried at fair value through profit and loss (“FVTPL”) by reference to Level 2 measurement inputs because an observable price for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which are almost identical instruments, is available in the active market. Class C Shares are presented in current liabilities within the Consolidated Statement of Financial Position as they can be exercised by the holder at any time. The related liability is measured at fair value, with any changes in fair value recognized in earnings. The fair value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is determined using a binomial lattice option pricing model in a risk-neutral framework whereby the future prices of the Class A Shares are calculated assuming a geometric Brownian motion (“GBM”). For each future price,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payoff amount is calculated based on the contractual terms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including assumptions for optimal early exercise and redemption, and then discounted at the term-matched risk-free rate. The final fair value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is calculated as the probability-weighted present value over all modeled future payoff amounts. As of December 31, 2022, the fair value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was determined to equal $10,080 by leveraging the closing price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on the Nasdaq of $1.12 per share, an implied volatility of 89.0%, a risk-free rate of 4.0%, a dividend yield of nil, and a 1,000 time-steps for the binomial lattice option pricing model. Refer to Note 16 - Reverse recapitalization for more detail on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Valuation methodology for the fair value of the financial liability related to the Former Parent’s contingent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earn-out</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rights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liability is presented in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liabilities within the Consolidated Statement of Financial Position to align with the expected timing of the underlying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payments. The fair value of the earn out is determined using a Monte Carlo simulation that incorporates a term of 4.98 years, the five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tranches, and the probability of the Class A Shares in Parent reaching certain daily volume weighted average prices during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period resulting in the issuance of each tranche of Class A Shares and Class B Shares in Parent to the Former Parent. As of December 31, 2022, the fair value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was determined to equal $598,570 by leveraging an implied volatility of 75% and a risk-free rate of 4.0%. The implied volatility represents the most significant unobservable input utilized in this Level 3 valuation technique. The calculated fair value would increase (decrease) if the implied volatility were higher (lower). Refer to Note 16 - Reverse recapitalization for more detail on the Former Parent’s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rights.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Valuation methodology for the fair value of RSUs and PSUs granted to employees under the 2022 Omnibus Incentive Plan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fair value of the RSUs granted was determined by reference to the Group’s share price of $6.72 on the grant date (i.e., $6.72 per RSU). The fair value of PSUs granted was determined by calculating the weighted-average fair value of the 214,705 units linked to market-based vesting conditions and the 644,116 units linked to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non-market-based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vesting conditions. The units linked to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non-market-based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vesting conditions were fair valued by reference to the Group’s share price of $6.72 on the grant date (i.e., $6.72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non-market-based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vesting 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Note 7 - Share-based payment for more detail on the 2022 Omnibus Incentive Plan.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F-32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Inventories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 acquisition or manufacturing cost and net realizable value and consist primarily of finished goods as of December 31, 2022 and 2021. Net realizable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first-in,</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first-out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method (FIFO).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Equity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Distributed group contributions to the owners, along with the related tax effect, are recorded in equity in accordance with the principles for shareholder’s contributions. If any unconditional shareholder’s contributions are received from the main owner, they are recognized in equity.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Provisions and contingent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Provisions are recognized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provisions are recognized at present value by discounting the expected future cash flows at a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pre-tax</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rate reflecting current market assessments of the time value of money. The unwinding of the discount is expensed as incurred and recognized in the Consolidated Statement of Loss.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recognized as a financial cost.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Warranty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All warranty provisions are recognized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semi-annual basis, the provisions are adjusted to reflect the latest available data such as actual spend and exchange rates. The provisions are reduced by warranty reimbursements from suppliers. Such refunds from suppliers decrease Polestar Group’s warranty costs and are recognized to the extent these are considered to be virtually certain, based on historical experience or agreements entered into with suppliers.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Other provisions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Other provisions primarily comprise expected costs for provisions for the Group’s long-term incentive plan, short-term incentive plan, and other taxes and related charges. Other provisions can also include provisions for claims and litigation and anticipated losses, giving consideration to historical trends, various other risks, and specific agreements related to recoveries provided by suppliers which cannot be allocated to any other class of provision.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Contingent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Assets held for sale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assets, groups of assets, and liabilities which comprise disposal groups are presented as assets held for sale where the asset or disposal group is available for immediate sale in its present condition and the sale is highly probable. For a sale to be highly probable related to an asset held for sale or disposal group, management must be committed to a plan to achieve the sale, there must be an active program to find a buyer,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asset or disposal group must be actively marketed for sale at a price that is reasonable in relation to its current fair value, and the sale must be anticipated to be completed within one year from the date of classification.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its Consolidated Statement of Financial Position, Polestar records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assets and disposal groups held for sale, that are not investment properties, at the lower of carrying amount and fair value less costs to sell. Any gain or loss arising from the change in measurement basis as a result of reclassification is recognized in the profit or loss at the time of reclassification.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Where a component of an entity has been disposed of, or is classified as held for sale, and it represents a separate major line of business or geographical area of operations or is a subsidiary acquired exclusively with a view to resale, the related results of operations and gain or loss on reclassification or disposition are presented in discontinued operations. As of December 31, 2022 Polestar’s held for sale asset does not represent a separate major line of business or geographical area, nor is it a subsidiary acquired exclusively with a view to resale; therefore,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asset is not presented as a discontinued operation.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Borrowing costs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Borrowing costs are expensed as incurred unless they are directly attributable to the acquisition, construction or production of a qualifying asset and are therefore part of the cost of that asset.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2 - Financial risk management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Management of financial risks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a result of its business and the global nature of its operations, Polestar Group is exposed to market risks from changes in foreign currency exchange rates, interest rate risk, credit risk and liquidity risk.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Foreign currency exchange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global nature of Polestar Group’s business exposes the Group’s cash flows to risks arising from fluctuations in currency exchange rates. Changes in currency exchange rates have a direct impact on Polestar Group’s Operating income, Finance income, Finance expense, Consolidated Statement of Financial Position and Consolidated Statement of Cash Flows. To mitigate the impact of currency exchange rate fluctuations on business operations, the Group continually assesses its exposure to exchange rate risks.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Transaction and translation exposure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Currency transaction risk arises from future commercial transactions and settlement of recognized assets and liabilities denominated in a currency that is not the functional currency of the relevant Group entity. Primarily, the Group is exposed to currency transaction risk in Group companies with SEK as the functional currency. The primary risks in these companies are SEK/CNY, USD/SEK and EUR/SEK due to trade receivables, trade payables, and short-term credit facilities.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example, Polestar purchases vehicles via a SEK denominated legal entity from Volvo Cars’ CNY denominated Taizhou plant in China (see Note 25 - Related party transactions for further discussion on contract manufacturing arrangements). Under this contract manufacturing arrangement with Volvo Cars, Polestar’s purchasing entity bears the currency transaction risk upon purchasing and recognizing the vehicles in inventories, which are denominated in SEK. As the SEK/CNY exchange rate fluctuates, the amount of SEK required to purchase a vehicle in CNY has a corresponding fluctuation. During the year ended December 31, 2022, the SEK deteriorated against the CNY by approximately 5.7%, from 0.70 SEK/CNY on January 1, 2022 to 0.66 SEK/CNY as of December 31, 2022. During the comparative period, the SEK deteriorated against the CNY by approximately 11.4%, from 0.79 SEK/CNY on January 1, 2021 to 0.70 SEK/CNY as of December 31, 2021. In total, since January 1, 2021, the SEK foreign exchange rate deteriorated against the CNY by approximately 16%, indicating that the cost per vehicle purchased has increased over time as Polestar has been required to spend more SEK for every vehicle purchased in CNY.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Currency translation risk arises from the consolidation of foreign subsidiaries that maintain net assets denominated in their respective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Loss and Comprehensive Loss. The Group is primarily exposed to currency translation risk from subsidiaries with functional currencies in the Swedish Krona (“SEK”), the Euro (“EUR”) and the Chinese yuan (“CNY”).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During the year ended December 31, 2022, the Group was primarily exposed to changes in SEK/CNY, EUR/SEK and GBP/SEK foreign exchange rates. The following table illustrates the estimated impact of a 10% change in these foreign exchange rates: </w:t>
      </w:r>
    </w:p>
    <w:p>
      <w:pPr>
        <w:pStyle w:val="TextBody"/>
        <w:spacing w:before="0" w:after="0"/>
        <w:jc w:val="left"/>
        <w:rPr>
          <w:highlight w:val="white"/>
        </w:rPr>
      </w:pPr>
      <w:r>
        <w:rPr>
          <w:highlight w:val="white"/>
        </w:rPr>
        <w:t> </w:t>
      </w:r>
    </w:p>
    <w:tbl>
      <w:tblPr>
        <w:tblW w:w="6360" w:type="dxa"/>
        <w:jc w:val="left"/>
        <w:tblInd w:w="0" w:type="dxa"/>
        <w:tblCellMar>
          <w:top w:w="0" w:type="dxa"/>
          <w:left w:w="0" w:type="dxa"/>
          <w:bottom w:w="0" w:type="dxa"/>
          <w:right w:w="0" w:type="dxa"/>
        </w:tblCellMar>
      </w:tblPr>
      <w:tblGrid>
        <w:gridCol w:w="4010"/>
        <w:gridCol w:w="120"/>
        <w:gridCol w:w="67"/>
        <w:gridCol w:w="650"/>
        <w:gridCol w:w="67"/>
        <w:gridCol w:w="134"/>
        <w:gridCol w:w="67"/>
        <w:gridCol w:w="1170"/>
        <w:gridCol w:w="75"/>
      </w:tblGrid>
      <w:tr>
        <w:trPr/>
        <w:tc>
          <w:tcPr>
            <w:tcW w:w="4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Impact on loss</w:t>
              <w:br/>
              <w:t>before income taxes</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SEK/CNY exchange rate - increase/decrease 10%</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0"/>
              <w:jc w:val="right"/>
              <w:rPr>
                <w:spacing w:val="0"/>
              </w:rPr>
            </w:pPr>
            <w:r>
              <w:rPr>
                <w:spacing w:val="0"/>
              </w:rPr>
              <w:t>      </w:t>
            </w:r>
            <w:r>
              <w:rPr>
                <w:spacing w:val="0"/>
              </w:rPr>
              <w:t>-/+</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    </w:t>
            </w:r>
            <w:r>
              <w:rPr/>
              <w:t>210,810</w:t>
            </w:r>
          </w:p>
        </w:tc>
        <w:tc>
          <w:tcPr>
            <w:tcW w:w="75" w:type="dxa"/>
            <w:tcBorders/>
            <w:shd w:fill="CCEEFF"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USD/SEK exchange rate - increase/decrease 10%</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45,359</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EUR/SEK exchange rate - increase/decrease 10%</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35,831</w:t>
            </w:r>
          </w:p>
        </w:tc>
        <w:tc>
          <w:tcPr>
            <w:tcW w:w="75" w:type="dxa"/>
            <w:tcBorders/>
            <w:shd w:fill="CCEEFF"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GBP/SEK exchange rate - increase/decrease 10%</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30,201</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NOK/SEK exchange rate - increase/decrease 10%</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16,118</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During the year ended December 31, 2021, the Group was primarily exposed to changes in SEK/CNY, USD/SEK, and EUR/SEK foreign exchange rates. The following table illustrates the estimated impact of a 10% change in these foreign exchange rates: </w:t>
      </w:r>
    </w:p>
    <w:p>
      <w:pPr>
        <w:pStyle w:val="TextBody"/>
        <w:spacing w:before="0" w:after="0"/>
        <w:jc w:val="left"/>
        <w:rPr>
          <w:highlight w:val="white"/>
        </w:rPr>
      </w:pPr>
      <w:r>
        <w:rPr>
          <w:highlight w:val="white"/>
        </w:rPr>
        <w:t> </w:t>
      </w:r>
    </w:p>
    <w:tbl>
      <w:tblPr>
        <w:tblW w:w="6311" w:type="dxa"/>
        <w:jc w:val="left"/>
        <w:tblInd w:w="0" w:type="dxa"/>
        <w:tblCellMar>
          <w:top w:w="0" w:type="dxa"/>
          <w:left w:w="0" w:type="dxa"/>
          <w:bottom w:w="0" w:type="dxa"/>
          <w:right w:w="0" w:type="dxa"/>
        </w:tblCellMar>
      </w:tblPr>
      <w:tblGrid>
        <w:gridCol w:w="4010"/>
        <w:gridCol w:w="120"/>
        <w:gridCol w:w="65"/>
        <w:gridCol w:w="650"/>
        <w:gridCol w:w="65"/>
        <w:gridCol w:w="130"/>
        <w:gridCol w:w="65"/>
        <w:gridCol w:w="1131"/>
        <w:gridCol w:w="75"/>
      </w:tblGrid>
      <w:tr>
        <w:trPr/>
        <w:tc>
          <w:tcPr>
            <w:tcW w:w="4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6"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Impact on loss</w:t>
              <w:br/>
              <w:t>before income taxes</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SEK/CNY exchange rate - increase/decrease 10%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      </w:t>
            </w:r>
            <w:r>
              <w:rPr/>
              <w:t>+/-</w:t>
            </w:r>
          </w:p>
        </w:tc>
        <w:tc>
          <w:tcPr>
            <w:tcW w:w="65"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r>
              <w:rPr/>
              <w:t>111,743</w:t>
            </w:r>
          </w:p>
        </w:tc>
        <w:tc>
          <w:tcPr>
            <w:tcW w:w="75" w:type="dxa"/>
            <w:tcBorders/>
            <w:shd w:fill="CCEEFF"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USD/SEK exchange rate - increase/decrease 10%</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65"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56,052</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EUR/SEK exchange rate - increase/decrease 10%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w:t>
            </w:r>
          </w:p>
        </w:tc>
        <w:tc>
          <w:tcPr>
            <w:tcW w:w="65"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46,871</w:t>
            </w:r>
          </w:p>
        </w:tc>
        <w:tc>
          <w:tcPr>
            <w:tcW w:w="75" w:type="dxa"/>
            <w:tcBorders/>
            <w:shd w:fill="CCEEFF"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GBP/SEK exchange rate - increase/decrease 10%</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65"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41,688</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NOK/SEK exchange rate - increase/decrease 10%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w:t>
            </w:r>
          </w:p>
        </w:tc>
        <w:tc>
          <w:tcPr>
            <w:tcW w:w="65"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36,493</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During the year ended December 31, 2020, the Group was primarily exposed to changes in the EUR/CNY and EUR/SEK foreign exchange rate. The following table illustrates the impact of a 10% change in these foreign exchange rates: </w:t>
      </w:r>
    </w:p>
    <w:p>
      <w:pPr>
        <w:pStyle w:val="TextBody"/>
        <w:spacing w:before="0" w:after="0"/>
        <w:jc w:val="left"/>
        <w:rPr>
          <w:highlight w:val="white"/>
        </w:rPr>
      </w:pPr>
      <w:r>
        <w:rPr>
          <w:highlight w:val="white"/>
        </w:rPr>
        <w:t> </w:t>
      </w:r>
    </w:p>
    <w:tbl>
      <w:tblPr>
        <w:tblW w:w="6311" w:type="dxa"/>
        <w:jc w:val="left"/>
        <w:tblInd w:w="0" w:type="dxa"/>
        <w:tblCellMar>
          <w:top w:w="0" w:type="dxa"/>
          <w:left w:w="0" w:type="dxa"/>
          <w:bottom w:w="0" w:type="dxa"/>
          <w:right w:w="0" w:type="dxa"/>
        </w:tblCellMar>
      </w:tblPr>
      <w:tblGrid>
        <w:gridCol w:w="4010"/>
        <w:gridCol w:w="120"/>
        <w:gridCol w:w="65"/>
        <w:gridCol w:w="650"/>
        <w:gridCol w:w="65"/>
        <w:gridCol w:w="130"/>
        <w:gridCol w:w="65"/>
        <w:gridCol w:w="1131"/>
        <w:gridCol w:w="75"/>
      </w:tblGrid>
      <w:tr>
        <w:trPr/>
        <w:tc>
          <w:tcPr>
            <w:tcW w:w="4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6"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Impact on loss</w:t>
              <w:br/>
              <w:t>before income taxes</w:t>
            </w:r>
          </w:p>
        </w:tc>
        <w:tc>
          <w:tcPr>
            <w:tcW w:w="75"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SEK/CNY exchange rate - increase/decrease 10%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      </w:t>
            </w:r>
            <w:r>
              <w:rPr/>
              <w:t>+/-</w:t>
            </w:r>
          </w:p>
        </w:tc>
        <w:tc>
          <w:tcPr>
            <w:tcW w:w="65"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r>
              <w:rPr/>
              <w:t>86,794</w:t>
            </w:r>
          </w:p>
        </w:tc>
        <w:tc>
          <w:tcPr>
            <w:tcW w:w="75" w:type="dxa"/>
            <w:tcBorders/>
            <w:shd w:fill="CCEEFF"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EUR/SEK exchange rate - increase/decrease 10%</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65"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34,732</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Other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Group is exposed to market volatility risk through the financial liabilities for the Class C Shares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rights. These instruments are carried at fair value with subsequent changes in fair value recognized in the Consolidated Statement of Loss and Comprehensive Loss at each reporting date.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are publicly traded on the Nasdaq.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rights are not publicly traded and require Level 2 and Level 3 fair value measurements, respectively. Refer to Note 1 - Significant accounting policies and judgements and Note 16 - Reverse recapitalization for further details on the Class C Shares,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rights, and related valuation methodologies. The following table illustrates the estimated impact of a 10% change in market volatility: </w:t>
      </w:r>
    </w:p>
    <w:p>
      <w:pPr>
        <w:pStyle w:val="TextBody"/>
        <w:spacing w:before="0" w:after="0"/>
        <w:jc w:val="left"/>
        <w:rPr>
          <w:highlight w:val="white"/>
        </w:rPr>
      </w:pPr>
      <w:r>
        <w:rPr>
          <w:highlight w:val="white"/>
        </w:rPr>
        <w:t> </w:t>
      </w:r>
    </w:p>
    <w:tbl>
      <w:tblPr>
        <w:tblW w:w="4260" w:type="dxa"/>
        <w:jc w:val="left"/>
        <w:tblInd w:w="0" w:type="dxa"/>
        <w:tblCellMar>
          <w:top w:w="0" w:type="dxa"/>
          <w:left w:w="0" w:type="dxa"/>
          <w:bottom w:w="0" w:type="dxa"/>
          <w:right w:w="0" w:type="dxa"/>
        </w:tblCellMar>
      </w:tblPr>
      <w:tblGrid>
        <w:gridCol w:w="1955"/>
        <w:gridCol w:w="120"/>
        <w:gridCol w:w="65"/>
        <w:gridCol w:w="559"/>
        <w:gridCol w:w="65"/>
        <w:gridCol w:w="130"/>
        <w:gridCol w:w="65"/>
        <w:gridCol w:w="1131"/>
        <w:gridCol w:w="170"/>
      </w:tblGrid>
      <w:tr>
        <w:trPr/>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9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Impact on loss</w:t>
            </w:r>
          </w:p>
          <w:p>
            <w:pPr>
              <w:pStyle w:val="TableContents"/>
              <w:spacing w:before="0" w:after="0"/>
              <w:jc w:val="center"/>
              <w:rPr/>
            </w:pPr>
            <w:r>
              <w:rPr/>
            </w:r>
          </w:p>
          <w:p>
            <w:pPr>
              <w:pStyle w:val="TableContents"/>
              <w:spacing w:before="0" w:after="0"/>
              <w:jc w:val="center"/>
              <w:rPr>
                <w:b/>
                <w:spacing w:val="0"/>
              </w:rPr>
            </w:pPr>
            <w:r>
              <w:rPr>
                <w:b/>
                <w:spacing w:val="0"/>
              </w:rPr>
              <w:t>before income taxes</w:t>
            </w:r>
          </w:p>
        </w:tc>
        <w:tc>
          <w:tcPr>
            <w:tcW w:w="170" w:type="dxa"/>
            <w:tcBorders/>
            <w:shd w:fill="auto" w:val="clear"/>
            <w:vAlign w:val="center"/>
          </w:tcPr>
          <w:p>
            <w:pPr>
              <w:pStyle w:val="TableContents"/>
              <w:spacing w:before="0" w:after="283"/>
              <w:rPr/>
            </w:pPr>
            <w:r>
              <w:rPr/>
              <w:t> </w:t>
            </w:r>
          </w:p>
        </w:tc>
      </w:tr>
      <w:tr>
        <w:trPr/>
        <w:tc>
          <w:tcPr>
            <w:tcW w:w="19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liability - increase 10%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559" w:type="dxa"/>
            <w:tcBorders/>
            <w:shd w:fill="CCEEFF" w:val="clear"/>
            <w:vAlign w:val="center"/>
          </w:tcPr>
          <w:p>
            <w:pPr>
              <w:pStyle w:val="TableContents"/>
              <w:spacing w:before="0" w:after="283"/>
              <w:jc w:val="right"/>
              <w:rPr/>
            </w:pPr>
            <w:r>
              <w:rPr/>
              <w:t>      </w:t>
            </w:r>
            <w:r>
              <w:rPr/>
              <w:t>+</w:t>
            </w:r>
          </w:p>
        </w:tc>
        <w:tc>
          <w:tcPr>
            <w:tcW w:w="65"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r>
              <w:rPr/>
              <w:t>60,531</w:t>
            </w:r>
          </w:p>
        </w:tc>
        <w:tc>
          <w:tcPr>
            <w:tcW w:w="170" w:type="dxa"/>
            <w:tcBorders/>
            <w:shd w:fill="CCEEFF"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liability - decrease 10%</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559" w:type="dxa"/>
            <w:tcBorders/>
            <w:shd w:fill="auto" w:val="clear"/>
            <w:vAlign w:val="center"/>
          </w:tcPr>
          <w:p>
            <w:pPr>
              <w:pStyle w:val="TableContents"/>
              <w:spacing w:before="0" w:after="283"/>
              <w:jc w:val="right"/>
              <w:rPr/>
            </w:pPr>
            <w:r>
              <w:rPr/>
              <w:t>-</w:t>
            </w:r>
          </w:p>
        </w:tc>
        <w:tc>
          <w:tcPr>
            <w:tcW w:w="65"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(55,828</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7780" w:type="dxa"/>
        <w:jc w:val="left"/>
        <w:tblInd w:w="0" w:type="dxa"/>
        <w:tblCellMar>
          <w:top w:w="0" w:type="dxa"/>
          <w:left w:w="0" w:type="dxa"/>
          <w:bottom w:w="0" w:type="dxa"/>
          <w:right w:w="0" w:type="dxa"/>
        </w:tblCellMar>
      </w:tblPr>
      <w:tblGrid>
        <w:gridCol w:w="3395"/>
        <w:gridCol w:w="60"/>
        <w:gridCol w:w="76"/>
        <w:gridCol w:w="196"/>
        <w:gridCol w:w="76"/>
        <w:gridCol w:w="152"/>
        <w:gridCol w:w="76"/>
        <w:gridCol w:w="1394"/>
        <w:gridCol w:w="155"/>
        <w:gridCol w:w="60"/>
        <w:gridCol w:w="107"/>
        <w:gridCol w:w="1863"/>
        <w:gridCol w:w="170"/>
      </w:tblGrid>
      <w:tr>
        <w:trPr/>
        <w:tc>
          <w:tcPr>
            <w:tcW w:w="3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5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Impact on loss</w:t>
            </w:r>
          </w:p>
          <w:p>
            <w:pPr>
              <w:pStyle w:val="TableContents"/>
              <w:spacing w:before="0" w:after="0"/>
              <w:jc w:val="center"/>
              <w:rPr/>
            </w:pPr>
            <w:r>
              <w:rPr/>
            </w:r>
          </w:p>
          <w:p>
            <w:pPr>
              <w:pStyle w:val="TableContents"/>
              <w:spacing w:before="0" w:after="0"/>
              <w:jc w:val="center"/>
              <w:rPr>
                <w:b/>
                <w:spacing w:val="0"/>
              </w:rPr>
            </w:pPr>
            <w:r>
              <w:rPr>
                <w:b/>
                <w:spacing w:val="0"/>
              </w:rPr>
              <w:t>before income taxes</w:t>
            </w:r>
          </w:p>
        </w:tc>
        <w:tc>
          <w:tcPr>
            <w:tcW w:w="170" w:type="dxa"/>
            <w:tcBorders/>
            <w:shd w:fill="auto"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 change -</w:t>
            </w:r>
          </w:p>
          <w:p>
            <w:pPr>
              <w:pStyle w:val="TableContents"/>
              <w:spacing w:before="0" w:after="0"/>
              <w:jc w:val="center"/>
              <w:rPr/>
            </w:pPr>
            <w:r>
              <w:rPr/>
            </w:r>
          </w:p>
          <w:p>
            <w:pPr>
              <w:pStyle w:val="TableContents"/>
              <w:spacing w:before="0" w:after="0"/>
              <w:jc w:val="center"/>
              <w:rPr>
                <w:b/>
                <w:spacing w:val="0"/>
              </w:rPr>
            </w:pPr>
            <w:r>
              <w:rPr>
                <w:b/>
                <w:spacing w:val="0"/>
              </w:rPr>
              <w:t>Class C-1 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 change -</w:t>
            </w:r>
          </w:p>
          <w:p>
            <w:pPr>
              <w:pStyle w:val="TableContents"/>
              <w:spacing w:before="0" w:after="0"/>
              <w:jc w:val="center"/>
              <w:rPr/>
            </w:pPr>
            <w:r>
              <w:rPr/>
            </w:r>
          </w:p>
          <w:p>
            <w:pPr>
              <w:pStyle w:val="TableContents"/>
              <w:spacing w:before="0" w:after="0"/>
              <w:jc w:val="center"/>
              <w:rPr>
                <w:b/>
                <w:spacing w:val="0"/>
              </w:rPr>
            </w:pPr>
            <w:r>
              <w:rPr>
                <w:b/>
                <w:spacing w:val="0"/>
              </w:rPr>
              <w:t>Class C-2 Shares</w:t>
            </w:r>
          </w:p>
        </w:tc>
        <w:tc>
          <w:tcPr>
            <w:tcW w:w="17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Class C Shares liability - increase of 10%</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right"/>
              <w:rPr/>
            </w:pPr>
            <w:r>
              <w:rPr/>
              <w:t>+</w:t>
            </w:r>
          </w:p>
        </w:tc>
        <w:tc>
          <w:tcPr>
            <w:tcW w:w="76"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394" w:type="dxa"/>
            <w:tcBorders/>
            <w:shd w:fill="CCEEFF" w:val="clear"/>
            <w:vAlign w:val="center"/>
          </w:tcPr>
          <w:p>
            <w:pPr>
              <w:pStyle w:val="TableContents"/>
              <w:spacing w:before="0" w:after="283"/>
              <w:jc w:val="right"/>
              <w:rPr/>
            </w:pPr>
            <w:r>
              <w:rPr/>
              <w:t>            </w:t>
            </w:r>
            <w:r>
              <w:rPr/>
              <w:t>800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863" w:type="dxa"/>
            <w:tcBorders/>
            <w:shd w:fill="CCEEFF" w:val="clear"/>
            <w:vAlign w:val="center"/>
          </w:tcPr>
          <w:p>
            <w:pPr>
              <w:pStyle w:val="TableContents"/>
              <w:spacing w:before="0" w:after="283"/>
              <w:jc w:val="right"/>
              <w:rPr/>
            </w:pPr>
            <w:r>
              <w:rPr/>
              <w:t>           </w:t>
            </w:r>
            <w:r>
              <w:rPr/>
              <w:t>450</w:t>
            </w:r>
          </w:p>
        </w:tc>
        <w:tc>
          <w:tcPr>
            <w:tcW w:w="170"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Class C Shares liability - decrease of 10%</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right"/>
              <w:rPr/>
            </w:pPr>
            <w:r>
              <w:rPr/>
              <w:t>-</w:t>
            </w:r>
          </w:p>
        </w:tc>
        <w:tc>
          <w:tcPr>
            <w:tcW w:w="7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jc w:val="right"/>
              <w:rPr/>
            </w:pPr>
            <w:r>
              <w:rPr/>
              <w:t>(960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863" w:type="dxa"/>
            <w:tcBorders/>
            <w:shd w:fill="auto" w:val="clear"/>
            <w:vAlign w:val="center"/>
          </w:tcPr>
          <w:p>
            <w:pPr>
              <w:pStyle w:val="TableContents"/>
              <w:spacing w:before="0" w:after="283"/>
              <w:jc w:val="right"/>
              <w:rPr/>
            </w:pPr>
            <w:r>
              <w:rPr/>
              <w:t>(540</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Interest rate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Polestar Group’s main interest rate risk arises from short-term liabilities to credit institutions with variable rates, which exposes the Group to cash flow interest rate risk. As of December 31, 2022 and 2021, the nominal amount of liabilities to credit institutions with floating interest rates was $819,390 and $642,338,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table below shows the estimated effect on profit or loss and equity of a parallel shift of the interest rate curves up or down by one percent on all loans. 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2022 and 2021. </w:t>
      </w:r>
    </w:p>
    <w:p>
      <w:pPr>
        <w:pStyle w:val="TextBody"/>
        <w:spacing w:before="0" w:after="0"/>
        <w:jc w:val="left"/>
        <w:rPr>
          <w:highlight w:val="white"/>
        </w:rPr>
      </w:pPr>
      <w:r>
        <w:rPr>
          <w:highlight w:val="white"/>
        </w:rPr>
        <w:t> </w:t>
      </w:r>
    </w:p>
    <w:tbl>
      <w:tblPr>
        <w:tblW w:w="6700" w:type="dxa"/>
        <w:jc w:val="left"/>
        <w:tblInd w:w="0" w:type="dxa"/>
        <w:tblCellMar>
          <w:top w:w="0" w:type="dxa"/>
          <w:left w:w="0" w:type="dxa"/>
          <w:bottom w:w="0" w:type="dxa"/>
          <w:right w:w="0" w:type="dxa"/>
        </w:tblCellMar>
      </w:tblPr>
      <w:tblGrid>
        <w:gridCol w:w="3185"/>
        <w:gridCol w:w="120"/>
        <w:gridCol w:w="60"/>
        <w:gridCol w:w="470"/>
        <w:gridCol w:w="60"/>
        <w:gridCol w:w="120"/>
        <w:gridCol w:w="60"/>
        <w:gridCol w:w="800"/>
        <w:gridCol w:w="60"/>
        <w:gridCol w:w="120"/>
        <w:gridCol w:w="60"/>
        <w:gridCol w:w="470"/>
        <w:gridCol w:w="60"/>
        <w:gridCol w:w="120"/>
        <w:gridCol w:w="60"/>
        <w:gridCol w:w="800"/>
        <w:gridCol w:w="75"/>
      </w:tblGrid>
      <w:tr>
        <w:trPr/>
        <w:tc>
          <w:tcPr>
            <w:tcW w:w="31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20"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Impact on loss before income</w:t>
              <w:br/>
              <w:t>taxes</w:t>
            </w:r>
          </w:p>
        </w:tc>
        <w:tc>
          <w:tcPr>
            <w:tcW w:w="75"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rates - increase/decrease by 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70" w:type="dxa"/>
            <w:tcBorders/>
            <w:shd w:fill="CCEEFF" w:val="clear"/>
            <w:vAlign w:val="center"/>
          </w:tcPr>
          <w:p>
            <w:pPr>
              <w:pStyle w:val="TableContents"/>
              <w:spacing w:before="0" w:after="283"/>
              <w:jc w:val="right"/>
              <w:rPr/>
            </w:pPr>
            <w:r>
              <w:rPr/>
              <w:t>   </w:t>
            </w: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r>
              <w:rPr/>
              <w:t>5,219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70" w:type="dxa"/>
            <w:tcBorders/>
            <w:shd w:fill="CCEEFF" w:val="clear"/>
            <w:vAlign w:val="center"/>
          </w:tcPr>
          <w:p>
            <w:pPr>
              <w:pStyle w:val="TableContents"/>
              <w:spacing w:before="0" w:after="283"/>
              <w:jc w:val="right"/>
              <w:rPr/>
            </w:pPr>
            <w:r>
              <w:rPr/>
              <w:t>   </w:t>
            </w: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r>
              <w:rPr/>
              <w:t>1,791</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Credit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Financial credit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Financial credit risk on financial transactions is the risk that Polestar Group will incur losses as a result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non-payment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by counterparties related to the Group’s bank accounts, bank deposits, derivative transactions, and other liquid assets. In order to minimize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2022 and 2021 were in the range of BBB to A+.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Operational credit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2022, an unrelated party accounted for $26,649 (13.1%) of the Group’s total trade receivables (i.e., trade receivables plus trade receivables - related parties). As of December 31, 2021, an unrelated party accounted for $23,031 (12.5%) of the Group’s total trade receivables. Historically, the Group has not incurred any losses from these customers and does not have any contractual right to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off-set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its payables and receivables.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Polestar has five categories of customers when considering sales of vehicles: (1) end customers who pay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up-front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vehicles, (2) fleet customers, (3) dealers, (4) importers, and (5) financial service providers. All credit risk related to sales to end customers who pay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up-front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15 - Financial instruments for further details.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Liquidity risk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25 -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and 2021, the Group held cash and cash equivalents of $973,877 and $756,677, respectively, that were available for managing liquidity risk. The Group entered into short-term financing arrangements with credit institutions and other financial service providers to enhance short term liquidity and financing needs. Refer to Note 23 - Liabilities to credit institutions for further details on short-term borrowings. The Group’s short-term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mid-term</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liquidity management takes into account the maturities of financial assets and financial liabilities and estimates of cash flows from business operations.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Management has established an appropriate liquidity risk management framework for management of the Group’s short, medium and long-term funding and liquidity management requirements and the Group prepares long-term planning in order to mitigate funding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re-financing</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risks. Depending on liquidity needs, Polestar Group will enter into financing and debt agreements and/or lending agreements. All draws on loans are evaluated against future liquidity needs and investment plans.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Capital management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total equity as shown on the Consolidated Statement of Financial Position plus total borrowings and lease liabilities, less cash and cash equivalents.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3 - Common control transaction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September 14, 2020, Polestar Automotive (Shanghai) Co., Ltd (incorporated in the People’s Republic of China) (“Old Parent”) along with its consolidated subsidiaries (“Former Group”) was restructured so that 100% of ownership interests in the Former Group were transitioned from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(“IFRS 3”), because (1) the New Parent was a shell company that did not meet the definition of a business at the time of the transaction, (2) ultimate control of the Former Group was the same before and after the transaction, and (3) control of the Former Group was not transitory (i.e., organized to effect a ‘grooming’ transaction).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Accordingly,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paid-in</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capital, as adjusted by accumulated losses and cumulative translation adjustments. Under the New Parent’s private company limited structure in Hong Kong, share capital was introduced to the Former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Consideration transferred for the Former Group from the New Parent to the Old Parent under the restructuring was equal to the initial investment of the controlling owners in the Former Group. However, when the Polestar Group was separated from the Old Parent, the intercompany relationship between the Old Parent and the Former Group was severed. This resulted in the realization of accumulated gains in equity of $5,801 in the Old Parent, which were historically eliminated upon consolidation. The $5,801 adjustment to equity does not reflect cash consideration transferred, but rather,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non-cash</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impact of separating intercompany interests and changing parent entities under the same controlling owners.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4 - Revenue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 disaggregates revenue by major category based on the primary economic factors that may impact the nature, amount, timing, and uncertainty of revenue and cash flows from these customer contracts as seen in the table below: </w:t>
      </w:r>
    </w:p>
    <w:p>
      <w:pPr>
        <w:pStyle w:val="TextBody"/>
        <w:spacing w:before="0" w:after="0"/>
        <w:jc w:val="left"/>
        <w:rPr>
          <w:highlight w:val="white"/>
        </w:rPr>
      </w:pPr>
      <w:r>
        <w:rPr>
          <w:highlight w:val="white"/>
        </w:rPr>
        <w:t> </w:t>
      </w:r>
    </w:p>
    <w:tbl>
      <w:tblPr>
        <w:tblW w:w="7673" w:type="dxa"/>
        <w:jc w:val="left"/>
        <w:tblInd w:w="0" w:type="dxa"/>
        <w:tblCellMar>
          <w:top w:w="0" w:type="dxa"/>
          <w:left w:w="0" w:type="dxa"/>
          <w:bottom w:w="0" w:type="dxa"/>
          <w:right w:w="0" w:type="dxa"/>
        </w:tblCellMar>
      </w:tblPr>
      <w:tblGrid>
        <w:gridCol w:w="4070"/>
        <w:gridCol w:w="120"/>
        <w:gridCol w:w="62"/>
        <w:gridCol w:w="1012"/>
        <w:gridCol w:w="62"/>
        <w:gridCol w:w="124"/>
        <w:gridCol w:w="62"/>
        <w:gridCol w:w="1012"/>
        <w:gridCol w:w="62"/>
        <w:gridCol w:w="124"/>
        <w:gridCol w:w="62"/>
        <w:gridCol w:w="826"/>
        <w:gridCol w:w="75"/>
      </w:tblGrid>
      <w:tr>
        <w:trPr/>
        <w:tc>
          <w:tcPr>
            <w:tcW w:w="4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8"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vehicles</w:t>
            </w:r>
          </w:p>
          <w:p>
            <w:pPr>
              <w:pStyle w:val="TableContents"/>
              <w:spacing w:before="0" w:after="0"/>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2,404,246</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1,290,031</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542,783</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21,308</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25,881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35,434</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Sales of carbon credits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10,984</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6,299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27,141</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Vehicle leasing revenue</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16,719</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12" w:type="dxa"/>
            <w:tcBorders/>
            <w:shd w:fill="auto" w:val="clear"/>
            <w:vAlign w:val="center"/>
          </w:tcPr>
          <w:p>
            <w:pPr>
              <w:pStyle w:val="TableContents"/>
              <w:spacing w:before="0" w:after="283"/>
              <w:jc w:val="right"/>
              <w:rPr/>
            </w:pPr>
            <w:r>
              <w:rPr/>
              <w:t>6,217</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revenue</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8,639</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012" w:type="dxa"/>
            <w:tcBorders/>
            <w:shd w:fill="CCEEFF" w:val="clear"/>
            <w:vAlign w:val="center"/>
          </w:tcPr>
          <w:p>
            <w:pPr>
              <w:pStyle w:val="TableContents"/>
              <w:spacing w:before="0" w:after="283"/>
              <w:jc w:val="right"/>
              <w:rPr/>
            </w:pPr>
            <w:r>
              <w:rPr/>
              <w:t>8,753</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jc w:val="right"/>
              <w:rPr/>
            </w:pPr>
            <w:r>
              <w:rPr/>
              <w:t>4,887</w:t>
            </w:r>
          </w:p>
        </w:tc>
        <w:tc>
          <w:tcPr>
            <w:tcW w:w="75" w:type="dxa"/>
            <w:tcBorders/>
            <w:shd w:fill="CCEEFF"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1012" w:type="dxa"/>
            <w:tcBorders/>
            <w:shd w:fill="auto" w:val="clear"/>
            <w:vAlign w:val="center"/>
          </w:tcPr>
          <w:p>
            <w:pPr>
              <w:pStyle w:val="TableContents"/>
              <w:spacing w:before="0" w:after="0"/>
              <w:jc w:val="right"/>
              <w:rPr>
                <w:b/>
                <w:spacing w:val="0"/>
              </w:rPr>
            </w:pPr>
            <w:r>
              <w:rPr>
                <w:b/>
                <w:spacing w:val="0"/>
              </w:rPr>
              <w:t>2,461,896</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1012" w:type="dxa"/>
            <w:tcBorders/>
            <w:shd w:fill="auto" w:val="clear"/>
            <w:vAlign w:val="center"/>
          </w:tcPr>
          <w:p>
            <w:pPr>
              <w:pStyle w:val="TableContents"/>
              <w:spacing w:before="0" w:after="0"/>
              <w:jc w:val="right"/>
              <w:rPr>
                <w:b/>
                <w:spacing w:val="0"/>
              </w:rPr>
            </w:pPr>
            <w:r>
              <w:rPr>
                <w:b/>
                <w:spacing w:val="0"/>
              </w:rPr>
              <w:t>1,337,181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826" w:type="dxa"/>
            <w:tcBorders/>
            <w:shd w:fill="auto" w:val="clear"/>
            <w:vAlign w:val="center"/>
          </w:tcPr>
          <w:p>
            <w:pPr>
              <w:pStyle w:val="TableContents"/>
              <w:spacing w:before="0" w:after="0"/>
              <w:jc w:val="right"/>
              <w:rPr>
                <w:b/>
                <w:spacing w:val="0"/>
              </w:rPr>
            </w:pPr>
            <w:r>
              <w:rPr>
                <w:b/>
                <w:spacing w:val="0"/>
              </w:rPr>
              <w:t>610,245</w:t>
            </w:r>
          </w:p>
        </w:tc>
        <w:tc>
          <w:tcPr>
            <w:tcW w:w="75" w:type="dxa"/>
            <w:tcBorders/>
            <w:shd w:fill="auto" w:val="clear"/>
            <w:vAlign w:val="center"/>
          </w:tcPr>
          <w:p>
            <w:pPr>
              <w:pStyle w:val="TableContents"/>
              <w:spacing w:before="0" w:after="283"/>
              <w:rPr/>
            </w:pPr>
            <w:r>
              <w:rPr/>
              <w:t> </w:t>
            </w:r>
          </w:p>
        </w:tc>
      </w:tr>
      <w:tr>
        <w:trPr/>
        <w:tc>
          <w:tcPr>
            <w:tcW w:w="4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012" w:type="dxa"/>
            <w:tcBorders/>
            <w:shd w:fill="auto" w:val="clear"/>
            <w:vAlign w:val="center"/>
          </w:tcPr>
          <w:p>
            <w:pPr>
              <w:pStyle w:val="TableContents"/>
              <w:spacing w:before="0" w:after="0"/>
              <w:rPr>
                <w:bdr w:val="single" w:sz="2" w:space="1" w:color="000000"/>
              </w:rPr>
            </w:pPr>
            <w:r>
              <w:rPr>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826"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9115" w:type="dxa"/>
        <w:jc w:val="left"/>
        <w:tblInd w:w="0" w:type="dxa"/>
        <w:tblCellMar>
          <w:top w:w="0" w:type="dxa"/>
          <w:left w:w="0" w:type="dxa"/>
          <w:bottom w:w="0" w:type="dxa"/>
          <w:right w:w="0" w:type="dxa"/>
        </w:tblCellMar>
      </w:tblPr>
      <w:tblGrid>
        <w:gridCol w:w="155"/>
        <w:gridCol w:w="8960"/>
      </w:tblGrid>
      <w:tr>
        <w:trPr/>
        <w:tc>
          <w:tcPr>
            <w:tcW w:w="155" w:type="dxa"/>
            <w:tcBorders/>
            <w:shd w:fill="auto" w:val="clear"/>
            <w:vAlign w:val="center"/>
          </w:tcPr>
          <w:p>
            <w:pPr>
              <w:pStyle w:val="TableContents"/>
              <w:spacing w:before="0" w:after="283"/>
              <w:jc w:val="left"/>
              <w:rPr/>
            </w:pPr>
            <w:r>
              <w:rPr/>
              <w:t>1</w:t>
            </w:r>
          </w:p>
        </w:tc>
        <w:tc>
          <w:tcPr>
            <w:tcW w:w="8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 Revenues related to sales of vehicles are inclusive of extended and connected services recognized over time.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years ended December 31, 2022 and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 ended December 31, 2022, no sole customer exceeded 10% of total revenue. The Group’s two largest customers that are third parties accounted for $135,544 (10.14%) and $129,873 (9.71%) of revenue, respectively, for the year ended December 31, 2021. For the year ended December 31, 2020, Volvo Cars accounted for $107,948 (17.7%) of the Group’s revenue and a third party customer accounted for $71,361 (11.69%) of the Group’s revenue. Refer to Note 25 - Related party transactions for further details on revenues from related parties.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F-39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Contract liabilities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720"/>
        <w:gridCol w:w="120"/>
        <w:gridCol w:w="75"/>
        <w:gridCol w:w="950"/>
        <w:gridCol w:w="155"/>
        <w:gridCol w:w="60"/>
        <w:gridCol w:w="71"/>
        <w:gridCol w:w="894"/>
        <w:gridCol w:w="155"/>
        <w:gridCol w:w="60"/>
        <w:gridCol w:w="84"/>
        <w:gridCol w:w="956"/>
        <w:gridCol w:w="155"/>
        <w:gridCol w:w="60"/>
        <w:gridCol w:w="106"/>
        <w:gridCol w:w="1339"/>
        <w:gridCol w:w="155"/>
        <w:gridCol w:w="60"/>
        <w:gridCol w:w="60"/>
        <w:gridCol w:w="800"/>
        <w:gridCol w:w="170"/>
      </w:tblGrid>
      <w:tr>
        <w:trPr/>
        <w:tc>
          <w:tcPr>
            <w:tcW w:w="3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Sales</w:t>
            </w:r>
          </w:p>
          <w:p>
            <w:pPr>
              <w:pStyle w:val="TableContents"/>
              <w:spacing w:before="0" w:after="0"/>
              <w:jc w:val="center"/>
              <w:rPr/>
            </w:pPr>
            <w:r>
              <w:rPr/>
            </w:r>
          </w:p>
          <w:p>
            <w:pPr>
              <w:pStyle w:val="TableContents"/>
              <w:spacing w:before="0" w:after="0"/>
              <w:jc w:val="center"/>
              <w:rPr>
                <w:b/>
                <w:spacing w:val="0"/>
              </w:rPr>
            </w:pPr>
            <w:r>
              <w:rPr>
                <w:b/>
                <w:spacing w:val="0"/>
              </w:rPr>
              <w:t>generated</w:t>
              <w:br/>
              <w:t>obligation</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Deferred</w:t>
            </w:r>
          </w:p>
          <w:p>
            <w:pPr>
              <w:pStyle w:val="TableContents"/>
              <w:spacing w:before="0" w:after="0"/>
              <w:jc w:val="center"/>
              <w:rPr/>
            </w:pPr>
            <w:r>
              <w:rPr/>
            </w:r>
          </w:p>
          <w:p>
            <w:pPr>
              <w:pStyle w:val="TableContents"/>
              <w:spacing w:before="0" w:after="0"/>
              <w:jc w:val="center"/>
              <w:rPr>
                <w:b/>
                <w:spacing w:val="0"/>
              </w:rPr>
            </w:pPr>
            <w:r>
              <w:rPr>
                <w:b/>
                <w:spacing w:val="0"/>
              </w:rPr>
              <w:t>revenue -</w:t>
            </w:r>
          </w:p>
          <w:p>
            <w:pPr>
              <w:pStyle w:val="TableContents"/>
              <w:spacing w:before="0" w:after="0"/>
              <w:jc w:val="center"/>
              <w:rPr/>
            </w:pPr>
            <w:r>
              <w:rPr/>
            </w:r>
          </w:p>
          <w:p>
            <w:pPr>
              <w:pStyle w:val="TableContents"/>
              <w:spacing w:before="0" w:after="0"/>
              <w:jc w:val="center"/>
              <w:rPr>
                <w:b/>
                <w:spacing w:val="0"/>
              </w:rPr>
            </w:pPr>
            <w:r>
              <w:rPr>
                <w:b/>
                <w:spacing w:val="0"/>
              </w:rPr>
              <w:t>extended</w:t>
              <w:br/>
              <w:t>service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Deferred</w:t>
            </w:r>
          </w:p>
          <w:p>
            <w:pPr>
              <w:pStyle w:val="TableContents"/>
              <w:spacing w:before="0" w:after="0"/>
              <w:jc w:val="center"/>
              <w:rPr/>
            </w:pPr>
            <w:r>
              <w:rPr/>
            </w:r>
          </w:p>
          <w:p>
            <w:pPr>
              <w:pStyle w:val="TableContents"/>
              <w:spacing w:before="0" w:after="0"/>
              <w:jc w:val="center"/>
              <w:rPr>
                <w:b/>
                <w:spacing w:val="0"/>
              </w:rPr>
            </w:pPr>
            <w:r>
              <w:rPr>
                <w:b/>
                <w:spacing w:val="0"/>
              </w:rPr>
              <w:t>revenue -</w:t>
              <w:br/>
              <w:t>connected</w:t>
              <w:br/>
              <w:t>services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Deferred</w:t>
            </w:r>
          </w:p>
          <w:p>
            <w:pPr>
              <w:pStyle w:val="TableContents"/>
              <w:spacing w:before="0" w:after="0"/>
              <w:jc w:val="center"/>
              <w:rPr/>
            </w:pPr>
            <w:r>
              <w:rPr/>
            </w:r>
          </w:p>
          <w:p>
            <w:pPr>
              <w:pStyle w:val="TableContents"/>
              <w:spacing w:before="0" w:after="0"/>
              <w:jc w:val="center"/>
              <w:rPr>
                <w:b/>
                <w:spacing w:val="0"/>
              </w:rPr>
            </w:pPr>
            <w:r>
              <w:rPr>
                <w:b/>
                <w:spacing w:val="0"/>
              </w:rPr>
              <w:t>revenue -</w:t>
              <w:br/>
              <w:t>operating</w:t>
              <w:br/>
              <w:t>leases &amp; other</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2,436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8,967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5,669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17,072</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Provided for during the year</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65,862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jc w:val="right"/>
              <w:rPr/>
            </w:pPr>
            <w:r>
              <w:rPr/>
              <w:t>20,612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14,472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jc w:val="right"/>
              <w:rPr/>
            </w:pPr>
            <w:r>
              <w:rPr/>
              <w:t>25,869</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126,815</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Settled during the year</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(43,469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(43,469</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Released during the year</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jc w:val="right"/>
              <w:rPr/>
            </w:pPr>
            <w:r>
              <w:rPr/>
              <w:t>(3,673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(1,450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jc w:val="right"/>
              <w:rPr/>
            </w:pPr>
            <w:r>
              <w:rPr/>
              <w:t>(5,554</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(10,677</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(127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(2,226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(98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(2,451</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9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33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spacing w:val="0"/>
              </w:rPr>
            </w:pPr>
            <w:r>
              <w:rPr>
                <w:spacing w:val="0"/>
              </w:rPr>
              <w:t> </w:t>
            </w:r>
          </w:p>
        </w:tc>
        <w:tc>
          <w:tcPr>
            <w:tcW w:w="950" w:type="dxa"/>
            <w:tcBorders/>
            <w:shd w:fill="auto" w:val="clear"/>
            <w:vAlign w:val="center"/>
          </w:tcPr>
          <w:p>
            <w:pPr>
              <w:pStyle w:val="TableContents"/>
              <w:spacing w:before="0" w:after="0"/>
              <w:jc w:val="right"/>
              <w:rPr>
                <w:b/>
                <w:spacing w:val="0"/>
              </w:rPr>
            </w:pPr>
            <w:r>
              <w:rPr>
                <w:b/>
                <w:spacing w:val="0"/>
              </w:rPr>
              <w:t>24,702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894" w:type="dxa"/>
            <w:tcBorders/>
            <w:shd w:fill="auto" w:val="clear"/>
            <w:vAlign w:val="center"/>
          </w:tcPr>
          <w:p>
            <w:pPr>
              <w:pStyle w:val="TableContents"/>
              <w:spacing w:before="0" w:after="0"/>
              <w:jc w:val="right"/>
              <w:rPr>
                <w:b/>
                <w:spacing w:val="0"/>
              </w:rPr>
            </w:pPr>
            <w:r>
              <w:rPr>
                <w:b/>
                <w:spacing w:val="0"/>
              </w:rPr>
              <w:t>23,680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956" w:type="dxa"/>
            <w:tcBorders/>
            <w:shd w:fill="auto" w:val="clear"/>
            <w:vAlign w:val="center"/>
          </w:tcPr>
          <w:p>
            <w:pPr>
              <w:pStyle w:val="TableContents"/>
              <w:spacing w:before="0" w:after="0"/>
              <w:jc w:val="right"/>
              <w:rPr>
                <w:b/>
                <w:spacing w:val="0"/>
              </w:rPr>
            </w:pPr>
            <w:r>
              <w:rPr>
                <w:b/>
                <w:spacing w:val="0"/>
              </w:rPr>
              <w:t>18,593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spacing w:val="0"/>
              </w:rPr>
            </w:pPr>
            <w:r>
              <w:rPr>
                <w:spacing w:val="0"/>
              </w:rPr>
              <w:t> </w:t>
            </w:r>
          </w:p>
        </w:tc>
        <w:tc>
          <w:tcPr>
            <w:tcW w:w="1339" w:type="dxa"/>
            <w:tcBorders/>
            <w:shd w:fill="auto" w:val="clear"/>
            <w:vAlign w:val="center"/>
          </w:tcPr>
          <w:p>
            <w:pPr>
              <w:pStyle w:val="TableContents"/>
              <w:spacing w:before="0" w:after="0"/>
              <w:jc w:val="right"/>
              <w:rPr>
                <w:b/>
                <w:spacing w:val="0"/>
              </w:rPr>
            </w:pPr>
            <w:r>
              <w:rPr>
                <w:b/>
                <w:spacing w:val="0"/>
              </w:rPr>
              <w:t>20,315</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87,290</w:t>
            </w:r>
          </w:p>
        </w:tc>
        <w:tc>
          <w:tcPr>
            <w:tcW w:w="170"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9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33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of which current</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24,702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11,178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2,521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19,967</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58,368</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of which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jc w:val="right"/>
              <w:rPr/>
            </w:pPr>
            <w:r>
              <w:rPr/>
              <w:t>12,502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16,072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jc w:val="right"/>
              <w:rPr/>
            </w:pPr>
            <w:r>
              <w:rPr/>
              <w:t>348</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28,922</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Provided for during the year</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66,769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31,928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17,325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14,197</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130,219</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Settled during the year</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(77,667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(77,667</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Released during the year</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(13,882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(3,859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(21,437</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(39,178</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(735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jc w:val="right"/>
              <w:rPr/>
            </w:pPr>
            <w:r>
              <w:rPr/>
              <w:t>(934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(1,966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jc w:val="right"/>
              <w:rPr/>
            </w:pPr>
            <w:r>
              <w:rPr/>
              <w:t>(560</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(4,195</w:t>
            </w:r>
          </w:p>
        </w:tc>
        <w:tc>
          <w:tcPr>
            <w:tcW w:w="170"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9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33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0"/>
              <w:rPr>
                <w:spacing w:val="0"/>
              </w:rPr>
            </w:pPr>
            <w:r>
              <w:rPr>
                <w:spacing w:val="0"/>
              </w:rPr>
              <w:t> </w:t>
            </w:r>
          </w:p>
        </w:tc>
        <w:tc>
          <w:tcPr>
            <w:tcW w:w="950" w:type="dxa"/>
            <w:tcBorders/>
            <w:shd w:fill="CCEEFF" w:val="clear"/>
            <w:vAlign w:val="center"/>
          </w:tcPr>
          <w:p>
            <w:pPr>
              <w:pStyle w:val="TableContents"/>
              <w:spacing w:before="0" w:after="0"/>
              <w:jc w:val="right"/>
              <w:rPr>
                <w:b/>
                <w:spacing w:val="0"/>
              </w:rPr>
            </w:pPr>
            <w:r>
              <w:rPr>
                <w:b/>
                <w:spacing w:val="0"/>
              </w:rPr>
              <w:t>13,069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0"/>
              <w:rPr>
                <w:spacing w:val="0"/>
              </w:rPr>
            </w:pPr>
            <w:r>
              <w:rPr>
                <w:spacing w:val="0"/>
              </w:rPr>
              <w:t> </w:t>
            </w:r>
          </w:p>
        </w:tc>
        <w:tc>
          <w:tcPr>
            <w:tcW w:w="894" w:type="dxa"/>
            <w:tcBorders/>
            <w:shd w:fill="CCEEFF" w:val="clear"/>
            <w:vAlign w:val="center"/>
          </w:tcPr>
          <w:p>
            <w:pPr>
              <w:pStyle w:val="TableContents"/>
              <w:spacing w:before="0" w:after="0"/>
              <w:jc w:val="right"/>
              <w:rPr>
                <w:b/>
                <w:spacing w:val="0"/>
              </w:rPr>
            </w:pPr>
            <w:r>
              <w:rPr>
                <w:b/>
                <w:spacing w:val="0"/>
              </w:rPr>
              <w:t>40,792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956" w:type="dxa"/>
            <w:tcBorders/>
            <w:shd w:fill="CCEEFF" w:val="clear"/>
            <w:vAlign w:val="center"/>
          </w:tcPr>
          <w:p>
            <w:pPr>
              <w:pStyle w:val="TableContents"/>
              <w:spacing w:before="0" w:after="0"/>
              <w:jc w:val="right"/>
              <w:rPr>
                <w:b/>
                <w:spacing w:val="0"/>
              </w:rPr>
            </w:pPr>
            <w:r>
              <w:rPr>
                <w:b/>
                <w:spacing w:val="0"/>
              </w:rPr>
              <w:t>30,093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0"/>
              <w:rPr>
                <w:spacing w:val="0"/>
              </w:rPr>
            </w:pPr>
            <w:r>
              <w:rPr>
                <w:spacing w:val="0"/>
              </w:rPr>
              <w:t> </w:t>
            </w:r>
          </w:p>
        </w:tc>
        <w:tc>
          <w:tcPr>
            <w:tcW w:w="1339" w:type="dxa"/>
            <w:tcBorders/>
            <w:shd w:fill="CCEEFF" w:val="clear"/>
            <w:vAlign w:val="center"/>
          </w:tcPr>
          <w:p>
            <w:pPr>
              <w:pStyle w:val="TableContents"/>
              <w:spacing w:before="0" w:after="0"/>
              <w:jc w:val="right"/>
              <w:rPr>
                <w:b/>
                <w:spacing w:val="0"/>
              </w:rPr>
            </w:pPr>
            <w:r>
              <w:rPr>
                <w:b/>
                <w:spacing w:val="0"/>
              </w:rPr>
              <w:t>12,515</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96,469</w:t>
            </w:r>
          </w:p>
        </w:tc>
        <w:tc>
          <w:tcPr>
            <w:tcW w:w="170" w:type="dxa"/>
            <w:tcBorders/>
            <w:shd w:fill="CCEEFF"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95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9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0"/>
              <w:rPr>
                <w:bdr w:val="single" w:sz="2" w:space="1" w:color="000000"/>
              </w:rPr>
            </w:pPr>
            <w:r>
              <w:rPr>
                <w:bdr w:val="single" w:sz="2" w:space="1" w:color="000000"/>
              </w:rPr>
              <w:t> </w:t>
            </w:r>
          </w:p>
        </w:tc>
        <w:tc>
          <w:tcPr>
            <w:tcW w:w="133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7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of which current</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13,069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jc w:val="right"/>
              <w:rPr/>
            </w:pPr>
            <w:r>
              <w:rPr/>
              <w:t>18,979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4,431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jc w:val="right"/>
              <w:rPr/>
            </w:pPr>
            <w:r>
              <w:rPr/>
              <w:t>9,738</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46,217</w:t>
            </w:r>
          </w:p>
        </w:tc>
        <w:tc>
          <w:tcPr>
            <w:tcW w:w="170" w:type="dxa"/>
            <w:tcBorders/>
            <w:shd w:fill="auto" w:val="clear"/>
            <w:vAlign w:val="center"/>
          </w:tcPr>
          <w:p>
            <w:pPr>
              <w:pStyle w:val="TableContents"/>
              <w:spacing w:before="0" w:after="283"/>
              <w:rPr/>
            </w:pPr>
            <w:r>
              <w:rPr/>
              <w:t> </w:t>
            </w:r>
          </w:p>
        </w:tc>
      </w:tr>
      <w:tr>
        <w:trPr/>
        <w:tc>
          <w:tcPr>
            <w:tcW w:w="37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of which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4" w:type="dxa"/>
            <w:tcBorders/>
            <w:shd w:fill="CCEEFF" w:val="clear"/>
            <w:vAlign w:val="center"/>
          </w:tcPr>
          <w:p>
            <w:pPr>
              <w:pStyle w:val="TableContents"/>
              <w:spacing w:before="0" w:after="283"/>
              <w:jc w:val="right"/>
              <w:rPr/>
            </w:pPr>
            <w:r>
              <w:rPr/>
              <w:t>21,813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25,662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339" w:type="dxa"/>
            <w:tcBorders/>
            <w:shd w:fill="CCEEFF" w:val="clear"/>
            <w:vAlign w:val="center"/>
          </w:tcPr>
          <w:p>
            <w:pPr>
              <w:pStyle w:val="TableContents"/>
              <w:spacing w:before="0" w:after="283"/>
              <w:jc w:val="right"/>
              <w:rPr/>
            </w:pPr>
            <w:r>
              <w:rPr/>
              <w:t>2,777</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50,252</w:t>
            </w:r>
          </w:p>
        </w:tc>
        <w:tc>
          <w:tcPr>
            <w:tcW w:w="170" w:type="dxa"/>
            <w:tcBorders/>
            <w:shd w:fill="CCEEFF"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contract liabilities amounted to $96,469, of which $13,069 was related to variable consideration payable to fleet customers in the form of volume related bonuses and $83,400 was related to remaining performance obligations associated with sales of vehicles and vehicle leasing revenue. As of December 31, 2021, the aggregate amount of the transaction price related to sales of vehicles allocated to the remaining performance obligations was $87,290.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Revenue recognized during the year ended December 31, 2022 related to contract liabilities outstanding as of January 1, 2022 was $33,666, and no revenue was recognized during the period related to performance obligations fully (or partially) satisfied in prior periods. Revenue recognized during the year ended December 31, 2021 related to contract liabilities outstanding as of January 1, 2021 was $4,648, and no revenue was recognized during the period related to performance obligations fully (or partially) satisfied in prior periods. Since Polestar Group did not enter the commercial space until the third quarter of 2020, there was no revenue recognized during the year ended December 31, 2020 related to contract liabilities outstanding as of January 1, 2020 or performance obligations fully (or partially) satisfied.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F-40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Note 5 - Depreciation and amortization by function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utilizes acquired research and development related to PS1 and PS2 as a foundation for the development of future car models and technology. As such, amortization of these intangible assets is included in research and development expense. The following table illustrates depreciation and amortization by function: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115"/>
        <w:gridCol w:w="120"/>
        <w:gridCol w:w="89"/>
        <w:gridCol w:w="1011"/>
        <w:gridCol w:w="60"/>
        <w:gridCol w:w="120"/>
        <w:gridCol w:w="102"/>
        <w:gridCol w:w="1163"/>
        <w:gridCol w:w="60"/>
        <w:gridCol w:w="120"/>
        <w:gridCol w:w="107"/>
        <w:gridCol w:w="1218"/>
        <w:gridCol w:w="60"/>
        <w:gridCol w:w="60"/>
        <w:gridCol w:w="117"/>
        <w:gridCol w:w="1568"/>
        <w:gridCol w:w="60"/>
        <w:gridCol w:w="120"/>
        <w:gridCol w:w="60"/>
        <w:gridCol w:w="800"/>
        <w:gridCol w:w="75"/>
      </w:tblGrid>
      <w:tr>
        <w:trPr/>
        <w:tc>
          <w:tcPr>
            <w:tcW w:w="3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Property,</w:t>
              <w:br/>
              <w:t>plant and</w:t>
              <w:br/>
              <w:t>equipment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Right-of-use</w:t>
            </w:r>
          </w:p>
          <w:p>
            <w:pPr>
              <w:pStyle w:val="TableContents"/>
              <w:spacing w:before="0" w:after="0"/>
              <w:jc w:val="center"/>
              <w:rPr>
                <w:b/>
                <w:spacing w:val="0"/>
              </w:rPr>
            </w:pPr>
            <w:r>
              <w:rPr>
                <w:b/>
                <w:spacing w:val="0"/>
              </w:rPr>
              <w:br/>
              <w:t>assets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2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Assets under</w:t>
              <w:br/>
              <w:t>operating</w:t>
              <w:br/>
              <w:t>leases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Intangible assets</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2022</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1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568"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Cost of sales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16,188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7,852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14,004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568" w:type="dxa"/>
            <w:tcBorders/>
            <w:shd w:fill="auto" w:val="clear"/>
            <w:vAlign w:val="center"/>
          </w:tcPr>
          <w:p>
            <w:pPr>
              <w:pStyle w:val="TableContents"/>
              <w:spacing w:before="0" w:after="283"/>
              <w:jc w:val="right"/>
              <w:rPr/>
            </w:pPr>
            <w:r>
              <w:rPr/>
              <w:t>7,232</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45,276</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163" w:type="dxa"/>
            <w:tcBorders/>
            <w:shd w:fill="CCEEFF" w:val="clear"/>
            <w:vAlign w:val="center"/>
          </w:tcPr>
          <w:p>
            <w:pPr>
              <w:pStyle w:val="TableContents"/>
              <w:spacing w:before="0" w:after="283"/>
              <w:jc w:val="right"/>
              <w:rPr/>
            </w:pPr>
            <w:r>
              <w:rPr/>
              <w:t>389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568" w:type="dxa"/>
            <w:tcBorders/>
            <w:shd w:fill="CCEEFF" w:val="clear"/>
            <w:vAlign w:val="center"/>
          </w:tcPr>
          <w:p>
            <w:pPr>
              <w:pStyle w:val="TableContents"/>
              <w:spacing w:before="0" w:after="283"/>
              <w:jc w:val="right"/>
              <w:rPr/>
            </w:pPr>
            <w:r>
              <w:rPr/>
              <w:t>95,624</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96,036</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5,154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11,926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568"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17,080</w:t>
            </w:r>
          </w:p>
        </w:tc>
        <w:tc>
          <w:tcPr>
            <w:tcW w:w="75" w:type="dxa"/>
            <w:tcBorders/>
            <w:shd w:fill="auto"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0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11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bdr w:val="single" w:sz="2" w:space="1" w:color="000000"/>
              </w:rPr>
            </w:pPr>
            <w:r>
              <w:rPr>
                <w:bdr w:val="single" w:sz="2" w:space="1" w:color="000000"/>
              </w:rPr>
              <w:t> </w:t>
            </w:r>
          </w:p>
        </w:tc>
        <w:tc>
          <w:tcPr>
            <w:tcW w:w="121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bdr w:val="single" w:sz="2" w:space="1" w:color="000000"/>
              </w:rPr>
            </w:pPr>
            <w:r>
              <w:rPr>
                <w:bdr w:val="single" w:sz="2" w:space="1" w:color="000000"/>
              </w:rPr>
              <w:t> </w:t>
            </w:r>
          </w:p>
        </w:tc>
        <w:tc>
          <w:tcPr>
            <w:tcW w:w="156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1011" w:type="dxa"/>
            <w:tcBorders/>
            <w:shd w:fill="CCEEFF" w:val="clear"/>
            <w:vAlign w:val="center"/>
          </w:tcPr>
          <w:p>
            <w:pPr>
              <w:pStyle w:val="TableContents"/>
              <w:spacing w:before="0" w:after="0"/>
              <w:jc w:val="right"/>
              <w:rPr>
                <w:b/>
                <w:spacing w:val="0"/>
              </w:rPr>
            </w:pPr>
            <w:r>
              <w:rPr>
                <w:b/>
                <w:spacing w:val="0"/>
              </w:rPr>
              <w:t>21,365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0"/>
              <w:rPr>
                <w:spacing w:val="0"/>
              </w:rPr>
            </w:pPr>
            <w:r>
              <w:rPr>
                <w:spacing w:val="0"/>
              </w:rPr>
              <w:t> </w:t>
            </w:r>
          </w:p>
        </w:tc>
        <w:tc>
          <w:tcPr>
            <w:tcW w:w="1163" w:type="dxa"/>
            <w:tcBorders/>
            <w:shd w:fill="CCEEFF" w:val="clear"/>
            <w:vAlign w:val="center"/>
          </w:tcPr>
          <w:p>
            <w:pPr>
              <w:pStyle w:val="TableContents"/>
              <w:spacing w:before="0" w:after="0"/>
              <w:jc w:val="right"/>
              <w:rPr>
                <w:b/>
                <w:spacing w:val="0"/>
              </w:rPr>
            </w:pPr>
            <w:r>
              <w:rPr>
                <w:b/>
                <w:spacing w:val="0"/>
              </w:rPr>
              <w:t>20,167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0"/>
              <w:rPr>
                <w:spacing w:val="0"/>
              </w:rPr>
            </w:pPr>
            <w:r>
              <w:rPr>
                <w:spacing w:val="0"/>
              </w:rPr>
              <w:t> </w:t>
            </w:r>
          </w:p>
        </w:tc>
        <w:tc>
          <w:tcPr>
            <w:tcW w:w="1218" w:type="dxa"/>
            <w:tcBorders/>
            <w:shd w:fill="CCEEFF" w:val="clear"/>
            <w:vAlign w:val="center"/>
          </w:tcPr>
          <w:p>
            <w:pPr>
              <w:pStyle w:val="TableContents"/>
              <w:spacing w:before="0" w:after="0"/>
              <w:jc w:val="right"/>
              <w:rPr>
                <w:b/>
                <w:spacing w:val="0"/>
              </w:rPr>
            </w:pPr>
            <w:r>
              <w:rPr>
                <w:b/>
                <w:spacing w:val="0"/>
              </w:rPr>
              <w:t>14,004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0"/>
              <w:rPr>
                <w:spacing w:val="0"/>
              </w:rPr>
            </w:pPr>
            <w:r>
              <w:rPr>
                <w:spacing w:val="0"/>
              </w:rPr>
              <w:t> </w:t>
            </w:r>
          </w:p>
        </w:tc>
        <w:tc>
          <w:tcPr>
            <w:tcW w:w="1568" w:type="dxa"/>
            <w:tcBorders/>
            <w:shd w:fill="CCEEFF" w:val="clear"/>
            <w:vAlign w:val="center"/>
          </w:tcPr>
          <w:p>
            <w:pPr>
              <w:pStyle w:val="TableContents"/>
              <w:spacing w:before="0" w:after="0"/>
              <w:jc w:val="right"/>
              <w:rPr>
                <w:b/>
                <w:spacing w:val="0"/>
              </w:rPr>
            </w:pPr>
            <w:r>
              <w:rPr>
                <w:b/>
                <w:spacing w:val="0"/>
              </w:rPr>
              <w:t>102,856</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158,392</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0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11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bdr w:val="single" w:sz="2" w:space="1" w:color="000000"/>
              </w:rPr>
            </w:pPr>
            <w:r>
              <w:rPr>
                <w:bdr w:val="single" w:sz="2" w:space="1" w:color="000000"/>
              </w:rPr>
              <w:t> </w:t>
            </w:r>
          </w:p>
        </w:tc>
        <w:tc>
          <w:tcPr>
            <w:tcW w:w="121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bdr w:val="single" w:sz="2" w:space="1" w:color="000000"/>
              </w:rPr>
            </w:pPr>
            <w:r>
              <w:rPr>
                <w:bdr w:val="single" w:sz="2" w:space="1" w:color="000000"/>
              </w:rPr>
              <w:t> </w:t>
            </w:r>
          </w:p>
        </w:tc>
        <w:tc>
          <w:tcPr>
            <w:tcW w:w="156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2021</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568" w:type="dxa"/>
            <w:tcBorders/>
            <w:shd w:fill="auto" w:val="clear"/>
            <w:vAlign w:val="center"/>
          </w:tcPr>
          <w:p>
            <w:pPr>
              <w:pStyle w:val="TableContents"/>
              <w:spacing w:before="0" w:after="283"/>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30,557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163" w:type="dxa"/>
            <w:tcBorders/>
            <w:shd w:fill="CCEEFF" w:val="clear"/>
            <w:vAlign w:val="center"/>
          </w:tcPr>
          <w:p>
            <w:pPr>
              <w:pStyle w:val="TableContents"/>
              <w:spacing w:before="0" w:after="283"/>
              <w:jc w:val="right"/>
              <w:rPr/>
            </w:pPr>
            <w:r>
              <w:rPr/>
              <w:t>9,822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568" w:type="dxa"/>
            <w:tcBorders/>
            <w:shd w:fill="CCEEFF" w:val="clear"/>
            <w:vAlign w:val="center"/>
          </w:tcPr>
          <w:p>
            <w:pPr>
              <w:pStyle w:val="TableContents"/>
              <w:spacing w:before="0" w:after="283"/>
              <w:jc w:val="right"/>
              <w:rPr/>
            </w:pPr>
            <w:r>
              <w:rPr/>
              <w:t>13,672</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54,051</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1,845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385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568" w:type="dxa"/>
            <w:tcBorders/>
            <w:shd w:fill="auto" w:val="clear"/>
            <w:vAlign w:val="center"/>
          </w:tcPr>
          <w:p>
            <w:pPr>
              <w:pStyle w:val="TableContents"/>
              <w:spacing w:before="0" w:after="283"/>
              <w:jc w:val="right"/>
              <w:rPr/>
            </w:pPr>
            <w:r>
              <w:rPr/>
              <w:t>174,639</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176,869</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3,774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163" w:type="dxa"/>
            <w:tcBorders/>
            <w:shd w:fill="CCEEFF" w:val="clear"/>
            <w:vAlign w:val="center"/>
          </w:tcPr>
          <w:p>
            <w:pPr>
              <w:pStyle w:val="TableContents"/>
              <w:spacing w:before="0" w:after="283"/>
              <w:jc w:val="right"/>
              <w:rPr/>
            </w:pPr>
            <w:r>
              <w:rPr/>
              <w:t>4,404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568" w:type="dxa"/>
            <w:tcBorders/>
            <w:shd w:fill="CCEEFF" w:val="clear"/>
            <w:vAlign w:val="center"/>
          </w:tcPr>
          <w:p>
            <w:pPr>
              <w:pStyle w:val="TableContents"/>
              <w:spacing w:before="0" w:after="283"/>
              <w:jc w:val="right"/>
              <w:rPr/>
            </w:pPr>
            <w:r>
              <w:rPr/>
              <w:t>65</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8,243</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0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11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bdr w:val="single" w:sz="2" w:space="1" w:color="000000"/>
              </w:rPr>
            </w:pPr>
            <w:r>
              <w:rPr>
                <w:bdr w:val="single" w:sz="2" w:space="1" w:color="000000"/>
              </w:rPr>
              <w:t> </w:t>
            </w:r>
          </w:p>
        </w:tc>
        <w:tc>
          <w:tcPr>
            <w:tcW w:w="121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bdr w:val="single" w:sz="2" w:space="1" w:color="000000"/>
              </w:rPr>
            </w:pPr>
            <w:r>
              <w:rPr>
                <w:bdr w:val="single" w:sz="2" w:space="1" w:color="000000"/>
              </w:rPr>
              <w:t> </w:t>
            </w:r>
          </w:p>
        </w:tc>
        <w:tc>
          <w:tcPr>
            <w:tcW w:w="156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1011" w:type="dxa"/>
            <w:tcBorders/>
            <w:shd w:fill="auto" w:val="clear"/>
            <w:vAlign w:val="center"/>
          </w:tcPr>
          <w:p>
            <w:pPr>
              <w:pStyle w:val="TableContents"/>
              <w:spacing w:before="0" w:after="0"/>
              <w:jc w:val="right"/>
              <w:rPr>
                <w:b/>
                <w:spacing w:val="0"/>
              </w:rPr>
            </w:pPr>
            <w:r>
              <w:rPr>
                <w:b/>
                <w:spacing w:val="0"/>
              </w:rPr>
              <w:t>36,176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rPr>
            </w:pPr>
            <w:r>
              <w:rPr>
                <w:spacing w:val="0"/>
              </w:rPr>
              <w:t> </w:t>
            </w:r>
          </w:p>
        </w:tc>
        <w:tc>
          <w:tcPr>
            <w:tcW w:w="1163" w:type="dxa"/>
            <w:tcBorders/>
            <w:shd w:fill="auto" w:val="clear"/>
            <w:vAlign w:val="center"/>
          </w:tcPr>
          <w:p>
            <w:pPr>
              <w:pStyle w:val="TableContents"/>
              <w:spacing w:before="0" w:after="0"/>
              <w:jc w:val="right"/>
              <w:rPr>
                <w:b/>
                <w:spacing w:val="0"/>
              </w:rPr>
            </w:pPr>
            <w:r>
              <w:rPr>
                <w:b/>
                <w:spacing w:val="0"/>
              </w:rPr>
              <w:t>14,611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spacing w:val="0"/>
              </w:rPr>
            </w:pPr>
            <w:r>
              <w:rPr>
                <w:spacing w:val="0"/>
              </w:rPr>
              <w:t> </w:t>
            </w:r>
          </w:p>
        </w:tc>
        <w:tc>
          <w:tcPr>
            <w:tcW w:w="1218"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spacing w:val="0"/>
              </w:rPr>
            </w:pPr>
            <w:r>
              <w:rPr>
                <w:spacing w:val="0"/>
              </w:rPr>
              <w:t> </w:t>
            </w:r>
          </w:p>
        </w:tc>
        <w:tc>
          <w:tcPr>
            <w:tcW w:w="1568" w:type="dxa"/>
            <w:tcBorders/>
            <w:shd w:fill="auto" w:val="clear"/>
            <w:vAlign w:val="center"/>
          </w:tcPr>
          <w:p>
            <w:pPr>
              <w:pStyle w:val="TableContents"/>
              <w:spacing w:before="0" w:after="0"/>
              <w:jc w:val="right"/>
              <w:rPr>
                <w:b/>
                <w:spacing w:val="0"/>
              </w:rPr>
            </w:pPr>
            <w:r>
              <w:rPr>
                <w:b/>
                <w:spacing w:val="0"/>
              </w:rPr>
              <w:t>188,376</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239,163</w:t>
            </w:r>
          </w:p>
        </w:tc>
        <w:tc>
          <w:tcPr>
            <w:tcW w:w="75" w:type="dxa"/>
            <w:tcBorders/>
            <w:shd w:fill="auto"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0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11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bdr w:val="single" w:sz="2" w:space="1" w:color="000000"/>
              </w:rPr>
            </w:pPr>
            <w:r>
              <w:rPr>
                <w:bdr w:val="single" w:sz="2" w:space="1" w:color="000000"/>
              </w:rPr>
              <w:t> </w:t>
            </w:r>
          </w:p>
        </w:tc>
        <w:tc>
          <w:tcPr>
            <w:tcW w:w="121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bdr w:val="single" w:sz="2" w:space="1" w:color="000000"/>
              </w:rPr>
            </w:pPr>
            <w:r>
              <w:rPr>
                <w:bdr w:val="single" w:sz="2" w:space="1" w:color="000000"/>
              </w:rPr>
              <w:t> </w:t>
            </w:r>
          </w:p>
        </w:tc>
        <w:tc>
          <w:tcPr>
            <w:tcW w:w="156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2020</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1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568"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Cost of sales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38,671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6,947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568" w:type="dxa"/>
            <w:tcBorders/>
            <w:shd w:fill="auto" w:val="clear"/>
            <w:vAlign w:val="center"/>
          </w:tcPr>
          <w:p>
            <w:pPr>
              <w:pStyle w:val="TableContents"/>
              <w:spacing w:before="0" w:after="283"/>
              <w:jc w:val="right"/>
              <w:rPr/>
            </w:pPr>
            <w:r>
              <w:rPr/>
              <w:t>14,447</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60,065</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1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568" w:type="dxa"/>
            <w:tcBorders/>
            <w:shd w:fill="CCEEFF" w:val="clear"/>
            <w:vAlign w:val="center"/>
          </w:tcPr>
          <w:p>
            <w:pPr>
              <w:pStyle w:val="TableContents"/>
              <w:spacing w:before="0" w:after="283"/>
              <w:jc w:val="right"/>
              <w:rPr/>
            </w:pPr>
            <w:r>
              <w:rPr/>
              <w:t>152,395</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152,395</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1,402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2,170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568" w:type="dxa"/>
            <w:tcBorders/>
            <w:shd w:fill="auto" w:val="clear"/>
            <w:vAlign w:val="center"/>
          </w:tcPr>
          <w:p>
            <w:pPr>
              <w:pStyle w:val="TableContents"/>
              <w:spacing w:before="0" w:after="283"/>
              <w:jc w:val="right"/>
              <w:rPr/>
            </w:pPr>
            <w:r>
              <w:rPr/>
              <w:t>44</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3,616</w:t>
            </w:r>
          </w:p>
        </w:tc>
        <w:tc>
          <w:tcPr>
            <w:tcW w:w="75" w:type="dxa"/>
            <w:tcBorders/>
            <w:shd w:fill="auto"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0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11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bdr w:val="single" w:sz="2" w:space="1" w:color="000000"/>
              </w:rPr>
            </w:pPr>
            <w:r>
              <w:rPr>
                <w:bdr w:val="single" w:sz="2" w:space="1" w:color="000000"/>
              </w:rPr>
              <w:t> </w:t>
            </w:r>
          </w:p>
        </w:tc>
        <w:tc>
          <w:tcPr>
            <w:tcW w:w="121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bdr w:val="single" w:sz="2" w:space="1" w:color="000000"/>
              </w:rPr>
            </w:pPr>
            <w:r>
              <w:rPr>
                <w:bdr w:val="single" w:sz="2" w:space="1" w:color="000000"/>
              </w:rPr>
              <w:t> </w:t>
            </w:r>
          </w:p>
        </w:tc>
        <w:tc>
          <w:tcPr>
            <w:tcW w:w="156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0"/>
              <w:rPr>
                <w:spacing w:val="0"/>
              </w:rPr>
            </w:pPr>
            <w:r>
              <w:rPr>
                <w:spacing w:val="0"/>
              </w:rPr>
              <w:t> </w:t>
            </w:r>
          </w:p>
        </w:tc>
        <w:tc>
          <w:tcPr>
            <w:tcW w:w="1011" w:type="dxa"/>
            <w:tcBorders/>
            <w:shd w:fill="CCEEFF" w:val="clear"/>
            <w:vAlign w:val="center"/>
          </w:tcPr>
          <w:p>
            <w:pPr>
              <w:pStyle w:val="TableContents"/>
              <w:spacing w:before="0" w:after="0"/>
              <w:jc w:val="right"/>
              <w:rPr>
                <w:b/>
                <w:spacing w:val="0"/>
              </w:rPr>
            </w:pPr>
            <w:r>
              <w:rPr>
                <w:b/>
                <w:spacing w:val="0"/>
              </w:rPr>
              <w:t>40,073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0"/>
              <w:rPr>
                <w:spacing w:val="0"/>
              </w:rPr>
            </w:pPr>
            <w:r>
              <w:rPr>
                <w:spacing w:val="0"/>
              </w:rPr>
              <w:t> </w:t>
            </w:r>
          </w:p>
        </w:tc>
        <w:tc>
          <w:tcPr>
            <w:tcW w:w="1163" w:type="dxa"/>
            <w:tcBorders/>
            <w:shd w:fill="CCEEFF" w:val="clear"/>
            <w:vAlign w:val="center"/>
          </w:tcPr>
          <w:p>
            <w:pPr>
              <w:pStyle w:val="TableContents"/>
              <w:spacing w:before="0" w:after="0"/>
              <w:jc w:val="right"/>
              <w:rPr>
                <w:b/>
                <w:spacing w:val="0"/>
              </w:rPr>
            </w:pPr>
            <w:r>
              <w:rPr>
                <w:b/>
                <w:spacing w:val="0"/>
              </w:rPr>
              <w:t>9,117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0"/>
              <w:rPr>
                <w:spacing w:val="0"/>
              </w:rPr>
            </w:pPr>
            <w:r>
              <w:rPr>
                <w:spacing w:val="0"/>
              </w:rPr>
              <w:t> </w:t>
            </w:r>
          </w:p>
        </w:tc>
        <w:tc>
          <w:tcPr>
            <w:tcW w:w="1218"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0"/>
              <w:rPr>
                <w:spacing w:val="0"/>
              </w:rPr>
            </w:pPr>
            <w:r>
              <w:rPr>
                <w:spacing w:val="0"/>
              </w:rPr>
              <w:t> </w:t>
            </w:r>
          </w:p>
        </w:tc>
        <w:tc>
          <w:tcPr>
            <w:tcW w:w="1568" w:type="dxa"/>
            <w:tcBorders/>
            <w:shd w:fill="CCEEFF" w:val="clear"/>
            <w:vAlign w:val="center"/>
          </w:tcPr>
          <w:p>
            <w:pPr>
              <w:pStyle w:val="TableContents"/>
              <w:spacing w:before="0" w:after="0"/>
              <w:jc w:val="right"/>
              <w:rPr>
                <w:b/>
                <w:spacing w:val="0"/>
              </w:rPr>
            </w:pPr>
            <w:r>
              <w:rPr>
                <w:b/>
                <w:spacing w:val="0"/>
              </w:rPr>
              <w:t>166,886</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216,076</w:t>
            </w:r>
          </w:p>
        </w:tc>
        <w:tc>
          <w:tcPr>
            <w:tcW w:w="75" w:type="dxa"/>
            <w:tcBorders/>
            <w:shd w:fill="CCEEFF" w:val="clear"/>
            <w:vAlign w:val="center"/>
          </w:tcPr>
          <w:p>
            <w:pPr>
              <w:pStyle w:val="TableContents"/>
              <w:spacing w:before="0" w:after="283"/>
              <w:rPr/>
            </w:pPr>
            <w:r>
              <w:rPr/>
              <w:t> </w:t>
            </w:r>
          </w:p>
        </w:tc>
      </w:tr>
      <w:tr>
        <w:trPr/>
        <w:tc>
          <w:tcPr>
            <w:tcW w:w="3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0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11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0"/>
              <w:rPr>
                <w:bdr w:val="single" w:sz="2" w:space="1" w:color="000000"/>
              </w:rPr>
            </w:pPr>
            <w:r>
              <w:rPr>
                <w:bdr w:val="single" w:sz="2" w:space="1" w:color="000000"/>
              </w:rPr>
              <w:t> </w:t>
            </w:r>
          </w:p>
        </w:tc>
        <w:tc>
          <w:tcPr>
            <w:tcW w:w="121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bdr w:val="single" w:sz="2" w:space="1" w:color="000000"/>
              </w:rPr>
            </w:pPr>
            <w:r>
              <w:rPr>
                <w:bdr w:val="single" w:sz="2" w:space="1" w:color="000000"/>
              </w:rPr>
              <w:t> </w:t>
            </w:r>
          </w:p>
        </w:tc>
        <w:tc>
          <w:tcPr>
            <w:tcW w:w="156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6 - Employee benefits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discloses total expenses related to employee benefits: </w:t>
      </w:r>
    </w:p>
    <w:p>
      <w:pPr>
        <w:pStyle w:val="TextBody"/>
        <w:spacing w:before="0" w:after="0"/>
        <w:jc w:val="left"/>
        <w:rPr>
          <w:highlight w:val="white"/>
        </w:rPr>
      </w:pPr>
      <w:r>
        <w:rPr>
          <w:highlight w:val="white"/>
        </w:rPr>
        <w:t> </w:t>
      </w:r>
    </w:p>
    <w:tbl>
      <w:tblPr>
        <w:tblW w:w="6021" w:type="dxa"/>
        <w:jc w:val="left"/>
        <w:tblInd w:w="0" w:type="dxa"/>
        <w:tblCellMar>
          <w:top w:w="0" w:type="dxa"/>
          <w:left w:w="0" w:type="dxa"/>
          <w:bottom w:w="0" w:type="dxa"/>
          <w:right w:w="0" w:type="dxa"/>
        </w:tblCellMar>
      </w:tblPr>
      <w:tblGrid>
        <w:gridCol w:w="2420"/>
        <w:gridCol w:w="120"/>
        <w:gridCol w:w="72"/>
        <w:gridCol w:w="967"/>
        <w:gridCol w:w="72"/>
        <w:gridCol w:w="145"/>
        <w:gridCol w:w="72"/>
        <w:gridCol w:w="967"/>
        <w:gridCol w:w="72"/>
        <w:gridCol w:w="145"/>
        <w:gridCol w:w="72"/>
        <w:gridCol w:w="822"/>
        <w:gridCol w:w="75"/>
      </w:tblGrid>
      <w:tr>
        <w:trPr/>
        <w:tc>
          <w:tcPr>
            <w:tcW w:w="2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03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9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Short-term employee benefits</w:t>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187,202</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100,461</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70,555</w:t>
            </w:r>
          </w:p>
        </w:tc>
        <w:tc>
          <w:tcPr>
            <w:tcW w:w="75" w:type="dxa"/>
            <w:tcBorders/>
            <w:shd w:fill="CCEEFF"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Post-employment benefits</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26,294</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18,600</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10,590</w:t>
            </w:r>
          </w:p>
        </w:tc>
        <w:tc>
          <w:tcPr>
            <w:tcW w:w="75" w:type="dxa"/>
            <w:tcBorders/>
            <w:shd w:fill="auto"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Share-based compensation</w:t>
            </w:r>
          </w:p>
        </w:tc>
        <w:tc>
          <w:tcPr>
            <w:tcW w:w="12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4,958</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967"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967"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82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employee benefits</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spacing w:val="0"/>
              </w:rPr>
            </w:pPr>
            <w:r>
              <w:rPr>
                <w:spacing w:val="0"/>
              </w:rPr>
              <w:t> </w:t>
            </w:r>
          </w:p>
        </w:tc>
        <w:tc>
          <w:tcPr>
            <w:tcW w:w="967" w:type="dxa"/>
            <w:tcBorders/>
            <w:shd w:fill="auto" w:val="clear"/>
            <w:vAlign w:val="center"/>
          </w:tcPr>
          <w:p>
            <w:pPr>
              <w:pStyle w:val="TableContents"/>
              <w:spacing w:before="0" w:after="0"/>
              <w:jc w:val="right"/>
              <w:rPr>
                <w:b/>
                <w:spacing w:val="0"/>
              </w:rPr>
            </w:pPr>
            <w:r>
              <w:rPr>
                <w:b/>
                <w:spacing w:val="0"/>
              </w:rPr>
              <w:t>218,454</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spacing w:val="0"/>
              </w:rPr>
            </w:pPr>
            <w:r>
              <w:rPr>
                <w:spacing w:val="0"/>
              </w:rPr>
              <w:t> </w:t>
            </w:r>
          </w:p>
        </w:tc>
        <w:tc>
          <w:tcPr>
            <w:tcW w:w="967" w:type="dxa"/>
            <w:tcBorders/>
            <w:shd w:fill="auto" w:val="clear"/>
            <w:vAlign w:val="center"/>
          </w:tcPr>
          <w:p>
            <w:pPr>
              <w:pStyle w:val="TableContents"/>
              <w:spacing w:before="0" w:after="0"/>
              <w:jc w:val="right"/>
              <w:rPr>
                <w:b/>
                <w:spacing w:val="0"/>
              </w:rPr>
            </w:pPr>
            <w:r>
              <w:rPr>
                <w:b/>
                <w:spacing w:val="0"/>
              </w:rPr>
              <w:t>119,061</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spacing w:val="0"/>
              </w:rPr>
            </w:pPr>
            <w:r>
              <w:rPr>
                <w:spacing w:val="0"/>
              </w:rPr>
              <w:t> </w:t>
            </w:r>
          </w:p>
        </w:tc>
        <w:tc>
          <w:tcPr>
            <w:tcW w:w="822" w:type="dxa"/>
            <w:tcBorders/>
            <w:shd w:fill="auto" w:val="clear"/>
            <w:vAlign w:val="center"/>
          </w:tcPr>
          <w:p>
            <w:pPr>
              <w:pStyle w:val="TableContents"/>
              <w:spacing w:before="0" w:after="0"/>
              <w:jc w:val="right"/>
              <w:rPr>
                <w:b/>
                <w:spacing w:val="0"/>
              </w:rPr>
            </w:pPr>
            <w:r>
              <w:rPr>
                <w:b/>
                <w:spacing w:val="0"/>
              </w:rPr>
              <w:t>81,145</w:t>
            </w:r>
          </w:p>
        </w:tc>
        <w:tc>
          <w:tcPr>
            <w:tcW w:w="75"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967"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967"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82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Post-employment benefits expense reflects those related to defined contribution plans for the years ended December 31, 2022, 2021 and 2020, inclusive of expenses related to the ITP 2. Expenses related to defined contribution plans amounted to $20,664, $13,916 and $7,975 for the years ended December 31, 2022, 2021 and 2020, respectively.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table discloses total expenses related to employee benefits for the Group’s Executive Management Team (“EMT”) and managing directors at the Group’s sales units: </w:t>
      </w:r>
    </w:p>
    <w:p>
      <w:pPr>
        <w:pStyle w:val="TextBody"/>
        <w:spacing w:before="0" w:after="0"/>
        <w:jc w:val="left"/>
        <w:rPr>
          <w:highlight w:val="white"/>
        </w:rPr>
      </w:pPr>
      <w:r>
        <w:rPr>
          <w:highlight w:val="white"/>
        </w:rPr>
        <w:t> </w:t>
      </w:r>
    </w:p>
    <w:tbl>
      <w:tblPr>
        <w:tblW w:w="7776" w:type="dxa"/>
        <w:jc w:val="left"/>
        <w:tblInd w:w="0" w:type="dxa"/>
        <w:tblCellMar>
          <w:top w:w="0" w:type="dxa"/>
          <w:left w:w="0" w:type="dxa"/>
          <w:bottom w:w="0" w:type="dxa"/>
          <w:right w:w="0" w:type="dxa"/>
        </w:tblCellMar>
      </w:tblPr>
      <w:tblGrid>
        <w:gridCol w:w="4175"/>
        <w:gridCol w:w="120"/>
        <w:gridCol w:w="86"/>
        <w:gridCol w:w="990"/>
        <w:gridCol w:w="86"/>
        <w:gridCol w:w="174"/>
        <w:gridCol w:w="86"/>
        <w:gridCol w:w="815"/>
        <w:gridCol w:w="86"/>
        <w:gridCol w:w="174"/>
        <w:gridCol w:w="86"/>
        <w:gridCol w:w="823"/>
        <w:gridCol w:w="75"/>
      </w:tblGrid>
      <w:tr>
        <w:trPr/>
        <w:tc>
          <w:tcPr>
            <w:tcW w:w="4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0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0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Short-term employee benefits</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jc w:val="right"/>
              <w:rPr/>
            </w:pPr>
            <w:r>
              <w:rPr/>
              <w:t>8,486</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5,094</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jc w:val="right"/>
              <w:rPr/>
            </w:pPr>
            <w:r>
              <w:rPr/>
              <w:t>5,788</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Post-employment benefits</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990" w:type="dxa"/>
            <w:tcBorders/>
            <w:shd w:fill="auto" w:val="clear"/>
            <w:vAlign w:val="center"/>
          </w:tcPr>
          <w:p>
            <w:pPr>
              <w:pStyle w:val="TableContents"/>
              <w:spacing w:before="0" w:after="283"/>
              <w:jc w:val="right"/>
              <w:rPr/>
            </w:pPr>
            <w:r>
              <w:rPr/>
              <w:t>996</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525</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23" w:type="dxa"/>
            <w:tcBorders/>
            <w:shd w:fill="auto" w:val="clear"/>
            <w:vAlign w:val="center"/>
          </w:tcPr>
          <w:p>
            <w:pPr>
              <w:pStyle w:val="TableContents"/>
              <w:spacing w:before="0" w:after="283"/>
              <w:jc w:val="right"/>
              <w:rPr/>
            </w:pPr>
            <w:r>
              <w:rPr/>
              <w:t>351</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long-term benefits</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jc w:val="right"/>
              <w:rPr/>
            </w:pPr>
            <w:r>
              <w:rPr/>
              <w:t>228</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417</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jc w:val="right"/>
              <w:rPr/>
            </w:pPr>
            <w:r>
              <w:rPr/>
              <w:t>600</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Share-based compensation</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990" w:type="dxa"/>
            <w:tcBorders/>
            <w:shd w:fill="auto" w:val="clear"/>
            <w:vAlign w:val="center"/>
          </w:tcPr>
          <w:p>
            <w:pPr>
              <w:pStyle w:val="TableContents"/>
              <w:spacing w:before="0" w:after="283"/>
              <w:jc w:val="right"/>
              <w:rPr/>
            </w:pPr>
            <w:r>
              <w:rPr/>
              <w:t>1,294</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2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990"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15"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2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benefits to key management personnel only</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0"/>
              <w:rPr>
                <w:spacing w:val="0"/>
              </w:rPr>
            </w:pPr>
            <w:r>
              <w:rPr>
                <w:spacing w:val="0"/>
              </w:rPr>
              <w:t> </w:t>
            </w:r>
          </w:p>
        </w:tc>
        <w:tc>
          <w:tcPr>
            <w:tcW w:w="990" w:type="dxa"/>
            <w:tcBorders/>
            <w:shd w:fill="CCEEFF" w:val="clear"/>
            <w:vAlign w:val="center"/>
          </w:tcPr>
          <w:p>
            <w:pPr>
              <w:pStyle w:val="TableContents"/>
              <w:spacing w:before="0" w:after="0"/>
              <w:jc w:val="right"/>
              <w:rPr>
                <w:b/>
                <w:spacing w:val="0"/>
              </w:rPr>
            </w:pPr>
            <w:r>
              <w:rPr>
                <w:b/>
                <w:spacing w:val="0"/>
              </w:rPr>
              <w:t>11,004</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0"/>
              <w:rPr>
                <w:spacing w:val="0"/>
              </w:rPr>
            </w:pPr>
            <w:r>
              <w:rPr>
                <w:spacing w:val="0"/>
              </w:rPr>
              <w:t> </w:t>
            </w:r>
          </w:p>
        </w:tc>
        <w:tc>
          <w:tcPr>
            <w:tcW w:w="815" w:type="dxa"/>
            <w:tcBorders/>
            <w:shd w:fill="CCEEFF" w:val="clear"/>
            <w:vAlign w:val="center"/>
          </w:tcPr>
          <w:p>
            <w:pPr>
              <w:pStyle w:val="TableContents"/>
              <w:spacing w:before="0" w:after="0"/>
              <w:jc w:val="right"/>
              <w:rPr>
                <w:b/>
                <w:spacing w:val="0"/>
              </w:rPr>
            </w:pPr>
            <w:r>
              <w:rPr>
                <w:b/>
                <w:spacing w:val="0"/>
              </w:rPr>
              <w:t>6,036</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0"/>
              <w:rPr>
                <w:spacing w:val="0"/>
              </w:rPr>
            </w:pPr>
            <w:r>
              <w:rPr>
                <w:spacing w:val="0"/>
              </w:rPr>
              <w:t> </w:t>
            </w:r>
          </w:p>
        </w:tc>
        <w:tc>
          <w:tcPr>
            <w:tcW w:w="823" w:type="dxa"/>
            <w:tcBorders/>
            <w:shd w:fill="CCEEFF" w:val="clear"/>
            <w:vAlign w:val="center"/>
          </w:tcPr>
          <w:p>
            <w:pPr>
              <w:pStyle w:val="TableContents"/>
              <w:spacing w:before="0" w:after="0"/>
              <w:jc w:val="right"/>
              <w:rPr>
                <w:b/>
                <w:spacing w:val="0"/>
              </w:rPr>
            </w:pPr>
            <w:r>
              <w:rPr>
                <w:b/>
                <w:spacing w:val="0"/>
              </w:rPr>
              <w:t>6,739</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990"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15"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2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Group’s EMT has the authority and responsibility for planning, directing, and controlling the Polestar Group’s activities. As of December 31, 2022 and 2021, the EMT consisted of the following individuals: </w:t>
      </w:r>
    </w:p>
    <w:p>
      <w:pPr>
        <w:pStyle w:val="TextBody"/>
        <w:spacing w:before="0" w:after="0"/>
        <w:jc w:val="left"/>
        <w:rPr>
          <w:highlight w:val="white"/>
        </w:rPr>
      </w:pPr>
      <w:r>
        <w:rPr>
          <w:highlight w:val="white"/>
        </w:rPr>
        <w:t> </w:t>
      </w:r>
    </w:p>
    <w:tbl>
      <w:tblPr>
        <w:tblW w:w="2410" w:type="dxa"/>
        <w:jc w:val="left"/>
        <w:tblInd w:w="0" w:type="dxa"/>
        <w:tblCellMar>
          <w:top w:w="0" w:type="dxa"/>
          <w:left w:w="0" w:type="dxa"/>
          <w:bottom w:w="0" w:type="dxa"/>
          <w:right w:w="0" w:type="dxa"/>
        </w:tblCellMar>
      </w:tblPr>
      <w:tblGrid>
        <w:gridCol w:w="75"/>
        <w:gridCol w:w="110"/>
        <w:gridCol w:w="60"/>
        <w:gridCol w:w="2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Thomas Ingenlath (CEO); </w:t>
            </w:r>
          </w:p>
        </w:tc>
      </w:tr>
    </w:tbl>
    <w:p>
      <w:pPr>
        <w:pStyle w:val="TextBody"/>
        <w:spacing w:before="0" w:after="0"/>
        <w:jc w:val="left"/>
        <w:rPr>
          <w:highlight w:val="white"/>
        </w:rPr>
      </w:pPr>
      <w:r>
        <w:rPr>
          <w:highlight w:val="white"/>
        </w:rPr>
        <w:t> </w:t>
      </w:r>
    </w:p>
    <w:tbl>
      <w:tblPr>
        <w:tblW w:w="4810" w:type="dxa"/>
        <w:jc w:val="left"/>
        <w:tblInd w:w="0" w:type="dxa"/>
        <w:tblCellMar>
          <w:top w:w="0" w:type="dxa"/>
          <w:left w:w="0" w:type="dxa"/>
          <w:bottom w:w="0" w:type="dxa"/>
          <w:right w:w="0" w:type="dxa"/>
        </w:tblCellMar>
      </w:tblPr>
      <w:tblGrid>
        <w:gridCol w:w="75"/>
        <w:gridCol w:w="110"/>
        <w:gridCol w:w="60"/>
        <w:gridCol w:w="4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Johan Malmqvist (Chief Financial Officer, “CFO”); and </w:t>
            </w:r>
          </w:p>
        </w:tc>
      </w:tr>
    </w:tbl>
    <w:p>
      <w:pPr>
        <w:pStyle w:val="TextBody"/>
        <w:spacing w:before="0" w:after="0"/>
        <w:jc w:val="left"/>
        <w:rPr>
          <w:highlight w:val="white"/>
        </w:rPr>
      </w:pPr>
      <w:r>
        <w:rPr>
          <w:highlight w:val="white"/>
        </w:rPr>
        <w:t> </w:t>
      </w:r>
    </w:p>
    <w:tbl>
      <w:tblPr>
        <w:tblW w:w="4465" w:type="dxa"/>
        <w:jc w:val="left"/>
        <w:tblInd w:w="0" w:type="dxa"/>
        <w:tblCellMar>
          <w:top w:w="0" w:type="dxa"/>
          <w:left w:w="0" w:type="dxa"/>
          <w:bottom w:w="0" w:type="dxa"/>
          <w:right w:w="0" w:type="dxa"/>
        </w:tblCellMar>
      </w:tblPr>
      <w:tblGrid>
        <w:gridCol w:w="75"/>
        <w:gridCol w:w="110"/>
        <w:gridCol w:w="60"/>
        <w:gridCol w:w="4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Dennis Nobelius (Chief Operating Officer, “COO”).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2020, the EMT consisted of: </w:t>
      </w:r>
    </w:p>
    <w:p>
      <w:pPr>
        <w:pStyle w:val="TextBody"/>
        <w:spacing w:before="0" w:after="0"/>
        <w:jc w:val="left"/>
        <w:rPr>
          <w:highlight w:val="white"/>
        </w:rPr>
      </w:pPr>
      <w:r>
        <w:rPr>
          <w:highlight w:val="white"/>
        </w:rPr>
        <w:t> </w:t>
      </w:r>
    </w:p>
    <w:tbl>
      <w:tblPr>
        <w:tblW w:w="2410" w:type="dxa"/>
        <w:jc w:val="left"/>
        <w:tblInd w:w="0" w:type="dxa"/>
        <w:tblCellMar>
          <w:top w:w="0" w:type="dxa"/>
          <w:left w:w="0" w:type="dxa"/>
          <w:bottom w:w="0" w:type="dxa"/>
          <w:right w:w="0" w:type="dxa"/>
        </w:tblCellMar>
      </w:tblPr>
      <w:tblGrid>
        <w:gridCol w:w="75"/>
        <w:gridCol w:w="110"/>
        <w:gridCol w:w="60"/>
        <w:gridCol w:w="2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Thomas Ingenlath (CEO); </w:t>
            </w:r>
          </w:p>
        </w:tc>
      </w:tr>
    </w:tbl>
    <w:p>
      <w:pPr>
        <w:pStyle w:val="TextBody"/>
        <w:spacing w:before="0" w:after="0"/>
        <w:jc w:val="left"/>
        <w:rPr>
          <w:highlight w:val="white"/>
        </w:rPr>
      </w:pPr>
      <w:r>
        <w:rPr>
          <w:highlight w:val="white"/>
        </w:rPr>
        <w:t> </w:t>
      </w:r>
    </w:p>
    <w:tbl>
      <w:tblPr>
        <w:tblW w:w="2095" w:type="dxa"/>
        <w:jc w:val="left"/>
        <w:tblInd w:w="0" w:type="dxa"/>
        <w:tblCellMar>
          <w:top w:w="0" w:type="dxa"/>
          <w:left w:w="0" w:type="dxa"/>
          <w:bottom w:w="0" w:type="dxa"/>
          <w:right w:w="0" w:type="dxa"/>
        </w:tblCellMar>
      </w:tblPr>
      <w:tblGrid>
        <w:gridCol w:w="75"/>
        <w:gridCol w:w="110"/>
        <w:gridCol w:w="60"/>
        <w:gridCol w:w="1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Ian Zhang (CFO); and </w:t>
            </w:r>
          </w:p>
        </w:tc>
      </w:tr>
    </w:tbl>
    <w:p>
      <w:pPr>
        <w:pStyle w:val="TextBody"/>
        <w:spacing w:before="0" w:after="0"/>
        <w:jc w:val="left"/>
        <w:rPr>
          <w:highlight w:val="white"/>
        </w:rPr>
      </w:pPr>
      <w:r>
        <w:rPr>
          <w:highlight w:val="white"/>
        </w:rPr>
        <w:t> </w:t>
      </w:r>
    </w:p>
    <w:tbl>
      <w:tblPr>
        <w:tblW w:w="2290" w:type="dxa"/>
        <w:jc w:val="left"/>
        <w:tblInd w:w="0" w:type="dxa"/>
        <w:tblCellMar>
          <w:top w:w="0" w:type="dxa"/>
          <w:left w:w="0" w:type="dxa"/>
          <w:bottom w:w="0" w:type="dxa"/>
          <w:right w:w="0" w:type="dxa"/>
        </w:tblCellMar>
      </w:tblPr>
      <w:tblGrid>
        <w:gridCol w:w="75"/>
        <w:gridCol w:w="110"/>
        <w:gridCol w:w="60"/>
        <w:gridCol w:w="2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Dennis Nobelius (COO).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CEO has the ultimate authority for approval of actions proposed by each member of the EMT.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7 - Share-based payment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noted in Note 1 - Significant accounting policies and judgements, Polestar granted shares to employees under the Omnibus Plan as part of the Group’s employee compensation. Under the Omnibus Plan, there are three kinds of programs: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At-listing</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Plan, Post-listing Plan, and the Free Share Plan, all of which are equity-settled. The following table illustrates share activity for the year ended December 31, 2022: </w:t>
      </w:r>
    </w:p>
    <w:p>
      <w:pPr>
        <w:pStyle w:val="TextBody"/>
        <w:spacing w:before="0" w:after="0"/>
        <w:jc w:val="left"/>
        <w:rPr>
          <w:highlight w:val="white"/>
        </w:rPr>
      </w:pPr>
      <w:r>
        <w:rPr>
          <w:highlight w:val="white"/>
        </w:rPr>
        <w:t> </w:t>
      </w:r>
    </w:p>
    <w:tbl>
      <w:tblPr>
        <w:tblW w:w="8545" w:type="dxa"/>
        <w:jc w:val="left"/>
        <w:tblInd w:w="0" w:type="dxa"/>
        <w:tblCellMar>
          <w:top w:w="0" w:type="dxa"/>
          <w:left w:w="0" w:type="dxa"/>
          <w:bottom w:w="0" w:type="dxa"/>
          <w:right w:w="0" w:type="dxa"/>
        </w:tblCellMar>
      </w:tblPr>
      <w:tblGrid>
        <w:gridCol w:w="3170"/>
        <w:gridCol w:w="120"/>
        <w:gridCol w:w="78"/>
        <w:gridCol w:w="1052"/>
        <w:gridCol w:w="60"/>
        <w:gridCol w:w="60"/>
        <w:gridCol w:w="72"/>
        <w:gridCol w:w="1058"/>
        <w:gridCol w:w="155"/>
        <w:gridCol w:w="60"/>
        <w:gridCol w:w="79"/>
        <w:gridCol w:w="1156"/>
        <w:gridCol w:w="155"/>
        <w:gridCol w:w="60"/>
        <w:gridCol w:w="60"/>
        <w:gridCol w:w="980"/>
        <w:gridCol w:w="170"/>
      </w:tblGrid>
      <w:tr>
        <w:trPr/>
        <w:tc>
          <w:tcPr>
            <w:tcW w:w="3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Number of</w:t>
            </w:r>
          </w:p>
          <w:p>
            <w:pPr>
              <w:pStyle w:val="TableContents"/>
              <w:spacing w:before="0" w:after="0"/>
              <w:jc w:val="center"/>
              <w:rPr/>
            </w:pPr>
            <w:r>
              <w:rPr/>
            </w:r>
          </w:p>
          <w:p>
            <w:pPr>
              <w:pStyle w:val="TableContents"/>
              <w:spacing w:before="0" w:after="0"/>
              <w:jc w:val="center"/>
              <w:rPr>
                <w:b/>
                <w:spacing w:val="0"/>
              </w:rPr>
            </w:pPr>
            <w:r>
              <w:rPr>
                <w:b/>
                <w:spacing w:val="0"/>
              </w:rPr>
              <w:t>PSUs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Number of</w:t>
            </w:r>
          </w:p>
          <w:p>
            <w:pPr>
              <w:pStyle w:val="TableContents"/>
              <w:spacing w:before="0" w:after="0"/>
              <w:jc w:val="center"/>
              <w:rPr/>
            </w:pPr>
            <w:r>
              <w:rPr/>
            </w:r>
          </w:p>
          <w:p>
            <w:pPr>
              <w:pStyle w:val="TableContents"/>
              <w:spacing w:before="0" w:after="0"/>
              <w:jc w:val="center"/>
              <w:rPr>
                <w:b/>
                <w:spacing w:val="0"/>
              </w:rPr>
            </w:pPr>
            <w:r>
              <w:rPr>
                <w:b/>
                <w:spacing w:val="0"/>
              </w:rPr>
              <w:t>RSUs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Number of</w:t>
              <w:br/>
              <w:t>Free Shares</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Outstanding as of January 1, 2022</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0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Granted</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858,821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58" w:type="dxa"/>
            <w:tcBorders/>
            <w:shd w:fill="auto" w:val="clear"/>
            <w:vAlign w:val="center"/>
          </w:tcPr>
          <w:p>
            <w:pPr>
              <w:pStyle w:val="TableContents"/>
              <w:spacing w:before="0" w:after="283"/>
              <w:jc w:val="right"/>
              <w:rPr/>
            </w:pPr>
            <w:r>
              <w:rPr/>
              <w:t>629,303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334,990</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1,823,114</w:t>
            </w:r>
          </w:p>
        </w:tc>
        <w:tc>
          <w:tcPr>
            <w:tcW w:w="170"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058" w:type="dxa"/>
            <w:tcBorders/>
            <w:shd w:fill="CCEEFF" w:val="clear"/>
            <w:vAlign w:val="center"/>
          </w:tcPr>
          <w:p>
            <w:pPr>
              <w:pStyle w:val="TableContents"/>
              <w:spacing w:before="0" w:after="283"/>
              <w:jc w:val="right"/>
              <w:rPr/>
            </w:pPr>
            <w:r>
              <w:rPr/>
              <w:t>(170,683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(330,768</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(501,451</w:t>
            </w:r>
          </w:p>
        </w:tc>
        <w:tc>
          <w:tcPr>
            <w:tcW w:w="170" w:type="dxa"/>
            <w:tcBorders/>
            <w:shd w:fill="CCEEFF"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Cancelled</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5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05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Outstanding as of December 31, 2022</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0"/>
              <w:rPr>
                <w:spacing w:val="0"/>
              </w:rPr>
            </w:pPr>
            <w:r>
              <w:rPr>
                <w:spacing w:val="0"/>
              </w:rPr>
              <w:t> </w:t>
            </w:r>
          </w:p>
        </w:tc>
        <w:tc>
          <w:tcPr>
            <w:tcW w:w="1052" w:type="dxa"/>
            <w:tcBorders/>
            <w:shd w:fill="CCEEFF" w:val="clear"/>
            <w:vAlign w:val="center"/>
          </w:tcPr>
          <w:p>
            <w:pPr>
              <w:pStyle w:val="TableContents"/>
              <w:spacing w:before="0" w:after="0"/>
              <w:jc w:val="right"/>
              <w:rPr>
                <w:b/>
                <w:spacing w:val="0"/>
              </w:rPr>
            </w:pPr>
            <w:r>
              <w:rPr>
                <w:b/>
                <w:spacing w:val="0"/>
              </w:rPr>
              <w:t>858,821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1058" w:type="dxa"/>
            <w:tcBorders/>
            <w:shd w:fill="CCEEFF" w:val="clear"/>
            <w:vAlign w:val="center"/>
          </w:tcPr>
          <w:p>
            <w:pPr>
              <w:pStyle w:val="TableContents"/>
              <w:spacing w:before="0" w:after="0"/>
              <w:jc w:val="right"/>
              <w:rPr>
                <w:b/>
                <w:spacing w:val="0"/>
              </w:rPr>
            </w:pPr>
            <w:r>
              <w:rPr>
                <w:b/>
                <w:spacing w:val="0"/>
              </w:rPr>
              <w:t>458,620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0"/>
              <w:rPr>
                <w:spacing w:val="0"/>
              </w:rPr>
            </w:pPr>
            <w:r>
              <w:rPr>
                <w:spacing w:val="0"/>
              </w:rPr>
              <w:t> </w:t>
            </w:r>
          </w:p>
        </w:tc>
        <w:tc>
          <w:tcPr>
            <w:tcW w:w="1156" w:type="dxa"/>
            <w:tcBorders/>
            <w:shd w:fill="CCEEFF" w:val="clear"/>
            <w:vAlign w:val="center"/>
          </w:tcPr>
          <w:p>
            <w:pPr>
              <w:pStyle w:val="TableContents"/>
              <w:spacing w:before="0" w:after="0"/>
              <w:jc w:val="right"/>
              <w:rPr>
                <w:b/>
                <w:spacing w:val="0"/>
              </w:rPr>
            </w:pPr>
            <w:r>
              <w:rPr>
                <w:b/>
                <w:spacing w:val="0"/>
              </w:rPr>
              <w:t>4,222</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1,321,663</w:t>
            </w:r>
          </w:p>
        </w:tc>
        <w:tc>
          <w:tcPr>
            <w:tcW w:w="170" w:type="dxa"/>
            <w:tcBorders/>
            <w:shd w:fill="CCEEFF"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05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0"/>
              <w:rPr>
                <w:bdr w:val="single" w:sz="2" w:space="1" w:color="000000"/>
              </w:rPr>
            </w:pPr>
            <w:r>
              <w:rPr>
                <w:bdr w:val="single" w:sz="2" w:space="1" w:color="000000"/>
              </w:rPr>
              <w:t> </w:t>
            </w:r>
          </w:p>
        </w:tc>
        <w:tc>
          <w:tcPr>
            <w:tcW w:w="115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There was no share activity under the Omnibus Plan for the years ended December 31, 2021 and 2020.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table illustrates total share-based compensation expense for the years ended December 31, 2022, 2021 and 2020: </w:t>
      </w:r>
    </w:p>
    <w:p>
      <w:pPr>
        <w:pStyle w:val="TextBody"/>
        <w:spacing w:before="0" w:after="0"/>
        <w:jc w:val="left"/>
        <w:rPr>
          <w:highlight w:val="white"/>
        </w:rPr>
      </w:pPr>
      <w:r>
        <w:rPr>
          <w:highlight w:val="white"/>
        </w:rPr>
        <w:t> </w:t>
      </w:r>
    </w:p>
    <w:tbl>
      <w:tblPr>
        <w:tblW w:w="7177" w:type="dxa"/>
        <w:jc w:val="left"/>
        <w:tblInd w:w="0" w:type="dxa"/>
        <w:tblCellMar>
          <w:top w:w="0" w:type="dxa"/>
          <w:left w:w="0" w:type="dxa"/>
          <w:bottom w:w="0" w:type="dxa"/>
          <w:right w:w="0" w:type="dxa"/>
        </w:tblCellMar>
      </w:tblPr>
      <w:tblGrid>
        <w:gridCol w:w="3575"/>
        <w:gridCol w:w="120"/>
        <w:gridCol w:w="69"/>
        <w:gridCol w:w="1066"/>
        <w:gridCol w:w="69"/>
        <w:gridCol w:w="138"/>
        <w:gridCol w:w="69"/>
        <w:gridCol w:w="858"/>
        <w:gridCol w:w="69"/>
        <w:gridCol w:w="138"/>
        <w:gridCol w:w="69"/>
        <w:gridCol w:w="862"/>
        <w:gridCol w:w="75"/>
      </w:tblGrid>
      <w:tr>
        <w:trPr/>
        <w:tc>
          <w:tcPr>
            <w:tcW w:w="3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7"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93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066" w:type="dxa"/>
            <w:tcBorders/>
            <w:shd w:fill="CCEEFF" w:val="clear"/>
            <w:vAlign w:val="center"/>
          </w:tcPr>
          <w:p>
            <w:pPr>
              <w:pStyle w:val="TableContents"/>
              <w:spacing w:before="0" w:after="283"/>
              <w:jc w:val="right"/>
              <w:rPr/>
            </w:pPr>
            <w:r>
              <w:rPr/>
              <w:t>      </w:t>
            </w:r>
            <w:r>
              <w:rPr/>
              <w:t>7,128</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858" w:type="dxa"/>
            <w:tcBorders/>
            <w:shd w:fill="CCEEFF" w:val="clear"/>
            <w:vAlign w:val="center"/>
          </w:tcPr>
          <w:p>
            <w:pPr>
              <w:pStyle w:val="TableContents"/>
              <w:spacing w:before="0" w:after="283"/>
              <w:jc w:val="right"/>
              <w:rPr/>
            </w:pPr>
            <w:r>
              <w:rPr/>
              <w:t>      —  </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862" w:type="dxa"/>
            <w:tcBorders/>
            <w:shd w:fill="CCEEFF" w:val="clear"/>
            <w:vAlign w:val="center"/>
          </w:tcPr>
          <w:p>
            <w:pPr>
              <w:pStyle w:val="TableContents"/>
              <w:spacing w:before="0" w:after="283"/>
              <w:jc w:val="right"/>
              <w:rPr/>
            </w:pPr>
            <w:r>
              <w:rPr/>
              <w:t>      —  </w:t>
            </w:r>
          </w:p>
        </w:tc>
        <w:tc>
          <w:tcPr>
            <w:tcW w:w="75" w:type="dxa"/>
            <w:tcBorders/>
            <w:shd w:fill="CCEEFF"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066" w:type="dxa"/>
            <w:tcBorders/>
            <w:shd w:fill="auto" w:val="clear"/>
            <w:vAlign w:val="center"/>
          </w:tcPr>
          <w:p>
            <w:pPr>
              <w:pStyle w:val="TableContents"/>
              <w:spacing w:before="0" w:after="283"/>
              <w:jc w:val="right"/>
              <w:rPr/>
            </w:pPr>
            <w:r>
              <w:rPr/>
              <w:t>2,781</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858" w:type="dxa"/>
            <w:tcBorders/>
            <w:shd w:fill="auto" w:val="cle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86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066"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858"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86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0"/>
              <w:rPr>
                <w:spacing w:val="0"/>
              </w:rPr>
            </w:pPr>
            <w:r>
              <w:rPr>
                <w:spacing w:val="0"/>
              </w:rPr>
              <w:t> </w:t>
            </w:r>
          </w:p>
        </w:tc>
        <w:tc>
          <w:tcPr>
            <w:tcW w:w="1066" w:type="dxa"/>
            <w:tcBorders/>
            <w:shd w:fill="CCEEFF" w:val="clear"/>
            <w:vAlign w:val="center"/>
          </w:tcPr>
          <w:p>
            <w:pPr>
              <w:pStyle w:val="TableContents"/>
              <w:spacing w:before="0" w:after="0"/>
              <w:jc w:val="right"/>
              <w:rPr>
                <w:b/>
                <w:spacing w:val="0"/>
              </w:rPr>
            </w:pPr>
            <w:r>
              <w:rPr>
                <w:b/>
                <w:spacing w:val="0"/>
              </w:rPr>
              <w:t>9,909</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0"/>
              <w:rPr>
                <w:spacing w:val="0"/>
              </w:rPr>
            </w:pPr>
            <w:r>
              <w:rPr>
                <w:spacing w:val="0"/>
              </w:rPr>
              <w:t> </w:t>
            </w:r>
          </w:p>
        </w:tc>
        <w:tc>
          <w:tcPr>
            <w:tcW w:w="858" w:type="dxa"/>
            <w:tcBorders/>
            <w:shd w:fill="CCEEFF" w:val="clear"/>
            <w:vAlign w:val="center"/>
          </w:tcPr>
          <w:p>
            <w:pPr>
              <w:pStyle w:val="TableContents"/>
              <w:spacing w:before="0" w:after="0"/>
              <w:jc w:val="right"/>
              <w:rPr>
                <w:spacing w:val="0"/>
              </w:rPr>
            </w:pPr>
            <w:r>
              <w:rPr>
                <w:spacing w:val="0"/>
              </w:rPr>
              <w:t>—  </w:t>
            </w:r>
          </w:p>
        </w:tc>
        <w:tc>
          <w:tcPr>
            <w:tcW w:w="69" w:type="dxa"/>
            <w:tcBorders/>
            <w:shd w:fill="CCEEFF" w:val="clear"/>
            <w:vAlign w:val="center"/>
          </w:tcPr>
          <w:p>
            <w:pPr>
              <w:pStyle w:val="TableContents"/>
              <w:spacing w:before="0" w:after="0"/>
              <w:rPr>
                <w:spacing w:val="0"/>
              </w:rPr>
            </w:pPr>
            <w:r>
              <w:rPr>
                <w:spacing w:val="0"/>
              </w:rPr>
              <w:t> </w:t>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0"/>
              <w:rPr>
                <w:spacing w:val="0"/>
              </w:rPr>
            </w:pPr>
            <w:r>
              <w:rPr>
                <w:spacing w:val="0"/>
              </w:rPr>
              <w:t> </w:t>
            </w:r>
          </w:p>
        </w:tc>
        <w:tc>
          <w:tcPr>
            <w:tcW w:w="862" w:type="dxa"/>
            <w:tcBorders/>
            <w:shd w:fill="CCEEFF" w:val="clear"/>
            <w:vAlign w:val="center"/>
          </w:tcPr>
          <w:p>
            <w:pPr>
              <w:pStyle w:val="TableContents"/>
              <w:spacing w:before="0" w:after="0"/>
              <w:jc w:val="right"/>
              <w:rPr>
                <w:spacing w:val="0"/>
              </w:rPr>
            </w:pPr>
            <w:r>
              <w:rPr>
                <w:spacing w:val="0"/>
              </w:rPr>
              <w:t>—  </w:t>
            </w:r>
          </w:p>
        </w:tc>
        <w:tc>
          <w:tcPr>
            <w:tcW w:w="75" w:type="dxa"/>
            <w:tcBorders/>
            <w:shd w:fill="CCEEFF" w:val="clear"/>
            <w:vAlign w:val="center"/>
          </w:tcPr>
          <w:p>
            <w:pPr>
              <w:pStyle w:val="TableContents"/>
              <w:spacing w:before="0" w:after="0"/>
              <w:rPr>
                <w:spacing w:val="0"/>
              </w:rPr>
            </w:pPr>
            <w:r>
              <w:rPr>
                <w:spacing w:val="0"/>
              </w:rPr>
              <w:t> </w:t>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1066"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858"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86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At-listing</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plan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All executives and other key management members are eligible to receive RSUs under this plan. RSUs were granted on September 9, 2022 with the vesting commencement date of June 24, 2022; 33% of the RSUs vested on October 3, 2022 and the remaining RSUs will vest in two installments, with 33% of the awards vesting on June 24, 2023, and the remaining 34% of awards vesting on June 24, 2024. In order for the RSUs to vest, the employee must remain employed with Polestar at each vesting date.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total number of RSUs granted was 517,220, with a fair value of $3,476 as of the grant date. The total number of shares vested during the period was 170,683 with a fair value of $1,147. There were no changes to the number of shares granted during the period due to leavers or any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vesting/non-vesting</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conditions.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Post-listing plan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Under this plan, the EMT (i.e., CEO, CFO, and COO), are eligible to receive PSUs and other key management members are eligible to receive RSUs and PSUs. Awards were granted on September 9, 2022. The Post-listing plan has a </w:t>
      </w:r>
    </w:p>
    <w:p>
      <w:pPr>
        <w:pStyle w:val="TextBody"/>
        <w:spacing w:before="120" w:after="0"/>
        <w:jc w:val="left"/>
        <w:rPr>
          <w:rFonts w:ascii="Times New Roman" w:hAnsi="Times New Roman"/>
          <w:sz w:val="20"/>
          <w:highlight w:val="white"/>
        </w:rPr>
      </w:pPr>
      <w:r>
        <w:rPr>
          <w:rFonts w:ascii="Times New Roman" w:hAnsi="Times New Roman"/>
          <w:sz w:val="20"/>
          <w:highlight w:val="white"/>
        </w:rPr>
        <w:t>three-year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cliff vesting period, where the first vesting date is October 3, 2022 with a final vesting date of June 24, 2025. The vesting commencement date for the Post-listing plan was June 24, 2022. In order for the participants to receive the awards, they must remain employees at Polestar throughout the three-year vesting period, and achieve certain market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non-market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performance-based targets in order to receive the PSUs: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Market condition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 </w:t>
            </w:r>
          </w:p>
        </w:tc>
      </w:tr>
    </w:tbl>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Non-market</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conditions </w:t>
      </w:r>
    </w:p>
    <w:p>
      <w:pPr>
        <w:pStyle w:val="TextBody"/>
        <w:spacing w:before="0" w:after="0"/>
        <w:jc w:val="left"/>
        <w:rPr>
          <w:highlight w:val="white"/>
        </w:rPr>
      </w:pPr>
      <w:r>
        <w:rPr>
          <w:highlight w:val="white"/>
        </w:rPr>
        <w:t> </w:t>
      </w:r>
    </w:p>
    <w:tbl>
      <w:tblPr>
        <w:tblW w:w="9160" w:type="dxa"/>
        <w:jc w:val="left"/>
        <w:tblInd w:w="0" w:type="dxa"/>
        <w:tblCellMar>
          <w:top w:w="0" w:type="dxa"/>
          <w:left w:w="0" w:type="dxa"/>
          <w:bottom w:w="0" w:type="dxa"/>
          <w:right w:w="0" w:type="dxa"/>
        </w:tblCellMar>
      </w:tblPr>
      <w:tblGrid>
        <w:gridCol w:w="75"/>
        <w:gridCol w:w="110"/>
        <w:gridCol w:w="60"/>
        <w:gridCol w:w="8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25% Cash flow – The target is equal to unleveraged free cash flow accumulated from 2022 – forecasted 2024.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20% Environmental, Social, Governance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30% Operational milestones – The target is the fulfillment of operational milestones driving growth and stand-alone capabilities. The total number of RSUs granted was 112,083, with a fair value of $753 as of the grant date. The total number of PSUs granted was 858,821, with a fair value of $6,031 as of the grant date. There were no changes to the number of shares granted during the period due to leavers or any </w:t>
            </w:r>
          </w:p>
          <w:p>
            <w:pPr>
              <w:pStyle w:val="TableContents"/>
              <w:spacing w:before="0" w:after="0"/>
              <w:jc w:val="left"/>
              <w:rPr>
                <w:rFonts w:ascii="Times New Roman" w:hAnsi="Times New Roman"/>
                <w:spacing w:val="0"/>
                <w:sz w:val="20"/>
              </w:rPr>
            </w:pPr>
            <w:r>
              <w:rPr>
                <w:rFonts w:ascii="Times New Roman" w:hAnsi="Times New Roman"/>
                <w:spacing w:val="0"/>
                <w:sz w:val="20"/>
              </w:rPr>
              <w:t>vesting/non-vesting</w:t>
            </w:r>
          </w:p>
          <w:p>
            <w:pPr>
              <w:pStyle w:val="TableContents"/>
              <w:spacing w:before="0" w:after="0"/>
              <w:jc w:val="left"/>
              <w:rPr>
                <w:rFonts w:ascii="Times New Roman" w:hAnsi="Times New Roman"/>
                <w:sz w:val="20"/>
              </w:rPr>
            </w:pPr>
            <w:r>
              <w:rPr>
                <w:rFonts w:ascii="Times New Roman" w:hAnsi="Times New Roman"/>
                <w:sz w:val="20"/>
              </w:rPr>
              <w:t xml:space="preserve">conditions.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Free share plan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All permanent employees hired no later than December 31, 2021 who remained employed were granted free shares on September 30, 2022. The awards vested on October 3, 2022 and are subject to a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one-year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holding period. The total number of Free Shares granted and vested was 334,990 and 330,768, respectively, with vested shares fair value of $1,715 as of the grant date. The fair value was determined using the market value of the shares listed on the Nasdaq. Under the Free Share plan, Polestar must withhold the tax obligation related to the share-based payment and transfer that amount in cash to the tax authority on the employee’s behalf. Polestar does not withhold shares in order to settle the employee’s tax obligations.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Marketing consulting services agreement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March 24, 2022, Polestar granted an equity-settled share-based payment in exchange for marketing services through November 1, 2023. Per the terms of the agreement, 250,000 Class A Shares vested on August 31, 2022, the date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F-1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Registration Statement became effective.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have vested as of December 31, 2022.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Note 8 - Other operating income and expense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details the Group’s other operating income and expense: </w:t>
      </w:r>
    </w:p>
    <w:p>
      <w:pPr>
        <w:pStyle w:val="TextBody"/>
        <w:spacing w:before="0" w:after="0"/>
        <w:jc w:val="left"/>
        <w:rPr>
          <w:highlight w:val="white"/>
        </w:rPr>
      </w:pPr>
      <w:r>
        <w:rPr>
          <w:highlight w:val="white"/>
        </w:rPr>
        <w:t> </w:t>
      </w:r>
    </w:p>
    <w:tbl>
      <w:tblPr>
        <w:tblW w:w="6651" w:type="dxa"/>
        <w:jc w:val="left"/>
        <w:tblInd w:w="0" w:type="dxa"/>
        <w:tblCellMar>
          <w:top w:w="0" w:type="dxa"/>
          <w:left w:w="0" w:type="dxa"/>
          <w:bottom w:w="0" w:type="dxa"/>
          <w:right w:w="0" w:type="dxa"/>
        </w:tblCellMar>
      </w:tblPr>
      <w:tblGrid>
        <w:gridCol w:w="3050"/>
        <w:gridCol w:w="120"/>
        <w:gridCol w:w="91"/>
        <w:gridCol w:w="860"/>
        <w:gridCol w:w="91"/>
        <w:gridCol w:w="184"/>
        <w:gridCol w:w="91"/>
        <w:gridCol w:w="860"/>
        <w:gridCol w:w="91"/>
        <w:gridCol w:w="184"/>
        <w:gridCol w:w="91"/>
        <w:gridCol w:w="863"/>
        <w:gridCol w:w="75"/>
      </w:tblGrid>
      <w:tr>
        <w:trPr/>
        <w:tc>
          <w:tcPr>
            <w:tcW w:w="3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5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Other operating income</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foreign exchange rate differences</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63" w:type="dxa"/>
            <w:tcBorders/>
            <w:shd w:fill="auto" w:val="clear"/>
            <w:vAlign w:val="center"/>
          </w:tcPr>
          <w:p>
            <w:pPr>
              <w:pStyle w:val="TableContents"/>
              <w:spacing w:before="0" w:after="283"/>
              <w:jc w:val="right"/>
              <w:rPr/>
            </w:pPr>
            <w:r>
              <w:rPr/>
              <w:t>2,478</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Sold services</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847</w:t>
            </w:r>
          </w:p>
        </w:tc>
        <w:tc>
          <w:tcPr>
            <w:tcW w:w="9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6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income</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4,724</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1,776</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63" w:type="dxa"/>
            <w:tcBorders/>
            <w:shd w:fill="auto" w:val="clear"/>
            <w:vAlign w:val="center"/>
          </w:tcPr>
          <w:p>
            <w:pPr>
              <w:pStyle w:val="TableContents"/>
              <w:spacing w:before="0" w:after="283"/>
              <w:jc w:val="right"/>
              <w:rPr/>
            </w:pPr>
            <w:r>
              <w:rPr/>
              <w:t>1,598</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bdr w:val="single" w:sz="2" w:space="1" w:color="000000"/>
              </w:rPr>
            </w:pPr>
            <w:r>
              <w:rPr>
                <w:bdr w:val="single" w:sz="2" w:space="1" w:color="000000"/>
              </w:rPr>
              <w:t> </w:t>
            </w:r>
          </w:p>
        </w:tc>
        <w:tc>
          <w:tcPr>
            <w:tcW w:w="86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0"/>
              <w:rPr>
                <w:spacing w:val="0"/>
              </w:rPr>
            </w:pPr>
            <w:r>
              <w:rPr>
                <w:spacing w:val="0"/>
              </w:rPr>
              <w:t> </w:t>
            </w:r>
          </w:p>
        </w:tc>
        <w:tc>
          <w:tcPr>
            <w:tcW w:w="860" w:type="dxa"/>
            <w:tcBorders/>
            <w:shd w:fill="CCEEFF" w:val="clear"/>
            <w:vAlign w:val="center"/>
          </w:tcPr>
          <w:p>
            <w:pPr>
              <w:pStyle w:val="TableContents"/>
              <w:spacing w:before="0" w:after="0"/>
              <w:jc w:val="right"/>
              <w:rPr>
                <w:b/>
                <w:spacing w:val="0"/>
              </w:rPr>
            </w:pPr>
            <w:r>
              <w:rPr>
                <w:b/>
                <w:spacing w:val="0"/>
              </w:rPr>
              <w:t>4,724</w:t>
            </w:r>
          </w:p>
        </w:tc>
        <w:tc>
          <w:tcPr>
            <w:tcW w:w="9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0"/>
              <w:rPr>
                <w:spacing w:val="0"/>
              </w:rPr>
            </w:pPr>
            <w:r>
              <w:rPr>
                <w:spacing w:val="0"/>
              </w:rPr>
              <w:t> </w:t>
            </w:r>
          </w:p>
        </w:tc>
        <w:tc>
          <w:tcPr>
            <w:tcW w:w="860" w:type="dxa"/>
            <w:tcBorders/>
            <w:shd w:fill="CCEEFF" w:val="clear"/>
            <w:vAlign w:val="center"/>
          </w:tcPr>
          <w:p>
            <w:pPr>
              <w:pStyle w:val="TableContents"/>
              <w:spacing w:before="0" w:after="0"/>
              <w:jc w:val="right"/>
              <w:rPr>
                <w:b/>
                <w:spacing w:val="0"/>
              </w:rPr>
            </w:pPr>
            <w:r>
              <w:rPr>
                <w:b/>
                <w:spacing w:val="0"/>
              </w:rPr>
              <w:t>2,623</w:t>
            </w:r>
          </w:p>
        </w:tc>
        <w:tc>
          <w:tcPr>
            <w:tcW w:w="9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0"/>
              <w:rPr>
                <w:spacing w:val="0"/>
              </w:rPr>
            </w:pPr>
            <w:r>
              <w:rPr>
                <w:spacing w:val="0"/>
              </w:rPr>
              <w:t> </w:t>
            </w:r>
          </w:p>
        </w:tc>
        <w:tc>
          <w:tcPr>
            <w:tcW w:w="863" w:type="dxa"/>
            <w:tcBorders/>
            <w:shd w:fill="CCEEFF" w:val="clear"/>
            <w:vAlign w:val="center"/>
          </w:tcPr>
          <w:p>
            <w:pPr>
              <w:pStyle w:val="TableContents"/>
              <w:spacing w:before="0" w:after="0"/>
              <w:jc w:val="right"/>
              <w:rPr>
                <w:b/>
                <w:spacing w:val="0"/>
              </w:rPr>
            </w:pPr>
            <w:r>
              <w:rPr>
                <w:b/>
                <w:spacing w:val="0"/>
              </w:rPr>
              <w:t>4,076</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91"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bdr w:val="single" w:sz="2" w:space="1" w:color="000000"/>
              </w:rPr>
            </w:pPr>
            <w:r>
              <w:rPr>
                <w:bdr w:val="single" w:sz="2" w:space="1" w:color="000000"/>
              </w:rPr>
              <w:t> </w:t>
            </w:r>
          </w:p>
        </w:tc>
        <w:tc>
          <w:tcPr>
            <w:tcW w:w="86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6651" w:type="dxa"/>
        <w:jc w:val="left"/>
        <w:tblInd w:w="0" w:type="dxa"/>
        <w:tblCellMar>
          <w:top w:w="0" w:type="dxa"/>
          <w:left w:w="0" w:type="dxa"/>
          <w:bottom w:w="0" w:type="dxa"/>
          <w:right w:w="0" w:type="dxa"/>
        </w:tblCellMar>
      </w:tblPr>
      <w:tblGrid>
        <w:gridCol w:w="3050"/>
        <w:gridCol w:w="120"/>
        <w:gridCol w:w="86"/>
        <w:gridCol w:w="815"/>
        <w:gridCol w:w="86"/>
        <w:gridCol w:w="174"/>
        <w:gridCol w:w="86"/>
        <w:gridCol w:w="990"/>
        <w:gridCol w:w="86"/>
        <w:gridCol w:w="174"/>
        <w:gridCol w:w="86"/>
        <w:gridCol w:w="823"/>
        <w:gridCol w:w="75"/>
      </w:tblGrid>
      <w:tr>
        <w:trPr/>
        <w:tc>
          <w:tcPr>
            <w:tcW w:w="3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5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b/>
                <w:spacing w:val="0"/>
              </w:rPr>
            </w:pPr>
            <w:r>
              <w:rPr>
                <w:b/>
                <w:spacing w:val="0"/>
              </w:rPr>
              <w:t>Other operating expense</w:t>
            </w:r>
          </w:p>
        </w:tc>
        <w:tc>
          <w:tcPr>
            <w:tcW w:w="120" w:type="dxa"/>
            <w:tcBorders/>
            <w:shd w:fill="auto" w:val="clear"/>
            <w:vAlign w:val="center"/>
          </w:tcPr>
          <w:p>
            <w:pPr>
              <w:pStyle w:val="TableContents"/>
              <w:spacing w:before="0" w:after="283"/>
              <w:rPr/>
            </w:pPr>
            <w:r>
              <w:rPr/>
              <w:t>  </w:t>
            </w:r>
          </w:p>
        </w:tc>
        <w:tc>
          <w:tcPr>
            <w:tcW w:w="90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0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foreign exchange rate differences</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3,595</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jc w:val="right"/>
              <w:rPr/>
            </w:pPr>
            <w:r>
              <w:rPr/>
              <w:t>49,298</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Non-income</w:t>
            </w:r>
          </w:p>
          <w:p>
            <w:pPr>
              <w:pStyle w:val="TableContents"/>
              <w:spacing w:before="0" w:after="0"/>
              <w:rPr>
                <w:rFonts w:ascii="Times New Roman" w:hAnsi="Times New Roman"/>
                <w:sz w:val="20"/>
              </w:rPr>
            </w:pPr>
            <w:r>
              <w:rPr>
                <w:rFonts w:ascii="Times New Roman" w:hAnsi="Times New Roman"/>
                <w:sz w:val="20"/>
              </w:rPr>
              <w:t>tax</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1,502</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990" w:type="dxa"/>
            <w:tcBorders/>
            <w:shd w:fill="auto" w:val="clear"/>
            <w:vAlign w:val="center"/>
          </w:tcPr>
          <w:p>
            <w:pPr>
              <w:pStyle w:val="TableContents"/>
              <w:spacing w:before="0" w:after="283"/>
              <w:jc w:val="right"/>
              <w:rPr/>
            </w:pPr>
            <w:r>
              <w:rPr/>
              <w:t>1,064</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23" w:type="dxa"/>
            <w:tcBorders/>
            <w:shd w:fill="auto" w:val="clear"/>
            <w:vAlign w:val="center"/>
          </w:tcPr>
          <w:p>
            <w:pPr>
              <w:pStyle w:val="TableContents"/>
              <w:spacing w:before="0" w:after="283"/>
              <w:jc w:val="right"/>
              <w:rPr/>
            </w:pPr>
            <w:r>
              <w:rPr/>
              <w:t>1,347</w:t>
            </w:r>
          </w:p>
        </w:tc>
        <w:tc>
          <w:tcPr>
            <w:tcW w:w="75" w:type="dxa"/>
            <w:tcBorders/>
            <w:shd w:fill="auto" w:val="clear"/>
            <w:vAlign w:val="center"/>
          </w:tcPr>
          <w:p>
            <w:pPr>
              <w:pStyle w:val="TableContents"/>
              <w:spacing w:before="0" w:after="283"/>
              <w:rPr/>
            </w:pPr>
            <w:r>
              <w:rPr/>
              <w:t> </w:t>
            </w:r>
          </w:p>
        </w:tc>
      </w:tr>
      <w:tr>
        <w:trPr/>
        <w:tc>
          <w:tcPr>
            <w:tcW w:w="30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operating expense</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1,192</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jc w:val="right"/>
              <w:rPr/>
            </w:pPr>
            <w:r>
              <w:rPr/>
              <w:t>314</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jc w:val="right"/>
              <w:rPr/>
            </w:pPr>
            <w:r>
              <w:rPr/>
              <w:t>963</w:t>
            </w:r>
          </w:p>
        </w:tc>
        <w:tc>
          <w:tcPr>
            <w:tcW w:w="75" w:type="dxa"/>
            <w:tcBorders/>
            <w:shd w:fill="CCEEFF"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15"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990"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2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815" w:type="dxa"/>
            <w:tcBorders/>
            <w:shd w:fill="auto" w:val="clear"/>
            <w:vAlign w:val="center"/>
          </w:tcPr>
          <w:p>
            <w:pPr>
              <w:pStyle w:val="TableContents"/>
              <w:spacing w:before="0" w:after="0"/>
              <w:jc w:val="right"/>
              <w:rPr>
                <w:b/>
                <w:spacing w:val="0"/>
              </w:rPr>
            </w:pPr>
            <w:r>
              <w:rPr>
                <w:b/>
                <w:spacing w:val="0"/>
              </w:rPr>
              <w:t>6,289</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990" w:type="dxa"/>
            <w:tcBorders/>
            <w:shd w:fill="auto" w:val="clear"/>
            <w:vAlign w:val="center"/>
          </w:tcPr>
          <w:p>
            <w:pPr>
              <w:pStyle w:val="TableContents"/>
              <w:spacing w:before="0" w:after="0"/>
              <w:jc w:val="right"/>
              <w:rPr>
                <w:b/>
                <w:spacing w:val="0"/>
              </w:rPr>
            </w:pPr>
            <w:r>
              <w:rPr>
                <w:b/>
                <w:spacing w:val="0"/>
              </w:rPr>
              <w:t>50,676</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823" w:type="dxa"/>
            <w:tcBorders/>
            <w:shd w:fill="auto" w:val="clear"/>
            <w:vAlign w:val="center"/>
          </w:tcPr>
          <w:p>
            <w:pPr>
              <w:pStyle w:val="TableContents"/>
              <w:spacing w:before="0" w:after="0"/>
              <w:jc w:val="right"/>
              <w:rPr>
                <w:b/>
                <w:spacing w:val="0"/>
              </w:rPr>
            </w:pPr>
            <w:r>
              <w:rPr>
                <w:b/>
                <w:spacing w:val="0"/>
              </w:rPr>
              <w:t>2,310</w:t>
            </w:r>
          </w:p>
        </w:tc>
        <w:tc>
          <w:tcPr>
            <w:tcW w:w="75" w:type="dxa"/>
            <w:tcBorders/>
            <w:shd w:fill="auto" w:val="clear"/>
            <w:vAlign w:val="center"/>
          </w:tcPr>
          <w:p>
            <w:pPr>
              <w:pStyle w:val="TableContents"/>
              <w:spacing w:before="0" w:after="283"/>
              <w:rPr/>
            </w:pPr>
            <w:r>
              <w:rPr/>
              <w:t> </w:t>
            </w:r>
          </w:p>
        </w:tc>
      </w:tr>
      <w:tr>
        <w:trPr/>
        <w:tc>
          <w:tcPr>
            <w:tcW w:w="3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15"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990"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2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9 - Finance income and expense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details the Group’s finance income and expense: </w:t>
      </w:r>
    </w:p>
    <w:p>
      <w:pPr>
        <w:pStyle w:val="TextBody"/>
        <w:spacing w:before="0" w:after="0"/>
        <w:jc w:val="left"/>
        <w:rPr>
          <w:highlight w:val="white"/>
        </w:rPr>
      </w:pPr>
      <w:r>
        <w:rPr>
          <w:highlight w:val="white"/>
        </w:rPr>
        <w:t> </w:t>
      </w:r>
    </w:p>
    <w:tbl>
      <w:tblPr>
        <w:tblW w:w="8016" w:type="dxa"/>
        <w:jc w:val="left"/>
        <w:tblInd w:w="0" w:type="dxa"/>
        <w:tblCellMar>
          <w:top w:w="0" w:type="dxa"/>
          <w:left w:w="0" w:type="dxa"/>
          <w:bottom w:w="0" w:type="dxa"/>
          <w:right w:w="0" w:type="dxa"/>
        </w:tblCellMar>
      </w:tblPr>
      <w:tblGrid>
        <w:gridCol w:w="4415"/>
        <w:gridCol w:w="120"/>
        <w:gridCol w:w="86"/>
        <w:gridCol w:w="815"/>
        <w:gridCol w:w="86"/>
        <w:gridCol w:w="174"/>
        <w:gridCol w:w="86"/>
        <w:gridCol w:w="990"/>
        <w:gridCol w:w="86"/>
        <w:gridCol w:w="174"/>
        <w:gridCol w:w="86"/>
        <w:gridCol w:w="823"/>
        <w:gridCol w:w="75"/>
      </w:tblGrid>
      <w:tr>
        <w:trPr/>
        <w:tc>
          <w:tcPr>
            <w:tcW w:w="4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4415" w:type="dxa"/>
            <w:tcBorders/>
            <w:shd w:fill="auto" w:val="clear"/>
            <w:vAlign w:val="center"/>
          </w:tcPr>
          <w:p>
            <w:pPr>
              <w:pStyle w:val="TableContents"/>
              <w:spacing w:before="0" w:after="0"/>
              <w:rPr>
                <w:b/>
                <w:spacing w:val="0"/>
              </w:rPr>
            </w:pPr>
            <w:r>
              <w:rPr>
                <w:b/>
                <w:spacing w:val="0"/>
              </w:rPr>
              <w:t>Finance income</w:t>
            </w:r>
          </w:p>
        </w:tc>
        <w:tc>
          <w:tcPr>
            <w:tcW w:w="120" w:type="dxa"/>
            <w:tcBorders/>
            <w:shd w:fill="auto" w:val="clear"/>
            <w:vAlign w:val="center"/>
          </w:tcPr>
          <w:p>
            <w:pPr>
              <w:pStyle w:val="TableContents"/>
              <w:spacing w:before="0" w:after="283"/>
              <w:rPr/>
            </w:pPr>
            <w:r>
              <w:rPr/>
              <w:t>  </w:t>
            </w:r>
          </w:p>
        </w:tc>
        <w:tc>
          <w:tcPr>
            <w:tcW w:w="90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0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foreign exchange rate gains on financial activities</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  </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jc w:val="right"/>
              <w:rPr/>
            </w:pPr>
            <w:r>
              <w:rPr/>
              <w:t>31,574</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income on bank deposits</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7,658</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990" w:type="dxa"/>
            <w:tcBorders/>
            <w:shd w:fill="auto" w:val="clear"/>
            <w:vAlign w:val="center"/>
          </w:tcPr>
          <w:p>
            <w:pPr>
              <w:pStyle w:val="TableContents"/>
              <w:spacing w:before="0" w:after="283"/>
              <w:jc w:val="right"/>
              <w:rPr/>
            </w:pPr>
            <w:r>
              <w:rPr/>
              <w:t>1,396</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23" w:type="dxa"/>
            <w:tcBorders/>
            <w:shd w:fill="auto" w:val="clear"/>
            <w:vAlign w:val="center"/>
          </w:tcPr>
          <w:p>
            <w:pPr>
              <w:pStyle w:val="TableContents"/>
              <w:spacing w:before="0" w:after="283"/>
              <w:jc w:val="right"/>
              <w:rPr/>
            </w:pPr>
            <w:r>
              <w:rPr/>
              <w:t>3,199</w:t>
            </w:r>
          </w:p>
        </w:tc>
        <w:tc>
          <w:tcPr>
            <w:tcW w:w="75" w:type="dxa"/>
            <w:tcBorders/>
            <w:shd w:fill="auto"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finance income</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894</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90" w:type="dxa"/>
            <w:tcBorders/>
            <w:shd w:fill="CCEEFF" w:val="clear"/>
            <w:vAlign w:val="center"/>
          </w:tcPr>
          <w:p>
            <w:pPr>
              <w:pStyle w:val="TableContents"/>
              <w:spacing w:before="0" w:after="283"/>
              <w:jc w:val="right"/>
              <w:rPr/>
            </w:pPr>
            <w:r>
              <w:rPr/>
              <w:t>—  </w:t>
            </w:r>
          </w:p>
        </w:tc>
        <w:tc>
          <w:tcPr>
            <w:tcW w:w="86"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15"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990"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2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41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815" w:type="dxa"/>
            <w:tcBorders/>
            <w:shd w:fill="auto" w:val="clear"/>
            <w:vAlign w:val="center"/>
          </w:tcPr>
          <w:p>
            <w:pPr>
              <w:pStyle w:val="TableContents"/>
              <w:spacing w:before="0" w:after="0"/>
              <w:jc w:val="right"/>
              <w:rPr>
                <w:b/>
                <w:spacing w:val="0"/>
              </w:rPr>
            </w:pPr>
            <w:r>
              <w:rPr>
                <w:b/>
                <w:spacing w:val="0"/>
              </w:rPr>
              <w:t>8,552</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990" w:type="dxa"/>
            <w:tcBorders/>
            <w:shd w:fill="auto" w:val="clear"/>
            <w:vAlign w:val="center"/>
          </w:tcPr>
          <w:p>
            <w:pPr>
              <w:pStyle w:val="TableContents"/>
              <w:spacing w:before="0" w:after="0"/>
              <w:jc w:val="right"/>
              <w:rPr>
                <w:b/>
                <w:spacing w:val="0"/>
              </w:rPr>
            </w:pPr>
            <w:r>
              <w:rPr>
                <w:b/>
                <w:spacing w:val="0"/>
              </w:rPr>
              <w:t>32,970</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spacing w:val="0"/>
              </w:rPr>
            </w:pPr>
            <w:r>
              <w:rPr>
                <w:spacing w:val="0"/>
              </w:rPr>
              <w:t> </w:t>
            </w:r>
          </w:p>
        </w:tc>
        <w:tc>
          <w:tcPr>
            <w:tcW w:w="823" w:type="dxa"/>
            <w:tcBorders/>
            <w:shd w:fill="auto" w:val="clear"/>
            <w:vAlign w:val="center"/>
          </w:tcPr>
          <w:p>
            <w:pPr>
              <w:pStyle w:val="TableContents"/>
              <w:spacing w:before="0" w:after="0"/>
              <w:jc w:val="right"/>
              <w:rPr>
                <w:b/>
                <w:spacing w:val="0"/>
              </w:rPr>
            </w:pPr>
            <w:r>
              <w:rPr>
                <w:b/>
                <w:spacing w:val="0"/>
              </w:rPr>
              <w:t>3,199</w:t>
            </w:r>
          </w:p>
        </w:tc>
        <w:tc>
          <w:tcPr>
            <w:tcW w:w="75" w:type="dxa"/>
            <w:tcBorders/>
            <w:shd w:fill="auto" w:val="clear"/>
            <w:vAlign w:val="center"/>
          </w:tcPr>
          <w:p>
            <w:pPr>
              <w:pStyle w:val="TableContents"/>
              <w:spacing w:before="0" w:after="283"/>
              <w:rPr/>
            </w:pPr>
            <w:r>
              <w:rPr/>
              <w:t> </w:t>
            </w:r>
          </w:p>
        </w:tc>
      </w:tr>
      <w:tr>
        <w:trPr/>
        <w:tc>
          <w:tcPr>
            <w:tcW w:w="4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15"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990" w:type="dxa"/>
            <w:tcBorders/>
            <w:shd w:fill="auto" w:val="clear"/>
            <w:vAlign w:val="center"/>
          </w:tcPr>
          <w:p>
            <w:pPr>
              <w:pStyle w:val="TableContents"/>
              <w:spacing w:before="0" w:after="0"/>
              <w:rPr>
                <w:bdr w:val="single" w:sz="2" w:space="1" w:color="000000"/>
              </w:rPr>
            </w:pPr>
            <w:r>
              <w:rPr>
                <w:bdr w:val="single" w:sz="2" w:space="1" w:color="000000"/>
              </w:rPr>
              <w:t> </w:t>
            </w:r>
          </w:p>
        </w:tc>
        <w:tc>
          <w:tcPr>
            <w:tcW w:w="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0"/>
              <w:rPr>
                <w:bdr w:val="single" w:sz="2" w:space="1" w:color="000000"/>
              </w:rPr>
            </w:pPr>
            <w:r>
              <w:rPr>
                <w:bdr w:val="single" w:sz="2" w:space="1" w:color="000000"/>
              </w:rPr>
              <w:t> </w:t>
            </w:r>
          </w:p>
        </w:tc>
        <w:tc>
          <w:tcPr>
            <w:tcW w:w="823"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8542" w:type="dxa"/>
        <w:jc w:val="left"/>
        <w:tblInd w:w="0" w:type="dxa"/>
        <w:tblCellMar>
          <w:top w:w="0" w:type="dxa"/>
          <w:left w:w="0" w:type="dxa"/>
          <w:bottom w:w="0" w:type="dxa"/>
          <w:right w:w="0" w:type="dxa"/>
        </w:tblCellMar>
      </w:tblPr>
      <w:tblGrid>
        <w:gridCol w:w="5000"/>
        <w:gridCol w:w="60"/>
        <w:gridCol w:w="72"/>
        <w:gridCol w:w="1257"/>
        <w:gridCol w:w="72"/>
        <w:gridCol w:w="72"/>
        <w:gridCol w:w="72"/>
        <w:gridCol w:w="821"/>
        <w:gridCol w:w="72"/>
        <w:gridCol w:w="72"/>
        <w:gridCol w:w="72"/>
        <w:gridCol w:w="825"/>
        <w:gridCol w:w="75"/>
      </w:tblGrid>
      <w:tr>
        <w:trPr/>
        <w:tc>
          <w:tcPr>
            <w:tcW w:w="5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07"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b/>
                <w:spacing w:val="0"/>
              </w:rPr>
            </w:pPr>
            <w:r>
              <w:rPr>
                <w:b/>
                <w:spacing w:val="0"/>
              </w:rPr>
              <w:t>Finance expense</w:t>
            </w:r>
          </w:p>
        </w:tc>
        <w:tc>
          <w:tcPr>
            <w:tcW w:w="60" w:type="dxa"/>
            <w:tcBorders/>
            <w:shd w:fill="auto" w:val="clear"/>
            <w:vAlign w:val="center"/>
          </w:tcPr>
          <w:p>
            <w:pPr>
              <w:pStyle w:val="TableContents"/>
              <w:spacing w:before="0" w:after="283"/>
              <w:rPr/>
            </w:pPr>
            <w:r>
              <w:rPr/>
              <w:t> </w:t>
            </w:r>
          </w:p>
        </w:tc>
        <w:tc>
          <w:tcPr>
            <w:tcW w:w="132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93"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9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 on credit facilities and financing obligations</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57" w:type="dxa"/>
            <w:tcBorders/>
            <w:shd w:fill="CCEEFF" w:val="clear"/>
            <w:vAlign w:val="center"/>
          </w:tcPr>
          <w:p>
            <w:pPr>
              <w:pStyle w:val="TableContents"/>
              <w:spacing w:before="0" w:after="283"/>
              <w:jc w:val="right"/>
              <w:rPr/>
            </w:pPr>
            <w:r>
              <w:rPr/>
              <w:t>33,331</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11,681</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283"/>
              <w:jc w:val="right"/>
              <w:rPr/>
            </w:pPr>
            <w:r>
              <w:rPr/>
              <w:t>13,169</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expense to related parties</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57" w:type="dxa"/>
            <w:tcBorders/>
            <w:shd w:fill="auto" w:val="clear"/>
            <w:vAlign w:val="center"/>
          </w:tcPr>
          <w:p>
            <w:pPr>
              <w:pStyle w:val="TableContents"/>
              <w:spacing w:before="0" w:after="283"/>
              <w:jc w:val="right"/>
              <w:rPr/>
            </w:pPr>
            <w:r>
              <w:rPr/>
              <w:t>37,978</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30,801</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283"/>
              <w:jc w:val="right"/>
              <w:rPr/>
            </w:pPr>
            <w:r>
              <w:rPr/>
              <w:t>11,210</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foreign exchange rate losses on financial activities</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57" w:type="dxa"/>
            <w:tcBorders/>
            <w:shd w:fill="CCEEFF" w:val="clear"/>
            <w:vAlign w:val="center"/>
          </w:tcPr>
          <w:p>
            <w:pPr>
              <w:pStyle w:val="TableContents"/>
              <w:spacing w:before="0" w:after="283"/>
              <w:jc w:val="right"/>
              <w:rPr/>
            </w:pPr>
            <w:r>
              <w:rPr/>
              <w:t>30,920</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283"/>
              <w:jc w:val="right"/>
              <w:rPr/>
            </w:pPr>
            <w:r>
              <w:rPr/>
              <w:t>7,527</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expense related to lease liabilities</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57" w:type="dxa"/>
            <w:tcBorders/>
            <w:shd w:fill="auto" w:val="clear"/>
            <w:vAlign w:val="center"/>
          </w:tcPr>
          <w:p>
            <w:pPr>
              <w:pStyle w:val="TableContents"/>
              <w:spacing w:before="0" w:after="283"/>
              <w:jc w:val="right"/>
              <w:rPr/>
            </w:pPr>
            <w:r>
              <w:rPr/>
              <w:t>6,201</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2,377</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283"/>
              <w:jc w:val="right"/>
              <w:rPr/>
            </w:pPr>
            <w:r>
              <w:rPr/>
              <w:t>2,122</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Credit facility expenses</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57" w:type="dxa"/>
            <w:tcBorders/>
            <w:shd w:fill="CCEEFF" w:val="clear"/>
            <w:vAlign w:val="center"/>
          </w:tcPr>
          <w:p>
            <w:pPr>
              <w:pStyle w:val="TableContents"/>
              <w:spacing w:before="0" w:after="283"/>
              <w:jc w:val="right"/>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377</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finance expenses</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57" w:type="dxa"/>
            <w:tcBorders/>
            <w:shd w:fill="auto" w:val="clear"/>
            <w:vAlign w:val="center"/>
          </w:tcPr>
          <w:p>
            <w:pPr>
              <w:pStyle w:val="TableContents"/>
              <w:spacing w:before="0" w:after="283"/>
              <w:jc w:val="right"/>
              <w:rPr/>
            </w:pPr>
            <w:r>
              <w:rPr/>
              <w:t>5</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jc w:val="right"/>
              <w:rPr/>
            </w:pPr>
            <w:r>
              <w:rPr/>
              <w:t>13</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7"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821"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82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1257" w:type="dxa"/>
            <w:tcBorders/>
            <w:shd w:fill="CCEEFF" w:val="clear"/>
            <w:vAlign w:val="center"/>
          </w:tcPr>
          <w:p>
            <w:pPr>
              <w:pStyle w:val="TableContents"/>
              <w:spacing w:before="0" w:after="0"/>
              <w:jc w:val="right"/>
              <w:rPr>
                <w:spacing w:val="0"/>
              </w:rPr>
            </w:pPr>
            <w:r>
              <w:rPr>
                <w:spacing w:val="0"/>
              </w:rPr>
              <w:t>    </w:t>
            </w:r>
            <w:r>
              <w:rPr>
                <w:b/>
                <w:spacing w:val="0"/>
              </w:rPr>
              <w:t>108,435</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821" w:type="dxa"/>
            <w:tcBorders/>
            <w:shd w:fill="CCEEFF" w:val="clear"/>
            <w:vAlign w:val="center"/>
          </w:tcPr>
          <w:p>
            <w:pPr>
              <w:pStyle w:val="TableContents"/>
              <w:spacing w:before="0" w:after="0"/>
              <w:jc w:val="right"/>
              <w:rPr>
                <w:b/>
                <w:spacing w:val="0"/>
              </w:rPr>
            </w:pPr>
            <w:r>
              <w:rPr>
                <w:b/>
                <w:spacing w:val="0"/>
              </w:rPr>
              <w:t>45,249</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825" w:type="dxa"/>
            <w:tcBorders/>
            <w:shd w:fill="CCEEFF" w:val="clear"/>
            <w:vAlign w:val="center"/>
          </w:tcPr>
          <w:p>
            <w:pPr>
              <w:pStyle w:val="TableContents"/>
              <w:spacing w:before="0" w:after="0"/>
              <w:jc w:val="right"/>
              <w:rPr>
                <w:b/>
                <w:spacing w:val="0"/>
              </w:rPr>
            </w:pPr>
            <w:r>
              <w:rPr>
                <w:b/>
                <w:spacing w:val="0"/>
              </w:rPr>
              <w:t>34,034</w:t>
            </w:r>
          </w:p>
        </w:tc>
        <w:tc>
          <w:tcPr>
            <w:tcW w:w="75"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7"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821"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82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years ended December 31, 2022, 2021 and 2020, interest expense to related parties was comprised of interest on overdue trade payables balances and interest on related party borrowings. Refer to Note 25 - Related party transactions for further discussion.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10 - Leases </w:t>
      </w:r>
    </w:p>
    <w:p>
      <w:pPr>
        <w:pStyle w:val="TextBody"/>
        <w:spacing w:before="120" w:after="0"/>
        <w:jc w:val="left"/>
        <w:rPr>
          <w:rFonts w:ascii="Times New Roman" w:hAnsi="Times New Roman"/>
          <w:b/>
          <w:i/>
          <w:spacing w:val="0"/>
          <w:sz w:val="20"/>
          <w:highlight w:val="white"/>
        </w:rPr>
      </w:pPr>
      <w:r>
        <w:rPr>
          <w:rFonts w:ascii="Times New Roman" w:hAnsi="Times New Roman"/>
          <w:b/>
          <w:i/>
          <w:spacing w:val="0"/>
          <w:sz w:val="20"/>
          <w:highlight w:val="white"/>
        </w:rPr>
        <w:t xml:space="preserve">Polestar Group as Lessee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a lessee, Polestar Group primarily leases buildings and manufacturing production equipment. The Group also has short-term and low value leases related to the leasing of temporary spaces and small IT equipment, respectively. The lease term for land and buildings is generally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2-15</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years, with the exception of one long term land lease with a term of 50 years. The lease term for machinery and equipment is generally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2-6</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years.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table depicts the changes in the Group’s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assets, which are included within Property, plant, and equipment: </w:t>
      </w:r>
    </w:p>
    <w:p>
      <w:pPr>
        <w:pStyle w:val="TextBody"/>
        <w:spacing w:before="0" w:after="0"/>
        <w:jc w:val="left"/>
        <w:rPr>
          <w:highlight w:val="white"/>
        </w:rPr>
      </w:pPr>
      <w:r>
        <w:rPr>
          <w:highlight w:val="white"/>
        </w:rPr>
        <w:t> </w:t>
      </w:r>
    </w:p>
    <w:tbl>
      <w:tblPr>
        <w:tblW w:w="9245" w:type="dxa"/>
        <w:jc w:val="left"/>
        <w:tblInd w:w="0" w:type="dxa"/>
        <w:tblCellMar>
          <w:top w:w="0" w:type="dxa"/>
          <w:left w:w="0" w:type="dxa"/>
          <w:bottom w:w="0" w:type="dxa"/>
          <w:right w:w="0" w:type="dxa"/>
        </w:tblCellMar>
      </w:tblPr>
      <w:tblGrid>
        <w:gridCol w:w="4205"/>
        <w:gridCol w:w="60"/>
        <w:gridCol w:w="142"/>
        <w:gridCol w:w="1798"/>
        <w:gridCol w:w="155"/>
        <w:gridCol w:w="60"/>
        <w:gridCol w:w="116"/>
        <w:gridCol w:w="1464"/>
        <w:gridCol w:w="155"/>
        <w:gridCol w:w="60"/>
        <w:gridCol w:w="60"/>
        <w:gridCol w:w="800"/>
        <w:gridCol w:w="170"/>
      </w:tblGrid>
      <w:tr>
        <w:trPr/>
        <w:tc>
          <w:tcPr>
            <w:tcW w:w="4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Buildings and land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Machinery and</w:t>
              <w:br/>
              <w:t>equipment</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Acquisition cost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33,965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48,946</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82,911</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12,345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31</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12,376</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(1,197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1,122</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(75</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0"/>
              <w:rPr>
                <w:spacing w:val="0"/>
              </w:rPr>
            </w:pPr>
            <w:r>
              <w:rPr>
                <w:spacing w:val="0"/>
              </w:rPr>
              <w:t> </w:t>
            </w:r>
          </w:p>
        </w:tc>
        <w:tc>
          <w:tcPr>
            <w:tcW w:w="1798" w:type="dxa"/>
            <w:tcBorders/>
            <w:shd w:fill="CCEEFF" w:val="clear"/>
            <w:vAlign w:val="center"/>
          </w:tcPr>
          <w:p>
            <w:pPr>
              <w:pStyle w:val="TableContents"/>
              <w:spacing w:before="0" w:after="0"/>
              <w:jc w:val="right"/>
              <w:rPr>
                <w:b/>
                <w:spacing w:val="0"/>
              </w:rPr>
            </w:pPr>
            <w:r>
              <w:rPr>
                <w:b/>
                <w:spacing w:val="0"/>
              </w:rPr>
              <w:t>45,113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0"/>
              <w:rPr>
                <w:spacing w:val="0"/>
              </w:rPr>
            </w:pPr>
            <w:r>
              <w:rPr>
                <w:spacing w:val="0"/>
              </w:rPr>
              <w:t> </w:t>
            </w:r>
          </w:p>
        </w:tc>
        <w:tc>
          <w:tcPr>
            <w:tcW w:w="1464" w:type="dxa"/>
            <w:tcBorders/>
            <w:shd w:fill="CCEEFF" w:val="clear"/>
            <w:vAlign w:val="center"/>
          </w:tcPr>
          <w:p>
            <w:pPr>
              <w:pStyle w:val="TableContents"/>
              <w:spacing w:before="0" w:after="0"/>
              <w:jc w:val="right"/>
              <w:rPr>
                <w:b/>
                <w:spacing w:val="0"/>
              </w:rPr>
            </w:pPr>
            <w:r>
              <w:rPr>
                <w:b/>
                <w:spacing w:val="0"/>
              </w:rPr>
              <w:t>50,099</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95,212</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53,870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53,870</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Reclassification to Assets held for sale</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(4,975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(4,975</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(4,399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(4,683</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(9,082</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0"/>
              <w:rPr>
                <w:spacing w:val="0"/>
              </w:rPr>
            </w:pPr>
            <w:r>
              <w:rPr>
                <w:spacing w:val="0"/>
              </w:rPr>
              <w:t> </w:t>
            </w:r>
          </w:p>
        </w:tc>
        <w:tc>
          <w:tcPr>
            <w:tcW w:w="1798" w:type="dxa"/>
            <w:tcBorders/>
            <w:shd w:fill="CCEEFF" w:val="clear"/>
            <w:vAlign w:val="center"/>
          </w:tcPr>
          <w:p>
            <w:pPr>
              <w:pStyle w:val="TableContents"/>
              <w:spacing w:before="0" w:after="0"/>
              <w:jc w:val="right"/>
              <w:rPr>
                <w:b/>
                <w:spacing w:val="0"/>
              </w:rPr>
            </w:pPr>
            <w:r>
              <w:rPr>
                <w:b/>
                <w:spacing w:val="0"/>
              </w:rPr>
              <w:t>89,609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0"/>
              <w:rPr>
                <w:spacing w:val="0"/>
              </w:rPr>
            </w:pPr>
            <w:r>
              <w:rPr>
                <w:spacing w:val="0"/>
              </w:rPr>
              <w:t> </w:t>
            </w:r>
          </w:p>
        </w:tc>
        <w:tc>
          <w:tcPr>
            <w:tcW w:w="1464" w:type="dxa"/>
            <w:tcBorders/>
            <w:shd w:fill="CCEEFF" w:val="clear"/>
            <w:vAlign w:val="center"/>
          </w:tcPr>
          <w:p>
            <w:pPr>
              <w:pStyle w:val="TableContents"/>
              <w:spacing w:before="0" w:after="0"/>
              <w:jc w:val="right"/>
              <w:rPr>
                <w:b/>
                <w:spacing w:val="0"/>
              </w:rPr>
            </w:pPr>
            <w:r>
              <w:rPr>
                <w:b/>
                <w:spacing w:val="0"/>
              </w:rPr>
              <w:t>45,416</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135,025</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Accumulated depreciation</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(4,196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(6,838</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(11,034</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expense</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(6,180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(8,431</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(14,611</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217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(178</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39</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spacing w:val="0"/>
              </w:rPr>
            </w:pPr>
            <w:r>
              <w:rPr>
                <w:spacing w:val="0"/>
              </w:rPr>
              <w:t> </w:t>
            </w:r>
          </w:p>
        </w:tc>
        <w:tc>
          <w:tcPr>
            <w:tcW w:w="1798" w:type="dxa"/>
            <w:tcBorders/>
            <w:shd w:fill="auto" w:val="clear"/>
            <w:vAlign w:val="center"/>
          </w:tcPr>
          <w:p>
            <w:pPr>
              <w:pStyle w:val="TableContents"/>
              <w:spacing w:before="0" w:after="0"/>
              <w:jc w:val="right"/>
              <w:rPr>
                <w:b/>
                <w:spacing w:val="0"/>
              </w:rPr>
            </w:pPr>
            <w:r>
              <w:rPr>
                <w:b/>
                <w:spacing w:val="0"/>
              </w:rPr>
              <w:t>(10,159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spacing w:val="0"/>
              </w:rPr>
            </w:pPr>
            <w:r>
              <w:rPr>
                <w:spacing w:val="0"/>
              </w:rPr>
              <w:t> </w:t>
            </w:r>
          </w:p>
        </w:tc>
        <w:tc>
          <w:tcPr>
            <w:tcW w:w="1464" w:type="dxa"/>
            <w:tcBorders/>
            <w:shd w:fill="auto" w:val="clear"/>
            <w:vAlign w:val="center"/>
          </w:tcPr>
          <w:p>
            <w:pPr>
              <w:pStyle w:val="TableContents"/>
              <w:spacing w:before="0" w:after="0"/>
              <w:jc w:val="right"/>
              <w:rPr>
                <w:b/>
                <w:spacing w:val="0"/>
              </w:rPr>
            </w:pPr>
            <w:r>
              <w:rPr>
                <w:b/>
                <w:spacing w:val="0"/>
              </w:rPr>
              <w:t>(15,447</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(25,606</w:t>
            </w:r>
          </w:p>
        </w:tc>
        <w:tc>
          <w:tcPr>
            <w:tcW w:w="170" w:type="dxa"/>
            <w:tcBorders/>
            <w:shd w:fill="auto" w:val="clear"/>
            <w:vAlign w:val="center"/>
          </w:tcPr>
          <w:p>
            <w:pPr>
              <w:pStyle w:val="TableContents"/>
              <w:spacing w:before="0" w:after="0"/>
              <w:rPr>
                <w:b/>
                <w:spacing w:val="0"/>
              </w:rPr>
            </w:pPr>
            <w:r>
              <w:rPr>
                <w:b/>
                <w:spacing w:val="0"/>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expense</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(12,389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(7,778</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(20,167</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 to Assets held for sale</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430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430</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3,184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2,457</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5,641</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spacing w:val="0"/>
              </w:rPr>
            </w:pPr>
            <w:r>
              <w:rPr>
                <w:spacing w:val="0"/>
              </w:rPr>
              <w:t> </w:t>
            </w:r>
          </w:p>
        </w:tc>
        <w:tc>
          <w:tcPr>
            <w:tcW w:w="1798" w:type="dxa"/>
            <w:tcBorders/>
            <w:shd w:fill="auto" w:val="clear"/>
            <w:vAlign w:val="center"/>
          </w:tcPr>
          <w:p>
            <w:pPr>
              <w:pStyle w:val="TableContents"/>
              <w:spacing w:before="0" w:after="0"/>
              <w:jc w:val="right"/>
              <w:rPr>
                <w:b/>
                <w:spacing w:val="0"/>
              </w:rPr>
            </w:pPr>
            <w:r>
              <w:rPr>
                <w:b/>
                <w:spacing w:val="0"/>
              </w:rPr>
              <w:t>(18,934</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spacing w:val="0"/>
              </w:rPr>
            </w:pPr>
            <w:r>
              <w:rPr>
                <w:spacing w:val="0"/>
              </w:rPr>
              <w:t> </w:t>
            </w:r>
          </w:p>
        </w:tc>
        <w:tc>
          <w:tcPr>
            <w:tcW w:w="1464" w:type="dxa"/>
            <w:tcBorders/>
            <w:shd w:fill="auto" w:val="clear"/>
            <w:vAlign w:val="center"/>
          </w:tcPr>
          <w:p>
            <w:pPr>
              <w:pStyle w:val="TableContents"/>
              <w:spacing w:before="0" w:after="0"/>
              <w:jc w:val="right"/>
              <w:rPr>
                <w:b/>
                <w:spacing w:val="0"/>
              </w:rPr>
            </w:pPr>
            <w:r>
              <w:rPr>
                <w:b/>
                <w:spacing w:val="0"/>
              </w:rPr>
              <w:t>(20,768</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(39,702</w:t>
            </w:r>
          </w:p>
        </w:tc>
        <w:tc>
          <w:tcPr>
            <w:tcW w:w="170" w:type="dxa"/>
            <w:tcBorders/>
            <w:shd w:fill="auto" w:val="clear"/>
            <w:vAlign w:val="center"/>
          </w:tcPr>
          <w:p>
            <w:pPr>
              <w:pStyle w:val="TableContents"/>
              <w:spacing w:before="0" w:after="0"/>
              <w:rPr>
                <w:b/>
                <w:spacing w:val="0"/>
              </w:rPr>
            </w:pPr>
            <w:r>
              <w:rPr>
                <w:b/>
                <w:spacing w:val="0"/>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Carrying amount as of December 31, 2021</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0"/>
              <w:rPr>
                <w:spacing w:val="0"/>
              </w:rPr>
            </w:pPr>
            <w:r>
              <w:rPr>
                <w:spacing w:val="0"/>
              </w:rPr>
              <w:t> </w:t>
            </w:r>
          </w:p>
        </w:tc>
        <w:tc>
          <w:tcPr>
            <w:tcW w:w="1798" w:type="dxa"/>
            <w:tcBorders/>
            <w:shd w:fill="CCEEFF" w:val="clear"/>
            <w:vAlign w:val="center"/>
          </w:tcPr>
          <w:p>
            <w:pPr>
              <w:pStyle w:val="TableContents"/>
              <w:spacing w:before="0" w:after="0"/>
              <w:jc w:val="right"/>
              <w:rPr>
                <w:b/>
                <w:spacing w:val="0"/>
              </w:rPr>
            </w:pPr>
            <w:r>
              <w:rPr>
                <w:b/>
                <w:spacing w:val="0"/>
              </w:rPr>
              <w:t>34,954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0"/>
              <w:rPr>
                <w:spacing w:val="0"/>
              </w:rPr>
            </w:pPr>
            <w:r>
              <w:rPr>
                <w:spacing w:val="0"/>
              </w:rPr>
              <w:t> </w:t>
            </w:r>
          </w:p>
        </w:tc>
        <w:tc>
          <w:tcPr>
            <w:tcW w:w="1464" w:type="dxa"/>
            <w:tcBorders/>
            <w:shd w:fill="CCEEFF" w:val="clear"/>
            <w:vAlign w:val="center"/>
          </w:tcPr>
          <w:p>
            <w:pPr>
              <w:pStyle w:val="TableContents"/>
              <w:spacing w:before="0" w:after="0"/>
              <w:jc w:val="right"/>
              <w:rPr>
                <w:b/>
                <w:spacing w:val="0"/>
              </w:rPr>
            </w:pPr>
            <w:r>
              <w:rPr>
                <w:b/>
                <w:spacing w:val="0"/>
              </w:rPr>
              <w:t>34,652</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69,606</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Carrying amount as of December 31, 2022</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spacing w:val="0"/>
              </w:rPr>
            </w:pPr>
            <w:r>
              <w:rPr>
                <w:spacing w:val="0"/>
              </w:rPr>
              <w:t> </w:t>
            </w:r>
          </w:p>
        </w:tc>
        <w:tc>
          <w:tcPr>
            <w:tcW w:w="1798" w:type="dxa"/>
            <w:tcBorders/>
            <w:shd w:fill="auto" w:val="clear"/>
            <w:vAlign w:val="center"/>
          </w:tcPr>
          <w:p>
            <w:pPr>
              <w:pStyle w:val="TableContents"/>
              <w:spacing w:before="0" w:after="0"/>
              <w:jc w:val="right"/>
              <w:rPr>
                <w:b/>
                <w:spacing w:val="0"/>
              </w:rPr>
            </w:pPr>
            <w:r>
              <w:rPr>
                <w:b/>
                <w:spacing w:val="0"/>
              </w:rPr>
              <w:t>70,675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spacing w:val="0"/>
              </w:rPr>
            </w:pPr>
            <w:r>
              <w:rPr>
                <w:spacing w:val="0"/>
              </w:rPr>
              <w:t> </w:t>
            </w:r>
          </w:p>
        </w:tc>
        <w:tc>
          <w:tcPr>
            <w:tcW w:w="1464" w:type="dxa"/>
            <w:tcBorders/>
            <w:shd w:fill="auto" w:val="clear"/>
            <w:vAlign w:val="center"/>
          </w:tcPr>
          <w:p>
            <w:pPr>
              <w:pStyle w:val="TableContents"/>
              <w:spacing w:before="0" w:after="0"/>
              <w:jc w:val="right"/>
              <w:rPr>
                <w:b/>
                <w:spacing w:val="0"/>
              </w:rPr>
            </w:pPr>
            <w:r>
              <w:rPr>
                <w:b/>
                <w:spacing w:val="0"/>
              </w:rPr>
              <w:t>24,648</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95,323</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Amounts related to leases recognized in the Consolidated Statement of Loss and Comprehensive Loss are as follows: </w:t>
      </w:r>
    </w:p>
    <w:p>
      <w:pPr>
        <w:pStyle w:val="TextBody"/>
        <w:spacing w:before="0" w:after="0"/>
        <w:jc w:val="left"/>
        <w:rPr>
          <w:highlight w:val="white"/>
        </w:rPr>
      </w:pPr>
      <w:r>
        <w:rPr>
          <w:highlight w:val="white"/>
        </w:rPr>
        <w:t> </w:t>
      </w:r>
    </w:p>
    <w:tbl>
      <w:tblPr>
        <w:tblW w:w="7130" w:type="dxa"/>
        <w:jc w:val="left"/>
        <w:tblInd w:w="0" w:type="dxa"/>
        <w:tblCellMar>
          <w:top w:w="0" w:type="dxa"/>
          <w:left w:w="0" w:type="dxa"/>
          <w:bottom w:w="0" w:type="dxa"/>
          <w:right w:w="0" w:type="dxa"/>
        </w:tblCellMar>
      </w:tblPr>
      <w:tblGrid>
        <w:gridCol w:w="4205"/>
        <w:gridCol w:w="120"/>
        <w:gridCol w:w="60"/>
        <w:gridCol w:w="635"/>
        <w:gridCol w:w="155"/>
        <w:gridCol w:w="120"/>
        <w:gridCol w:w="60"/>
        <w:gridCol w:w="635"/>
        <w:gridCol w:w="155"/>
        <w:gridCol w:w="120"/>
        <w:gridCol w:w="60"/>
        <w:gridCol w:w="635"/>
        <w:gridCol w:w="170"/>
      </w:tblGrid>
      <w:tr>
        <w:trPr/>
        <w:tc>
          <w:tcPr>
            <w:tcW w:w="4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3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w:t>
              <w:br/>
              <w:t>December 31,</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Income from </w:t>
            </w:r>
          </w:p>
          <w:p>
            <w:pPr>
              <w:pStyle w:val="TableContents"/>
              <w:spacing w:before="0" w:after="0"/>
              <w:rPr>
                <w:rFonts w:ascii="Times New Roman" w:hAnsi="Times New Roman"/>
                <w:spacing w:val="0"/>
                <w:sz w:val="20"/>
              </w:rPr>
            </w:pPr>
            <w:r>
              <w:rPr>
                <w:rFonts w:ascii="Times New Roman" w:hAnsi="Times New Roman"/>
                <w:spacing w:val="0"/>
                <w:sz w:val="20"/>
              </w:rPr>
              <w:t>sub-leasing</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1,415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Expense relating to short-term leases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(1,598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(1,300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(1,390</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Expense relating to lease of low value 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(4,454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(4,218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(25</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expense on leases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(6,201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39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584</w:t>
            </w:r>
          </w:p>
        </w:tc>
        <w:tc>
          <w:tcPr>
            <w:tcW w:w="17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current and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portion of the Group´s lease liabilities are as follows: </w:t>
      </w:r>
    </w:p>
    <w:p>
      <w:pPr>
        <w:pStyle w:val="TextBody"/>
        <w:spacing w:before="0" w:after="0"/>
        <w:jc w:val="left"/>
        <w:rPr>
          <w:highlight w:val="white"/>
        </w:rPr>
      </w:pPr>
      <w:r>
        <w:rPr>
          <w:highlight w:val="white"/>
        </w:rPr>
        <w:t> </w:t>
      </w:r>
    </w:p>
    <w:tbl>
      <w:tblPr>
        <w:tblW w:w="3997" w:type="dxa"/>
        <w:jc w:val="left"/>
        <w:tblInd w:w="0" w:type="dxa"/>
        <w:tblCellMar>
          <w:top w:w="0" w:type="dxa"/>
          <w:left w:w="0" w:type="dxa"/>
          <w:bottom w:w="0" w:type="dxa"/>
          <w:right w:w="0" w:type="dxa"/>
        </w:tblCellMar>
      </w:tblPr>
      <w:tblGrid>
        <w:gridCol w:w="1805"/>
        <w:gridCol w:w="120"/>
        <w:gridCol w:w="67"/>
        <w:gridCol w:w="898"/>
        <w:gridCol w:w="67"/>
        <w:gridCol w:w="134"/>
        <w:gridCol w:w="67"/>
        <w:gridCol w:w="764"/>
        <w:gridCol w:w="75"/>
      </w:tblGrid>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83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lease liability</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21,545</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10,250</w:t>
            </w:r>
          </w:p>
        </w:tc>
        <w:tc>
          <w:tcPr>
            <w:tcW w:w="75" w:type="dxa"/>
            <w:tcBorders/>
            <w:shd w:fill="CCEEFF"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lease liability</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85,556</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4" w:type="dxa"/>
            <w:tcBorders/>
            <w:shd w:fill="auto" w:val="clear"/>
            <w:vAlign w:val="center"/>
          </w:tcPr>
          <w:p>
            <w:pPr>
              <w:pStyle w:val="TableContents"/>
              <w:spacing w:before="0" w:after="283"/>
              <w:jc w:val="right"/>
              <w:rPr/>
            </w:pPr>
            <w:r>
              <w:rPr/>
              <w:t>66,575</w:t>
            </w:r>
          </w:p>
        </w:tc>
        <w:tc>
          <w:tcPr>
            <w:tcW w:w="75"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98"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76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0"/>
              <w:rPr>
                <w:spacing w:val="0"/>
              </w:rPr>
            </w:pPr>
            <w:r>
              <w:rPr>
                <w:spacing w:val="0"/>
              </w:rPr>
              <w:t> </w:t>
            </w:r>
          </w:p>
        </w:tc>
        <w:tc>
          <w:tcPr>
            <w:tcW w:w="898" w:type="dxa"/>
            <w:tcBorders/>
            <w:shd w:fill="CCEEFF" w:val="clear"/>
            <w:vAlign w:val="center"/>
          </w:tcPr>
          <w:p>
            <w:pPr>
              <w:pStyle w:val="TableContents"/>
              <w:spacing w:before="0" w:after="0"/>
              <w:jc w:val="right"/>
              <w:rPr>
                <w:b/>
                <w:spacing w:val="0"/>
              </w:rPr>
            </w:pPr>
            <w:r>
              <w:rPr>
                <w:b/>
                <w:spacing w:val="0"/>
              </w:rPr>
              <w:t>107,101</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0"/>
              <w:rPr>
                <w:spacing w:val="0"/>
              </w:rPr>
            </w:pPr>
            <w:r>
              <w:rPr>
                <w:spacing w:val="0"/>
              </w:rPr>
              <w:t> </w:t>
            </w:r>
          </w:p>
        </w:tc>
        <w:tc>
          <w:tcPr>
            <w:tcW w:w="764" w:type="dxa"/>
            <w:tcBorders/>
            <w:shd w:fill="CCEEFF" w:val="clear"/>
            <w:vAlign w:val="center"/>
          </w:tcPr>
          <w:p>
            <w:pPr>
              <w:pStyle w:val="TableContents"/>
              <w:spacing w:before="0" w:after="0"/>
              <w:jc w:val="right"/>
              <w:rPr>
                <w:b/>
                <w:spacing w:val="0"/>
              </w:rPr>
            </w:pPr>
            <w:r>
              <w:rPr>
                <w:b/>
                <w:spacing w:val="0"/>
              </w:rPr>
              <w:t>76,825</w:t>
            </w:r>
          </w:p>
        </w:tc>
        <w:tc>
          <w:tcPr>
            <w:tcW w:w="75" w:type="dxa"/>
            <w:tcBorders/>
            <w:shd w:fill="CCEEFF"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98"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76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Expected future lease payments to be made to satisfy the Group´s lease liabilities are as follow: </w:t>
      </w:r>
    </w:p>
    <w:p>
      <w:pPr>
        <w:pStyle w:val="TextBody"/>
        <w:spacing w:before="0" w:after="0"/>
        <w:jc w:val="left"/>
        <w:rPr>
          <w:highlight w:val="white"/>
        </w:rPr>
      </w:pPr>
      <w:r>
        <w:rPr>
          <w:highlight w:val="white"/>
        </w:rPr>
        <w:t> </w:t>
      </w:r>
    </w:p>
    <w:tbl>
      <w:tblPr>
        <w:tblW w:w="4042" w:type="dxa"/>
        <w:jc w:val="left"/>
        <w:tblInd w:w="0" w:type="dxa"/>
        <w:tblCellMar>
          <w:top w:w="0" w:type="dxa"/>
          <w:left w:w="0" w:type="dxa"/>
          <w:bottom w:w="0" w:type="dxa"/>
          <w:right w:w="0" w:type="dxa"/>
        </w:tblCellMar>
      </w:tblPr>
      <w:tblGrid>
        <w:gridCol w:w="1850"/>
        <w:gridCol w:w="120"/>
        <w:gridCol w:w="67"/>
        <w:gridCol w:w="898"/>
        <w:gridCol w:w="67"/>
        <w:gridCol w:w="134"/>
        <w:gridCol w:w="67"/>
        <w:gridCol w:w="764"/>
        <w:gridCol w:w="75"/>
      </w:tblGrid>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83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Within 1 year</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21,717</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10,250</w:t>
            </w:r>
          </w:p>
        </w:tc>
        <w:tc>
          <w:tcPr>
            <w:tcW w:w="75"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Between 1 and 2 years</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24,484</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4" w:type="dxa"/>
            <w:tcBorders/>
            <w:shd w:fill="auto" w:val="clear"/>
            <w:vAlign w:val="center"/>
          </w:tcPr>
          <w:p>
            <w:pPr>
              <w:pStyle w:val="TableContents"/>
              <w:spacing w:before="0" w:after="283"/>
              <w:jc w:val="right"/>
              <w:rPr/>
            </w:pPr>
            <w:r>
              <w:rPr/>
              <w:t>11,715</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Between 2 and 3 years</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20,739</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10,375</w:t>
            </w:r>
          </w:p>
        </w:tc>
        <w:tc>
          <w:tcPr>
            <w:tcW w:w="75"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Between 3 and 4 years</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17,924</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4" w:type="dxa"/>
            <w:tcBorders/>
            <w:shd w:fill="auto" w:val="clear"/>
            <w:vAlign w:val="center"/>
          </w:tcPr>
          <w:p>
            <w:pPr>
              <w:pStyle w:val="TableContents"/>
              <w:spacing w:before="0" w:after="283"/>
              <w:jc w:val="right"/>
              <w:rPr/>
            </w:pPr>
            <w:r>
              <w:rPr/>
              <w:t>8,596</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Between 4 and 5 years</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5,987</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42,032</w:t>
            </w:r>
          </w:p>
        </w:tc>
        <w:tc>
          <w:tcPr>
            <w:tcW w:w="75"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Later than 5 years</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29,613</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4" w:type="dxa"/>
            <w:tcBorders/>
            <w:shd w:fill="auto" w:val="clear"/>
            <w:vAlign w:val="center"/>
          </w:tcPr>
          <w:p>
            <w:pPr>
              <w:pStyle w:val="TableContents"/>
              <w:spacing w:before="0" w:after="283"/>
              <w:jc w:val="right"/>
              <w:rPr/>
            </w:pPr>
            <w:r>
              <w:rPr/>
              <w:t>6,361</w:t>
            </w:r>
          </w:p>
        </w:tc>
        <w:tc>
          <w:tcPr>
            <w:tcW w:w="75"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98"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76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0"/>
              <w:rPr>
                <w:spacing w:val="0"/>
              </w:rPr>
            </w:pPr>
            <w:r>
              <w:rPr>
                <w:spacing w:val="0"/>
              </w:rPr>
              <w:t> </w:t>
            </w:r>
          </w:p>
        </w:tc>
        <w:tc>
          <w:tcPr>
            <w:tcW w:w="898" w:type="dxa"/>
            <w:tcBorders/>
            <w:shd w:fill="CCEEFF" w:val="clear"/>
            <w:vAlign w:val="center"/>
          </w:tcPr>
          <w:p>
            <w:pPr>
              <w:pStyle w:val="TableContents"/>
              <w:spacing w:before="0" w:after="0"/>
              <w:jc w:val="right"/>
              <w:rPr>
                <w:b/>
                <w:spacing w:val="0"/>
              </w:rPr>
            </w:pPr>
            <w:r>
              <w:rPr>
                <w:b/>
                <w:spacing w:val="0"/>
              </w:rPr>
              <w:t>120,464</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0"/>
              <w:rPr>
                <w:spacing w:val="0"/>
              </w:rPr>
            </w:pPr>
            <w:r>
              <w:rPr>
                <w:spacing w:val="0"/>
              </w:rPr>
              <w:t> </w:t>
            </w:r>
          </w:p>
        </w:tc>
        <w:tc>
          <w:tcPr>
            <w:tcW w:w="764" w:type="dxa"/>
            <w:tcBorders/>
            <w:shd w:fill="CCEEFF" w:val="clear"/>
            <w:vAlign w:val="center"/>
          </w:tcPr>
          <w:p>
            <w:pPr>
              <w:pStyle w:val="TableContents"/>
              <w:spacing w:before="0" w:after="0"/>
              <w:jc w:val="right"/>
              <w:rPr>
                <w:b/>
                <w:spacing w:val="0"/>
              </w:rPr>
            </w:pPr>
            <w:r>
              <w:rPr>
                <w:b/>
                <w:spacing w:val="0"/>
              </w:rPr>
              <w:t>89,329</w:t>
            </w:r>
          </w:p>
        </w:tc>
        <w:tc>
          <w:tcPr>
            <w:tcW w:w="75"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98"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76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years ended December 31, 2022, 2021 and 2020, total cash outflows for leases amounted to $18,905, $8,578 and $2,298, respectively. </w:t>
      </w:r>
    </w:p>
    <w:p>
      <w:pPr>
        <w:pStyle w:val="TextBody"/>
        <w:spacing w:before="360" w:after="0"/>
        <w:jc w:val="left"/>
        <w:rPr>
          <w:rFonts w:ascii="Times New Roman" w:hAnsi="Times New Roman"/>
          <w:b/>
          <w:i/>
          <w:spacing w:val="0"/>
          <w:sz w:val="20"/>
          <w:highlight w:val="white"/>
        </w:rPr>
      </w:pPr>
      <w:r>
        <w:rPr>
          <w:rFonts w:ascii="Times New Roman" w:hAnsi="Times New Roman"/>
          <w:b/>
          <w:i/>
          <w:spacing w:val="0"/>
          <w:sz w:val="20"/>
          <w:highlight w:val="white"/>
        </w:rPr>
        <w:t xml:space="preserve">Polestar Group as lessor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a lessor, revenue recognized from operating leases are as follows: </w:t>
      </w:r>
    </w:p>
    <w:p>
      <w:pPr>
        <w:pStyle w:val="TextBody"/>
        <w:spacing w:before="0" w:after="0"/>
        <w:jc w:val="left"/>
        <w:rPr>
          <w:highlight w:val="white"/>
        </w:rPr>
      </w:pPr>
      <w:r>
        <w:rPr>
          <w:highlight w:val="white"/>
        </w:rPr>
        <w:t> </w:t>
      </w:r>
    </w:p>
    <w:tbl>
      <w:tblPr>
        <w:tblW w:w="4400" w:type="dxa"/>
        <w:jc w:val="left"/>
        <w:tblInd w:w="0" w:type="dxa"/>
        <w:tblCellMar>
          <w:top w:w="0" w:type="dxa"/>
          <w:left w:w="0" w:type="dxa"/>
          <w:bottom w:w="0" w:type="dxa"/>
          <w:right w:w="0" w:type="dxa"/>
        </w:tblCellMar>
      </w:tblPr>
      <w:tblGrid>
        <w:gridCol w:w="1985"/>
        <w:gridCol w:w="120"/>
        <w:gridCol w:w="60"/>
        <w:gridCol w:w="680"/>
        <w:gridCol w:w="60"/>
        <w:gridCol w:w="120"/>
        <w:gridCol w:w="60"/>
        <w:gridCol w:w="560"/>
        <w:gridCol w:w="60"/>
        <w:gridCol w:w="120"/>
        <w:gridCol w:w="68"/>
        <w:gridCol w:w="432"/>
        <w:gridCol w:w="75"/>
      </w:tblGrid>
      <w:tr>
        <w:trPr/>
        <w:tc>
          <w:tcPr>
            <w:tcW w:w="1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w:t>
              <w:br/>
              <w:t>December 31,</w:t>
            </w:r>
          </w:p>
        </w:tc>
        <w:tc>
          <w:tcPr>
            <w:tcW w:w="75" w:type="dxa"/>
            <w:tcBorders/>
            <w:shd w:fill="auto" w:val="clear"/>
            <w:vAlign w:val="center"/>
          </w:tcPr>
          <w:p>
            <w:pPr>
              <w:pStyle w:val="TableContents"/>
              <w:spacing w:before="0" w:after="283"/>
              <w:rPr/>
            </w:pPr>
            <w:r>
              <w:rPr/>
              <w:t> </w:t>
            </w:r>
          </w:p>
        </w:tc>
      </w:tr>
      <w:tr>
        <w:trPr/>
        <w:tc>
          <w:tcPr>
            <w:tcW w:w="19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9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Vehicle leasing revenue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16,719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6,217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majority of the Group’s operating lease contracts as a lessor, vehicles are paid for upfront by the customer at contract inception and repurchased by Polestar at the end of the lease term. The following table depicts the changes in the Group’s vehicles under operating leases: </w:t>
      </w:r>
    </w:p>
    <w:p>
      <w:pPr>
        <w:pStyle w:val="TextBody"/>
        <w:spacing w:before="0" w:after="0"/>
        <w:jc w:val="left"/>
        <w:rPr>
          <w:highlight w:val="white"/>
        </w:rPr>
      </w:pPr>
      <w:r>
        <w:rPr>
          <w:highlight w:val="white"/>
        </w:rPr>
        <w:t> </w:t>
      </w:r>
    </w:p>
    <w:tbl>
      <w:tblPr>
        <w:tblW w:w="7065" w:type="dxa"/>
        <w:jc w:val="left"/>
        <w:tblInd w:w="0" w:type="dxa"/>
        <w:tblCellMar>
          <w:top w:w="0" w:type="dxa"/>
          <w:left w:w="0" w:type="dxa"/>
          <w:bottom w:w="0" w:type="dxa"/>
          <w:right w:w="0" w:type="dxa"/>
        </w:tblCellMar>
      </w:tblPr>
      <w:tblGrid>
        <w:gridCol w:w="4205"/>
        <w:gridCol w:w="120"/>
        <w:gridCol w:w="179"/>
        <w:gridCol w:w="2391"/>
        <w:gridCol w:w="170"/>
      </w:tblGrid>
      <w:tr>
        <w:trPr/>
        <w:tc>
          <w:tcPr>
            <w:tcW w:w="4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Vehicles under operating</w:t>
              <w:br/>
              <w:t>leases</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Acquisition cost</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391"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Reclassification from inventories</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jc w:val="right"/>
              <w:rPr/>
            </w:pPr>
            <w:r>
              <w:rPr/>
              <w:t>124,764</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2021</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rPr>
            </w:pPr>
            <w:r>
              <w:rPr>
                <w:spacing w:val="0"/>
              </w:rPr>
              <w:t> </w:t>
            </w:r>
          </w:p>
        </w:tc>
        <w:tc>
          <w:tcPr>
            <w:tcW w:w="2391" w:type="dxa"/>
            <w:tcBorders/>
            <w:shd w:fill="auto" w:val="clear"/>
            <w:vAlign w:val="center"/>
          </w:tcPr>
          <w:p>
            <w:pPr>
              <w:pStyle w:val="TableContents"/>
              <w:spacing w:before="0" w:after="0"/>
              <w:jc w:val="right"/>
              <w:rPr>
                <w:b/>
                <w:spacing w:val="0"/>
              </w:rPr>
            </w:pPr>
            <w:r>
              <w:rPr>
                <w:b/>
                <w:spacing w:val="0"/>
              </w:rPr>
              <w:t>124,764</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Reclassification from inventories</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jc w:val="right"/>
              <w:rPr/>
            </w:pPr>
            <w:r>
              <w:rPr/>
              <w:t>41,134</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 to inventories</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391" w:type="dxa"/>
            <w:tcBorders/>
            <w:shd w:fill="auto" w:val="clear"/>
            <w:vAlign w:val="center"/>
          </w:tcPr>
          <w:p>
            <w:pPr>
              <w:pStyle w:val="TableContents"/>
              <w:spacing w:before="0" w:after="283"/>
              <w:jc w:val="right"/>
              <w:rPr/>
            </w:pPr>
            <w:r>
              <w:rPr/>
              <w:t>(58,581</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jc w:val="right"/>
              <w:rPr/>
            </w:pPr>
            <w:r>
              <w:rPr/>
              <w:t>(2,317</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2022</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rPr>
            </w:pPr>
            <w:r>
              <w:rPr>
                <w:spacing w:val="0"/>
              </w:rPr>
              <w:t> </w:t>
            </w:r>
          </w:p>
        </w:tc>
        <w:tc>
          <w:tcPr>
            <w:tcW w:w="2391" w:type="dxa"/>
            <w:tcBorders/>
            <w:shd w:fill="auto" w:val="clear"/>
            <w:vAlign w:val="center"/>
          </w:tcPr>
          <w:p>
            <w:pPr>
              <w:pStyle w:val="TableContents"/>
              <w:spacing w:before="0" w:after="0"/>
              <w:jc w:val="right"/>
              <w:rPr>
                <w:b/>
                <w:spacing w:val="0"/>
              </w:rPr>
            </w:pPr>
            <w:r>
              <w:rPr>
                <w:b/>
                <w:spacing w:val="0"/>
              </w:rPr>
              <w:t>105,000</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Accumulated depreciation &amp; impairment</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391"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expense</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jc w:val="right"/>
              <w:rPr/>
            </w:pPr>
            <w:r>
              <w:rPr/>
              <w:t>(4,138</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2021</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rPr>
            </w:pPr>
            <w:r>
              <w:rPr>
                <w:spacing w:val="0"/>
              </w:rPr>
              <w:t> </w:t>
            </w:r>
          </w:p>
        </w:tc>
        <w:tc>
          <w:tcPr>
            <w:tcW w:w="2391" w:type="dxa"/>
            <w:tcBorders/>
            <w:shd w:fill="auto" w:val="clear"/>
            <w:vAlign w:val="center"/>
          </w:tcPr>
          <w:p>
            <w:pPr>
              <w:pStyle w:val="TableContents"/>
              <w:spacing w:before="0" w:after="0"/>
              <w:jc w:val="right"/>
              <w:rPr>
                <w:b/>
                <w:spacing w:val="0"/>
              </w:rPr>
            </w:pPr>
            <w:r>
              <w:rPr>
                <w:b/>
                <w:spacing w:val="0"/>
              </w:rPr>
              <w:t>(4,138</w:t>
            </w:r>
          </w:p>
        </w:tc>
        <w:tc>
          <w:tcPr>
            <w:tcW w:w="170" w:type="dxa"/>
            <w:tcBorders/>
            <w:shd w:fill="auto" w:val="clear"/>
            <w:vAlign w:val="center"/>
          </w:tcPr>
          <w:p>
            <w:pPr>
              <w:pStyle w:val="TableContents"/>
              <w:spacing w:before="0" w:after="0"/>
              <w:rPr>
                <w:b/>
                <w:spacing w:val="0"/>
              </w:rPr>
            </w:pPr>
            <w:r>
              <w:rPr>
                <w:b/>
                <w:spacing w:val="0"/>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expense</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jc w:val="right"/>
              <w:rPr/>
            </w:pPr>
            <w:r>
              <w:rPr/>
              <w:t>(14,004</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 to inventories</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391" w:type="dxa"/>
            <w:tcBorders/>
            <w:shd w:fill="auto" w:val="clear"/>
            <w:vAlign w:val="center"/>
          </w:tcPr>
          <w:p>
            <w:pPr>
              <w:pStyle w:val="TableContents"/>
              <w:spacing w:before="0" w:after="283"/>
              <w:jc w:val="right"/>
              <w:rPr/>
            </w:pPr>
            <w:r>
              <w:rPr/>
              <w:t>4,578</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391" w:type="dxa"/>
            <w:tcBorders/>
            <w:shd w:fill="CCEEFF" w:val="clear"/>
            <w:vAlign w:val="center"/>
          </w:tcPr>
          <w:p>
            <w:pPr>
              <w:pStyle w:val="TableContents"/>
              <w:spacing w:before="0" w:after="283"/>
              <w:jc w:val="right"/>
              <w:rPr/>
            </w:pPr>
            <w:r>
              <w:rPr/>
              <w:t>762</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2022</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rPr>
            </w:pPr>
            <w:r>
              <w:rPr>
                <w:spacing w:val="0"/>
              </w:rPr>
              <w:t> </w:t>
            </w:r>
          </w:p>
        </w:tc>
        <w:tc>
          <w:tcPr>
            <w:tcW w:w="2391" w:type="dxa"/>
            <w:tcBorders/>
            <w:shd w:fill="auto" w:val="clear"/>
            <w:vAlign w:val="center"/>
          </w:tcPr>
          <w:p>
            <w:pPr>
              <w:pStyle w:val="TableContents"/>
              <w:spacing w:before="0" w:after="0"/>
              <w:jc w:val="right"/>
              <w:rPr>
                <w:b/>
                <w:spacing w:val="0"/>
              </w:rPr>
            </w:pPr>
            <w:r>
              <w:rPr>
                <w:b/>
                <w:spacing w:val="0"/>
              </w:rPr>
              <w:t>(12,802</w:t>
            </w:r>
          </w:p>
        </w:tc>
        <w:tc>
          <w:tcPr>
            <w:tcW w:w="170" w:type="dxa"/>
            <w:tcBorders/>
            <w:shd w:fill="auto" w:val="clear"/>
            <w:vAlign w:val="center"/>
          </w:tcPr>
          <w:p>
            <w:pPr>
              <w:pStyle w:val="TableContents"/>
              <w:spacing w:before="0" w:after="0"/>
              <w:rPr>
                <w:b/>
                <w:spacing w:val="0"/>
              </w:rPr>
            </w:pPr>
            <w:r>
              <w:rPr>
                <w:b/>
                <w:spacing w:val="0"/>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Carrying amount as of December 31, 2021</w:t>
            </w:r>
          </w:p>
        </w:tc>
        <w:tc>
          <w:tcPr>
            <w:tcW w:w="12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0"/>
              <w:rPr>
                <w:spacing w:val="0"/>
              </w:rPr>
            </w:pPr>
            <w:r>
              <w:rPr>
                <w:spacing w:val="0"/>
              </w:rPr>
              <w:t> </w:t>
            </w:r>
          </w:p>
        </w:tc>
        <w:tc>
          <w:tcPr>
            <w:tcW w:w="2391" w:type="dxa"/>
            <w:tcBorders/>
            <w:shd w:fill="CCEEFF" w:val="clear"/>
            <w:vAlign w:val="center"/>
          </w:tcPr>
          <w:p>
            <w:pPr>
              <w:pStyle w:val="TableContents"/>
              <w:spacing w:before="0" w:after="0"/>
              <w:jc w:val="right"/>
              <w:rPr>
                <w:b/>
                <w:spacing w:val="0"/>
              </w:rPr>
            </w:pPr>
            <w:r>
              <w:rPr>
                <w:b/>
                <w:spacing w:val="0"/>
              </w:rPr>
              <w:t>120,626</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Carrying amount as of December 31, 2022</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rPr>
            </w:pPr>
            <w:r>
              <w:rPr>
                <w:spacing w:val="0"/>
              </w:rPr>
              <w:t> </w:t>
            </w:r>
          </w:p>
        </w:tc>
        <w:tc>
          <w:tcPr>
            <w:tcW w:w="2391" w:type="dxa"/>
            <w:tcBorders/>
            <w:shd w:fill="auto" w:val="clear"/>
            <w:vAlign w:val="center"/>
          </w:tcPr>
          <w:p>
            <w:pPr>
              <w:pStyle w:val="TableContents"/>
              <w:spacing w:before="0" w:after="0"/>
              <w:jc w:val="right"/>
              <w:rPr>
                <w:b/>
                <w:spacing w:val="0"/>
              </w:rPr>
            </w:pPr>
            <w:r>
              <w:rPr>
                <w:b/>
                <w:spacing w:val="0"/>
              </w:rPr>
              <w:t>92,198</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2391"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 xml:space="preserve">Note 11 - Income tax expense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Income tax expense recognized in the Consolidated Statement of Loss and Comprehensive Loss is as follows: </w:t>
      </w:r>
    </w:p>
    <w:p>
      <w:pPr>
        <w:pStyle w:val="TextBody"/>
        <w:spacing w:before="0" w:after="0"/>
        <w:jc w:val="left"/>
        <w:rPr>
          <w:highlight w:val="white"/>
        </w:rPr>
      </w:pPr>
      <w:r>
        <w:rPr>
          <w:highlight w:val="white"/>
        </w:rPr>
        <w:t> </w:t>
      </w:r>
    </w:p>
    <w:tbl>
      <w:tblPr>
        <w:tblW w:w="6251" w:type="dxa"/>
        <w:jc w:val="left"/>
        <w:tblInd w:w="0" w:type="dxa"/>
        <w:tblCellMar>
          <w:top w:w="0" w:type="dxa"/>
          <w:left w:w="0" w:type="dxa"/>
          <w:bottom w:w="0" w:type="dxa"/>
          <w:right w:w="0" w:type="dxa"/>
        </w:tblCellMar>
      </w:tblPr>
      <w:tblGrid>
        <w:gridCol w:w="2555"/>
        <w:gridCol w:w="120"/>
        <w:gridCol w:w="71"/>
        <w:gridCol w:w="895"/>
        <w:gridCol w:w="183"/>
        <w:gridCol w:w="142"/>
        <w:gridCol w:w="71"/>
        <w:gridCol w:w="753"/>
        <w:gridCol w:w="183"/>
        <w:gridCol w:w="142"/>
        <w:gridCol w:w="71"/>
        <w:gridCol w:w="895"/>
        <w:gridCol w:w="170"/>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170"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82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income tax for the year</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pPr>
            <w:r>
              <w:rPr/>
              <w:t>(17,277</w:t>
            </w:r>
          </w:p>
        </w:tc>
        <w:tc>
          <w:tcPr>
            <w:tcW w:w="183"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53" w:type="dxa"/>
            <w:tcBorders/>
            <w:shd w:fill="CCEEFF" w:val="clear"/>
            <w:vAlign w:val="center"/>
          </w:tcPr>
          <w:p>
            <w:pPr>
              <w:pStyle w:val="TableContents"/>
              <w:spacing w:before="0" w:after="283"/>
              <w:jc w:val="right"/>
              <w:rPr/>
            </w:pPr>
            <w:r>
              <w:rPr/>
              <w:t>(3,336</w:t>
            </w:r>
          </w:p>
        </w:tc>
        <w:tc>
          <w:tcPr>
            <w:tcW w:w="183"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pPr>
            <w:r>
              <w:rPr/>
              <w:t>(1,966</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Deferred taxes</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jc w:val="right"/>
              <w:rPr/>
            </w:pPr>
            <w:r>
              <w:rPr/>
              <w:t>4,210</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53" w:type="dxa"/>
            <w:tcBorders/>
            <w:shd w:fill="auto" w:val="clear"/>
            <w:vAlign w:val="center"/>
          </w:tcPr>
          <w:p>
            <w:pPr>
              <w:pStyle w:val="TableContents"/>
              <w:spacing w:before="0" w:after="283"/>
              <w:jc w:val="right"/>
              <w:rPr/>
            </w:pPr>
            <w:r>
              <w:rPr/>
              <w:t>5,517</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jc w:val="right"/>
              <w:rPr/>
            </w:pPr>
            <w:r>
              <w:rPr/>
              <w:t>(4,422</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taxes</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pPr>
            <w:r>
              <w:rPr/>
              <w:t>(3,717</w:t>
            </w:r>
          </w:p>
        </w:tc>
        <w:tc>
          <w:tcPr>
            <w:tcW w:w="183"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53" w:type="dxa"/>
            <w:tcBorders/>
            <w:shd w:fill="CCEEFF" w:val="clear"/>
            <w:vAlign w:val="center"/>
          </w:tcPr>
          <w:p>
            <w:pPr>
              <w:pStyle w:val="TableContents"/>
              <w:spacing w:before="0" w:after="283"/>
              <w:jc w:val="right"/>
              <w:rPr/>
            </w:pPr>
            <w:r>
              <w:rPr/>
              <w:t>(2,517</w:t>
            </w:r>
          </w:p>
        </w:tc>
        <w:tc>
          <w:tcPr>
            <w:tcW w:w="183"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pPr>
            <w:r>
              <w:rPr/>
              <w:t>(7,147</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5" w:type="dxa"/>
            <w:tcBorders/>
            <w:shd w:fill="auto" w:val="clear"/>
            <w:vAlign w:val="center"/>
          </w:tcPr>
          <w:p>
            <w:pPr>
              <w:pStyle w:val="TableContents"/>
              <w:spacing w:before="0" w:after="0"/>
              <w:rPr>
                <w:bdr w:val="single" w:sz="2" w:space="1" w:color="000000"/>
              </w:rPr>
            </w:pPr>
            <w:r>
              <w:rPr>
                <w:bdr w:val="single" w:sz="2" w:space="1" w:color="000000"/>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753" w:type="dxa"/>
            <w:tcBorders/>
            <w:shd w:fill="auto" w:val="clear"/>
            <w:vAlign w:val="center"/>
          </w:tcPr>
          <w:p>
            <w:pPr>
              <w:pStyle w:val="TableContents"/>
              <w:spacing w:before="0" w:after="0"/>
              <w:rPr>
                <w:bdr w:val="single" w:sz="2" w:space="1" w:color="000000"/>
              </w:rPr>
            </w:pPr>
            <w:r>
              <w:rPr>
                <w:bdr w:val="single" w:sz="2" w:space="1" w:color="000000"/>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895" w:type="dxa"/>
            <w:tcBorders/>
            <w:shd w:fill="auto" w:val="clear"/>
            <w:vAlign w:val="center"/>
          </w:tcPr>
          <w:p>
            <w:pPr>
              <w:pStyle w:val="TableContents"/>
              <w:spacing w:before="0" w:after="0"/>
              <w:jc w:val="right"/>
              <w:rPr>
                <w:b/>
                <w:spacing w:val="0"/>
              </w:rPr>
            </w:pPr>
            <w:r>
              <w:rPr>
                <w:b/>
                <w:spacing w:val="0"/>
              </w:rPr>
              <w:t>(16,784</w:t>
            </w:r>
          </w:p>
        </w:tc>
        <w:tc>
          <w:tcPr>
            <w:tcW w:w="183" w:type="dxa"/>
            <w:tcBorders/>
            <w:shd w:fill="auto" w:val="clear"/>
            <w:vAlign w:val="center"/>
          </w:tcPr>
          <w:p>
            <w:pPr>
              <w:pStyle w:val="TableContents"/>
              <w:spacing w:before="0" w:after="0"/>
              <w:rPr>
                <w:b/>
                <w:spacing w:val="0"/>
              </w:rPr>
            </w:pPr>
            <w:r>
              <w:rPr>
                <w:b/>
                <w:spacing w:val="0"/>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753" w:type="dxa"/>
            <w:tcBorders/>
            <w:shd w:fill="auto" w:val="clear"/>
            <w:vAlign w:val="center"/>
          </w:tcPr>
          <w:p>
            <w:pPr>
              <w:pStyle w:val="TableContents"/>
              <w:spacing w:before="0" w:after="0"/>
              <w:jc w:val="right"/>
              <w:rPr>
                <w:b/>
                <w:spacing w:val="0"/>
              </w:rPr>
            </w:pPr>
            <w:r>
              <w:rPr>
                <w:b/>
                <w:spacing w:val="0"/>
              </w:rPr>
              <w:t>(336</w:t>
            </w:r>
          </w:p>
        </w:tc>
        <w:tc>
          <w:tcPr>
            <w:tcW w:w="183" w:type="dxa"/>
            <w:tcBorders/>
            <w:shd w:fill="auto" w:val="clear"/>
            <w:vAlign w:val="center"/>
          </w:tcPr>
          <w:p>
            <w:pPr>
              <w:pStyle w:val="TableContents"/>
              <w:spacing w:before="0" w:after="0"/>
              <w:rPr>
                <w:b/>
                <w:spacing w:val="0"/>
              </w:rPr>
            </w:pPr>
            <w:r>
              <w:rPr>
                <w:b/>
                <w:spacing w:val="0"/>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895" w:type="dxa"/>
            <w:tcBorders/>
            <w:shd w:fill="auto" w:val="clear"/>
            <w:vAlign w:val="center"/>
          </w:tcPr>
          <w:p>
            <w:pPr>
              <w:pStyle w:val="TableContents"/>
              <w:spacing w:before="0" w:after="0"/>
              <w:jc w:val="right"/>
              <w:rPr>
                <w:b/>
                <w:spacing w:val="0"/>
              </w:rPr>
            </w:pPr>
            <w:r>
              <w:rPr>
                <w:b/>
                <w:spacing w:val="0"/>
              </w:rPr>
              <w:t>(13,535</w:t>
            </w:r>
          </w:p>
        </w:tc>
        <w:tc>
          <w:tcPr>
            <w:tcW w:w="170" w:type="dxa"/>
            <w:tcBorders/>
            <w:shd w:fill="auto" w:val="clear"/>
            <w:vAlign w:val="center"/>
          </w:tcPr>
          <w:p>
            <w:pPr>
              <w:pStyle w:val="TableContents"/>
              <w:spacing w:before="0" w:after="0"/>
              <w:rPr>
                <w:b/>
                <w:spacing w:val="0"/>
              </w:rPr>
            </w:pPr>
            <w:r>
              <w:rPr>
                <w:b/>
                <w:spacing w:val="0"/>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5" w:type="dxa"/>
            <w:tcBorders/>
            <w:shd w:fill="auto" w:val="clear"/>
            <w:vAlign w:val="center"/>
          </w:tcPr>
          <w:p>
            <w:pPr>
              <w:pStyle w:val="TableContents"/>
              <w:spacing w:before="0" w:after="0"/>
              <w:rPr>
                <w:bdr w:val="single" w:sz="2" w:space="1" w:color="000000"/>
              </w:rPr>
            </w:pPr>
            <w:r>
              <w:rPr>
                <w:bdr w:val="single" w:sz="2" w:space="1" w:color="000000"/>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753" w:type="dxa"/>
            <w:tcBorders/>
            <w:shd w:fill="auto" w:val="clear"/>
            <w:vAlign w:val="center"/>
          </w:tcPr>
          <w:p>
            <w:pPr>
              <w:pStyle w:val="TableContents"/>
              <w:spacing w:before="0" w:after="0"/>
              <w:rPr>
                <w:bdr w:val="single" w:sz="2" w:space="1" w:color="000000"/>
              </w:rPr>
            </w:pPr>
            <w:r>
              <w:rPr>
                <w:bdr w:val="single" w:sz="2" w:space="1" w:color="000000"/>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bdr w:val="single" w:sz="2" w:space="1" w:color="000000"/>
              </w:rPr>
            </w:pPr>
            <w:r>
              <w:rPr>
                <w:bdr w:val="single" w:sz="2" w:space="1" w:color="000000"/>
              </w:rPr>
              <w:t> </w:t>
            </w:r>
          </w:p>
        </w:tc>
        <w:tc>
          <w:tcPr>
            <w:tcW w:w="89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Information regarding current year income tax expense based on the applicable UK and Hong Kong tax rates are as follows: </w:t>
      </w:r>
    </w:p>
    <w:p>
      <w:pPr>
        <w:pStyle w:val="TextBody"/>
        <w:spacing w:before="0" w:after="0"/>
        <w:jc w:val="left"/>
        <w:rPr>
          <w:highlight w:val="white"/>
        </w:rPr>
      </w:pPr>
      <w:r>
        <w:rPr>
          <w:highlight w:val="white"/>
        </w:rPr>
        <w:t> </w:t>
      </w:r>
    </w:p>
    <w:tbl>
      <w:tblPr>
        <w:tblW w:w="7970" w:type="dxa"/>
        <w:jc w:val="left"/>
        <w:tblInd w:w="0" w:type="dxa"/>
        <w:tblCellMar>
          <w:top w:w="0" w:type="dxa"/>
          <w:left w:w="0" w:type="dxa"/>
          <w:bottom w:w="0" w:type="dxa"/>
          <w:right w:w="0" w:type="dxa"/>
        </w:tblCellMar>
      </w:tblPr>
      <w:tblGrid>
        <w:gridCol w:w="4145"/>
        <w:gridCol w:w="120"/>
        <w:gridCol w:w="60"/>
        <w:gridCol w:w="875"/>
        <w:gridCol w:w="155"/>
        <w:gridCol w:w="120"/>
        <w:gridCol w:w="60"/>
        <w:gridCol w:w="1055"/>
        <w:gridCol w:w="155"/>
        <w:gridCol w:w="120"/>
        <w:gridCol w:w="60"/>
        <w:gridCol w:w="875"/>
        <w:gridCol w:w="170"/>
      </w:tblGrid>
      <w:tr>
        <w:trPr/>
        <w:tc>
          <w:tcPr>
            <w:tcW w:w="4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1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170" w:type="dxa"/>
            <w:tcBorders/>
            <w:shd w:fill="auto"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before tax for the year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(449,005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(1,007,118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(471,323</w:t>
            </w:r>
          </w:p>
        </w:tc>
        <w:tc>
          <w:tcPr>
            <w:tcW w:w="170" w:type="dxa"/>
            <w:tcBorders/>
            <w:shd w:fill="CCEEFF"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Tax according to the applicable tax rate </w:t>
            </w:r>
          </w:p>
          <w:p>
            <w:pPr>
              <w:pStyle w:val="TableContents"/>
              <w:spacing w:before="0" w:after="0"/>
              <w:rPr>
                <w:rFonts w:ascii="Times New Roman" w:hAnsi="Times New Roman"/>
                <w:sz w:val="12"/>
              </w:rPr>
            </w:pPr>
            <w:r>
              <w:rPr>
                <w:rFonts w:ascii="Times New Roman" w:hAnsi="Times New Roman"/>
                <w:sz w:val="12"/>
              </w:rPr>
              <w:t>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85,311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166,174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74,449</w:t>
            </w:r>
          </w:p>
        </w:tc>
        <w:tc>
          <w:tcPr>
            <w:tcW w:w="17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Operating income/costs, </w:t>
            </w:r>
          </w:p>
          <w:p>
            <w:pPr>
              <w:pStyle w:val="TableContents"/>
              <w:spacing w:before="0" w:after="0"/>
              <w:rPr>
                <w:rFonts w:ascii="Times New Roman" w:hAnsi="Times New Roman"/>
                <w:spacing w:val="0"/>
                <w:sz w:val="20"/>
              </w:rPr>
            </w:pPr>
            <w:r>
              <w:rPr>
                <w:rFonts w:ascii="Times New Roman" w:hAnsi="Times New Roman"/>
                <w:spacing w:val="0"/>
                <w:sz w:val="20"/>
              </w:rPr>
              <w:t>non-taxable</w:t>
            </w:r>
          </w:p>
          <w:p>
            <w:pPr>
              <w:pStyle w:val="TableContents"/>
              <w:spacing w:before="0" w:after="0"/>
              <w:rPr>
                <w:rFonts w:ascii="Times New Roman" w:hAnsi="Times New Roman"/>
                <w:sz w:val="12"/>
              </w:rPr>
            </w:pPr>
            <w:r>
              <w:rPr>
                <w:rFonts w:ascii="Times New Roman" w:hAnsi="Times New Roman"/>
                <w:sz w:val="12"/>
              </w:rPr>
              <w:t>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86,504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(5,407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(2,178</w:t>
            </w:r>
          </w:p>
        </w:tc>
        <w:tc>
          <w:tcPr>
            <w:tcW w:w="170" w:type="dxa"/>
            <w:tcBorders/>
            <w:shd w:fill="CCEEFF"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different tax rates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17,142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64,384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34,700</w:t>
            </w:r>
          </w:p>
        </w:tc>
        <w:tc>
          <w:tcPr>
            <w:tcW w:w="17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effect on deferred tax due to change of tax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(575</w:t>
            </w:r>
          </w:p>
        </w:tc>
        <w:tc>
          <w:tcPr>
            <w:tcW w:w="170" w:type="dxa"/>
            <w:tcBorders/>
            <w:shd w:fill="CCEEFF"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Withholding tax</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(3,717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(2,517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(7,147</w:t>
            </w:r>
          </w:p>
        </w:tc>
        <w:tc>
          <w:tcPr>
            <w:tcW w:w="17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Non-recognition</w:t>
            </w:r>
          </w:p>
          <w:p>
            <w:pPr>
              <w:pStyle w:val="TableContents"/>
              <w:spacing w:before="0" w:after="0"/>
              <w:rPr>
                <w:rFonts w:ascii="Times New Roman" w:hAnsi="Times New Roman"/>
                <w:sz w:val="20"/>
              </w:rPr>
            </w:pPr>
            <w:r>
              <w:rPr>
                <w:rFonts w:ascii="Times New Roman" w:hAnsi="Times New Roman"/>
                <w:sz w:val="20"/>
              </w:rPr>
              <w:t>of deferred tax assets on temporary differences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(13,672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(9,042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(32,223</w:t>
            </w:r>
          </w:p>
        </w:tc>
        <w:tc>
          <w:tcPr>
            <w:tcW w:w="170" w:type="dxa"/>
            <w:tcBorders/>
            <w:shd w:fill="CCEEFF"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Not recognized loss carry-forward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(188,352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(213,928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(80,434</w:t>
            </w:r>
          </w:p>
        </w:tc>
        <w:tc>
          <w:tcPr>
            <w:tcW w:w="17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(127</w:t>
            </w:r>
          </w:p>
        </w:tc>
        <w:tc>
          <w:tcPr>
            <w:tcW w:w="170" w:type="dxa"/>
            <w:tcBorders/>
            <w:shd w:fill="CCEEFF"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1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(16,784</w:t>
            </w:r>
          </w:p>
        </w:tc>
        <w:tc>
          <w:tcPr>
            <w:tcW w:w="155" w:type="dxa"/>
            <w:tcBorders/>
            <w:shd w:fill="auto" w:val="cle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055" w:type="dxa"/>
            <w:tcBorders/>
            <w:shd w:fill="auto" w:val="clear"/>
            <w:vAlign w:val="center"/>
          </w:tcPr>
          <w:p>
            <w:pPr>
              <w:pStyle w:val="TableContents"/>
              <w:spacing w:before="0" w:after="0"/>
              <w:jc w:val="right"/>
              <w:rPr>
                <w:b/>
                <w:spacing w:val="0"/>
              </w:rPr>
            </w:pPr>
            <w:r>
              <w:rPr>
                <w:b/>
                <w:spacing w:val="0"/>
              </w:rPr>
              <w:t>(336</w:t>
            </w:r>
          </w:p>
        </w:tc>
        <w:tc>
          <w:tcPr>
            <w:tcW w:w="155" w:type="dxa"/>
            <w:tcBorders/>
            <w:shd w:fill="auto" w:val="cle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b/>
                <w:spacing w:val="0"/>
              </w:rPr>
            </w:pPr>
            <w:r>
              <w:rPr>
                <w:b/>
                <w:spacing w:val="0"/>
              </w:rPr>
              <w:t>(13,535</w:t>
            </w:r>
          </w:p>
        </w:tc>
        <w:tc>
          <w:tcPr>
            <w:tcW w:w="170" w:type="dxa"/>
            <w:tcBorders/>
            <w:shd w:fill="auto" w:val="clear"/>
            <w:vAlign w:val="center"/>
          </w:tcPr>
          <w:p>
            <w:pPr>
              <w:pStyle w:val="TableContents"/>
              <w:spacing w:before="0" w:after="0"/>
              <w:rPr>
                <w:b/>
                <w:spacing w:val="0"/>
              </w:rPr>
            </w:pPr>
            <w:r>
              <w:rPr>
                <w:b/>
                <w:spacing w:val="0"/>
              </w:rPr>
              <w:t>) </w:t>
            </w:r>
          </w:p>
        </w:tc>
      </w:tr>
      <w:tr>
        <w:trPr/>
        <w:tc>
          <w:tcPr>
            <w:tcW w:w="41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6250" w:type="dxa"/>
        <w:jc w:val="left"/>
        <w:tblInd w:w="0" w:type="dxa"/>
        <w:tblCellMar>
          <w:top w:w="0" w:type="dxa"/>
          <w:left w:w="0" w:type="dxa"/>
          <w:bottom w:w="0" w:type="dxa"/>
          <w:right w:w="0" w:type="dxa"/>
        </w:tblCellMar>
      </w:tblPr>
      <w:tblGrid>
        <w:gridCol w:w="335"/>
        <w:gridCol w:w="5915"/>
      </w:tblGrid>
      <w:tr>
        <w:trPr/>
        <w:tc>
          <w:tcPr>
            <w:tcW w:w="335" w:type="dxa"/>
            <w:tcBorders/>
            <w:shd w:fill="auto" w:val="clear"/>
            <w:vAlign w:val="center"/>
          </w:tcPr>
          <w:p>
            <w:pPr>
              <w:pStyle w:val="TableContents"/>
              <w:spacing w:before="0" w:after="283"/>
              <w:jc w:val="left"/>
              <w:rPr/>
            </w:pPr>
            <w:r>
              <w:rPr/>
              <w:t>1 –</w:t>
            </w:r>
          </w:p>
        </w:tc>
        <w:tc>
          <w:tcPr>
            <w:tcW w:w="5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2022: 19% (UK rate), 2021: 16.5% and 2020: 15.8% (Hong Kong rates). </w:t>
            </w:r>
          </w:p>
        </w:tc>
      </w:tr>
    </w:tbl>
    <w:tbl>
      <w:tblPr>
        <w:tblW w:w="5980" w:type="dxa"/>
        <w:jc w:val="left"/>
        <w:tblInd w:w="0" w:type="dxa"/>
        <w:tblCellMar>
          <w:top w:w="0" w:type="dxa"/>
          <w:left w:w="0" w:type="dxa"/>
          <w:bottom w:w="0" w:type="dxa"/>
          <w:right w:w="0" w:type="dxa"/>
        </w:tblCellMar>
      </w:tblPr>
      <w:tblGrid>
        <w:gridCol w:w="335"/>
        <w:gridCol w:w="5645"/>
      </w:tblGrid>
      <w:tr>
        <w:trPr/>
        <w:tc>
          <w:tcPr>
            <w:tcW w:w="335" w:type="dxa"/>
            <w:tcBorders/>
            <w:shd w:fill="auto" w:val="clear"/>
            <w:vAlign w:val="center"/>
          </w:tcPr>
          <w:p>
            <w:pPr>
              <w:pStyle w:val="TableContents"/>
              <w:spacing w:before="0" w:after="283"/>
              <w:jc w:val="left"/>
              <w:rPr/>
            </w:pPr>
            <w:r>
              <w:rPr/>
              <w:t>2 –</w:t>
            </w:r>
          </w:p>
        </w:tc>
        <w:tc>
          <w:tcPr>
            <w:tcW w:w="5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Primarily attributable to the Listing expense being </w:t>
            </w:r>
          </w:p>
          <w:p>
            <w:pPr>
              <w:pStyle w:val="TableContents"/>
              <w:spacing w:before="0" w:after="0"/>
              <w:jc w:val="left"/>
              <w:rPr>
                <w:rFonts w:ascii="Times New Roman" w:hAnsi="Times New Roman"/>
                <w:spacing w:val="0"/>
                <w:sz w:val="20"/>
              </w:rPr>
            </w:pPr>
            <w:r>
              <w:rPr>
                <w:rFonts w:ascii="Times New Roman" w:hAnsi="Times New Roman"/>
                <w:spacing w:val="0"/>
                <w:sz w:val="20"/>
              </w:rPr>
              <w:t>non-tax</w:t>
            </w:r>
          </w:p>
          <w:p>
            <w:pPr>
              <w:pStyle w:val="TableContents"/>
              <w:spacing w:before="0" w:after="0"/>
              <w:jc w:val="left"/>
              <w:rPr>
                <w:rFonts w:ascii="Times New Roman" w:hAnsi="Times New Roman"/>
                <w:sz w:val="20"/>
              </w:rPr>
            </w:pPr>
            <w:r>
              <w:rPr>
                <w:rFonts w:ascii="Times New Roman" w:hAnsi="Times New Roman"/>
                <w:sz w:val="20"/>
              </w:rPr>
              <w:t xml:space="preserve">deductible, corresponding tax $70,740 and Fair value changes of the </w:t>
            </w:r>
          </w:p>
          <w:p>
            <w:pPr>
              <w:pStyle w:val="TableContents"/>
              <w:spacing w:before="0" w:after="0"/>
              <w:jc w:val="left"/>
              <w:rPr>
                <w:rFonts w:ascii="Times New Roman" w:hAnsi="Times New Roman"/>
                <w:spacing w:val="0"/>
                <w:sz w:val="20"/>
              </w:rPr>
            </w:pPr>
            <w:r>
              <w:rPr>
                <w:rFonts w:ascii="Times New Roman" w:hAnsi="Times New Roman"/>
                <w:spacing w:val="0"/>
                <w:sz w:val="20"/>
              </w:rPr>
              <w:t>Earn-out</w:t>
            </w:r>
          </w:p>
          <w:p>
            <w:pPr>
              <w:pStyle w:val="TableContents"/>
              <w:spacing w:before="0" w:after="0"/>
              <w:jc w:val="left"/>
              <w:rPr>
                <w:rFonts w:ascii="Times New Roman" w:hAnsi="Times New Roman"/>
                <w:sz w:val="20"/>
              </w:rPr>
            </w:pPr>
            <w:r>
              <w:rPr>
                <w:rFonts w:ascii="Times New Roman" w:hAnsi="Times New Roman"/>
                <w:sz w:val="20"/>
              </w:rPr>
              <w:t xml:space="preserve">rights being </w:t>
            </w:r>
          </w:p>
          <w:p>
            <w:pPr>
              <w:pStyle w:val="TableContents"/>
              <w:spacing w:before="0" w:after="0"/>
              <w:jc w:val="left"/>
              <w:rPr>
                <w:rFonts w:ascii="Times New Roman" w:hAnsi="Times New Roman"/>
                <w:spacing w:val="0"/>
                <w:sz w:val="20"/>
              </w:rPr>
            </w:pPr>
            <w:r>
              <w:rPr>
                <w:rFonts w:ascii="Times New Roman" w:hAnsi="Times New Roman"/>
                <w:spacing w:val="0"/>
                <w:sz w:val="20"/>
              </w:rPr>
              <w:t>non-taxable</w:t>
            </w:r>
          </w:p>
          <w:p>
            <w:pPr>
              <w:pStyle w:val="TableContents"/>
              <w:spacing w:before="0" w:after="0"/>
              <w:jc w:val="left"/>
              <w:rPr>
                <w:rFonts w:ascii="Times New Roman" w:hAnsi="Times New Roman"/>
                <w:sz w:val="20"/>
              </w:rPr>
            </w:pPr>
            <w:r>
              <w:rPr>
                <w:rFonts w:ascii="Times New Roman" w:hAnsi="Times New Roman"/>
                <w:sz w:val="20"/>
              </w:rPr>
              <w:t xml:space="preserve">income, corresponding tax $171,393. Other </w:t>
            </w:r>
          </w:p>
          <w:p>
            <w:pPr>
              <w:pStyle w:val="TableContents"/>
              <w:spacing w:before="0" w:after="0"/>
              <w:jc w:val="left"/>
              <w:rPr>
                <w:rFonts w:ascii="Times New Roman" w:hAnsi="Times New Roman"/>
                <w:spacing w:val="0"/>
                <w:sz w:val="20"/>
              </w:rPr>
            </w:pPr>
            <w:r>
              <w:rPr>
                <w:rFonts w:ascii="Times New Roman" w:hAnsi="Times New Roman"/>
                <w:spacing w:val="0"/>
                <w:sz w:val="20"/>
              </w:rPr>
              <w:t>non-tax</w:t>
            </w:r>
          </w:p>
          <w:p>
            <w:pPr>
              <w:pStyle w:val="TableContents"/>
              <w:spacing w:before="0" w:after="0"/>
              <w:jc w:val="left"/>
              <w:rPr>
                <w:rFonts w:ascii="Times New Roman" w:hAnsi="Times New Roman"/>
                <w:sz w:val="20"/>
              </w:rPr>
            </w:pPr>
            <w:r>
              <w:rPr>
                <w:rFonts w:ascii="Times New Roman" w:hAnsi="Times New Roman"/>
                <w:sz w:val="20"/>
              </w:rPr>
              <w:t xml:space="preserve">items net $14,148.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2021 and 2020 income tax expense is based on the applicable Hong Kong tax rate as a result of the change in group composition that occurred in September 2020. The 2020 restructuring represented a common control transaction and resulted in certain tax losses in Sweden of $30,418 to be forfeited. Refer to Note 3 - Common control transaction for further discussion. The 2021 Hong Kong tax rate in the table above is reflective of the Inland Revenue (Amendment (No. 7) Bill 2017 (the “Bill”), which was passed by the Hong Kong Legislative Council in 2018. The Bill introduces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two-tiered</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profits tax rates regime, under which, the first 2,000,000 Hong Kong Dollar (“HKD”) of profits of the qualifying group entity will be taxed at 8.25%, and profits above 2,000,000 HKD will be taxed at 16.5%.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Information regarding the composition of recognized deferred tax assets is as follows: </w:t>
      </w:r>
    </w:p>
    <w:p>
      <w:pPr>
        <w:pStyle w:val="TextBody"/>
        <w:spacing w:before="0" w:after="0"/>
        <w:jc w:val="left"/>
        <w:rPr>
          <w:highlight w:val="white"/>
        </w:rPr>
      </w:pPr>
      <w:r>
        <w:rPr>
          <w:highlight w:val="white"/>
        </w:rPr>
        <w:t> </w:t>
      </w:r>
    </w:p>
    <w:tbl>
      <w:tblPr>
        <w:tblW w:w="7210" w:type="dxa"/>
        <w:jc w:val="left"/>
        <w:tblInd w:w="0" w:type="dxa"/>
        <w:tblCellMar>
          <w:top w:w="0" w:type="dxa"/>
          <w:left w:w="0" w:type="dxa"/>
          <w:bottom w:w="0" w:type="dxa"/>
          <w:right w:w="0" w:type="dxa"/>
        </w:tblCellMar>
      </w:tblPr>
      <w:tblGrid>
        <w:gridCol w:w="4925"/>
        <w:gridCol w:w="120"/>
        <w:gridCol w:w="62"/>
        <w:gridCol w:w="792"/>
        <w:gridCol w:w="162"/>
        <w:gridCol w:w="125"/>
        <w:gridCol w:w="62"/>
        <w:gridCol w:w="792"/>
        <w:gridCol w:w="170"/>
      </w:tblGrid>
      <w:tr>
        <w:trPr/>
        <w:tc>
          <w:tcPr>
            <w:tcW w:w="4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9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99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4925" w:type="dxa"/>
            <w:tcBorders/>
            <w:shd w:fill="auto" w:val="clear"/>
            <w:vAlign w:val="center"/>
          </w:tcPr>
          <w:p>
            <w:pPr>
              <w:pStyle w:val="TableContents"/>
              <w:spacing w:before="0" w:after="0"/>
              <w:rPr>
                <w:b/>
                <w:spacing w:val="0"/>
              </w:rPr>
            </w:pPr>
            <w:r>
              <w:rPr>
                <w:b/>
                <w:spacing w:val="0"/>
              </w:rPr>
              <w:t>Specification of deferred tax assets</w:t>
            </w:r>
          </w:p>
        </w:tc>
        <w:tc>
          <w:tcPr>
            <w:tcW w:w="120" w:type="dxa"/>
            <w:tcBorders/>
            <w:shd w:fill="auto" w:val="clear"/>
            <w:vAlign w:val="center"/>
          </w:tcPr>
          <w:p>
            <w:pPr>
              <w:pStyle w:val="TableContents"/>
              <w:spacing w:before="0" w:after="0"/>
              <w:rPr>
                <w:spacing w:val="0"/>
              </w:rPr>
            </w:pPr>
            <w:r>
              <w:rPr>
                <w:spacing w:val="0"/>
              </w:rPr>
              <w:t>  </w:t>
            </w:r>
          </w:p>
        </w:tc>
        <w:tc>
          <w:tcPr>
            <w:tcW w:w="85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62"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85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49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Tax loss carry-forwards</w:t>
            </w:r>
          </w:p>
        </w:tc>
        <w:tc>
          <w:tcPr>
            <w:tcW w:w="120" w:type="dxa"/>
            <w:tcBorders/>
            <w:shd w:fill="CCEEFF" w:val="clear"/>
            <w:vAlign w:val="center"/>
          </w:tcPr>
          <w:p>
            <w:pPr>
              <w:pStyle w:val="TableContents"/>
              <w:spacing w:before="0" w:after="0"/>
              <w:rPr>
                <w:spacing w:val="0"/>
              </w:rPr>
            </w:pPr>
            <w:r>
              <w:rPr>
                <w:spacing w:val="0"/>
              </w:rPr>
              <w:t>  </w:t>
            </w:r>
          </w:p>
        </w:tc>
        <w:tc>
          <w:tcPr>
            <w:tcW w:w="62" w:type="dxa"/>
            <w:tcBorders/>
            <w:shd w:fill="CCEEFF" w:val="clear"/>
            <w:vAlign w:val="center"/>
          </w:tcPr>
          <w:p>
            <w:pPr>
              <w:pStyle w:val="TableContents"/>
              <w:spacing w:before="0" w:after="0"/>
              <w:rPr>
                <w:spacing w:val="0"/>
              </w:rPr>
            </w:pPr>
            <w:r>
              <w:rPr>
                <w:spacing w:val="0"/>
              </w:rPr>
              <w:t> </w:t>
            </w:r>
          </w:p>
        </w:tc>
        <w:tc>
          <w:tcPr>
            <w:tcW w:w="792" w:type="dxa"/>
            <w:tcBorders/>
            <w:shd w:fill="CCEEFF" w:val="clear"/>
            <w:vAlign w:val="center"/>
          </w:tcPr>
          <w:p>
            <w:pPr>
              <w:pStyle w:val="TableContents"/>
              <w:spacing w:before="0" w:after="0"/>
              <w:jc w:val="right"/>
              <w:rPr>
                <w:spacing w:val="0"/>
              </w:rPr>
            </w:pPr>
            <w:r>
              <w:rPr>
                <w:spacing w:val="0"/>
              </w:rPr>
              <w:t>49,804</w:t>
            </w:r>
          </w:p>
        </w:tc>
        <w:tc>
          <w:tcPr>
            <w:tcW w:w="162" w:type="dxa"/>
            <w:tcBorders/>
            <w:shd w:fill="CCEEFF" w:val="clear"/>
            <w:vAlign w:val="center"/>
          </w:tcPr>
          <w:p>
            <w:pPr>
              <w:pStyle w:val="TableContents"/>
              <w:spacing w:before="0" w:after="283"/>
              <w:rPr>
                <w:sz w:val="4"/>
                <w:szCs w:val="4"/>
              </w:rPr>
            </w:pPr>
            <w:r>
              <w:rPr>
                <w:sz w:val="4"/>
                <w:szCs w:val="4"/>
              </w:rPr>
            </w:r>
          </w:p>
        </w:tc>
        <w:tc>
          <w:tcPr>
            <w:tcW w:w="125" w:type="dxa"/>
            <w:tcBorders/>
            <w:shd w:fill="CCEEFF" w:val="clear"/>
            <w:vAlign w:val="center"/>
          </w:tcPr>
          <w:p>
            <w:pPr>
              <w:pStyle w:val="TableContents"/>
              <w:spacing w:before="0" w:after="0"/>
              <w:rPr>
                <w:spacing w:val="0"/>
              </w:rPr>
            </w:pPr>
            <w:r>
              <w:rPr>
                <w:spacing w:val="0"/>
              </w:rPr>
              <w:t>  </w:t>
            </w:r>
          </w:p>
        </w:tc>
        <w:tc>
          <w:tcPr>
            <w:tcW w:w="62" w:type="dxa"/>
            <w:tcBorders/>
            <w:shd w:fill="CCEEFF" w:val="clear"/>
            <w:vAlign w:val="center"/>
          </w:tcPr>
          <w:p>
            <w:pPr>
              <w:pStyle w:val="TableContents"/>
              <w:spacing w:before="0" w:after="0"/>
              <w:rPr>
                <w:spacing w:val="0"/>
              </w:rPr>
            </w:pPr>
            <w:r>
              <w:rPr>
                <w:spacing w:val="0"/>
              </w:rPr>
              <w:t> </w:t>
            </w:r>
          </w:p>
        </w:tc>
        <w:tc>
          <w:tcPr>
            <w:tcW w:w="792" w:type="dxa"/>
            <w:tcBorders/>
            <w:shd w:fill="CCEEFF" w:val="clear"/>
            <w:vAlign w:val="center"/>
          </w:tcPr>
          <w:p>
            <w:pPr>
              <w:pStyle w:val="TableContents"/>
              <w:spacing w:before="0" w:after="0"/>
              <w:jc w:val="right"/>
              <w:rPr>
                <w:spacing w:val="0"/>
              </w:rPr>
            </w:pPr>
            <w:r>
              <w:rPr>
                <w:spacing w:val="0"/>
              </w:rPr>
              <w:t>29,737</w:t>
            </w:r>
          </w:p>
        </w:tc>
        <w:tc>
          <w:tcPr>
            <w:tcW w:w="170" w:type="dxa"/>
            <w:tcBorders/>
            <w:shd w:fill="CCEEFF" w:val="clear"/>
            <w:vAlign w:val="center"/>
          </w:tcPr>
          <w:p>
            <w:pPr>
              <w:pStyle w:val="TableContents"/>
              <w:spacing w:before="0" w:after="283"/>
              <w:rPr>
                <w:sz w:val="4"/>
                <w:szCs w:val="4"/>
              </w:rPr>
            </w:pPr>
            <w:r>
              <w:rPr>
                <w:sz w:val="4"/>
                <w:szCs w:val="4"/>
              </w:rPr>
            </w:r>
          </w:p>
        </w:tc>
      </w:tr>
      <w:tr>
        <w:trPr/>
        <w:tc>
          <w:tcPr>
            <w:tcW w:w="49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temporary differences</w:t>
            </w:r>
          </w:p>
        </w:tc>
        <w:tc>
          <w:tcPr>
            <w:tcW w:w="120"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spacing w:val="0"/>
              </w:rPr>
            </w:pPr>
            <w:r>
              <w:rPr>
                <w:spacing w:val="0"/>
              </w:rPr>
              <w:t>7,755</w:t>
            </w:r>
          </w:p>
        </w:tc>
        <w:tc>
          <w:tcPr>
            <w:tcW w:w="1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spacing w:val="0"/>
              </w:rPr>
            </w:pPr>
            <w:r>
              <w:rPr>
                <w:spacing w:val="0"/>
              </w:rPr>
              <w:t>3,850</w:t>
            </w:r>
          </w:p>
        </w:tc>
        <w:tc>
          <w:tcPr>
            <w:tcW w:w="170" w:type="dxa"/>
            <w:tcBorders/>
            <w:shd w:fill="auto" w:val="clear"/>
            <w:vAlign w:val="center"/>
          </w:tcPr>
          <w:p>
            <w:pPr>
              <w:pStyle w:val="TableContents"/>
              <w:spacing w:before="0" w:after="283"/>
              <w:rPr>
                <w:sz w:val="4"/>
                <w:szCs w:val="4"/>
              </w:rPr>
            </w:pPr>
            <w:r>
              <w:rPr>
                <w:sz w:val="4"/>
                <w:szCs w:val="4"/>
              </w:rPr>
            </w:r>
          </w:p>
        </w:tc>
      </w:tr>
      <w:tr>
        <w:trPr/>
        <w:tc>
          <w:tcPr>
            <w:tcW w:w="4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2"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492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Recognized value of deferred tax assets as of December 31</w:t>
            </w:r>
          </w:p>
        </w:tc>
        <w:tc>
          <w:tcPr>
            <w:tcW w:w="120" w:type="dxa"/>
            <w:tcBorders/>
            <w:shd w:fill="CCEEFF" w:val="clear"/>
            <w:vAlign w:val="center"/>
          </w:tcPr>
          <w:p>
            <w:pPr>
              <w:pStyle w:val="TableContents"/>
              <w:spacing w:before="0" w:after="0"/>
              <w:rPr>
                <w:spacing w:val="0"/>
              </w:rPr>
            </w:pPr>
            <w:r>
              <w:rPr>
                <w:spacing w:val="0"/>
              </w:rPr>
              <w:t>  </w:t>
            </w:r>
          </w:p>
        </w:tc>
        <w:tc>
          <w:tcPr>
            <w:tcW w:w="62" w:type="dxa"/>
            <w:tcBorders/>
            <w:shd w:fill="CCEEFF" w:val="clear"/>
            <w:vAlign w:val="center"/>
          </w:tcPr>
          <w:p>
            <w:pPr>
              <w:pStyle w:val="TableContents"/>
              <w:spacing w:before="0" w:after="0"/>
              <w:rPr>
                <w:spacing w:val="0"/>
              </w:rPr>
            </w:pPr>
            <w:r>
              <w:rPr>
                <w:spacing w:val="0"/>
              </w:rPr>
              <w:t> </w:t>
            </w:r>
          </w:p>
        </w:tc>
        <w:tc>
          <w:tcPr>
            <w:tcW w:w="792" w:type="dxa"/>
            <w:tcBorders/>
            <w:shd w:fill="CCEEFF" w:val="clear"/>
            <w:vAlign w:val="center"/>
          </w:tcPr>
          <w:p>
            <w:pPr>
              <w:pStyle w:val="TableContents"/>
              <w:spacing w:before="0" w:after="0"/>
              <w:jc w:val="right"/>
              <w:rPr>
                <w:b/>
                <w:spacing w:val="0"/>
              </w:rPr>
            </w:pPr>
            <w:r>
              <w:rPr>
                <w:b/>
                <w:spacing w:val="0"/>
              </w:rPr>
              <w:t>57,559</w:t>
            </w:r>
          </w:p>
        </w:tc>
        <w:tc>
          <w:tcPr>
            <w:tcW w:w="162" w:type="dxa"/>
            <w:tcBorders/>
            <w:shd w:fill="CCEEFF" w:val="clear"/>
            <w:vAlign w:val="center"/>
          </w:tcPr>
          <w:p>
            <w:pPr>
              <w:pStyle w:val="TableContents"/>
              <w:spacing w:before="0" w:after="283"/>
              <w:rPr/>
            </w:pPr>
            <w:r>
              <w:rPr/>
            </w:r>
          </w:p>
        </w:tc>
        <w:tc>
          <w:tcPr>
            <w:tcW w:w="125" w:type="dxa"/>
            <w:tcBorders/>
            <w:shd w:fill="CCEEFF" w:val="clear"/>
            <w:vAlign w:val="center"/>
          </w:tcPr>
          <w:p>
            <w:pPr>
              <w:pStyle w:val="TableContents"/>
              <w:spacing w:before="0" w:after="0"/>
              <w:rPr>
                <w:spacing w:val="0"/>
              </w:rPr>
            </w:pPr>
            <w:r>
              <w:rPr>
                <w:spacing w:val="0"/>
              </w:rPr>
              <w:t>  </w:t>
            </w:r>
          </w:p>
        </w:tc>
        <w:tc>
          <w:tcPr>
            <w:tcW w:w="62" w:type="dxa"/>
            <w:tcBorders/>
            <w:shd w:fill="CCEEFF" w:val="clear"/>
            <w:vAlign w:val="center"/>
          </w:tcPr>
          <w:p>
            <w:pPr>
              <w:pStyle w:val="TableContents"/>
              <w:spacing w:before="0" w:after="0"/>
              <w:rPr>
                <w:spacing w:val="0"/>
              </w:rPr>
            </w:pPr>
            <w:r>
              <w:rPr>
                <w:spacing w:val="0"/>
              </w:rPr>
              <w:t> </w:t>
            </w:r>
          </w:p>
        </w:tc>
        <w:tc>
          <w:tcPr>
            <w:tcW w:w="792" w:type="dxa"/>
            <w:tcBorders/>
            <w:shd w:fill="CCEEFF" w:val="clear"/>
            <w:vAlign w:val="center"/>
          </w:tcPr>
          <w:p>
            <w:pPr>
              <w:pStyle w:val="TableContents"/>
              <w:spacing w:before="0" w:after="0"/>
              <w:jc w:val="right"/>
              <w:rPr>
                <w:b/>
                <w:spacing w:val="0"/>
              </w:rPr>
            </w:pPr>
            <w:r>
              <w:rPr>
                <w:b/>
                <w:spacing w:val="0"/>
              </w:rPr>
              <w:t>33,587</w:t>
            </w:r>
          </w:p>
        </w:tc>
        <w:tc>
          <w:tcPr>
            <w:tcW w:w="170" w:type="dxa"/>
            <w:tcBorders/>
            <w:shd w:fill="CCEEFF" w:val="clear"/>
            <w:vAlign w:val="center"/>
          </w:tcPr>
          <w:p>
            <w:pPr>
              <w:pStyle w:val="TableContents"/>
              <w:spacing w:before="0" w:after="283"/>
              <w:rPr/>
            </w:pPr>
            <w:r>
              <w:rPr/>
            </w:r>
          </w:p>
        </w:tc>
      </w:tr>
      <w:tr>
        <w:trPr/>
        <w:tc>
          <w:tcPr>
            <w:tcW w:w="4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2"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49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Netting of asset and liability tax positions</w:t>
            </w:r>
          </w:p>
        </w:tc>
        <w:tc>
          <w:tcPr>
            <w:tcW w:w="120"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spacing w:val="0"/>
              </w:rPr>
            </w:pPr>
            <w:r>
              <w:rPr>
                <w:spacing w:val="0"/>
              </w:rPr>
              <w:t>(49,804</w:t>
            </w:r>
          </w:p>
        </w:tc>
        <w:tc>
          <w:tcPr>
            <w:tcW w:w="162"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spacing w:val="0"/>
              </w:rPr>
            </w:pPr>
            <w:r>
              <w:rPr>
                <w:spacing w:val="0"/>
              </w:rPr>
              <w:t>(29,737</w:t>
            </w:r>
          </w:p>
        </w:tc>
        <w:tc>
          <w:tcPr>
            <w:tcW w:w="170" w:type="dxa"/>
            <w:tcBorders/>
            <w:shd w:fill="auto" w:val="clear"/>
            <w:vAlign w:val="center"/>
          </w:tcPr>
          <w:p>
            <w:pPr>
              <w:pStyle w:val="TableContents"/>
              <w:spacing w:before="0" w:after="0"/>
              <w:rPr>
                <w:spacing w:val="0"/>
              </w:rPr>
            </w:pPr>
            <w:r>
              <w:rPr>
                <w:spacing w:val="0"/>
              </w:rPr>
              <w:t>) </w:t>
            </w:r>
          </w:p>
        </w:tc>
      </w:tr>
      <w:tr>
        <w:trPr/>
        <w:tc>
          <w:tcPr>
            <w:tcW w:w="4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2"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492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Deferred tax asset as of December 31</w:t>
            </w:r>
          </w:p>
        </w:tc>
        <w:tc>
          <w:tcPr>
            <w:tcW w:w="120" w:type="dxa"/>
            <w:tcBorders/>
            <w:shd w:fill="CCEEFF" w:val="clear"/>
            <w:vAlign w:val="center"/>
          </w:tcPr>
          <w:p>
            <w:pPr>
              <w:pStyle w:val="TableContents"/>
              <w:spacing w:before="0" w:after="0"/>
              <w:rPr>
                <w:spacing w:val="0"/>
              </w:rPr>
            </w:pPr>
            <w:r>
              <w:rPr>
                <w:spacing w:val="0"/>
              </w:rPr>
              <w:t>  </w:t>
            </w:r>
          </w:p>
        </w:tc>
        <w:tc>
          <w:tcPr>
            <w:tcW w:w="62" w:type="dxa"/>
            <w:tcBorders/>
            <w:shd w:fill="CCEEFF" w:val="clear"/>
            <w:vAlign w:val="center"/>
          </w:tcPr>
          <w:p>
            <w:pPr>
              <w:pStyle w:val="TableContents"/>
              <w:spacing w:before="0" w:after="0"/>
              <w:rPr>
                <w:spacing w:val="0"/>
              </w:rPr>
            </w:pPr>
            <w:r>
              <w:rPr>
                <w:spacing w:val="0"/>
              </w:rPr>
              <w:t> </w:t>
            </w:r>
          </w:p>
        </w:tc>
        <w:tc>
          <w:tcPr>
            <w:tcW w:w="792" w:type="dxa"/>
            <w:tcBorders/>
            <w:shd w:fill="CCEEFF" w:val="clear"/>
            <w:vAlign w:val="center"/>
          </w:tcPr>
          <w:p>
            <w:pPr>
              <w:pStyle w:val="TableContents"/>
              <w:spacing w:before="0" w:after="0"/>
              <w:jc w:val="right"/>
              <w:rPr>
                <w:b/>
                <w:spacing w:val="0"/>
              </w:rPr>
            </w:pPr>
            <w:r>
              <w:rPr>
                <w:b/>
                <w:spacing w:val="0"/>
              </w:rPr>
              <w:t>7,755</w:t>
            </w:r>
          </w:p>
        </w:tc>
        <w:tc>
          <w:tcPr>
            <w:tcW w:w="162" w:type="dxa"/>
            <w:tcBorders/>
            <w:shd w:fill="CCEEFF" w:val="clear"/>
            <w:vAlign w:val="center"/>
          </w:tcPr>
          <w:p>
            <w:pPr>
              <w:pStyle w:val="TableContents"/>
              <w:spacing w:before="0" w:after="283"/>
              <w:rPr/>
            </w:pPr>
            <w:r>
              <w:rPr/>
            </w:r>
          </w:p>
        </w:tc>
        <w:tc>
          <w:tcPr>
            <w:tcW w:w="125" w:type="dxa"/>
            <w:tcBorders/>
            <w:shd w:fill="CCEEFF" w:val="clear"/>
            <w:vAlign w:val="center"/>
          </w:tcPr>
          <w:p>
            <w:pPr>
              <w:pStyle w:val="TableContents"/>
              <w:spacing w:before="0" w:after="0"/>
              <w:rPr>
                <w:spacing w:val="0"/>
              </w:rPr>
            </w:pPr>
            <w:r>
              <w:rPr>
                <w:spacing w:val="0"/>
              </w:rPr>
              <w:t>  </w:t>
            </w:r>
          </w:p>
        </w:tc>
        <w:tc>
          <w:tcPr>
            <w:tcW w:w="62" w:type="dxa"/>
            <w:tcBorders/>
            <w:shd w:fill="CCEEFF" w:val="clear"/>
            <w:vAlign w:val="center"/>
          </w:tcPr>
          <w:p>
            <w:pPr>
              <w:pStyle w:val="TableContents"/>
              <w:spacing w:before="0" w:after="0"/>
              <w:rPr>
                <w:spacing w:val="0"/>
              </w:rPr>
            </w:pPr>
            <w:r>
              <w:rPr>
                <w:spacing w:val="0"/>
              </w:rPr>
              <w:t> </w:t>
            </w:r>
          </w:p>
        </w:tc>
        <w:tc>
          <w:tcPr>
            <w:tcW w:w="792" w:type="dxa"/>
            <w:tcBorders/>
            <w:shd w:fill="CCEEFF" w:val="clear"/>
            <w:vAlign w:val="center"/>
          </w:tcPr>
          <w:p>
            <w:pPr>
              <w:pStyle w:val="TableContents"/>
              <w:spacing w:before="0" w:after="0"/>
              <w:jc w:val="right"/>
              <w:rPr>
                <w:b/>
                <w:spacing w:val="0"/>
              </w:rPr>
            </w:pPr>
            <w:r>
              <w:rPr>
                <w:b/>
                <w:spacing w:val="0"/>
              </w:rPr>
              <w:t>3,850</w:t>
            </w:r>
          </w:p>
        </w:tc>
        <w:tc>
          <w:tcPr>
            <w:tcW w:w="170" w:type="dxa"/>
            <w:tcBorders/>
            <w:shd w:fill="CCEEFF" w:val="clear"/>
            <w:vAlign w:val="center"/>
          </w:tcPr>
          <w:p>
            <w:pPr>
              <w:pStyle w:val="TableContents"/>
              <w:spacing w:before="0" w:after="283"/>
              <w:rPr/>
            </w:pPr>
            <w:r>
              <w:rPr/>
            </w:r>
          </w:p>
        </w:tc>
      </w:tr>
      <w:tr>
        <w:trPr/>
        <w:tc>
          <w:tcPr>
            <w:tcW w:w="4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2"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bl>
    <w:p>
      <w:pPr>
        <w:pStyle w:val="TextBody"/>
        <w:spacing w:before="0" w:after="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 xml:space="preserve">F-47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Information regarding the composition of recognized deferred tax liabilities is as follows: </w:t>
      </w:r>
    </w:p>
    <w:p>
      <w:pPr>
        <w:pStyle w:val="TextBody"/>
        <w:spacing w:before="0" w:after="0"/>
        <w:jc w:val="left"/>
        <w:rPr>
          <w:highlight w:val="white"/>
        </w:rPr>
      </w:pPr>
      <w:r>
        <w:rPr>
          <w:highlight w:val="white"/>
        </w:rPr>
        <w:t> </w:t>
      </w:r>
    </w:p>
    <w:tbl>
      <w:tblPr>
        <w:tblW w:w="7525" w:type="dxa"/>
        <w:jc w:val="left"/>
        <w:tblInd w:w="0" w:type="dxa"/>
        <w:tblCellMar>
          <w:top w:w="0" w:type="dxa"/>
          <w:left w:w="0" w:type="dxa"/>
          <w:bottom w:w="0" w:type="dxa"/>
          <w:right w:w="0" w:type="dxa"/>
        </w:tblCellMar>
      </w:tblPr>
      <w:tblGrid>
        <w:gridCol w:w="5240"/>
        <w:gridCol w:w="120"/>
        <w:gridCol w:w="62"/>
        <w:gridCol w:w="792"/>
        <w:gridCol w:w="162"/>
        <w:gridCol w:w="125"/>
        <w:gridCol w:w="62"/>
        <w:gridCol w:w="792"/>
        <w:gridCol w:w="170"/>
      </w:tblGrid>
      <w:tr>
        <w:trPr/>
        <w:tc>
          <w:tcPr>
            <w:tcW w:w="5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b/>
                <w:spacing w:val="0"/>
              </w:rPr>
            </w:pPr>
            <w:r>
              <w:rPr>
                <w:b/>
                <w:spacing w:val="0"/>
              </w:rPr>
              <w:t>Specification of deferred tax liabilities</w:t>
            </w:r>
          </w:p>
        </w:tc>
        <w:tc>
          <w:tcPr>
            <w:tcW w:w="120" w:type="dxa"/>
            <w:tcBorders/>
            <w:shd w:fill="auto" w:val="clear"/>
            <w:vAlign w:val="center"/>
          </w:tcPr>
          <w:p>
            <w:pPr>
              <w:pStyle w:val="TableContents"/>
              <w:spacing w:before="0" w:after="283"/>
              <w:rPr/>
            </w:pPr>
            <w:r>
              <w:rPr/>
              <w:t>  </w:t>
            </w:r>
          </w:p>
        </w:tc>
        <w:tc>
          <w:tcPr>
            <w:tcW w:w="85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pPr>
            <w:r>
              <w:rPr/>
              <w:t>41,452</w:t>
            </w:r>
          </w:p>
        </w:tc>
        <w:tc>
          <w:tcPr>
            <w:tcW w:w="1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pPr>
            <w:r>
              <w:rPr/>
              <w:t>28,753</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Inventory</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jc w:val="right"/>
              <w:rPr/>
            </w:pPr>
            <w:r>
              <w:rPr/>
              <w:t>7,890</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jc w:val="right"/>
              <w:rPr/>
            </w:pPr>
            <w:r>
              <w:rPr/>
              <w:t>408</w:t>
            </w:r>
          </w:p>
        </w:tc>
        <w:tc>
          <w:tcPr>
            <w:tcW w:w="170"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Warranty</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pPr>
            <w:r>
              <w:rPr/>
              <w:t>938</w:t>
            </w:r>
          </w:p>
        </w:tc>
        <w:tc>
          <w:tcPr>
            <w:tcW w:w="1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pPr>
            <w:r>
              <w:rPr/>
              <w:t>1,085</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792" w:type="dxa"/>
            <w:tcBorders/>
            <w:shd w:fill="auto" w:val="clear"/>
            <w:vAlign w:val="center"/>
          </w:tcPr>
          <w:p>
            <w:pPr>
              <w:pStyle w:val="TableContents"/>
              <w:spacing w:before="0" w:after="0"/>
              <w:rPr>
                <w:bdr w:val="single" w:sz="2" w:space="1" w:color="000000"/>
              </w:rPr>
            </w:pPr>
            <w:r>
              <w:rPr>
                <w:bdr w:val="single" w:sz="2" w:space="1" w:color="000000"/>
              </w:rPr>
              <w:t> </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79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Recognized value of deferred tax liabilities as of December 31</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b/>
                <w:spacing w:val="0"/>
              </w:rPr>
            </w:pPr>
            <w:r>
              <w:rPr>
                <w:b/>
                <w:spacing w:val="0"/>
              </w:rPr>
              <w:t>50,280</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b/>
                <w:spacing w:val="0"/>
              </w:rPr>
            </w:pPr>
            <w:r>
              <w:rPr>
                <w:b/>
                <w:spacing w:val="0"/>
              </w:rPr>
              <w:t>30,246</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792" w:type="dxa"/>
            <w:tcBorders/>
            <w:shd w:fill="auto" w:val="clear"/>
            <w:vAlign w:val="center"/>
          </w:tcPr>
          <w:p>
            <w:pPr>
              <w:pStyle w:val="TableContents"/>
              <w:spacing w:before="0" w:after="0"/>
              <w:rPr>
                <w:bdr w:val="single" w:sz="2" w:space="1" w:color="000000"/>
              </w:rPr>
            </w:pPr>
            <w:r>
              <w:rPr>
                <w:bdr w:val="single" w:sz="2" w:space="1" w:color="000000"/>
              </w:rPr>
              <w:t> </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79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Netting of asset and liability tax position</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pPr>
            <w:r>
              <w:rPr/>
              <w:t>(49,804</w:t>
            </w:r>
          </w:p>
        </w:tc>
        <w:tc>
          <w:tcPr>
            <w:tcW w:w="1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792" w:type="dxa"/>
            <w:tcBorders/>
            <w:shd w:fill="CCEEFF" w:val="clear"/>
            <w:vAlign w:val="center"/>
          </w:tcPr>
          <w:p>
            <w:pPr>
              <w:pStyle w:val="TableContents"/>
              <w:spacing w:before="0" w:after="283"/>
              <w:jc w:val="right"/>
              <w:rPr/>
            </w:pPr>
            <w:r>
              <w:rPr/>
              <w:t>(29,737</w:t>
            </w:r>
          </w:p>
        </w:tc>
        <w:tc>
          <w:tcPr>
            <w:tcW w:w="170"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double" w:sz="6" w:space="1" w:color="000000"/>
              </w:rPr>
            </w:pPr>
            <w:r>
              <w:rPr>
                <w:bdr w:val="double" w:sz="6" w:space="1" w:color="000000"/>
              </w:rPr>
              <w:t> </w:t>
            </w:r>
          </w:p>
        </w:tc>
        <w:tc>
          <w:tcPr>
            <w:tcW w:w="792" w:type="dxa"/>
            <w:tcBorders/>
            <w:shd w:fill="auto" w:val="clear"/>
            <w:vAlign w:val="center"/>
          </w:tcPr>
          <w:p>
            <w:pPr>
              <w:pStyle w:val="TableContents"/>
              <w:spacing w:before="0" w:after="0"/>
              <w:rPr>
                <w:bdr w:val="double" w:sz="6" w:space="1" w:color="000000"/>
              </w:rPr>
            </w:pPr>
            <w:r>
              <w:rPr>
                <w:bdr w:val="double" w:sz="6" w:space="1" w:color="000000"/>
              </w:rPr>
              <w:t> </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double" w:sz="6" w:space="1" w:color="000000"/>
              </w:rPr>
            </w:pPr>
            <w:r>
              <w:rPr>
                <w:bdr w:val="double" w:sz="6" w:space="1" w:color="000000"/>
              </w:rPr>
              <w:t> </w:t>
            </w:r>
          </w:p>
        </w:tc>
        <w:tc>
          <w:tcPr>
            <w:tcW w:w="792"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Deferred tax liability as of December 31</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b/>
                <w:spacing w:val="0"/>
              </w:rPr>
            </w:pPr>
            <w:r>
              <w:rPr>
                <w:b/>
                <w:spacing w:val="0"/>
              </w:rPr>
              <w:t>476</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rPr>
            </w:pPr>
            <w:r>
              <w:rPr>
                <w:spacing w:val="0"/>
              </w:rPr>
              <w:t> </w:t>
            </w:r>
          </w:p>
        </w:tc>
        <w:tc>
          <w:tcPr>
            <w:tcW w:w="792" w:type="dxa"/>
            <w:tcBorders/>
            <w:shd w:fill="auto" w:val="clear"/>
            <w:vAlign w:val="center"/>
          </w:tcPr>
          <w:p>
            <w:pPr>
              <w:pStyle w:val="TableContents"/>
              <w:spacing w:before="0" w:after="0"/>
              <w:jc w:val="right"/>
              <w:rPr>
                <w:b/>
                <w:spacing w:val="0"/>
              </w:rPr>
            </w:pPr>
            <w:r>
              <w:rPr>
                <w:b/>
                <w:spacing w:val="0"/>
              </w:rPr>
              <w:t>509</w:t>
            </w:r>
          </w:p>
        </w:tc>
        <w:tc>
          <w:tcPr>
            <w:tcW w:w="170"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792" w:type="dxa"/>
            <w:tcBorders/>
            <w:shd w:fill="auto" w:val="clear"/>
            <w:vAlign w:val="center"/>
          </w:tcPr>
          <w:p>
            <w:pPr>
              <w:pStyle w:val="TableContents"/>
              <w:spacing w:before="0" w:after="0"/>
              <w:rPr>
                <w:bdr w:val="single" w:sz="2" w:space="1" w:color="000000"/>
              </w:rPr>
            </w:pPr>
            <w:r>
              <w:rPr>
                <w:bdr w:val="single" w:sz="2" w:space="1" w:color="000000"/>
              </w:rPr>
              <w:t> </w:t>
            </w:r>
          </w:p>
        </w:tc>
        <w:tc>
          <w:tcPr>
            <w:tcW w:w="1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79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All changes in deferred tax assets and liabilities have been reported in the Consolidated Statement of Loss and Comprehensive Loss for the years ended December 31, 2022, 2021 and 2020, respectively. Deferred taxes have been calculated by applying the tax rate per jurisdiction.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Information regarding unrecognized deferred tax assets: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Group recognizes deferred tax assets to the extent that the Group believes that the likelihood of recognition is probable. In making such a determination, the Group considers reversals of existing taxable temporary differences, projected future taxable income,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tax-planning</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strategies and the results of recent operations. Unrecognized deferred tax assets are reassessed at each reporting date and recognized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and 2021, the Group made the judgement that there is not sufficient, objectively verifiable evidence available which would demonstrate that it is more likely than not that the Group would be able to realize all deferred tax assets in the future. This resulted in deferred tax assets on tax loss carryforwards not being recognized for a tax effected amount of $479,926 and $339,389 as of December 31, 2022 and 2021, respectively.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Tax loss carryforwards through the year of expiration are as follows: </w:t>
      </w:r>
    </w:p>
    <w:p>
      <w:pPr>
        <w:pStyle w:val="TextBody"/>
        <w:spacing w:before="0" w:after="0"/>
        <w:jc w:val="left"/>
        <w:rPr>
          <w:highlight w:val="white"/>
        </w:rPr>
      </w:pPr>
      <w:r>
        <w:rPr>
          <w:highlight w:val="white"/>
        </w:rPr>
        <w:t> </w:t>
      </w:r>
    </w:p>
    <w:tbl>
      <w:tblPr>
        <w:tblW w:w="6075" w:type="dxa"/>
        <w:jc w:val="left"/>
        <w:tblInd w:w="0" w:type="dxa"/>
        <w:tblCellMar>
          <w:top w:w="0" w:type="dxa"/>
          <w:left w:w="0" w:type="dxa"/>
          <w:bottom w:w="0" w:type="dxa"/>
          <w:right w:w="0" w:type="dxa"/>
        </w:tblCellMar>
      </w:tblPr>
      <w:tblGrid>
        <w:gridCol w:w="3620"/>
        <w:gridCol w:w="120"/>
        <w:gridCol w:w="60"/>
        <w:gridCol w:w="980"/>
        <w:gridCol w:w="60"/>
        <w:gridCol w:w="120"/>
        <w:gridCol w:w="60"/>
        <w:gridCol w:w="980"/>
        <w:gridCol w:w="75"/>
      </w:tblGrid>
      <w:tr>
        <w:trPr/>
        <w:tc>
          <w:tcPr>
            <w:tcW w:w="3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Year of expiration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67,221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74,736</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174,128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193,596</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142,496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158,427</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2027</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201,454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12,672</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2028 onwards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1,616,709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1,113,882</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Tax loss carryforwards as of December 31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2,202,008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1,553,313</w:t>
            </w:r>
          </w:p>
        </w:tc>
        <w:tc>
          <w:tcPr>
            <w:tcW w:w="75" w:type="dxa"/>
            <w:tcBorders/>
            <w:shd w:fill="auto"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F-48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increase in tax losses available for carryforward are mainly attributable to losses incurred as a consequence of the Group scaling headcount and research and development expense to meet the demands of the growing business. Further, for the year ended December 31, 2022, tax loss carryforwards and other temporary differences of $117,229 were attributable to the Chengdu facility which is held for sale. Refer to Note 26 - Assets held for sale for further details. As of December 31, 2022, the Group had unused tax losses of $2,202,008, for which no deferred tax asset has been recognized due to unpredictability of future profit streams. As of December 31, 2022 and 2021, tax losses in Sweden of $1,605,529 and $1,113,842, respectively, have an indefinite carryforward period. As of December 31, 2022 and 2021, tax losses in China of $585,299 and $430,035, respectively, have a five-year carryforward period.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addition to the losses referred to above, the Group also had deferred tax assets arising on other temporary differences of $251,566 and $40,544 as of December 31, 2022 and 2021, respectively, where no deferred tax assets have been recognized.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12 - Net loss per share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For the year ended December 31, 2022, potentially dilutive instruments issued were the Class C Shares and the earn out to the Former Parent related to the Closing of the BCA discussed in Note 16 - Reverse recapitalization, and unvested equity-settled payments discussed in Note 7 - Share-based payment. The Convertible Notes of the Former Parent were the only dilutive instrument outstanding prior to the reverse recapitalization and were converted to Class A Shares in the Group upon the Closing of the BCA. These financial instruments were excluded from the diluted weighted average number of ordinary shares calculation as their effect would have been anti-dilutive. For the year ended December 31, 2021, 4,306,466 shares issuable upon conversion of the Convertible Notes were excluded from the diluted weighted average number of ordinary shares calculation as their effect would have been anti-dilutive. No dilutive event occurred for the year ended December 31, 2020. Dilutive Net loss per share was the same as basic Net loss per share for all periods presented.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Loss per share for the periods prior to the reverse recapitalization are retrospectively adjusted to reflect the number of equivalent shares issued by the parent to the former parent, based on the number of shares outstanding on the reporting dates multiplied by the exchange ratio of 8.335. Refer to Note 20 - Equity for further details. The following table presents the computation of basic and diluted Net loss per share for the years ended December 31, 2022, 2021, and 2020 when applying the exchange ratio: </w:t>
      </w:r>
    </w:p>
    <w:p>
      <w:pPr>
        <w:pStyle w:val="TextBody"/>
        <w:spacing w:before="0" w:after="0"/>
        <w:jc w:val="left"/>
        <w:rPr>
          <w:highlight w:val="white"/>
        </w:rPr>
      </w:pPr>
      <w:r>
        <w:rPr>
          <w:highlight w:val="white"/>
        </w:rPr>
        <w:t> </w:t>
      </w:r>
    </w:p>
    <w:tbl>
      <w:tblPr>
        <w:tblW w:w="8795" w:type="dxa"/>
        <w:jc w:val="left"/>
        <w:tblInd w:w="0" w:type="dxa"/>
        <w:tblCellMar>
          <w:top w:w="0" w:type="dxa"/>
          <w:left w:w="0" w:type="dxa"/>
          <w:bottom w:w="0" w:type="dxa"/>
          <w:right w:w="0" w:type="dxa"/>
        </w:tblCellMar>
      </w:tblPr>
      <w:tblGrid>
        <w:gridCol w:w="4760"/>
        <w:gridCol w:w="120"/>
        <w:gridCol w:w="60"/>
        <w:gridCol w:w="980"/>
        <w:gridCol w:w="155"/>
        <w:gridCol w:w="120"/>
        <w:gridCol w:w="60"/>
        <w:gridCol w:w="1055"/>
        <w:gridCol w:w="155"/>
        <w:gridCol w:w="120"/>
        <w:gridCol w:w="60"/>
        <w:gridCol w:w="980"/>
        <w:gridCol w:w="170"/>
      </w:tblGrid>
      <w:tr>
        <w:trPr/>
        <w:tc>
          <w:tcPr>
            <w:tcW w:w="4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7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4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170"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45" w:type="dxa"/>
            <w:gridSpan w:val="10"/>
            <w:tcBorders/>
            <w:shd w:fill="auto" w:val="clear"/>
            <w:vAlign w:val="center"/>
          </w:tcPr>
          <w:p>
            <w:pPr>
              <w:pStyle w:val="TableContents"/>
              <w:spacing w:before="0" w:after="0"/>
              <w:jc w:val="center"/>
              <w:rPr>
                <w:b/>
                <w:spacing w:val="0"/>
              </w:rPr>
            </w:pPr>
            <w:r>
              <w:rPr>
                <w:b/>
                <w:spacing w:val="0"/>
              </w:rPr>
              <w:t>Class A and B Common Shares</w:t>
            </w:r>
          </w:p>
        </w:tc>
        <w:tc>
          <w:tcPr>
            <w:tcW w:w="170" w:type="dxa"/>
            <w:tcBorders/>
            <w:shd w:fill="auto"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loss attributable to common shareholders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(465,789</w:t>
            </w:r>
          </w:p>
        </w:tc>
        <w:tc>
          <w:tcPr>
            <w:tcW w:w="155" w:type="dxa"/>
            <w:tcBorders/>
            <w:shd w:fill="CCEEFF" w:val="cle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(1,007,454</w:t>
            </w:r>
          </w:p>
        </w:tc>
        <w:tc>
          <w:tcPr>
            <w:tcW w:w="155" w:type="dxa"/>
            <w:tcBorders/>
            <w:shd w:fill="CCEEFF" w:val="cle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(484,858</w:t>
            </w:r>
          </w:p>
        </w:tc>
        <w:tc>
          <w:tcPr>
            <w:tcW w:w="170" w:type="dxa"/>
            <w:tcBorders/>
            <w:shd w:fill="CCEEFF" w:val="clear"/>
            <w:vAlign w:val="center"/>
          </w:tcPr>
          <w:p>
            <w:pPr>
              <w:pStyle w:val="TableContents"/>
              <w:spacing w:before="0" w:after="0"/>
              <w:rPr>
                <w:b/>
                <w:spacing w:val="0"/>
              </w:rPr>
            </w:pPr>
            <w:r>
              <w:rPr>
                <w:b/>
                <w:spacing w:val="0"/>
              </w:rPr>
              <w:t>) </w:t>
            </w:r>
          </w:p>
        </w:tc>
      </w:tr>
      <w:tr>
        <w:trPr/>
        <w:tc>
          <w:tcPr>
            <w:tcW w:w="4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Weighted-average number of common shares outstanding:</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Basic and diluted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2,027,328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1,911,580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1,681,417</w:t>
            </w:r>
          </w:p>
        </w:tc>
        <w:tc>
          <w:tcPr>
            <w:tcW w:w="170" w:type="dxa"/>
            <w:tcBorders/>
            <w:shd w:fill="CCEEFF"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per share (in ones):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Basic and diluted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(0.23</w:t>
            </w:r>
          </w:p>
        </w:tc>
        <w:tc>
          <w:tcPr>
            <w:tcW w:w="155" w:type="dxa"/>
            <w:tcBorders/>
            <w:shd w:fill="CCEEFF" w:val="cle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55" w:type="dxa"/>
            <w:tcBorders/>
            <w:shd w:fill="CCEEFF" w:val="clear"/>
            <w:vAlign w:val="center"/>
          </w:tcPr>
          <w:p>
            <w:pPr>
              <w:pStyle w:val="TableContents"/>
              <w:spacing w:before="0" w:after="0"/>
              <w:jc w:val="right"/>
              <w:rPr>
                <w:b/>
                <w:spacing w:val="0"/>
              </w:rPr>
            </w:pPr>
            <w:r>
              <w:rPr>
                <w:b/>
                <w:spacing w:val="0"/>
              </w:rPr>
              <w:t>(0.53</w:t>
            </w:r>
          </w:p>
        </w:tc>
        <w:tc>
          <w:tcPr>
            <w:tcW w:w="155" w:type="dxa"/>
            <w:tcBorders/>
            <w:shd w:fill="CCEEFF" w:val="cle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(0.29</w:t>
            </w:r>
          </w:p>
        </w:tc>
        <w:tc>
          <w:tcPr>
            <w:tcW w:w="170" w:type="dxa"/>
            <w:tcBorders/>
            <w:shd w:fill="CCEEFF" w:val="clear"/>
            <w:vAlign w:val="center"/>
          </w:tcPr>
          <w:p>
            <w:pPr>
              <w:pStyle w:val="TableContents"/>
              <w:spacing w:before="0" w:after="0"/>
              <w:rPr>
                <w:b/>
                <w:spacing w:val="0"/>
              </w:rPr>
            </w:pPr>
            <w:r>
              <w:rPr>
                <w:b/>
                <w:spacing w:val="0"/>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table presents shares that were not included in the calculation of diluted loss per share as their effects would have been antidilutive for the years ended December 31, 2022, 2021 and 2020: </w:t>
      </w:r>
    </w:p>
    <w:p>
      <w:pPr>
        <w:pStyle w:val="TextBody"/>
        <w:spacing w:before="0" w:after="0"/>
        <w:jc w:val="left"/>
        <w:rPr>
          <w:highlight w:val="white"/>
        </w:rPr>
      </w:pPr>
      <w:r>
        <w:rPr>
          <w:highlight w:val="white"/>
        </w:rPr>
        <w:t> </w:t>
      </w:r>
    </w:p>
    <w:tbl>
      <w:tblPr>
        <w:tblW w:w="7001" w:type="dxa"/>
        <w:jc w:val="left"/>
        <w:tblInd w:w="0" w:type="dxa"/>
        <w:tblCellMar>
          <w:top w:w="0" w:type="dxa"/>
          <w:left w:w="0" w:type="dxa"/>
          <w:bottom w:w="0" w:type="dxa"/>
          <w:right w:w="0" w:type="dxa"/>
        </w:tblCellMar>
      </w:tblPr>
      <w:tblGrid>
        <w:gridCol w:w="3380"/>
        <w:gridCol w:w="120"/>
        <w:gridCol w:w="65"/>
        <w:gridCol w:w="1333"/>
        <w:gridCol w:w="65"/>
        <w:gridCol w:w="131"/>
        <w:gridCol w:w="65"/>
        <w:gridCol w:w="1071"/>
        <w:gridCol w:w="65"/>
        <w:gridCol w:w="131"/>
        <w:gridCol w:w="68"/>
        <w:gridCol w:w="432"/>
        <w:gridCol w:w="75"/>
      </w:tblGrid>
      <w:tr>
        <w:trPr/>
        <w:tc>
          <w:tcPr>
            <w:tcW w:w="3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26"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98"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13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158,177,609</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71"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C-1</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15,999,965</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71"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C-2</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9,000,000</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71"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PSUs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858,821</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71"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458,620</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71"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Marketing consulting services agreement</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125,000</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71"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Convertible Notes</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71" w:type="dxa"/>
            <w:tcBorders/>
            <w:shd w:fill="CCEEFF" w:val="clear"/>
            <w:vAlign w:val="center"/>
          </w:tcPr>
          <w:p>
            <w:pPr>
              <w:pStyle w:val="TableContents"/>
              <w:spacing w:before="0" w:after="283"/>
              <w:jc w:val="right"/>
              <w:rPr/>
            </w:pPr>
            <w:r>
              <w:rPr/>
              <w:t>4,306,466</w:t>
            </w:r>
          </w:p>
        </w:tc>
        <w:tc>
          <w:tcPr>
            <w:tcW w:w="65"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333" w:type="dxa"/>
            <w:tcBorders/>
            <w:shd w:fill="auto" w:val="clear"/>
            <w:vAlign w:val="center"/>
          </w:tcPr>
          <w:p>
            <w:pPr>
              <w:pStyle w:val="TableContents"/>
              <w:spacing w:before="0" w:after="0"/>
              <w:rPr>
                <w:bdr w:val="single" w:sz="2" w:space="1" w:color="000000"/>
              </w:rPr>
            </w:pPr>
            <w:r>
              <w:rPr>
                <w:bdr w:val="single" w:sz="2" w:space="1" w:color="000000"/>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071" w:type="dxa"/>
            <w:tcBorders/>
            <w:shd w:fill="auto" w:val="clear"/>
            <w:vAlign w:val="center"/>
          </w:tcPr>
          <w:p>
            <w:pPr>
              <w:pStyle w:val="TableContents"/>
              <w:spacing w:before="0" w:after="0"/>
              <w:rPr>
                <w:bdr w:val="single" w:sz="2" w:space="1" w:color="000000"/>
              </w:rPr>
            </w:pPr>
            <w:r>
              <w:rPr>
                <w:bdr w:val="single" w:sz="2" w:space="1" w:color="000000"/>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43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antidilutive shares</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333" w:type="dxa"/>
            <w:tcBorders/>
            <w:shd w:fill="auto" w:val="clear"/>
            <w:vAlign w:val="center"/>
          </w:tcPr>
          <w:p>
            <w:pPr>
              <w:pStyle w:val="TableContents"/>
              <w:spacing w:before="0" w:after="0"/>
              <w:jc w:val="right"/>
              <w:rPr>
                <w:b/>
                <w:spacing w:val="0"/>
              </w:rPr>
            </w:pPr>
            <w:r>
              <w:rPr>
                <w:b/>
                <w:spacing w:val="0"/>
              </w:rPr>
              <w:t>184,620,015</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071" w:type="dxa"/>
            <w:tcBorders/>
            <w:shd w:fill="auto" w:val="clear"/>
            <w:vAlign w:val="center"/>
          </w:tcPr>
          <w:p>
            <w:pPr>
              <w:pStyle w:val="TableContents"/>
              <w:spacing w:before="0" w:after="0"/>
              <w:jc w:val="right"/>
              <w:rPr>
                <w:b/>
                <w:spacing w:val="0"/>
              </w:rPr>
            </w:pPr>
            <w:r>
              <w:rPr>
                <w:b/>
                <w:spacing w:val="0"/>
              </w:rPr>
              <w:t>4,306,466</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spacing w:val="0"/>
              </w:rPr>
            </w:pPr>
            <w:r>
              <w:rPr>
                <w:spacing w:val="0"/>
              </w:rPr>
              <w:t> </w:t>
            </w:r>
          </w:p>
        </w:tc>
        <w:tc>
          <w:tcPr>
            <w:tcW w:w="432" w:type="dxa"/>
            <w:tcBorders/>
            <w:shd w:fill="auto" w:val="clear"/>
            <w:vAlign w:val="center"/>
          </w:tcPr>
          <w:p>
            <w:pPr>
              <w:pStyle w:val="TableContents"/>
              <w:spacing w:before="0" w:after="0"/>
              <w:jc w:val="right"/>
              <w:rPr>
                <w:spacing w:val="0"/>
              </w:rPr>
            </w:pPr>
            <w:r>
              <w:rPr>
                <w:spacing w:val="0"/>
              </w:rPr>
              <w:t>—  </w:t>
            </w:r>
          </w:p>
        </w:tc>
        <w:tc>
          <w:tcPr>
            <w:tcW w:w="75" w:type="dxa"/>
            <w:tcBorders/>
            <w:shd w:fill="auto" w:val="clear"/>
            <w:vAlign w:val="center"/>
          </w:tcPr>
          <w:p>
            <w:pPr>
              <w:pStyle w:val="TableContents"/>
              <w:spacing w:before="0" w:after="0"/>
              <w:rPr>
                <w:spacing w:val="0"/>
              </w:rPr>
            </w:pPr>
            <w:r>
              <w:rPr>
                <w:spacing w:val="0"/>
              </w:rPr>
              <w:t> </w:t>
            </w:r>
          </w:p>
        </w:tc>
      </w:tr>
      <w:tr>
        <w:trPr/>
        <w:tc>
          <w:tcPr>
            <w:tcW w:w="33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333" w:type="dxa"/>
            <w:tcBorders/>
            <w:shd w:fill="auto" w:val="clear"/>
            <w:vAlign w:val="center"/>
          </w:tcPr>
          <w:p>
            <w:pPr>
              <w:pStyle w:val="TableContents"/>
              <w:spacing w:before="0" w:after="0"/>
              <w:rPr>
                <w:bdr w:val="single" w:sz="2" w:space="1" w:color="000000"/>
              </w:rPr>
            </w:pPr>
            <w:r>
              <w:rPr>
                <w:bdr w:val="single" w:sz="2" w:space="1" w:color="000000"/>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bdr w:val="single" w:sz="2" w:space="1" w:color="000000"/>
              </w:rPr>
            </w:pPr>
            <w:r>
              <w:rPr>
                <w:bdr w:val="single" w:sz="2" w:space="1" w:color="000000"/>
              </w:rPr>
              <w:t> </w:t>
            </w:r>
          </w:p>
        </w:tc>
        <w:tc>
          <w:tcPr>
            <w:tcW w:w="1071" w:type="dxa"/>
            <w:tcBorders/>
            <w:shd w:fill="auto" w:val="clear"/>
            <w:vAlign w:val="center"/>
          </w:tcPr>
          <w:p>
            <w:pPr>
              <w:pStyle w:val="TableContents"/>
              <w:spacing w:before="0" w:after="0"/>
              <w:rPr>
                <w:bdr w:val="single" w:sz="2" w:space="1" w:color="000000"/>
              </w:rPr>
            </w:pPr>
            <w:r>
              <w:rPr>
                <w:bdr w:val="single" w:sz="2" w:space="1" w:color="000000"/>
              </w:rPr>
              <w:t> </w:t>
            </w:r>
          </w:p>
        </w:tc>
        <w:tc>
          <w:tcPr>
            <w:tcW w:w="65"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43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13 - Intangible assets and goodwill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depicts the split between Polestar Group’s intangible assets, goodwill and trademarks: </w:t>
      </w:r>
    </w:p>
    <w:p>
      <w:pPr>
        <w:pStyle w:val="TextBody"/>
        <w:spacing w:before="0" w:after="0"/>
        <w:jc w:val="left"/>
        <w:rPr>
          <w:highlight w:val="white"/>
        </w:rPr>
      </w:pPr>
      <w:r>
        <w:rPr>
          <w:highlight w:val="white"/>
        </w:rPr>
        <w:t> </w:t>
      </w:r>
    </w:p>
    <w:tbl>
      <w:tblPr>
        <w:tblW w:w="4530" w:type="dxa"/>
        <w:jc w:val="left"/>
        <w:tblInd w:w="0" w:type="dxa"/>
        <w:tblCellMar>
          <w:top w:w="0" w:type="dxa"/>
          <w:left w:w="0" w:type="dxa"/>
          <w:bottom w:w="0" w:type="dxa"/>
          <w:right w:w="0" w:type="dxa"/>
        </w:tblCellMar>
      </w:tblPr>
      <w:tblGrid>
        <w:gridCol w:w="2075"/>
        <w:gridCol w:w="120"/>
        <w:gridCol w:w="60"/>
        <w:gridCol w:w="980"/>
        <w:gridCol w:w="60"/>
        <w:gridCol w:w="120"/>
        <w:gridCol w:w="60"/>
        <w:gridCol w:w="9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w:t>
              <w:br/>
              <w:t>December 31,</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1,347,709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1,312,427</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Goodwill and trademarks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48,768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55,929</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1,396,477</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1,368,356</w:t>
            </w:r>
          </w:p>
        </w:tc>
        <w:tc>
          <w:tcPr>
            <w:tcW w:w="75" w:type="dxa"/>
            <w:tcBorders/>
            <w:shd w:fill="CCEEFF" w:val="clear"/>
            <w:vAlign w:val="center"/>
          </w:tcPr>
          <w:p>
            <w:pPr>
              <w:pStyle w:val="TableContents"/>
              <w:spacing w:before="0" w:after="0"/>
              <w:rPr>
                <w:spacing w:val="0"/>
              </w:rPr>
            </w:pPr>
            <w:r>
              <w:rPr>
                <w:spacing w:val="0"/>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Intangible assets were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670"/>
        <w:gridCol w:w="60"/>
        <w:gridCol w:w="167"/>
        <w:gridCol w:w="2238"/>
        <w:gridCol w:w="155"/>
        <w:gridCol w:w="60"/>
        <w:gridCol w:w="90"/>
        <w:gridCol w:w="845"/>
        <w:gridCol w:w="155"/>
        <w:gridCol w:w="60"/>
        <w:gridCol w:w="73"/>
        <w:gridCol w:w="1207"/>
        <w:gridCol w:w="155"/>
        <w:gridCol w:w="60"/>
        <w:gridCol w:w="60"/>
        <w:gridCol w:w="980"/>
        <w:gridCol w:w="170"/>
      </w:tblGrid>
      <w:tr>
        <w:trPr/>
        <w:tc>
          <w:tcPr>
            <w:tcW w:w="36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Internally developed IP</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Software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Acquired IP</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Acquisition cost</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rPr/>
            </w:pPr>
            <w:r>
              <w:rPr/>
              <w:t> </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44,002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1,343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1,273,314</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1,318,659</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p>
            <w:pPr>
              <w:pStyle w:val="TableContents"/>
              <w:spacing w:before="0" w:after="0"/>
              <w:rPr>
                <w:rFonts w:ascii="Times New Roman" w:hAnsi="Times New Roman"/>
                <w:sz w:val="12"/>
              </w:rPr>
            </w:pPr>
            <w:r>
              <w:rPr>
                <w:rFonts w:ascii="Times New Roman" w:hAnsi="Times New Roman"/>
                <w:sz w:val="12"/>
              </w:rPr>
              <w:t>1</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112,844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349,876</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462,731</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(4,962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(81,335</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(86,384</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0"/>
              <w:rPr>
                <w:spacing w:val="0"/>
              </w:rPr>
            </w:pPr>
            <w:r>
              <w:rPr>
                <w:spacing w:val="0"/>
              </w:rPr>
              <w:t> </w:t>
            </w:r>
          </w:p>
        </w:tc>
        <w:tc>
          <w:tcPr>
            <w:tcW w:w="2238" w:type="dxa"/>
            <w:tcBorders/>
            <w:shd w:fill="CCEEFF" w:val="clear"/>
            <w:vAlign w:val="center"/>
          </w:tcPr>
          <w:p>
            <w:pPr>
              <w:pStyle w:val="TableContents"/>
              <w:spacing w:before="0" w:after="0"/>
              <w:jc w:val="right"/>
              <w:rPr>
                <w:b/>
                <w:spacing w:val="0"/>
              </w:rPr>
            </w:pPr>
            <w:r>
              <w:rPr>
                <w:b/>
                <w:spacing w:val="0"/>
              </w:rPr>
              <w:t>151,884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845" w:type="dxa"/>
            <w:tcBorders/>
            <w:shd w:fill="CCEEFF" w:val="clear"/>
            <w:vAlign w:val="center"/>
          </w:tcPr>
          <w:p>
            <w:pPr>
              <w:pStyle w:val="TableContents"/>
              <w:spacing w:before="0" w:after="0"/>
              <w:jc w:val="right"/>
              <w:rPr>
                <w:b/>
                <w:spacing w:val="0"/>
              </w:rPr>
            </w:pPr>
            <w:r>
              <w:rPr>
                <w:b/>
                <w:spacing w:val="0"/>
              </w:rPr>
              <w:t>1,267</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07" w:type="dxa"/>
            <w:tcBorders/>
            <w:shd w:fill="CCEEFF" w:val="clear"/>
            <w:vAlign w:val="center"/>
          </w:tcPr>
          <w:p>
            <w:pPr>
              <w:pStyle w:val="TableContents"/>
              <w:spacing w:before="0" w:after="0"/>
              <w:jc w:val="right"/>
              <w:rPr>
                <w:b/>
                <w:spacing w:val="0"/>
              </w:rPr>
            </w:pPr>
            <w:r>
              <w:rPr>
                <w:b/>
                <w:spacing w:val="0"/>
              </w:rPr>
              <w:t>1,541,855</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1,695,006</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p>
            <w:pPr>
              <w:pStyle w:val="TableContents"/>
              <w:spacing w:before="0" w:after="0"/>
              <w:rPr>
                <w:rFonts w:ascii="Times New Roman" w:hAnsi="Times New Roman"/>
                <w:sz w:val="12"/>
              </w:rPr>
            </w:pPr>
            <w:r>
              <w:rPr>
                <w:rFonts w:ascii="Times New Roman" w:hAnsi="Times New Roman"/>
                <w:sz w:val="12"/>
              </w:rPr>
              <w:t>1</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95,213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218,031</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313,244</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Replacement cost development project</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(10,007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  </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(10,007</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(19,490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(153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(190,491</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(210,134</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0"/>
              <w:rPr>
                <w:spacing w:val="0"/>
              </w:rPr>
            </w:pPr>
            <w:r>
              <w:rPr>
                <w:spacing w:val="0"/>
              </w:rPr>
              <w:t> </w:t>
            </w:r>
          </w:p>
        </w:tc>
        <w:tc>
          <w:tcPr>
            <w:tcW w:w="2238" w:type="dxa"/>
            <w:tcBorders/>
            <w:shd w:fill="CCEEFF" w:val="clear"/>
            <w:vAlign w:val="center"/>
          </w:tcPr>
          <w:p>
            <w:pPr>
              <w:pStyle w:val="TableContents"/>
              <w:spacing w:before="0" w:after="0"/>
              <w:jc w:val="right"/>
              <w:rPr>
                <w:b/>
                <w:spacing w:val="0"/>
              </w:rPr>
            </w:pPr>
            <w:r>
              <w:rPr>
                <w:b/>
                <w:spacing w:val="0"/>
              </w:rPr>
              <w:t>217,600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845" w:type="dxa"/>
            <w:tcBorders/>
            <w:shd w:fill="CCEEFF" w:val="clear"/>
            <w:vAlign w:val="center"/>
          </w:tcPr>
          <w:p>
            <w:pPr>
              <w:pStyle w:val="TableContents"/>
              <w:spacing w:before="0" w:after="0"/>
              <w:jc w:val="right"/>
              <w:rPr>
                <w:b/>
                <w:spacing w:val="0"/>
              </w:rPr>
            </w:pPr>
            <w:r>
              <w:rPr>
                <w:b/>
                <w:spacing w:val="0"/>
              </w:rPr>
              <w:t>1,114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07" w:type="dxa"/>
            <w:tcBorders/>
            <w:shd w:fill="CCEEFF" w:val="clear"/>
            <w:vAlign w:val="center"/>
          </w:tcPr>
          <w:p>
            <w:pPr>
              <w:pStyle w:val="TableContents"/>
              <w:spacing w:before="0" w:after="0"/>
              <w:jc w:val="right"/>
              <w:rPr>
                <w:b/>
                <w:spacing w:val="0"/>
              </w:rPr>
            </w:pPr>
            <w:r>
              <w:rPr>
                <w:b/>
                <w:spacing w:val="0"/>
              </w:rPr>
              <w:t>1,569,395</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1,788,109</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Accumulated amortization and impairment</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(16,246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(138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(193,004</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(209,388</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Amortization expense</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(1,025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(157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(187,194</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(188,376</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1,612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13,561</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15,185</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spacing w:val="0"/>
              </w:rPr>
            </w:pPr>
            <w:r>
              <w:rPr>
                <w:spacing w:val="0"/>
              </w:rPr>
              <w:t> </w:t>
            </w:r>
          </w:p>
        </w:tc>
        <w:tc>
          <w:tcPr>
            <w:tcW w:w="2238" w:type="dxa"/>
            <w:tcBorders/>
            <w:shd w:fill="auto" w:val="clear"/>
            <w:vAlign w:val="center"/>
          </w:tcPr>
          <w:p>
            <w:pPr>
              <w:pStyle w:val="TableContents"/>
              <w:spacing w:before="0" w:after="0"/>
              <w:jc w:val="right"/>
              <w:rPr>
                <w:b/>
                <w:spacing w:val="0"/>
              </w:rPr>
            </w:pPr>
            <w:r>
              <w:rPr>
                <w:b/>
                <w:spacing w:val="0"/>
              </w:rPr>
              <w:t>(15,659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845" w:type="dxa"/>
            <w:tcBorders/>
            <w:shd w:fill="auto" w:val="clear"/>
            <w:vAlign w:val="center"/>
          </w:tcPr>
          <w:p>
            <w:pPr>
              <w:pStyle w:val="TableContents"/>
              <w:spacing w:before="0" w:after="0"/>
              <w:jc w:val="right"/>
              <w:rPr>
                <w:b/>
                <w:spacing w:val="0"/>
              </w:rPr>
            </w:pPr>
            <w:r>
              <w:rPr>
                <w:b/>
                <w:spacing w:val="0"/>
              </w:rPr>
              <w:t>(283</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1207" w:type="dxa"/>
            <w:tcBorders/>
            <w:shd w:fill="auto" w:val="clear"/>
            <w:vAlign w:val="center"/>
          </w:tcPr>
          <w:p>
            <w:pPr>
              <w:pStyle w:val="TableContents"/>
              <w:spacing w:before="0" w:after="0"/>
              <w:jc w:val="right"/>
              <w:rPr>
                <w:b/>
                <w:spacing w:val="0"/>
              </w:rPr>
            </w:pPr>
            <w:r>
              <w:rPr>
                <w:b/>
                <w:spacing w:val="0"/>
              </w:rPr>
              <w:t>(366,637</w:t>
            </w:r>
          </w:p>
        </w:tc>
        <w:tc>
          <w:tcPr>
            <w:tcW w:w="155" w:type="dxa"/>
            <w:tcBorders>
              <w:right w:val="single" w:sz="6" w:space="0" w:color="000000"/>
            </w:tcBorders>
            <w:shd w:fill="auto" w:val="clear"/>
            <w:tcMar>
              <w:right w:w="28" w:type="dxa"/>
            </w:tcM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(382,579</w:t>
            </w:r>
          </w:p>
        </w:tc>
        <w:tc>
          <w:tcPr>
            <w:tcW w:w="170" w:type="dxa"/>
            <w:tcBorders/>
            <w:shd w:fill="auto" w:val="clear"/>
            <w:vAlign w:val="center"/>
          </w:tcPr>
          <w:p>
            <w:pPr>
              <w:pStyle w:val="TableContents"/>
              <w:spacing w:before="0" w:after="0"/>
              <w:rPr>
                <w:b/>
                <w:spacing w:val="0"/>
              </w:rPr>
            </w:pPr>
            <w:r>
              <w:rPr>
                <w:b/>
                <w:spacing w:val="0"/>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Amortization expense</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2238" w:type="dxa"/>
            <w:tcBorders/>
            <w:shd w:fill="CCEEFF" w:val="clear"/>
            <w:vAlign w:val="center"/>
          </w:tcPr>
          <w:p>
            <w:pPr>
              <w:pStyle w:val="TableContents"/>
              <w:spacing w:before="0" w:after="283"/>
              <w:jc w:val="right"/>
              <w:rPr/>
            </w:pPr>
            <w:r>
              <w:rPr/>
              <w:t>(1,211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(144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(101,501</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(102,856</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2,014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42,983</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45,035</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0"/>
              <w:rPr>
                <w:spacing w:val="0"/>
              </w:rPr>
            </w:pPr>
            <w:r>
              <w:rPr>
                <w:spacing w:val="0"/>
              </w:rPr>
              <w:t> </w:t>
            </w:r>
          </w:p>
        </w:tc>
        <w:tc>
          <w:tcPr>
            <w:tcW w:w="2238" w:type="dxa"/>
            <w:tcBorders/>
            <w:shd w:fill="CCEEFF" w:val="clear"/>
            <w:vAlign w:val="center"/>
          </w:tcPr>
          <w:p>
            <w:pPr>
              <w:pStyle w:val="TableContents"/>
              <w:spacing w:before="0" w:after="0"/>
              <w:jc w:val="right"/>
              <w:rPr>
                <w:b/>
                <w:spacing w:val="0"/>
              </w:rPr>
            </w:pPr>
            <w:r>
              <w:rPr>
                <w:b/>
                <w:spacing w:val="0"/>
              </w:rPr>
              <w:t>(14,856</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845" w:type="dxa"/>
            <w:tcBorders/>
            <w:shd w:fill="CCEEFF" w:val="clear"/>
            <w:vAlign w:val="center"/>
          </w:tcPr>
          <w:p>
            <w:pPr>
              <w:pStyle w:val="TableContents"/>
              <w:spacing w:before="0" w:after="0"/>
              <w:jc w:val="right"/>
              <w:rPr>
                <w:b/>
                <w:spacing w:val="0"/>
              </w:rPr>
            </w:pPr>
            <w:r>
              <w:rPr>
                <w:b/>
                <w:spacing w:val="0"/>
              </w:rPr>
              <w:t>(389</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07" w:type="dxa"/>
            <w:tcBorders/>
            <w:shd w:fill="CCEEFF" w:val="clear"/>
            <w:vAlign w:val="center"/>
          </w:tcPr>
          <w:p>
            <w:pPr>
              <w:pStyle w:val="TableContents"/>
              <w:spacing w:before="0" w:after="0"/>
              <w:jc w:val="right"/>
              <w:rPr>
                <w:b/>
                <w:spacing w:val="0"/>
              </w:rPr>
            </w:pPr>
            <w:r>
              <w:rPr>
                <w:b/>
                <w:spacing w:val="0"/>
              </w:rPr>
              <w:t>(425,155</w:t>
            </w:r>
          </w:p>
        </w:tc>
        <w:tc>
          <w:tcPr>
            <w:tcW w:w="155" w:type="dxa"/>
            <w:tcBorders>
              <w:right w:val="single" w:sz="6" w:space="0" w:color="000000"/>
            </w:tcBorders>
            <w:shd w:fill="CCEEFF" w:val="clear"/>
            <w:tcMar>
              <w:right w:w="28" w:type="dxa"/>
            </w:tcM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(440,400</w:t>
            </w:r>
          </w:p>
        </w:tc>
        <w:tc>
          <w:tcPr>
            <w:tcW w:w="170" w:type="dxa"/>
            <w:tcBorders/>
            <w:shd w:fill="CCEEFF" w:val="clear"/>
            <w:vAlign w:val="center"/>
          </w:tcPr>
          <w:p>
            <w:pPr>
              <w:pStyle w:val="TableContents"/>
              <w:spacing w:before="0" w:after="0"/>
              <w:rPr>
                <w:b/>
                <w:spacing w:val="0"/>
              </w:rPr>
            </w:pPr>
            <w:r>
              <w:rPr>
                <w:b/>
                <w:spacing w:val="0"/>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Carrying amount as of December 31, 2021</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spacing w:val="0"/>
              </w:rPr>
            </w:pPr>
            <w:r>
              <w:rPr>
                <w:spacing w:val="0"/>
              </w:rPr>
              <w:t> </w:t>
            </w:r>
          </w:p>
        </w:tc>
        <w:tc>
          <w:tcPr>
            <w:tcW w:w="2238" w:type="dxa"/>
            <w:tcBorders/>
            <w:shd w:fill="auto" w:val="clear"/>
            <w:vAlign w:val="center"/>
          </w:tcPr>
          <w:p>
            <w:pPr>
              <w:pStyle w:val="TableContents"/>
              <w:spacing w:before="0" w:after="0"/>
              <w:jc w:val="right"/>
              <w:rPr>
                <w:b/>
                <w:spacing w:val="0"/>
              </w:rPr>
            </w:pPr>
            <w:r>
              <w:rPr>
                <w:b/>
                <w:spacing w:val="0"/>
              </w:rPr>
              <w:t>136,225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845" w:type="dxa"/>
            <w:tcBorders/>
            <w:shd w:fill="auto" w:val="clear"/>
            <w:vAlign w:val="center"/>
          </w:tcPr>
          <w:p>
            <w:pPr>
              <w:pStyle w:val="TableContents"/>
              <w:spacing w:before="0" w:after="0"/>
              <w:jc w:val="right"/>
              <w:rPr>
                <w:b/>
                <w:spacing w:val="0"/>
              </w:rPr>
            </w:pPr>
            <w:r>
              <w:rPr>
                <w:b/>
                <w:spacing w:val="0"/>
              </w:rPr>
              <w:t>984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1207" w:type="dxa"/>
            <w:tcBorders/>
            <w:shd w:fill="auto" w:val="clear"/>
            <w:vAlign w:val="center"/>
          </w:tcPr>
          <w:p>
            <w:pPr>
              <w:pStyle w:val="TableContents"/>
              <w:spacing w:before="0" w:after="0"/>
              <w:jc w:val="right"/>
              <w:rPr>
                <w:b/>
                <w:spacing w:val="0"/>
              </w:rPr>
            </w:pPr>
            <w:r>
              <w:rPr>
                <w:b/>
                <w:spacing w:val="0"/>
              </w:rPr>
              <w:t>1,175,218</w:t>
            </w:r>
          </w:p>
        </w:tc>
        <w:tc>
          <w:tcPr>
            <w:tcW w:w="155" w:type="dxa"/>
            <w:tcBorders>
              <w:right w:val="single" w:sz="6" w:space="0" w:color="000000"/>
            </w:tcBorders>
            <w:shd w:fill="auto" w:val="clear"/>
            <w:tcMar>
              <w:right w:w="28" w:type="dxa"/>
            </w:tcM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1,312,427</w:t>
            </w:r>
          </w:p>
        </w:tc>
        <w:tc>
          <w:tcPr>
            <w:tcW w:w="170" w:type="dxa"/>
            <w:tcBorders/>
            <w:shd w:fill="auto"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Carrying amount as of December 31, 2022</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0"/>
              <w:rPr>
                <w:spacing w:val="0"/>
              </w:rPr>
            </w:pPr>
            <w:r>
              <w:rPr>
                <w:spacing w:val="0"/>
              </w:rPr>
              <w:t> </w:t>
            </w:r>
          </w:p>
        </w:tc>
        <w:tc>
          <w:tcPr>
            <w:tcW w:w="2238" w:type="dxa"/>
            <w:tcBorders/>
            <w:shd w:fill="CCEEFF" w:val="clear"/>
            <w:vAlign w:val="center"/>
          </w:tcPr>
          <w:p>
            <w:pPr>
              <w:pStyle w:val="TableContents"/>
              <w:spacing w:before="0" w:after="0"/>
              <w:jc w:val="right"/>
              <w:rPr>
                <w:b/>
                <w:spacing w:val="0"/>
              </w:rPr>
            </w:pPr>
            <w:r>
              <w:rPr>
                <w:b/>
                <w:spacing w:val="0"/>
              </w:rPr>
              <w:t>202,744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845" w:type="dxa"/>
            <w:tcBorders/>
            <w:shd w:fill="CCEEFF" w:val="clear"/>
            <w:vAlign w:val="center"/>
          </w:tcPr>
          <w:p>
            <w:pPr>
              <w:pStyle w:val="TableContents"/>
              <w:spacing w:before="0" w:after="0"/>
              <w:jc w:val="right"/>
              <w:rPr>
                <w:b/>
                <w:spacing w:val="0"/>
              </w:rPr>
            </w:pPr>
            <w:r>
              <w:rPr>
                <w:b/>
                <w:spacing w:val="0"/>
              </w:rPr>
              <w:t>725</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1207" w:type="dxa"/>
            <w:tcBorders/>
            <w:shd w:fill="CCEEFF" w:val="clear"/>
            <w:vAlign w:val="center"/>
          </w:tcPr>
          <w:p>
            <w:pPr>
              <w:pStyle w:val="TableContents"/>
              <w:spacing w:before="0" w:after="0"/>
              <w:jc w:val="right"/>
              <w:rPr>
                <w:b/>
                <w:spacing w:val="0"/>
              </w:rPr>
            </w:pPr>
            <w:r>
              <w:rPr>
                <w:b/>
                <w:spacing w:val="0"/>
              </w:rPr>
              <w:t>1,144,240</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1,347,709</w:t>
            </w:r>
          </w:p>
        </w:tc>
        <w:tc>
          <w:tcPr>
            <w:tcW w:w="170" w:type="dxa"/>
            <w:tcBorders/>
            <w:shd w:fill="CCEEFF" w:val="clear"/>
            <w:vAlign w:val="center"/>
          </w:tcPr>
          <w:p>
            <w:pPr>
              <w:pStyle w:val="TableContents"/>
              <w:spacing w:before="0" w:after="283"/>
              <w:rPr/>
            </w:pPr>
            <w:r>
              <w:rPr/>
              <w:t> </w:t>
            </w:r>
          </w:p>
        </w:tc>
      </w:tr>
      <w:tr>
        <w:trPr/>
        <w:tc>
          <w:tcPr>
            <w:tcW w:w="3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bdr w:val="single" w:sz="2" w:space="1" w:color="000000"/>
              </w:rPr>
            </w:pPr>
            <w:r>
              <w:rPr>
                <w:bdr w:val="single" w:sz="2" w:space="1" w:color="000000"/>
              </w:rPr>
              <w:t> </w:t>
            </w:r>
          </w:p>
        </w:tc>
        <w:tc>
          <w:tcPr>
            <w:tcW w:w="223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1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F-50</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1</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 Of $313,244 in additions for the year ended December 31, 2022, $238,463 has been settled in cash. These $238,463 are included in the $681,204 cash used for investing activities related to additions to intangible assets, and the remaining $442,741 relates to increases in Trade payables - related parties from prior years which were settled in cash during the year ended December 31, 2022. Of $462,731 in additions for the year ended December 31, 2021, $104,971 has been settled in cash and included in cash used for investing activities related to additions to intangible assets.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Additions to internally developed IP are primarily related to the Polestar Precept concept car and various other internal programs, such as model year changes, for the year ended December 31, 2022. Additions to acquired IP during the year ended December 31, 2022 were related to acquisitions of model year changes of the Polestar 2 (“PS2”) and Polestar 3 (“PS3”) IP from Volvo Cars. Polestar also acquired IP related to the Polestar 4 (“PS4”) from Geely. Refer to Note 25 - Related party transactions for further details.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Changes to the carrying amount of goodwill and trademarks were as follows: </w:t>
      </w:r>
    </w:p>
    <w:p>
      <w:pPr>
        <w:pStyle w:val="TextBody"/>
        <w:spacing w:before="0" w:after="0"/>
        <w:jc w:val="left"/>
        <w:rPr>
          <w:highlight w:val="white"/>
        </w:rPr>
      </w:pPr>
      <w:r>
        <w:rPr>
          <w:highlight w:val="white"/>
        </w:rPr>
        <w:t> </w:t>
      </w:r>
    </w:p>
    <w:tbl>
      <w:tblPr>
        <w:tblW w:w="8015" w:type="dxa"/>
        <w:jc w:val="left"/>
        <w:tblInd w:w="0" w:type="dxa"/>
        <w:tblCellMar>
          <w:top w:w="0" w:type="dxa"/>
          <w:left w:w="0" w:type="dxa"/>
          <w:bottom w:w="0" w:type="dxa"/>
          <w:right w:w="0" w:type="dxa"/>
        </w:tblCellMar>
      </w:tblPr>
      <w:tblGrid>
        <w:gridCol w:w="4205"/>
        <w:gridCol w:w="120"/>
        <w:gridCol w:w="75"/>
        <w:gridCol w:w="860"/>
        <w:gridCol w:w="155"/>
        <w:gridCol w:w="120"/>
        <w:gridCol w:w="125"/>
        <w:gridCol w:w="1170"/>
        <w:gridCol w:w="155"/>
        <w:gridCol w:w="120"/>
        <w:gridCol w:w="60"/>
        <w:gridCol w:w="680"/>
        <w:gridCol w:w="170"/>
      </w:tblGrid>
      <w:tr>
        <w:trPr/>
        <w:tc>
          <w:tcPr>
            <w:tcW w:w="4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Goodwill</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Trademarks</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59,129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2,937</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62,066</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(5,847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(290</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(6,137</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1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0"/>
              <w:rPr>
                <w:spacing w:val="0"/>
              </w:rPr>
            </w:pPr>
            <w:r>
              <w:rPr>
                <w:spacing w:val="0"/>
              </w:rPr>
              <w:t> </w:t>
            </w:r>
          </w:p>
        </w:tc>
        <w:tc>
          <w:tcPr>
            <w:tcW w:w="860" w:type="dxa"/>
            <w:tcBorders/>
            <w:shd w:fill="CCEEFF" w:val="clear"/>
            <w:vAlign w:val="center"/>
          </w:tcPr>
          <w:p>
            <w:pPr>
              <w:pStyle w:val="TableContents"/>
              <w:spacing w:before="0" w:after="0"/>
              <w:jc w:val="right"/>
              <w:rPr>
                <w:b/>
                <w:spacing w:val="0"/>
              </w:rPr>
            </w:pPr>
            <w:r>
              <w:rPr>
                <w:b/>
                <w:spacing w:val="0"/>
              </w:rPr>
              <w:t>53,282</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0"/>
              <w:rPr>
                <w:spacing w:val="0"/>
              </w:rPr>
            </w:pPr>
            <w:r>
              <w:rPr>
                <w:spacing w:val="0"/>
              </w:rPr>
              <w:t> </w:t>
            </w:r>
          </w:p>
        </w:tc>
        <w:tc>
          <w:tcPr>
            <w:tcW w:w="1170" w:type="dxa"/>
            <w:tcBorders/>
            <w:shd w:fill="CCEEFF" w:val="clear"/>
            <w:vAlign w:val="center"/>
          </w:tcPr>
          <w:p>
            <w:pPr>
              <w:pStyle w:val="TableContents"/>
              <w:spacing w:before="0" w:after="0"/>
              <w:jc w:val="right"/>
              <w:rPr>
                <w:b/>
                <w:spacing w:val="0"/>
              </w:rPr>
            </w:pPr>
            <w:r>
              <w:rPr>
                <w:b/>
                <w:spacing w:val="0"/>
              </w:rPr>
              <w:t>2,647</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55,929</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1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(6,822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(339</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(7,161</w:t>
            </w:r>
          </w:p>
        </w:tc>
        <w:tc>
          <w:tcPr>
            <w:tcW w:w="170" w:type="dxa"/>
            <w:tcBorders/>
            <w:shd w:fill="auto"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1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0"/>
              <w:rPr>
                <w:spacing w:val="0"/>
              </w:rPr>
            </w:pPr>
            <w:r>
              <w:rPr>
                <w:spacing w:val="0"/>
              </w:rPr>
              <w:t> </w:t>
            </w:r>
          </w:p>
        </w:tc>
        <w:tc>
          <w:tcPr>
            <w:tcW w:w="860" w:type="dxa"/>
            <w:tcBorders/>
            <w:shd w:fill="CCEEFF" w:val="clear"/>
            <w:vAlign w:val="center"/>
          </w:tcPr>
          <w:p>
            <w:pPr>
              <w:pStyle w:val="TableContents"/>
              <w:spacing w:before="0" w:after="0"/>
              <w:jc w:val="right"/>
              <w:rPr>
                <w:b/>
                <w:spacing w:val="0"/>
              </w:rPr>
            </w:pPr>
            <w:r>
              <w:rPr>
                <w:b/>
                <w:spacing w:val="0"/>
              </w:rPr>
              <w:t>46,460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0"/>
              <w:rPr>
                <w:spacing w:val="0"/>
              </w:rPr>
            </w:pPr>
            <w:r>
              <w:rPr>
                <w:spacing w:val="0"/>
              </w:rPr>
              <w:t> </w:t>
            </w:r>
          </w:p>
        </w:tc>
        <w:tc>
          <w:tcPr>
            <w:tcW w:w="1170" w:type="dxa"/>
            <w:tcBorders/>
            <w:shd w:fill="CCEEFF" w:val="clear"/>
            <w:vAlign w:val="center"/>
          </w:tcPr>
          <w:p>
            <w:pPr>
              <w:pStyle w:val="TableContents"/>
              <w:spacing w:before="0" w:after="0"/>
              <w:jc w:val="right"/>
              <w:rPr>
                <w:b/>
                <w:spacing w:val="0"/>
              </w:rPr>
            </w:pPr>
            <w:r>
              <w:rPr>
                <w:b/>
                <w:spacing w:val="0"/>
              </w:rPr>
              <w:t>2,308</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48,768</w:t>
            </w:r>
          </w:p>
        </w:tc>
        <w:tc>
          <w:tcPr>
            <w:tcW w:w="17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0"/>
              <w:rPr>
                <w:bdr w:val="single" w:sz="2" w:space="1" w:color="000000"/>
              </w:rPr>
            </w:pPr>
            <w:r>
              <w:rPr>
                <w:bdr w:val="single" w:sz="2" w:space="1" w:color="000000"/>
              </w:rPr>
              <w:t> </w:t>
            </w:r>
          </w:p>
        </w:tc>
        <w:tc>
          <w:tcPr>
            <w:tcW w:w="8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1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14 - Property, plant and equipment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and 2021, PPE are recognized in the Consolidated Statement of Financial Position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with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carrying amounts of $258,048 and $208,193, respectively. Of these amounts, $70,675 and $34,954 is related to ROU </w:t>
      </w:r>
    </w:p>
    <w:p>
      <w:pPr>
        <w:pStyle w:val="TextBody"/>
        <w:spacing w:before="120" w:after="0"/>
        <w:jc w:val="left"/>
        <w:rPr>
          <w:rFonts w:ascii="Times New Roman" w:hAnsi="Times New Roman"/>
          <w:sz w:val="20"/>
          <w:highlight w:val="white"/>
        </w:rPr>
      </w:pPr>
      <w:r>
        <w:rPr>
          <w:rFonts w:ascii="Times New Roman" w:hAnsi="Times New Roman"/>
          <w:sz w:val="20"/>
          <w:highlight w:val="white"/>
        </w:rPr>
        <w:t>assets for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leased buildings and land, and $24,648 and $34,652 is related to ROU assets for leased machinery and equipment, respectively. Refer to Note 10 - Leases for more details on the Groups ROU assets and operating leases.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Property, plant and equipment was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025"/>
        <w:gridCol w:w="120"/>
        <w:gridCol w:w="142"/>
        <w:gridCol w:w="1798"/>
        <w:gridCol w:w="155"/>
        <w:gridCol w:w="60"/>
        <w:gridCol w:w="110"/>
        <w:gridCol w:w="1470"/>
        <w:gridCol w:w="155"/>
        <w:gridCol w:w="60"/>
        <w:gridCol w:w="146"/>
        <w:gridCol w:w="1659"/>
        <w:gridCol w:w="155"/>
        <w:gridCol w:w="120"/>
        <w:gridCol w:w="60"/>
        <w:gridCol w:w="800"/>
        <w:gridCol w:w="170"/>
      </w:tblGrid>
      <w:tr>
        <w:trPr/>
        <w:tc>
          <w:tcPr>
            <w:tcW w:w="3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Buildings and land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Machinery and</w:t>
              <w:br/>
              <w:t>equipment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Machinery under</w:t>
              <w:br/>
              <w:t>development</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Acquisition cost</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rPr/>
            </w:pPr>
            <w:r>
              <w:rPr/>
              <w:t> </w:t>
            </w:r>
          </w:p>
        </w:tc>
        <w:tc>
          <w:tcPr>
            <w:tcW w:w="155"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48,820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131,479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1,878</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182,177</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2,106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6,315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33,622</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42,043</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Reclassifications</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7,977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(7,977</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1,304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2,206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143</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3,653</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14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spacing w:val="0"/>
              </w:rPr>
            </w:pPr>
            <w:r>
              <w:rPr>
                <w:spacing w:val="0"/>
              </w:rPr>
              <w:t> </w:t>
            </w:r>
          </w:p>
        </w:tc>
        <w:tc>
          <w:tcPr>
            <w:tcW w:w="1798" w:type="dxa"/>
            <w:tcBorders/>
            <w:shd w:fill="auto" w:val="clear"/>
            <w:vAlign w:val="center"/>
          </w:tcPr>
          <w:p>
            <w:pPr>
              <w:pStyle w:val="TableContents"/>
              <w:spacing w:before="0" w:after="0"/>
              <w:jc w:val="right"/>
              <w:rPr>
                <w:b/>
                <w:spacing w:val="0"/>
              </w:rPr>
            </w:pPr>
            <w:r>
              <w:rPr>
                <w:b/>
                <w:spacing w:val="0"/>
              </w:rPr>
              <w:t>52,230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1470" w:type="dxa"/>
            <w:tcBorders/>
            <w:shd w:fill="auto" w:val="clear"/>
            <w:vAlign w:val="center"/>
          </w:tcPr>
          <w:p>
            <w:pPr>
              <w:pStyle w:val="TableContents"/>
              <w:spacing w:before="0" w:after="0"/>
              <w:jc w:val="right"/>
              <w:rPr>
                <w:b/>
                <w:spacing w:val="0"/>
              </w:rPr>
            </w:pPr>
            <w:r>
              <w:rPr>
                <w:b/>
                <w:spacing w:val="0"/>
              </w:rPr>
              <w:t>147,977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1659" w:type="dxa"/>
            <w:tcBorders/>
            <w:shd w:fill="auto" w:val="clear"/>
            <w:vAlign w:val="center"/>
          </w:tcPr>
          <w:p>
            <w:pPr>
              <w:pStyle w:val="TableContents"/>
              <w:spacing w:before="0" w:after="0"/>
              <w:jc w:val="right"/>
              <w:rPr>
                <w:b/>
                <w:spacing w:val="0"/>
              </w:rPr>
            </w:pPr>
            <w:r>
              <w:rPr>
                <w:b/>
                <w:spacing w:val="0"/>
              </w:rPr>
              <w:t>27,666</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227,873</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14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p>
            <w:pPr>
              <w:pStyle w:val="TableContents"/>
              <w:spacing w:before="0" w:after="0"/>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2,789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6,254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58,171</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67,214</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Divestments and disposals</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(604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(919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(1,523</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Reclassifications</w:t>
            </w:r>
          </w:p>
          <w:p>
            <w:pPr>
              <w:pStyle w:val="TableContents"/>
              <w:spacing w:before="0" w:after="0"/>
              <w:rPr>
                <w:rFonts w:ascii="Times New Roman" w:hAnsi="Times New Roman"/>
                <w:sz w:val="12"/>
              </w:rPr>
            </w:pPr>
            <w:r>
              <w:rPr>
                <w:rFonts w:ascii="Times New Roman" w:hAnsi="Times New Roman"/>
                <w:sz w:val="12"/>
              </w:rPr>
              <w:t>2</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(1,976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44,447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33</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42,504</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Reclassified to Assets held for sale</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798" w:type="dxa"/>
            <w:tcBorders/>
            <w:shd w:fill="auto" w:val="clear"/>
            <w:vAlign w:val="center"/>
          </w:tcPr>
          <w:p>
            <w:pPr>
              <w:pStyle w:val="TableContents"/>
              <w:spacing w:before="0" w:after="283"/>
              <w:jc w:val="right"/>
              <w:rPr/>
            </w:pPr>
            <w:r>
              <w:rPr/>
              <w:t>(44,342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(20,041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(64,383</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798" w:type="dxa"/>
            <w:tcBorders/>
            <w:shd w:fill="CCEEFF" w:val="clear"/>
            <w:vAlign w:val="center"/>
          </w:tcPr>
          <w:p>
            <w:pPr>
              <w:pStyle w:val="TableContents"/>
              <w:spacing w:before="0" w:after="283"/>
              <w:jc w:val="right"/>
              <w:rPr/>
            </w:pPr>
            <w:r>
              <w:rPr/>
              <w:t>(4,027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(10,217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(1,976</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(16,220</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14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spacing w:val="0"/>
              </w:rPr>
            </w:pPr>
            <w:r>
              <w:rPr>
                <w:spacing w:val="0"/>
              </w:rPr>
              <w:t> </w:t>
            </w:r>
          </w:p>
        </w:tc>
        <w:tc>
          <w:tcPr>
            <w:tcW w:w="1798" w:type="dxa"/>
            <w:tcBorders/>
            <w:shd w:fill="auto" w:val="clear"/>
            <w:vAlign w:val="center"/>
          </w:tcPr>
          <w:p>
            <w:pPr>
              <w:pStyle w:val="TableContents"/>
              <w:spacing w:before="0" w:after="0"/>
              <w:jc w:val="right"/>
              <w:rPr>
                <w:b/>
                <w:spacing w:val="0"/>
              </w:rPr>
            </w:pPr>
            <w:r>
              <w:rPr>
                <w:b/>
                <w:spacing w:val="0"/>
              </w:rPr>
              <w:t>4,070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1470" w:type="dxa"/>
            <w:tcBorders/>
            <w:shd w:fill="auto" w:val="clear"/>
            <w:vAlign w:val="center"/>
          </w:tcPr>
          <w:p>
            <w:pPr>
              <w:pStyle w:val="TableContents"/>
              <w:spacing w:before="0" w:after="0"/>
              <w:jc w:val="right"/>
              <w:rPr>
                <w:b/>
                <w:spacing w:val="0"/>
              </w:rPr>
            </w:pPr>
            <w:r>
              <w:rPr>
                <w:b/>
                <w:spacing w:val="0"/>
              </w:rPr>
              <w:t>167,501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1659" w:type="dxa"/>
            <w:tcBorders/>
            <w:shd w:fill="auto" w:val="clear"/>
            <w:vAlign w:val="center"/>
          </w:tcPr>
          <w:p>
            <w:pPr>
              <w:pStyle w:val="TableContents"/>
              <w:spacing w:before="0" w:after="0"/>
              <w:jc w:val="right"/>
              <w:rPr>
                <w:b/>
                <w:spacing w:val="0"/>
              </w:rPr>
            </w:pPr>
            <w:r>
              <w:rPr>
                <w:b/>
                <w:spacing w:val="0"/>
              </w:rPr>
              <w:t>83,894</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255,465</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17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14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F-51</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3120"/>
        <w:gridCol w:w="120"/>
        <w:gridCol w:w="157"/>
        <w:gridCol w:w="1783"/>
        <w:gridCol w:w="155"/>
        <w:gridCol w:w="60"/>
        <w:gridCol w:w="116"/>
        <w:gridCol w:w="1464"/>
        <w:gridCol w:w="155"/>
        <w:gridCol w:w="60"/>
        <w:gridCol w:w="146"/>
        <w:gridCol w:w="1659"/>
        <w:gridCol w:w="60"/>
        <w:gridCol w:w="120"/>
        <w:gridCol w:w="60"/>
        <w:gridCol w:w="800"/>
        <w:gridCol w:w="170"/>
      </w:tblGrid>
      <w:tr>
        <w:trPr/>
        <w:tc>
          <w:tcPr>
            <w:tcW w:w="3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Buildings and land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Machinery and</w:t>
              <w:br/>
              <w:t>equipment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Machinery under</w:t>
              <w:br/>
              <w:t>development</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Depreciation and impairment</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78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31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783" w:type="dxa"/>
            <w:tcBorders/>
            <w:shd w:fill="auto" w:val="clear"/>
            <w:vAlign w:val="center"/>
          </w:tcPr>
          <w:p>
            <w:pPr>
              <w:pStyle w:val="TableContents"/>
              <w:spacing w:before="0" w:after="283"/>
              <w:jc w:val="right"/>
              <w:rPr/>
            </w:pPr>
            <w:r>
              <w:rPr/>
              <w:t>(2,376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(50,007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(52,383</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expense</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783" w:type="dxa"/>
            <w:tcBorders/>
            <w:shd w:fill="CCEEFF" w:val="clear"/>
            <w:vAlign w:val="center"/>
          </w:tcPr>
          <w:p>
            <w:pPr>
              <w:pStyle w:val="TableContents"/>
              <w:spacing w:before="0" w:after="283"/>
              <w:jc w:val="right"/>
              <w:rPr/>
            </w:pPr>
            <w:r>
              <w:rPr/>
              <w:t>(2,266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(33,910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(36,176</w:t>
            </w:r>
          </w:p>
        </w:tc>
        <w:tc>
          <w:tcPr>
            <w:tcW w:w="170" w:type="dxa"/>
            <w:tcBorders/>
            <w:shd w:fill="CCEEFF"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783" w:type="dxa"/>
            <w:tcBorders/>
            <w:shd w:fill="auto" w:val="clear"/>
            <w:vAlign w:val="center"/>
          </w:tcPr>
          <w:p>
            <w:pPr>
              <w:pStyle w:val="TableContents"/>
              <w:spacing w:before="0" w:after="283"/>
              <w:jc w:val="right"/>
              <w:rPr/>
            </w:pPr>
            <w:r>
              <w:rPr/>
              <w:t>(70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(657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(727</w:t>
            </w:r>
          </w:p>
        </w:tc>
        <w:tc>
          <w:tcPr>
            <w:tcW w:w="170" w:type="dxa"/>
            <w:tcBorders/>
            <w:shd w:fill="auto"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7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December 31, 2021</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783" w:type="dxa"/>
            <w:tcBorders/>
            <w:shd w:fill="CCEEFF" w:val="clear"/>
            <w:vAlign w:val="center"/>
          </w:tcPr>
          <w:p>
            <w:pPr>
              <w:pStyle w:val="TableContents"/>
              <w:spacing w:before="0" w:after="283"/>
              <w:jc w:val="right"/>
              <w:rPr/>
            </w:pPr>
            <w:r>
              <w:rPr/>
              <w:t>(4,712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(84,574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(89,286</w:t>
            </w:r>
          </w:p>
        </w:tc>
        <w:tc>
          <w:tcPr>
            <w:tcW w:w="170" w:type="dxa"/>
            <w:tcBorders/>
            <w:shd w:fill="CCEEFF"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7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expense</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783" w:type="dxa"/>
            <w:tcBorders/>
            <w:shd w:fill="auto" w:val="clear"/>
            <w:vAlign w:val="center"/>
          </w:tcPr>
          <w:p>
            <w:pPr>
              <w:pStyle w:val="TableContents"/>
              <w:spacing w:before="0" w:after="283"/>
              <w:jc w:val="right"/>
              <w:rPr/>
            </w:pPr>
            <w:r>
              <w:rPr/>
              <w:t>(3,101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(18,264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(21,365</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Divestments and disposal</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783" w:type="dxa"/>
            <w:tcBorders/>
            <w:shd w:fill="CCEEFF" w:val="clear"/>
            <w:vAlign w:val="center"/>
          </w:tcPr>
          <w:p>
            <w:pPr>
              <w:pStyle w:val="TableContents"/>
              <w:spacing w:before="0" w:after="283"/>
              <w:jc w:val="right"/>
              <w:rPr/>
            </w:pPr>
            <w:r>
              <w:rPr/>
              <w:t>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447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494</w:t>
            </w:r>
          </w:p>
        </w:tc>
        <w:tc>
          <w:tcPr>
            <w:tcW w:w="170" w:type="dxa"/>
            <w:tcBorders/>
            <w:shd w:fill="CCEEFF"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783" w:type="dxa"/>
            <w:tcBorders/>
            <w:shd w:fill="auto" w:val="clear"/>
            <w:vAlign w:val="center"/>
          </w:tcPr>
          <w:p>
            <w:pPr>
              <w:pStyle w:val="TableContents"/>
              <w:spacing w:before="0" w:after="283"/>
              <w:jc w:val="right"/>
              <w:rPr/>
            </w:pPr>
            <w:r>
              <w:rPr/>
              <w:t>195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(195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Reclassification to Assets held for Sale</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783" w:type="dxa"/>
            <w:tcBorders/>
            <w:shd w:fill="CCEEFF" w:val="clear"/>
            <w:vAlign w:val="center"/>
          </w:tcPr>
          <w:p>
            <w:pPr>
              <w:pStyle w:val="TableContents"/>
              <w:spacing w:before="0" w:after="283"/>
              <w:jc w:val="right"/>
              <w:rPr/>
            </w:pPr>
            <w:r>
              <w:rPr/>
              <w:t>5,623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464" w:type="dxa"/>
            <w:tcBorders/>
            <w:shd w:fill="CCEEFF" w:val="clear"/>
            <w:vAlign w:val="center"/>
          </w:tcPr>
          <w:p>
            <w:pPr>
              <w:pStyle w:val="TableContents"/>
              <w:spacing w:before="0" w:after="283"/>
              <w:jc w:val="right"/>
              <w:rPr/>
            </w:pPr>
            <w:r>
              <w:rPr/>
              <w:t>5,385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59"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11,008</w:t>
            </w:r>
          </w:p>
        </w:tc>
        <w:tc>
          <w:tcPr>
            <w:tcW w:w="170" w:type="dxa"/>
            <w:tcBorders/>
            <w:shd w:fill="CCEEFF"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783" w:type="dxa"/>
            <w:tcBorders/>
            <w:shd w:fill="auto" w:val="clear"/>
            <w:vAlign w:val="center"/>
          </w:tcPr>
          <w:p>
            <w:pPr>
              <w:pStyle w:val="TableContents"/>
              <w:spacing w:before="0" w:after="283"/>
              <w:jc w:val="right"/>
              <w:rPr/>
            </w:pPr>
            <w:r>
              <w:rPr/>
              <w:t>938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464" w:type="dxa"/>
            <w:tcBorders/>
            <w:shd w:fill="auto" w:val="clear"/>
            <w:vAlign w:val="center"/>
          </w:tcPr>
          <w:p>
            <w:pPr>
              <w:pStyle w:val="TableContents"/>
              <w:spacing w:before="0" w:after="283"/>
              <w:jc w:val="right"/>
              <w:rPr/>
            </w:pPr>
            <w:r>
              <w:rPr/>
              <w:t>5,471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59"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6,409</w:t>
            </w:r>
          </w:p>
        </w:tc>
        <w:tc>
          <w:tcPr>
            <w:tcW w:w="170" w:type="dxa"/>
            <w:tcBorders/>
            <w:shd w:fill="auto"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7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0"/>
              <w:rPr>
                <w:spacing w:val="0"/>
              </w:rPr>
            </w:pPr>
            <w:r>
              <w:rPr>
                <w:spacing w:val="0"/>
              </w:rPr>
              <w:t> </w:t>
            </w:r>
          </w:p>
        </w:tc>
        <w:tc>
          <w:tcPr>
            <w:tcW w:w="1783" w:type="dxa"/>
            <w:tcBorders/>
            <w:shd w:fill="CCEEFF" w:val="clear"/>
            <w:vAlign w:val="center"/>
          </w:tcPr>
          <w:p>
            <w:pPr>
              <w:pStyle w:val="TableContents"/>
              <w:spacing w:before="0" w:after="0"/>
              <w:jc w:val="right"/>
              <w:rPr>
                <w:b/>
                <w:spacing w:val="0"/>
              </w:rPr>
            </w:pPr>
            <w:r>
              <w:rPr>
                <w:b/>
                <w:spacing w:val="0"/>
              </w:rPr>
              <w:t>(1,010</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0"/>
              <w:rPr>
                <w:spacing w:val="0"/>
              </w:rPr>
            </w:pPr>
            <w:r>
              <w:rPr>
                <w:spacing w:val="0"/>
              </w:rPr>
              <w:t> </w:t>
            </w:r>
          </w:p>
        </w:tc>
        <w:tc>
          <w:tcPr>
            <w:tcW w:w="1464" w:type="dxa"/>
            <w:tcBorders/>
            <w:shd w:fill="CCEEFF" w:val="clear"/>
            <w:vAlign w:val="center"/>
          </w:tcPr>
          <w:p>
            <w:pPr>
              <w:pStyle w:val="TableContents"/>
              <w:spacing w:before="0" w:after="0"/>
              <w:jc w:val="right"/>
              <w:rPr>
                <w:b/>
                <w:spacing w:val="0"/>
              </w:rPr>
            </w:pPr>
            <w:r>
              <w:rPr>
                <w:b/>
                <w:spacing w:val="0"/>
              </w:rPr>
              <w:t>(91,730</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spacing w:val="0"/>
              </w:rPr>
            </w:pPr>
            <w:r>
              <w:rPr>
                <w:spacing w:val="0"/>
              </w:rPr>
              <w:t> </w:t>
            </w:r>
          </w:p>
        </w:tc>
        <w:tc>
          <w:tcPr>
            <w:tcW w:w="1659" w:type="dxa"/>
            <w:tcBorders/>
            <w:shd w:fill="CCEEFF"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(92,740</w:t>
            </w:r>
          </w:p>
        </w:tc>
        <w:tc>
          <w:tcPr>
            <w:tcW w:w="170" w:type="dxa"/>
            <w:tcBorders/>
            <w:shd w:fill="CCEEFF" w:val="clear"/>
            <w:vAlign w:val="center"/>
          </w:tcPr>
          <w:p>
            <w:pPr>
              <w:pStyle w:val="TableContents"/>
              <w:spacing w:before="0" w:after="0"/>
              <w:rPr>
                <w:b/>
                <w:spacing w:val="0"/>
              </w:rPr>
            </w:pPr>
            <w:r>
              <w:rPr>
                <w:b/>
                <w:spacing w:val="0"/>
              </w:rPr>
              <w:t>) </w:t>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7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Carrying amount at December 31, 2021</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spacing w:val="0"/>
              </w:rPr>
            </w:pPr>
            <w:r>
              <w:rPr>
                <w:spacing w:val="0"/>
              </w:rPr>
              <w:t> </w:t>
            </w:r>
          </w:p>
        </w:tc>
        <w:tc>
          <w:tcPr>
            <w:tcW w:w="1783" w:type="dxa"/>
            <w:tcBorders/>
            <w:shd w:fill="auto" w:val="clear"/>
            <w:vAlign w:val="center"/>
          </w:tcPr>
          <w:p>
            <w:pPr>
              <w:pStyle w:val="TableContents"/>
              <w:spacing w:before="0" w:after="0"/>
              <w:jc w:val="right"/>
              <w:rPr>
                <w:b/>
                <w:spacing w:val="0"/>
              </w:rPr>
            </w:pPr>
            <w:r>
              <w:rPr>
                <w:b/>
                <w:spacing w:val="0"/>
              </w:rPr>
              <w:t>47,518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spacing w:val="0"/>
              </w:rPr>
            </w:pPr>
            <w:r>
              <w:rPr>
                <w:spacing w:val="0"/>
              </w:rPr>
              <w:t> </w:t>
            </w:r>
          </w:p>
        </w:tc>
        <w:tc>
          <w:tcPr>
            <w:tcW w:w="1464" w:type="dxa"/>
            <w:tcBorders/>
            <w:shd w:fill="auto" w:val="clear"/>
            <w:vAlign w:val="center"/>
          </w:tcPr>
          <w:p>
            <w:pPr>
              <w:pStyle w:val="TableContents"/>
              <w:spacing w:before="0" w:after="0"/>
              <w:jc w:val="right"/>
              <w:rPr>
                <w:b/>
                <w:spacing w:val="0"/>
              </w:rPr>
            </w:pPr>
            <w:r>
              <w:rPr>
                <w:b/>
                <w:spacing w:val="0"/>
              </w:rPr>
              <w:t>63,403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1659" w:type="dxa"/>
            <w:tcBorders/>
            <w:shd w:fill="auto" w:val="clear"/>
            <w:vAlign w:val="center"/>
          </w:tcPr>
          <w:p>
            <w:pPr>
              <w:pStyle w:val="TableContents"/>
              <w:spacing w:before="0" w:after="0"/>
              <w:jc w:val="right"/>
              <w:rPr>
                <w:b/>
                <w:spacing w:val="0"/>
              </w:rPr>
            </w:pPr>
            <w:r>
              <w:rPr>
                <w:b/>
                <w:spacing w:val="0"/>
              </w:rPr>
              <w:t>27,666</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138,587</w:t>
            </w:r>
          </w:p>
        </w:tc>
        <w:tc>
          <w:tcPr>
            <w:tcW w:w="170" w:type="dxa"/>
            <w:tcBorders/>
            <w:shd w:fill="auto"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7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Carrying amount at December 31, 2022</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0"/>
              <w:rPr>
                <w:spacing w:val="0"/>
              </w:rPr>
            </w:pPr>
            <w:r>
              <w:rPr>
                <w:spacing w:val="0"/>
              </w:rPr>
              <w:t> </w:t>
            </w:r>
          </w:p>
        </w:tc>
        <w:tc>
          <w:tcPr>
            <w:tcW w:w="1783" w:type="dxa"/>
            <w:tcBorders/>
            <w:shd w:fill="CCEEFF" w:val="clear"/>
            <w:vAlign w:val="center"/>
          </w:tcPr>
          <w:p>
            <w:pPr>
              <w:pStyle w:val="TableContents"/>
              <w:spacing w:before="0" w:after="0"/>
              <w:jc w:val="right"/>
              <w:rPr>
                <w:b/>
                <w:spacing w:val="0"/>
              </w:rPr>
            </w:pPr>
            <w:r>
              <w:rPr>
                <w:b/>
                <w:spacing w:val="0"/>
              </w:rPr>
              <w:t>3,060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0"/>
              <w:rPr>
                <w:spacing w:val="0"/>
              </w:rPr>
            </w:pPr>
            <w:r>
              <w:rPr>
                <w:spacing w:val="0"/>
              </w:rPr>
              <w:t> </w:t>
            </w:r>
          </w:p>
        </w:tc>
        <w:tc>
          <w:tcPr>
            <w:tcW w:w="1464" w:type="dxa"/>
            <w:tcBorders/>
            <w:shd w:fill="CCEEFF" w:val="clear"/>
            <w:vAlign w:val="center"/>
          </w:tcPr>
          <w:p>
            <w:pPr>
              <w:pStyle w:val="TableContents"/>
              <w:spacing w:before="0" w:after="0"/>
              <w:jc w:val="right"/>
              <w:rPr>
                <w:b/>
                <w:spacing w:val="0"/>
              </w:rPr>
            </w:pPr>
            <w:r>
              <w:rPr>
                <w:b/>
                <w:spacing w:val="0"/>
              </w:rPr>
              <w:t>75,771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spacing w:val="0"/>
              </w:rPr>
            </w:pPr>
            <w:r>
              <w:rPr>
                <w:spacing w:val="0"/>
              </w:rPr>
              <w:t> </w:t>
            </w:r>
          </w:p>
        </w:tc>
        <w:tc>
          <w:tcPr>
            <w:tcW w:w="1659" w:type="dxa"/>
            <w:tcBorders/>
            <w:shd w:fill="CCEEFF" w:val="clear"/>
            <w:vAlign w:val="center"/>
          </w:tcPr>
          <w:p>
            <w:pPr>
              <w:pStyle w:val="TableContents"/>
              <w:spacing w:before="0" w:after="0"/>
              <w:jc w:val="right"/>
              <w:rPr>
                <w:b/>
                <w:spacing w:val="0"/>
              </w:rPr>
            </w:pPr>
            <w:r>
              <w:rPr>
                <w:b/>
                <w:spacing w:val="0"/>
              </w:rPr>
              <w:t>83,894</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162,725</w:t>
            </w:r>
          </w:p>
        </w:tc>
        <w:tc>
          <w:tcPr>
            <w:tcW w:w="170" w:type="dxa"/>
            <w:tcBorders/>
            <w:shd w:fill="CCEEFF" w:val="clear"/>
            <w:vAlign w:val="center"/>
          </w:tcPr>
          <w:p>
            <w:pPr>
              <w:pStyle w:val="TableContents"/>
              <w:spacing w:before="0" w:after="283"/>
              <w:rPr/>
            </w:pPr>
            <w:r>
              <w:rPr/>
              <w:t> </w:t>
            </w:r>
          </w:p>
        </w:tc>
      </w:tr>
      <w:tr>
        <w:trPr/>
        <w:tc>
          <w:tcPr>
            <w:tcW w:w="3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0"/>
              <w:rPr>
                <w:bdr w:val="single" w:sz="2" w:space="1" w:color="000000"/>
              </w:rPr>
            </w:pPr>
            <w:r>
              <w:rPr>
                <w:bdr w:val="single" w:sz="2" w:space="1" w:color="000000"/>
              </w:rPr>
              <w:t> </w:t>
            </w:r>
          </w:p>
        </w:tc>
        <w:tc>
          <w:tcPr>
            <w:tcW w:w="17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0"/>
              <w:rPr>
                <w:bdr w:val="single" w:sz="2" w:space="1" w:color="000000"/>
              </w:rPr>
            </w:pPr>
            <w:r>
              <w:rPr>
                <w:bdr w:val="single" w:sz="2" w:space="1" w:color="000000"/>
              </w:rPr>
              <w:t> </w:t>
            </w:r>
          </w:p>
        </w:tc>
        <w:tc>
          <w:tcPr>
            <w:tcW w:w="14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59"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1 -</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Of $67,214 in additions for the year ended December 31, 2022, $30,881 has been settled in cash. These $30,881 are included in the $32,269 in the cash-flow from investing activities related to additions to property, plant and equipment, and the remaining $1,388 relates to increases in Trade payables - related parties from prior years which were settled in cash during the year ended December 31, 2022. Of $42,043 in additions for the year ended December 31, 2021, $17,341 has been settled in cash. These $17,341 are included in the $24,701 cash-flow from investing activities related to additions to property, plant and equipment, while $7,360 is settled in cash in 2021, but added as investments through Trade payables in prior years. </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2 -</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$42,504 is a reclassification from Inventory to Property, plant and equipment for vehicles that are in the process of being repurposed permanently for leasing business with customers and will not be sold.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15 - Financial instruments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shows the carrying amounts of financial assets and liabilities measured at fair value through profit and loss on a recurring basis: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635"/>
        <w:gridCol w:w="120"/>
        <w:gridCol w:w="61"/>
        <w:gridCol w:w="694"/>
        <w:gridCol w:w="60"/>
        <w:gridCol w:w="120"/>
        <w:gridCol w:w="61"/>
        <w:gridCol w:w="694"/>
        <w:gridCol w:w="60"/>
        <w:gridCol w:w="120"/>
        <w:gridCol w:w="60"/>
        <w:gridCol w:w="800"/>
        <w:gridCol w:w="60"/>
        <w:gridCol w:w="120"/>
        <w:gridCol w:w="60"/>
        <w:gridCol w:w="800"/>
        <w:gridCol w:w="60"/>
        <w:gridCol w:w="120"/>
        <w:gridCol w:w="73"/>
        <w:gridCol w:w="682"/>
        <w:gridCol w:w="60"/>
        <w:gridCol w:w="120"/>
        <w:gridCol w:w="102"/>
        <w:gridCol w:w="653"/>
        <w:gridCol w:w="60"/>
        <w:gridCol w:w="120"/>
        <w:gridCol w:w="102"/>
        <w:gridCol w:w="653"/>
        <w:gridCol w:w="60"/>
        <w:gridCol w:w="120"/>
        <w:gridCol w:w="60"/>
        <w:gridCol w:w="560"/>
        <w:gridCol w:w="75"/>
      </w:tblGrid>
      <w:tr>
        <w:trPr/>
        <w:tc>
          <w:tcPr>
            <w:tcW w:w="2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70" w:type="dxa"/>
            <w:gridSpan w:val="14"/>
            <w:tcBorders/>
            <w:shd w:fill="auto" w:val="clear"/>
            <w:vAlign w:val="center"/>
          </w:tcPr>
          <w:p>
            <w:pPr>
              <w:pStyle w:val="TableContents"/>
              <w:spacing w:before="0" w:after="0"/>
              <w:jc w:val="center"/>
              <w:rPr>
                <w:b/>
                <w:spacing w:val="0"/>
              </w:rPr>
            </w:pPr>
            <w:r>
              <w:rPr>
                <w:b/>
                <w:spacing w:val="0"/>
              </w:rPr>
              <w:t>As of 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25" w:type="dxa"/>
            <w:gridSpan w:val="14"/>
            <w:tcBorders/>
            <w:shd w:fill="auto" w:val="clear"/>
            <w:vAlign w:val="center"/>
          </w:tcPr>
          <w:p>
            <w:pPr>
              <w:pStyle w:val="TableContents"/>
              <w:spacing w:before="0" w:after="0"/>
              <w:jc w:val="center"/>
              <w:rPr>
                <w:b/>
                <w:spacing w:val="0"/>
              </w:rPr>
            </w:pPr>
            <w:r>
              <w:rPr>
                <w:b/>
                <w:spacing w:val="0"/>
              </w:rPr>
              <w:t>As of December 31, 2021</w:t>
            </w:r>
          </w:p>
        </w:tc>
        <w:tc>
          <w:tcPr>
            <w:tcW w:w="75" w:type="dxa"/>
            <w:tcBorders/>
            <w:shd w:fill="auto"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3</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3</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63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 measured at FVTPL</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Marketable securities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283"/>
              <w:jc w:val="right"/>
              <w:rPr/>
            </w:pPr>
            <w:r>
              <w:rPr/>
              <w:t>1,258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1,258</w:t>
            </w:r>
          </w:p>
        </w:tc>
        <w:tc>
          <w:tcPr>
            <w:tcW w:w="75" w:type="dxa"/>
            <w:tcBorders/>
            <w:shd w:fill="auto" w:val="clear"/>
            <w:vAlign w:val="center"/>
          </w:tcPr>
          <w:p>
            <w:pPr>
              <w:pStyle w:val="TableContents"/>
              <w:spacing w:before="0" w:after="283"/>
              <w:rPr/>
            </w:pPr>
            <w:r>
              <w:rPr/>
              <w:t> </w:t>
            </w:r>
          </w:p>
        </w:tc>
      </w:tr>
      <w:tr>
        <w:trPr/>
        <w:tc>
          <w:tcPr>
            <w:tcW w:w="2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2,333</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2,333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68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assets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694"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694"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2,333</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2,333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682" w:type="dxa"/>
            <w:tcBorders/>
            <w:shd w:fill="auto" w:val="clear"/>
            <w:vAlign w:val="center"/>
          </w:tcPr>
          <w:p>
            <w:pPr>
              <w:pStyle w:val="TableContents"/>
              <w:spacing w:before="0" w:after="0"/>
              <w:jc w:val="right"/>
              <w:rPr>
                <w:b/>
                <w:spacing w:val="0"/>
              </w:rPr>
            </w:pPr>
            <w:r>
              <w:rPr>
                <w:b/>
                <w:spacing w:val="0"/>
              </w:rPr>
              <w:t>1,258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rPr>
            </w:pPr>
            <w:r>
              <w:rPr>
                <w:spacing w:val="0"/>
              </w:rPr>
              <w:t> </w:t>
            </w:r>
          </w:p>
        </w:tc>
        <w:tc>
          <w:tcPr>
            <w:tcW w:w="653"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spacing w:val="0"/>
              </w:rPr>
            </w:pPr>
            <w:r>
              <w:rPr>
                <w:spacing w:val="0"/>
              </w:rPr>
              <w:t> </w:t>
            </w:r>
          </w:p>
        </w:tc>
        <w:tc>
          <w:tcPr>
            <w:tcW w:w="653" w:type="dxa"/>
            <w:tcBorders/>
            <w:shd w:fill="auto"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auto" w:val="clear"/>
            <w:tcMar>
              <w:right w:w="28" w:type="dxa"/>
            </w:tcM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560" w:type="dxa"/>
            <w:tcBorders/>
            <w:shd w:fill="auto" w:val="clear"/>
            <w:vAlign w:val="center"/>
          </w:tcPr>
          <w:p>
            <w:pPr>
              <w:pStyle w:val="TableContents"/>
              <w:spacing w:before="0" w:after="0"/>
              <w:jc w:val="right"/>
              <w:rPr>
                <w:b/>
                <w:spacing w:val="0"/>
              </w:rPr>
            </w:pPr>
            <w:r>
              <w:rPr>
                <w:b/>
                <w:spacing w:val="0"/>
              </w:rPr>
              <w:t>1,258</w:t>
            </w:r>
          </w:p>
        </w:tc>
        <w:tc>
          <w:tcPr>
            <w:tcW w:w="75" w:type="dxa"/>
            <w:tcBorders/>
            <w:shd w:fill="auto"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68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63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Liabilities measured at FVTPL</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rights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598,570</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598,570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6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C-1</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jc w:val="right"/>
              <w:rPr/>
            </w:pPr>
            <w:r>
              <w:rPr/>
              <w:t>17,920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17,920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C-2</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jc w:val="right"/>
              <w:rPr/>
            </w:pPr>
            <w:r>
              <w:rPr/>
              <w:t>10,080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10,080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8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68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63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liabilities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694" w:type="dxa"/>
            <w:tcBorders/>
            <w:shd w:fill="CCEEFF" w:val="clear"/>
            <w:vAlign w:val="center"/>
          </w:tcPr>
          <w:p>
            <w:pPr>
              <w:pStyle w:val="TableContents"/>
              <w:spacing w:before="0" w:after="0"/>
              <w:jc w:val="right"/>
              <w:rPr>
                <w:b/>
                <w:spacing w:val="0"/>
              </w:rPr>
            </w:pPr>
            <w:r>
              <w:rPr>
                <w:b/>
                <w:spacing w:val="0"/>
              </w:rPr>
              <w:t>17,920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694" w:type="dxa"/>
            <w:tcBorders/>
            <w:shd w:fill="CCEEFF" w:val="clear"/>
            <w:vAlign w:val="center"/>
          </w:tcPr>
          <w:p>
            <w:pPr>
              <w:pStyle w:val="TableContents"/>
              <w:spacing w:before="0" w:after="0"/>
              <w:jc w:val="right"/>
              <w:rPr>
                <w:b/>
                <w:spacing w:val="0"/>
              </w:rPr>
            </w:pPr>
            <w:r>
              <w:rPr>
                <w:b/>
                <w:spacing w:val="0"/>
              </w:rPr>
              <w:t>10,080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598,570</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626,570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682"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0"/>
              <w:rPr>
                <w:spacing w:val="0"/>
              </w:rPr>
            </w:pPr>
            <w:r>
              <w:rPr>
                <w:spacing w:val="0"/>
              </w:rPr>
              <w:t> </w:t>
            </w:r>
          </w:p>
        </w:tc>
        <w:tc>
          <w:tcPr>
            <w:tcW w:w="653"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0"/>
              <w:rPr>
                <w:spacing w:val="0"/>
              </w:rPr>
            </w:pPr>
            <w:r>
              <w:rPr>
                <w:spacing w:val="0"/>
              </w:rPr>
              <w:t> </w:t>
            </w:r>
          </w:p>
        </w:tc>
        <w:tc>
          <w:tcPr>
            <w:tcW w:w="653" w:type="dxa"/>
            <w:tcBorders/>
            <w:shd w:fill="CCEEFF"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560" w:type="dxa"/>
            <w:tcBorders/>
            <w:shd w:fill="CCEEFF" w:val="clear"/>
            <w:vAlign w:val="center"/>
          </w:tcPr>
          <w:p>
            <w:pPr>
              <w:pStyle w:val="TableContents"/>
              <w:spacing w:before="0" w:after="0"/>
              <w:jc w:val="right"/>
              <w:rPr>
                <w:spacing w:val="0"/>
              </w:rPr>
            </w:pPr>
            <w:r>
              <w:rPr>
                <w:spacing w:val="0"/>
              </w:rPr>
              <w:t>—  </w:t>
            </w:r>
          </w:p>
        </w:tc>
        <w:tc>
          <w:tcPr>
            <w:tcW w:w="75" w:type="dxa"/>
            <w:tcBorders/>
            <w:shd w:fill="CCEEFF" w:val="clear"/>
            <w:vAlign w:val="center"/>
          </w:tcPr>
          <w:p>
            <w:pPr>
              <w:pStyle w:val="TableContents"/>
              <w:spacing w:before="0" w:after="0"/>
              <w:rPr>
                <w:spacing w:val="0"/>
              </w:rPr>
            </w:pPr>
            <w:r>
              <w:rPr>
                <w:spacing w:val="0"/>
              </w:rPr>
              <w:t> </w:t>
            </w:r>
          </w:p>
        </w:tc>
      </w:tr>
      <w:tr>
        <w:trPr/>
        <w:tc>
          <w:tcPr>
            <w:tcW w:w="2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69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bdr w:val="single" w:sz="2" w:space="1" w:color="000000"/>
              </w:rPr>
            </w:pPr>
            <w:r>
              <w:rPr>
                <w:bdr w:val="single" w:sz="2" w:space="1" w:color="000000"/>
              </w:rPr>
              <w:t> </w:t>
            </w:r>
          </w:p>
        </w:tc>
        <w:tc>
          <w:tcPr>
            <w:tcW w:w="68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bdr w:val="single" w:sz="2" w:space="1" w:color="000000"/>
              </w:rPr>
            </w:pPr>
            <w:r>
              <w:rPr>
                <w:bdr w:val="single" w:sz="2" w:space="1" w:color="000000"/>
              </w:rPr>
              <w:t> </w:t>
            </w:r>
          </w:p>
        </w:tc>
        <w:tc>
          <w:tcPr>
            <w:tcW w:w="65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During the year ended December 31, 2022, Polestar made a $2,500 investment in the fast charging innovator, StoreDot. This investment is presented in Other investments in the Consolidated Statement of Financial Position and is valued at $2,333 as of December 31, 2022.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Refer to Note 1 - Significant accounting policies and judgements and Note 16 - Reverse recapitalization for more details on the financial liabilities related to the Class C Shares and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rights.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F-52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table shows the carrying amounts of financial assets and liabilities measured at amortized cost: </w:t>
      </w:r>
    </w:p>
    <w:p>
      <w:pPr>
        <w:pStyle w:val="TextBody"/>
        <w:spacing w:before="0" w:after="0"/>
        <w:jc w:val="left"/>
        <w:rPr>
          <w:highlight w:val="white"/>
        </w:rPr>
      </w:pPr>
      <w:r>
        <w:rPr>
          <w:highlight w:val="white"/>
        </w:rPr>
        <w:t> </w:t>
      </w:r>
    </w:p>
    <w:tbl>
      <w:tblPr>
        <w:tblW w:w="9400" w:type="dxa"/>
        <w:jc w:val="left"/>
        <w:tblInd w:w="0" w:type="dxa"/>
        <w:tblCellMar>
          <w:top w:w="0" w:type="dxa"/>
          <w:left w:w="0" w:type="dxa"/>
          <w:bottom w:w="0" w:type="dxa"/>
          <w:right w:w="0" w:type="dxa"/>
        </w:tblCellMar>
      </w:tblPr>
      <w:tblGrid>
        <w:gridCol w:w="7205"/>
        <w:gridCol w:w="120"/>
        <w:gridCol w:w="115"/>
        <w:gridCol w:w="1885"/>
        <w:gridCol w:w="75"/>
      </w:tblGrid>
      <w:tr>
        <w:trPr/>
        <w:tc>
          <w:tcPr>
            <w:tcW w:w="7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00" w:type="dxa"/>
            <w:gridSpan w:val="2"/>
            <w:tcBorders/>
            <w:shd w:fill="auto" w:val="clear"/>
            <w:vAlign w:val="center"/>
          </w:tcPr>
          <w:p>
            <w:pPr>
              <w:pStyle w:val="TableContents"/>
              <w:spacing w:before="0" w:after="0"/>
              <w:jc w:val="center"/>
              <w:rPr>
                <w:b/>
                <w:spacing w:val="0"/>
              </w:rPr>
            </w:pPr>
            <w:r>
              <w:rPr>
                <w:b/>
                <w:spacing w:val="0"/>
              </w:rPr>
              <w:t>As of December 31,</w:t>
              <w:br/>
              <w:t>2022</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assets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 and trade receivables -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321,103</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973,877</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49,060</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current receivables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10,840</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spacing w:val="0"/>
              </w:rPr>
            </w:pPr>
            <w:r>
              <w:rPr>
                <w:spacing w:val="0"/>
              </w:rPr>
              <w:t> </w:t>
            </w:r>
          </w:p>
        </w:tc>
        <w:tc>
          <w:tcPr>
            <w:tcW w:w="1885" w:type="dxa"/>
            <w:tcBorders/>
            <w:shd w:fill="auto" w:val="clear"/>
            <w:vAlign w:val="center"/>
          </w:tcPr>
          <w:p>
            <w:pPr>
              <w:pStyle w:val="TableContents"/>
              <w:spacing w:before="0" w:after="0"/>
              <w:jc w:val="right"/>
              <w:rPr>
                <w:b/>
                <w:spacing w:val="0"/>
              </w:rPr>
            </w:pPr>
            <w:r>
              <w:rPr>
                <w:b/>
                <w:spacing w:val="0"/>
              </w:rPr>
              <w:t>1,354,880</w:t>
            </w:r>
          </w:p>
        </w:tc>
        <w:tc>
          <w:tcPr>
            <w:tcW w:w="75" w:type="dxa"/>
            <w:tcBorders/>
            <w:shd w:fill="auto"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payables and trade payables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1,055,955</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1,328,752</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expenses and accrued expenses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367,005</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40,869</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Liabilities related to repurchase commitments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79,501</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liabilities1 and interest-bearing current liabilities -related parties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38,235</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liabilities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70,258</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14,753</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interest-bearing liabilities</w:t>
            </w:r>
          </w:p>
          <w:p>
            <w:pPr>
              <w:pStyle w:val="TableContents"/>
              <w:spacing w:before="0" w:after="0"/>
              <w:rPr>
                <w:rFonts w:ascii="Times New Roman" w:hAnsi="Times New Roman"/>
                <w:sz w:val="12"/>
              </w:rPr>
            </w:pPr>
            <w:r>
              <w:rPr>
                <w:rFonts w:ascii="Times New Roman" w:hAnsi="Times New Roman"/>
                <w:sz w:val="12"/>
              </w:rPr>
              <w:t>1</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85,556</w:t>
            </w:r>
          </w:p>
        </w:tc>
        <w:tc>
          <w:tcPr>
            <w:tcW w:w="75" w:type="dxa"/>
            <w:tcBorders/>
            <w:shd w:fill="auto"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0"/>
              <w:rPr>
                <w:spacing w:val="0"/>
              </w:rPr>
            </w:pPr>
            <w:r>
              <w:rPr>
                <w:spacing w:val="0"/>
              </w:rPr>
              <w:t> </w:t>
            </w:r>
          </w:p>
        </w:tc>
        <w:tc>
          <w:tcPr>
            <w:tcW w:w="1885" w:type="dxa"/>
            <w:tcBorders/>
            <w:shd w:fill="CCEEFF" w:val="clear"/>
            <w:vAlign w:val="center"/>
          </w:tcPr>
          <w:p>
            <w:pPr>
              <w:pStyle w:val="TableContents"/>
              <w:spacing w:before="0" w:after="0"/>
              <w:jc w:val="right"/>
              <w:rPr>
                <w:b/>
                <w:spacing w:val="0"/>
              </w:rPr>
            </w:pPr>
            <w:r>
              <w:rPr>
                <w:b/>
                <w:spacing w:val="0"/>
              </w:rPr>
              <w:t>3,080,884</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9400" w:type="dxa"/>
        <w:jc w:val="left"/>
        <w:tblInd w:w="0" w:type="dxa"/>
        <w:tblCellMar>
          <w:top w:w="0" w:type="dxa"/>
          <w:left w:w="0" w:type="dxa"/>
          <w:bottom w:w="0" w:type="dxa"/>
          <w:right w:w="0" w:type="dxa"/>
        </w:tblCellMar>
      </w:tblPr>
      <w:tblGrid>
        <w:gridCol w:w="7205"/>
        <w:gridCol w:w="120"/>
        <w:gridCol w:w="115"/>
        <w:gridCol w:w="1885"/>
        <w:gridCol w:w="75"/>
      </w:tblGrid>
      <w:tr>
        <w:trPr/>
        <w:tc>
          <w:tcPr>
            <w:tcW w:w="7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8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00" w:type="dxa"/>
            <w:gridSpan w:val="2"/>
            <w:tcBorders/>
            <w:shd w:fill="auto" w:val="clear"/>
            <w:vAlign w:val="center"/>
          </w:tcPr>
          <w:p>
            <w:pPr>
              <w:pStyle w:val="TableContents"/>
              <w:spacing w:before="0" w:after="0"/>
              <w:jc w:val="center"/>
              <w:rPr>
                <w:b/>
                <w:spacing w:val="0"/>
              </w:rPr>
            </w:pPr>
            <w:r>
              <w:rPr>
                <w:b/>
                <w:spacing w:val="0"/>
              </w:rPr>
              <w:t>As of December 31,</w:t>
              <w:br/>
              <w:t>2021</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assets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 and trade receivables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172,441</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756,677</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receivables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38,741</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receivables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1,682</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spacing w:val="0"/>
              </w:rPr>
            </w:pPr>
            <w:r>
              <w:rPr>
                <w:spacing w:val="0"/>
              </w:rPr>
              <w:t> </w:t>
            </w:r>
          </w:p>
        </w:tc>
        <w:tc>
          <w:tcPr>
            <w:tcW w:w="1885" w:type="dxa"/>
            <w:tcBorders/>
            <w:shd w:fill="auto" w:val="clear"/>
            <w:vAlign w:val="center"/>
          </w:tcPr>
          <w:p>
            <w:pPr>
              <w:pStyle w:val="TableContents"/>
              <w:spacing w:before="0" w:after="0"/>
              <w:jc w:val="right"/>
              <w:rPr>
                <w:b/>
                <w:spacing w:val="0"/>
              </w:rPr>
            </w:pPr>
            <w:r>
              <w:rPr>
                <w:b/>
                <w:spacing w:val="0"/>
              </w:rPr>
              <w:t>969,541</w:t>
            </w:r>
          </w:p>
        </w:tc>
        <w:tc>
          <w:tcPr>
            <w:tcW w:w="75" w:type="dxa"/>
            <w:tcBorders/>
            <w:shd w:fill="auto"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payables and trade payables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1,541,974</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642,338</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expenses and accrued expenses -related parties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502,809</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liabilities1 and interest-bearing current liabilities -related parties</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885" w:type="dxa"/>
            <w:tcBorders/>
            <w:shd w:fill="CCEEFF" w:val="clear"/>
            <w:vAlign w:val="center"/>
          </w:tcPr>
          <w:p>
            <w:pPr>
              <w:pStyle w:val="TableContents"/>
              <w:spacing w:before="0" w:after="283"/>
              <w:jc w:val="right"/>
              <w:rPr/>
            </w:pPr>
            <w:r>
              <w:rPr/>
              <w:t>24,072</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85" w:type="dxa"/>
            <w:tcBorders/>
            <w:shd w:fill="auto" w:val="clear"/>
            <w:vAlign w:val="center"/>
          </w:tcPr>
          <w:p>
            <w:pPr>
              <w:pStyle w:val="TableContents"/>
              <w:spacing w:before="0" w:after="283"/>
              <w:jc w:val="right"/>
              <w:rPr/>
            </w:pPr>
            <w:r>
              <w:rPr/>
              <w:t>11,764</w:t>
            </w:r>
          </w:p>
        </w:tc>
        <w:tc>
          <w:tcPr>
            <w:tcW w:w="75" w:type="dxa"/>
            <w:tcBorders/>
            <w:shd w:fill="auto"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2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0"/>
              <w:rPr>
                <w:spacing w:val="0"/>
              </w:rPr>
            </w:pPr>
            <w:r>
              <w:rPr>
                <w:spacing w:val="0"/>
              </w:rPr>
              <w:t> </w:t>
            </w:r>
          </w:p>
        </w:tc>
        <w:tc>
          <w:tcPr>
            <w:tcW w:w="1885" w:type="dxa"/>
            <w:tcBorders/>
            <w:shd w:fill="CCEEFF" w:val="clear"/>
            <w:vAlign w:val="center"/>
          </w:tcPr>
          <w:p>
            <w:pPr>
              <w:pStyle w:val="TableContents"/>
              <w:spacing w:before="0" w:after="0"/>
              <w:jc w:val="right"/>
              <w:rPr>
                <w:b/>
                <w:spacing w:val="0"/>
              </w:rPr>
            </w:pPr>
            <w:r>
              <w:rPr>
                <w:b/>
                <w:spacing w:val="0"/>
              </w:rPr>
              <w:t>2,722,957</w:t>
            </w:r>
          </w:p>
        </w:tc>
        <w:tc>
          <w:tcPr>
            <w:tcW w:w="75" w:type="dxa"/>
            <w:tcBorders/>
            <w:shd w:fill="CCEEFF" w:val="clear"/>
            <w:vAlign w:val="center"/>
          </w:tcPr>
          <w:p>
            <w:pPr>
              <w:pStyle w:val="TableContents"/>
              <w:spacing w:before="0" w:after="283"/>
              <w:rPr/>
            </w:pPr>
            <w:r>
              <w:rPr/>
              <w:t> </w:t>
            </w:r>
          </w:p>
        </w:tc>
      </w:tr>
      <w:tr>
        <w:trPr/>
        <w:tc>
          <w:tcPr>
            <w:tcW w:w="72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88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8470" w:type="dxa"/>
        <w:jc w:val="left"/>
        <w:tblInd w:w="0" w:type="dxa"/>
        <w:tblCellMar>
          <w:top w:w="0" w:type="dxa"/>
          <w:left w:w="0" w:type="dxa"/>
          <w:bottom w:w="0" w:type="dxa"/>
          <w:right w:w="0" w:type="dxa"/>
        </w:tblCellMar>
      </w:tblPr>
      <w:tblGrid>
        <w:gridCol w:w="290"/>
        <w:gridCol w:w="8180"/>
      </w:tblGrid>
      <w:tr>
        <w:trPr/>
        <w:tc>
          <w:tcPr>
            <w:tcW w:w="290" w:type="dxa"/>
            <w:tcBorders/>
            <w:shd w:fill="auto" w:val="clear"/>
            <w:vAlign w:val="center"/>
          </w:tcPr>
          <w:p>
            <w:pPr>
              <w:pStyle w:val="TableContents"/>
              <w:spacing w:before="0" w:after="283"/>
              <w:jc w:val="left"/>
              <w:rPr/>
            </w:pPr>
            <w:r>
              <w:rPr/>
              <w:t>1 -</w:t>
            </w:r>
          </w:p>
        </w:tc>
        <w:tc>
          <w:tcPr>
            <w:tcW w:w="81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Group’s current and </w:t>
            </w:r>
          </w:p>
          <w:p>
            <w:pPr>
              <w:pStyle w:val="TableContents"/>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spacing w:before="0" w:after="0"/>
              <w:jc w:val="left"/>
              <w:rPr>
                <w:rFonts w:ascii="Times New Roman" w:hAnsi="Times New Roman"/>
                <w:sz w:val="20"/>
              </w:rPr>
            </w:pPr>
            <w:r>
              <w:rPr>
                <w:rFonts w:ascii="Times New Roman" w:hAnsi="Times New Roman"/>
                <w:sz w:val="20"/>
              </w:rPr>
              <w:t xml:space="preserve">lease liabilities are included in Interest-bearing current liabilities and Other </w:t>
            </w:r>
          </w:p>
          <w:p>
            <w:pPr>
              <w:pStyle w:val="TableContents"/>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spacing w:before="0" w:after="0"/>
              <w:jc w:val="left"/>
              <w:rPr>
                <w:rFonts w:ascii="Times New Roman" w:hAnsi="Times New Roman"/>
                <w:sz w:val="20"/>
              </w:rPr>
            </w:pPr>
            <w:r>
              <w:rPr>
                <w:rFonts w:ascii="Times New Roman" w:hAnsi="Times New Roman"/>
                <w:sz w:val="20"/>
              </w:rPr>
              <w:t xml:space="preserve">interest-bearing liabilities, respectively. These amounts are presented separately in Note 10 - Leases.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Total interest income arising on financial assets measured at amortized cost related to cash and cash equivalents as of December 31, 2022, 2021, and 2020, and amounted to $7,658, $1,396, and $3,199, respectively. Total interest expense arising on financial liabilities measured at amortized cost related to liabilities to credit institutions, lease liabilities, other financing obligations, and related party liabilities as of December 31, 2022 amounted to $77,510. Total interest expense arising on financial liabilities measured at amortized cost related mainly to liabilities to credit institutions and other financing obligations as of December 31, 2021, and 2020, and amounted to $42,482 and $24,379, respectively.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F-53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table shows the maturities for the Group’s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non-derivative</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financial assets and liabilities as of December 31, 2022: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15"/>
        <w:gridCol w:w="120"/>
        <w:gridCol w:w="105"/>
        <w:gridCol w:w="1730"/>
        <w:gridCol w:w="60"/>
        <w:gridCol w:w="120"/>
        <w:gridCol w:w="150"/>
        <w:gridCol w:w="2000"/>
        <w:gridCol w:w="60"/>
        <w:gridCol w:w="120"/>
        <w:gridCol w:w="276"/>
        <w:gridCol w:w="1754"/>
        <w:gridCol w:w="60"/>
        <w:gridCol w:w="120"/>
        <w:gridCol w:w="60"/>
        <w:gridCol w:w="980"/>
        <w:gridCol w:w="75"/>
      </w:tblGrid>
      <w:tr>
        <w:trPr/>
        <w:tc>
          <w:tcPr>
            <w:tcW w:w="2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within 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between 1 and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beyond 5 years</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assets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 and trade receivables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321,103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321,103</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49,060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49,060</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receivables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10,840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10,840</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receivables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0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spacing w:val="0"/>
              </w:rPr>
            </w:pPr>
            <w:r>
              <w:rPr>
                <w:spacing w:val="0"/>
              </w:rPr>
              <w:t> </w:t>
            </w:r>
          </w:p>
        </w:tc>
        <w:tc>
          <w:tcPr>
            <w:tcW w:w="1730" w:type="dxa"/>
            <w:tcBorders/>
            <w:shd w:fill="auto" w:val="clear"/>
            <w:vAlign w:val="center"/>
          </w:tcPr>
          <w:p>
            <w:pPr>
              <w:pStyle w:val="TableContents"/>
              <w:spacing w:before="0" w:after="0"/>
              <w:jc w:val="right"/>
              <w:rPr>
                <w:b/>
                <w:spacing w:val="0"/>
              </w:rPr>
            </w:pPr>
            <w:r>
              <w:rPr>
                <w:b/>
                <w:spacing w:val="0"/>
              </w:rPr>
              <w:t>381,003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200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rPr>
            </w:pPr>
            <w:r>
              <w:rPr>
                <w:spacing w:val="0"/>
              </w:rPr>
              <w:t> </w:t>
            </w:r>
          </w:p>
        </w:tc>
        <w:tc>
          <w:tcPr>
            <w:tcW w:w="1754" w:type="dxa"/>
            <w:tcBorders/>
            <w:shd w:fill="auto"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auto" w:val="clear"/>
            <w:tcMar>
              <w:right w:w="28" w:type="dxa"/>
            </w:tcM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381,003</w:t>
            </w:r>
          </w:p>
        </w:tc>
        <w:tc>
          <w:tcPr>
            <w:tcW w:w="75" w:type="dxa"/>
            <w:tcBorders/>
            <w:shd w:fill="auto"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0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payables and trade payables -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1,055,955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1,055,955</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1,328,752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1,328,752</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expenses and accrued expenses -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367,005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367,005</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40,869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40,869</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Liabilities related to repurchase commitments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79,501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79,501</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 and interest-bearing current liabilities - related parties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38,235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38,235</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liabilities -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70,258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70,258</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000" w:type="dxa"/>
            <w:tcBorders/>
            <w:shd w:fill="CCEEFF" w:val="clear"/>
            <w:vAlign w:val="center"/>
          </w:tcPr>
          <w:p>
            <w:pPr>
              <w:pStyle w:val="TableContents"/>
              <w:spacing w:before="0" w:after="283"/>
              <w:jc w:val="right"/>
              <w:rPr/>
            </w:pPr>
            <w:r>
              <w:rPr/>
              <w:t>14,753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14,753</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 xml:space="preserve">interest-bearing liabilities and 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interest-bearing liabilities -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jc w:val="right"/>
              <w:rPr/>
            </w:pPr>
            <w:r>
              <w:rPr/>
              <w:t>85,556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85,556</w:t>
            </w:r>
          </w:p>
        </w:tc>
        <w:tc>
          <w:tcPr>
            <w:tcW w:w="75" w:type="dxa"/>
            <w:tcBorders/>
            <w:shd w:fill="auto"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0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0"/>
              <w:rPr>
                <w:spacing w:val="0"/>
              </w:rPr>
            </w:pPr>
            <w:r>
              <w:rPr>
                <w:spacing w:val="0"/>
              </w:rPr>
              <w:t> </w:t>
            </w:r>
          </w:p>
        </w:tc>
        <w:tc>
          <w:tcPr>
            <w:tcW w:w="1730" w:type="dxa"/>
            <w:tcBorders/>
            <w:shd w:fill="CCEEFF" w:val="clear"/>
            <w:vAlign w:val="center"/>
          </w:tcPr>
          <w:p>
            <w:pPr>
              <w:pStyle w:val="TableContents"/>
              <w:spacing w:before="0" w:after="0"/>
              <w:jc w:val="right"/>
              <w:rPr>
                <w:b/>
                <w:spacing w:val="0"/>
              </w:rPr>
            </w:pPr>
            <w:r>
              <w:rPr>
                <w:b/>
                <w:spacing w:val="0"/>
              </w:rPr>
              <w:t>2,980,575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2000" w:type="dxa"/>
            <w:tcBorders/>
            <w:shd w:fill="CCEEFF" w:val="clear"/>
            <w:vAlign w:val="center"/>
          </w:tcPr>
          <w:p>
            <w:pPr>
              <w:pStyle w:val="TableContents"/>
              <w:spacing w:before="0" w:after="0"/>
              <w:jc w:val="right"/>
              <w:rPr>
                <w:b/>
                <w:spacing w:val="0"/>
              </w:rPr>
            </w:pPr>
            <w:r>
              <w:rPr>
                <w:b/>
                <w:spacing w:val="0"/>
              </w:rPr>
              <w:t>100,309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0"/>
              <w:rPr>
                <w:spacing w:val="0"/>
              </w:rPr>
            </w:pPr>
            <w:r>
              <w:rPr>
                <w:spacing w:val="0"/>
              </w:rPr>
              <w:t> </w:t>
            </w:r>
          </w:p>
        </w:tc>
        <w:tc>
          <w:tcPr>
            <w:tcW w:w="1754" w:type="dxa"/>
            <w:tcBorders/>
            <w:shd w:fill="CCEEFF"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3,080,884</w:t>
            </w:r>
          </w:p>
        </w:tc>
        <w:tc>
          <w:tcPr>
            <w:tcW w:w="75" w:type="dxa"/>
            <w:tcBorders/>
            <w:shd w:fill="CCEEFF" w:val="clear"/>
            <w:vAlign w:val="center"/>
          </w:tcPr>
          <w:p>
            <w:pPr>
              <w:pStyle w:val="TableContents"/>
              <w:spacing w:before="0" w:after="283"/>
              <w:rPr/>
            </w:pPr>
            <w:r>
              <w:rPr/>
              <w:t> </w:t>
            </w:r>
          </w:p>
        </w:tc>
      </w:tr>
      <w:tr>
        <w:trPr/>
        <w:tc>
          <w:tcPr>
            <w:tcW w:w="2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0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table shows the maturities for the Group’s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non-derivative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financial assets and liabilities as of December 31, 2021: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595"/>
        <w:gridCol w:w="120"/>
        <w:gridCol w:w="105"/>
        <w:gridCol w:w="1730"/>
        <w:gridCol w:w="60"/>
        <w:gridCol w:w="120"/>
        <w:gridCol w:w="190"/>
        <w:gridCol w:w="1780"/>
        <w:gridCol w:w="60"/>
        <w:gridCol w:w="120"/>
        <w:gridCol w:w="276"/>
        <w:gridCol w:w="1754"/>
        <w:gridCol w:w="60"/>
        <w:gridCol w:w="120"/>
        <w:gridCol w:w="60"/>
        <w:gridCol w:w="980"/>
        <w:gridCol w:w="75"/>
      </w:tblGrid>
      <w:tr>
        <w:trPr/>
        <w:tc>
          <w:tcPr>
            <w:tcW w:w="2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within 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between 1 and</w:t>
              <w:br/>
              <w:t>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beyond 5 years</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assets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rPr/>
            </w:pPr>
            <w:r>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 and trade receivables -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172,441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7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172,441</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756,677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756,677</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Marketable securities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1,258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7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1,258</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current receivables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38,741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38,741</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receivables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780" w:type="dxa"/>
            <w:tcBorders/>
            <w:shd w:fill="auto" w:val="clear"/>
            <w:vAlign w:val="center"/>
          </w:tcPr>
          <w:p>
            <w:pPr>
              <w:pStyle w:val="TableContents"/>
              <w:spacing w:before="0" w:after="283"/>
              <w:jc w:val="right"/>
              <w:rPr/>
            </w:pPr>
            <w:r>
              <w:rPr/>
              <w:t>1,682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1,682</w:t>
            </w:r>
          </w:p>
        </w:tc>
        <w:tc>
          <w:tcPr>
            <w:tcW w:w="75" w:type="dxa"/>
            <w:tcBorders/>
            <w:shd w:fill="auto"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bdr w:val="single" w:sz="2" w:space="1" w:color="000000"/>
              </w:rPr>
            </w:pPr>
            <w:r>
              <w:rPr>
                <w:bdr w:val="single" w:sz="2" w:space="1" w:color="000000"/>
              </w:rPr>
              <w:t> </w:t>
            </w:r>
          </w:p>
        </w:tc>
        <w:tc>
          <w:tcPr>
            <w:tcW w:w="17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0"/>
              <w:rPr>
                <w:spacing w:val="0"/>
              </w:rPr>
            </w:pPr>
            <w:r>
              <w:rPr>
                <w:spacing w:val="0"/>
              </w:rPr>
              <w:t> </w:t>
            </w:r>
          </w:p>
        </w:tc>
        <w:tc>
          <w:tcPr>
            <w:tcW w:w="1730" w:type="dxa"/>
            <w:tcBorders/>
            <w:shd w:fill="CCEEFF" w:val="clear"/>
            <w:vAlign w:val="center"/>
          </w:tcPr>
          <w:p>
            <w:pPr>
              <w:pStyle w:val="TableContents"/>
              <w:spacing w:before="0" w:after="0"/>
              <w:jc w:val="right"/>
              <w:rPr>
                <w:b/>
                <w:spacing w:val="0"/>
              </w:rPr>
            </w:pPr>
            <w:r>
              <w:rPr>
                <w:b/>
                <w:spacing w:val="0"/>
              </w:rPr>
              <w:t>969,117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0"/>
              <w:rPr>
                <w:spacing w:val="0"/>
              </w:rPr>
            </w:pPr>
            <w:r>
              <w:rPr>
                <w:spacing w:val="0"/>
              </w:rPr>
              <w:t> </w:t>
            </w:r>
          </w:p>
        </w:tc>
        <w:tc>
          <w:tcPr>
            <w:tcW w:w="1780" w:type="dxa"/>
            <w:tcBorders/>
            <w:shd w:fill="CCEEFF" w:val="clear"/>
            <w:vAlign w:val="center"/>
          </w:tcPr>
          <w:p>
            <w:pPr>
              <w:pStyle w:val="TableContents"/>
              <w:spacing w:before="0" w:after="0"/>
              <w:jc w:val="right"/>
              <w:rPr>
                <w:b/>
                <w:spacing w:val="0"/>
              </w:rPr>
            </w:pPr>
            <w:r>
              <w:rPr>
                <w:b/>
                <w:spacing w:val="0"/>
              </w:rPr>
              <w:t>1,682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0"/>
              <w:rPr>
                <w:spacing w:val="0"/>
              </w:rPr>
            </w:pPr>
            <w:r>
              <w:rPr>
                <w:spacing w:val="0"/>
              </w:rPr>
              <w:t> </w:t>
            </w:r>
          </w:p>
        </w:tc>
        <w:tc>
          <w:tcPr>
            <w:tcW w:w="1754" w:type="dxa"/>
            <w:tcBorders/>
            <w:shd w:fill="CCEEFF"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CCEEFF" w:val="clear"/>
            <w:tcMar>
              <w:right w:w="28" w:type="dxa"/>
            </w:tcM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970,799</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bdr w:val="single" w:sz="2" w:space="1" w:color="000000"/>
              </w:rPr>
            </w:pPr>
            <w:r>
              <w:rPr>
                <w:bdr w:val="single" w:sz="2" w:space="1" w:color="000000"/>
              </w:rPr>
              <w:t> </w:t>
            </w:r>
          </w:p>
        </w:tc>
        <w:tc>
          <w:tcPr>
            <w:tcW w:w="17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7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payables and trade payables - related parties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1,541,974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1,541,974</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642,338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7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642,338</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F-54</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2595"/>
        <w:gridCol w:w="120"/>
        <w:gridCol w:w="105"/>
        <w:gridCol w:w="1730"/>
        <w:gridCol w:w="60"/>
        <w:gridCol w:w="120"/>
        <w:gridCol w:w="159"/>
        <w:gridCol w:w="1811"/>
        <w:gridCol w:w="60"/>
        <w:gridCol w:w="120"/>
        <w:gridCol w:w="276"/>
        <w:gridCol w:w="1754"/>
        <w:gridCol w:w="60"/>
        <w:gridCol w:w="120"/>
        <w:gridCol w:w="60"/>
        <w:gridCol w:w="980"/>
        <w:gridCol w:w="75"/>
      </w:tblGrid>
      <w:tr>
        <w:trPr/>
        <w:tc>
          <w:tcPr>
            <w:tcW w:w="2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within 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between 1 and</w:t>
              <w:br/>
              <w:t>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Due beyond 5 years</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expenses and accrued expenses - related parties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502,809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18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502,809</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Interest-bearing current liabilities and interest-bearing current liabilities - related parties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24,072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81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754" w:type="dxa"/>
            <w:tcBorders/>
            <w:shd w:fill="auto" w:val="clear"/>
            <w:vAlign w:val="center"/>
          </w:tcPr>
          <w:p>
            <w:pPr>
              <w:pStyle w:val="TableContents"/>
              <w:spacing w:before="0" w:after="283"/>
              <w:jc w:val="right"/>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24,072</w:t>
            </w:r>
          </w:p>
        </w:tc>
        <w:tc>
          <w:tcPr>
            <w:tcW w:w="75" w:type="dxa"/>
            <w:tcBorders/>
            <w:shd w:fill="auto" w:val="clear"/>
            <w:vAlign w:val="center"/>
          </w:tcPr>
          <w:p>
            <w:pPr>
              <w:pStyle w:val="TableContents"/>
              <w:spacing w:before="0" w:after="283"/>
              <w:rPr/>
            </w:pPr>
            <w:r>
              <w:rPr/>
              <w:t> </w:t>
            </w:r>
          </w:p>
        </w:tc>
      </w:tr>
      <w:tr>
        <w:trPr/>
        <w:tc>
          <w:tcPr>
            <w:tcW w:w="2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7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1811" w:type="dxa"/>
            <w:tcBorders/>
            <w:shd w:fill="CCEEFF" w:val="clear"/>
            <w:vAlign w:val="center"/>
          </w:tcPr>
          <w:p>
            <w:pPr>
              <w:pStyle w:val="TableContents"/>
              <w:spacing w:before="0" w:after="283"/>
              <w:jc w:val="right"/>
              <w:rPr/>
            </w:pPr>
            <w:r>
              <w:rPr/>
              <w:t>11,764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 </w:t>
            </w:r>
          </w:p>
        </w:tc>
        <w:tc>
          <w:tcPr>
            <w:tcW w:w="1754"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11,764</w:t>
            </w:r>
          </w:p>
        </w:tc>
        <w:tc>
          <w:tcPr>
            <w:tcW w:w="75" w:type="dxa"/>
            <w:tcBorders/>
            <w:shd w:fill="CCEEFF"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18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spacing w:val="0"/>
              </w:rPr>
            </w:pPr>
            <w:r>
              <w:rPr>
                <w:spacing w:val="0"/>
              </w:rPr>
              <w:t> </w:t>
            </w:r>
          </w:p>
        </w:tc>
        <w:tc>
          <w:tcPr>
            <w:tcW w:w="1730" w:type="dxa"/>
            <w:tcBorders/>
            <w:shd w:fill="auto" w:val="clear"/>
            <w:vAlign w:val="center"/>
          </w:tcPr>
          <w:p>
            <w:pPr>
              <w:pStyle w:val="TableContents"/>
              <w:spacing w:before="0" w:after="0"/>
              <w:jc w:val="right"/>
              <w:rPr>
                <w:b/>
                <w:spacing w:val="0"/>
              </w:rPr>
            </w:pPr>
            <w:r>
              <w:rPr>
                <w:b/>
                <w:spacing w:val="0"/>
              </w:rPr>
              <w:t>2,711,193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spacing w:val="0"/>
              </w:rPr>
            </w:pPr>
            <w:r>
              <w:rPr>
                <w:spacing w:val="0"/>
              </w:rPr>
              <w:t> </w:t>
            </w:r>
          </w:p>
        </w:tc>
        <w:tc>
          <w:tcPr>
            <w:tcW w:w="1811" w:type="dxa"/>
            <w:tcBorders/>
            <w:shd w:fill="auto" w:val="clear"/>
            <w:vAlign w:val="center"/>
          </w:tcPr>
          <w:p>
            <w:pPr>
              <w:pStyle w:val="TableContents"/>
              <w:spacing w:before="0" w:after="0"/>
              <w:jc w:val="right"/>
              <w:rPr>
                <w:b/>
                <w:spacing w:val="0"/>
              </w:rPr>
            </w:pPr>
            <w:r>
              <w:rPr>
                <w:b/>
                <w:spacing w:val="0"/>
              </w:rPr>
              <w:t>11,764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rPr>
            </w:pPr>
            <w:r>
              <w:rPr>
                <w:spacing w:val="0"/>
              </w:rPr>
              <w:t> </w:t>
            </w:r>
          </w:p>
        </w:tc>
        <w:tc>
          <w:tcPr>
            <w:tcW w:w="1754" w:type="dxa"/>
            <w:tcBorders/>
            <w:shd w:fill="auto" w:val="clear"/>
            <w:vAlign w:val="center"/>
          </w:tcPr>
          <w:p>
            <w:pPr>
              <w:pStyle w:val="TableContents"/>
              <w:spacing w:before="0" w:after="0"/>
              <w:jc w:val="right"/>
              <w:rPr>
                <w:spacing w:val="0"/>
              </w:rPr>
            </w:pPr>
            <w:r>
              <w:rPr>
                <w:spacing w:val="0"/>
              </w:rPr>
              <w:t>—  </w:t>
            </w:r>
          </w:p>
        </w:tc>
        <w:tc>
          <w:tcPr>
            <w:tcW w:w="60" w:type="dxa"/>
            <w:tcBorders>
              <w:right w:val="single" w:sz="6" w:space="0" w:color="000000"/>
            </w:tcBorders>
            <w:shd w:fill="auto" w:val="clear"/>
            <w:tcMar>
              <w:right w:w="28" w:type="dxa"/>
            </w:tcM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2,722,957</w:t>
            </w:r>
          </w:p>
        </w:tc>
        <w:tc>
          <w:tcPr>
            <w:tcW w:w="75" w:type="dxa"/>
            <w:tcBorders/>
            <w:shd w:fill="auto" w:val="clear"/>
            <w:vAlign w:val="center"/>
          </w:tcPr>
          <w:p>
            <w:pPr>
              <w:pStyle w:val="TableContents"/>
              <w:spacing w:before="0" w:after="283"/>
              <w:rPr/>
            </w:pPr>
            <w:r>
              <w:rPr/>
              <w:t> </w:t>
            </w:r>
          </w:p>
        </w:tc>
      </w:tr>
      <w:tr>
        <w:trPr/>
        <w:tc>
          <w:tcPr>
            <w:tcW w:w="2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0"/>
              <w:rPr>
                <w:bdr w:val="single" w:sz="2" w:space="1" w:color="000000"/>
              </w:rPr>
            </w:pPr>
            <w:r>
              <w:rPr>
                <w:bdr w:val="single" w:sz="2" w:space="1" w:color="000000"/>
              </w:rPr>
              <w:t> </w:t>
            </w:r>
          </w:p>
        </w:tc>
        <w:tc>
          <w:tcPr>
            <w:tcW w:w="17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18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bdr w:val="single" w:sz="2" w:space="1" w:color="000000"/>
              </w:rPr>
            </w:pPr>
            <w:r>
              <w:rPr>
                <w:bdr w:val="single" w:sz="2" w:space="1" w:color="000000"/>
              </w:rPr>
              <w:t> </w:t>
            </w:r>
          </w:p>
        </w:tc>
        <w:tc>
          <w:tcPr>
            <w:tcW w:w="175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Maturities are not provided for the Group’s derivative liabilities related to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rights and the Class C Shares that were assumed as part of the merger with GGI on June 23, 2022. The derivative liability related to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rights can only be equity settled and therefore will never have a cash flow impact on the Group. The derivative liabilities related to the Class C Shares can be either cash or equity settled, depending on certain circumstances that may occur in the future. However, the timing of those circumstances are uncertain and any cash flow impacts cannot be forecasted in a useful manner. Refer to Note 1 - Significant accounting policies and judgements and Note 16 - Reverse recapitalization for more details on the financial liabilities related to the Class C Shares and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rights.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did not have any derivative financial liabilities as of December 31, 2021. For the years ended December 31, 2022 and 2021, the realized gain/loss on derivatives was nil. For the year ended December 31, 2020, the realized gain on derivatives was $554. No financial instruments were offset by the Group.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16 - Reverse recapitalization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previously outlined in Note 1 - Significant accounting policies and judgements, Polestar underwent a reverse recapitalization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 </w:t>
      </w:r>
    </w:p>
    <w:p>
      <w:pPr>
        <w:pStyle w:val="TextBody"/>
        <w:spacing w:before="0" w:after="0"/>
        <w:jc w:val="left"/>
        <w:rPr>
          <w:highlight w:val="white"/>
        </w:rPr>
      </w:pPr>
      <w:r>
        <w:rPr>
          <w:highlight w:val="white"/>
        </w:rPr>
        <w:t> </w:t>
      </w:r>
    </w:p>
    <w:tbl>
      <w:tblPr>
        <w:tblW w:w="10045" w:type="dxa"/>
        <w:jc w:val="left"/>
        <w:tblInd w:w="0" w:type="dxa"/>
        <w:tblCellMar>
          <w:top w:w="0" w:type="dxa"/>
          <w:left w:w="0" w:type="dxa"/>
          <w:bottom w:w="0" w:type="dxa"/>
          <w:right w:w="0" w:type="dxa"/>
        </w:tblCellMar>
      </w:tblPr>
      <w:tblGrid>
        <w:gridCol w:w="75"/>
        <w:gridCol w:w="110"/>
        <w:gridCol w:w="60"/>
        <w:gridCol w:w="9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Shareholders of the Former Parent retained the largest voting interest in the Group with over 99% of the voting interests;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Board of Directors of the Group comprises four members nominated by the Former Parent, as compared to one member nominated by certain investors in GGI; </w:t>
            </w:r>
          </w:p>
        </w:tc>
      </w:tr>
    </w:tbl>
    <w:p>
      <w:pPr>
        <w:pStyle w:val="TextBody"/>
        <w:spacing w:before="0" w:after="0"/>
        <w:jc w:val="left"/>
        <w:rPr>
          <w:highlight w:val="white"/>
        </w:rPr>
      </w:pPr>
      <w:r>
        <w:rPr>
          <w:highlight w:val="white"/>
        </w:rPr>
        <w:t> </w:t>
      </w:r>
    </w:p>
    <w:tbl>
      <w:tblPr>
        <w:tblW w:w="8590" w:type="dxa"/>
        <w:jc w:val="left"/>
        <w:tblInd w:w="0" w:type="dxa"/>
        <w:tblCellMar>
          <w:top w:w="0" w:type="dxa"/>
          <w:left w:w="0" w:type="dxa"/>
          <w:bottom w:w="0" w:type="dxa"/>
          <w:right w:w="0" w:type="dxa"/>
        </w:tblCellMar>
      </w:tblPr>
      <w:tblGrid>
        <w:gridCol w:w="75"/>
        <w:gridCol w:w="110"/>
        <w:gridCol w:w="60"/>
        <w:gridCol w:w="8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Former Parent has the ability to appoint the remaining members of the Board as deemed necessary; </w:t>
            </w:r>
          </w:p>
        </w:tc>
      </w:tr>
    </w:tbl>
    <w:p>
      <w:pPr>
        <w:pStyle w:val="TextBody"/>
        <w:spacing w:before="0" w:after="0"/>
        <w:jc w:val="left"/>
        <w:rPr>
          <w:highlight w:val="white"/>
        </w:rPr>
      </w:pPr>
      <w:r>
        <w:rPr>
          <w:highlight w:val="white"/>
        </w:rPr>
        <w:t> </w:t>
      </w:r>
    </w:p>
    <w:tbl>
      <w:tblPr>
        <w:tblW w:w="6730" w:type="dxa"/>
        <w:jc w:val="left"/>
        <w:tblInd w:w="0" w:type="dxa"/>
        <w:tblCellMar>
          <w:top w:w="0" w:type="dxa"/>
          <w:left w:w="0" w:type="dxa"/>
          <w:bottom w:w="0" w:type="dxa"/>
          <w:right w:w="0" w:type="dxa"/>
        </w:tblCellMar>
      </w:tblPr>
      <w:tblGrid>
        <w:gridCol w:w="75"/>
        <w:gridCol w:w="110"/>
        <w:gridCol w:w="60"/>
        <w:gridCol w:w="64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Former Parent’s senior management is the senior management of the Group;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Former Parent’s operations comprise substantially all of the ongoing operations of the Group following the merger with GGI; 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Group was the larger entity by substantive operations and employee base while GGI lacked operating activities and maintained net assets principally comprised of cash.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GGI did not meet the definition of a business in accordance with IFRS 3 and the merger with GGI was instead accounted for within the scope of IFRS 2, Share-based payment (“IFRS 2”), as a share-based payment transaction in exchange for a public listing service. Under IFRS 2, the Group recorded a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one-time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share-based expense of $372,318 at the Closing of the BCA that was calculated based on the excess of the fair value of the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F-55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Group issued to public investors via Class A Shares in Parent utilizing the publicly traded share price at the Closing of $11.23 over the fair value of the identifiable net assets of GGI that were acquired. The amount of GGI’s identifiable net assets of acquired at Closing, were as follows: </w:t>
      </w:r>
    </w:p>
    <w:p>
      <w:pPr>
        <w:pStyle w:val="TextBody"/>
        <w:spacing w:before="0" w:after="0"/>
        <w:jc w:val="left"/>
        <w:rPr>
          <w:highlight w:val="white"/>
        </w:rPr>
      </w:pPr>
      <w:r>
        <w:rPr>
          <w:highlight w:val="white"/>
        </w:rPr>
        <w:t> </w:t>
      </w:r>
    </w:p>
    <w:tbl>
      <w:tblPr>
        <w:tblW w:w="4980" w:type="dxa"/>
        <w:jc w:val="left"/>
        <w:tblInd w:w="0" w:type="dxa"/>
        <w:tblCellMar>
          <w:top w:w="0" w:type="dxa"/>
          <w:left w:w="0" w:type="dxa"/>
          <w:bottom w:w="0" w:type="dxa"/>
          <w:right w:w="0" w:type="dxa"/>
        </w:tblCellMar>
      </w:tblPr>
      <w:tblGrid>
        <w:gridCol w:w="3830"/>
        <w:gridCol w:w="120"/>
        <w:gridCol w:w="60"/>
        <w:gridCol w:w="800"/>
        <w:gridCol w:w="170"/>
      </w:tblGrid>
      <w:tr>
        <w:trPr/>
        <w:tc>
          <w:tcPr>
            <w:tcW w:w="3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579,146</w:t>
            </w:r>
          </w:p>
        </w:tc>
        <w:tc>
          <w:tcPr>
            <w:tcW w:w="170"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Prepaid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6,050</w:t>
            </w:r>
          </w:p>
        </w:tc>
        <w:tc>
          <w:tcPr>
            <w:tcW w:w="170"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Public warrant liability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(40,320</w:t>
            </w:r>
          </w:p>
        </w:tc>
        <w:tc>
          <w:tcPr>
            <w:tcW w:w="170"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Private warrant liability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(22,770</w:t>
            </w:r>
          </w:p>
        </w:tc>
        <w:tc>
          <w:tcPr>
            <w:tcW w:w="170" w:type="dxa"/>
            <w:tcBorders/>
            <w:shd w:fill="auto"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GGI identifiable net assets at fair value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522,106</w:t>
            </w:r>
          </w:p>
        </w:tc>
        <w:tc>
          <w:tcPr>
            <w:tcW w:w="170"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net assets of GGI are stated at fair value, with no goodwill or other intangible assets recorded. The IFRS 2 listing expense was calculated as follows: </w:t>
      </w:r>
    </w:p>
    <w:p>
      <w:pPr>
        <w:pStyle w:val="TextBody"/>
        <w:spacing w:before="0" w:after="0"/>
        <w:jc w:val="left"/>
        <w:rPr>
          <w:highlight w:val="white"/>
        </w:rPr>
      </w:pPr>
      <w:r>
        <w:rPr>
          <w:highlight w:val="white"/>
        </w:rPr>
        <w:t> </w:t>
      </w:r>
    </w:p>
    <w:tbl>
      <w:tblPr>
        <w:tblW w:w="6705" w:type="dxa"/>
        <w:jc w:val="left"/>
        <w:tblInd w:w="0" w:type="dxa"/>
        <w:tblCellMar>
          <w:top w:w="0" w:type="dxa"/>
          <w:left w:w="0" w:type="dxa"/>
          <w:bottom w:w="0" w:type="dxa"/>
          <w:right w:w="0" w:type="dxa"/>
        </w:tblCellMar>
      </w:tblPr>
      <w:tblGrid>
        <w:gridCol w:w="5135"/>
        <w:gridCol w:w="120"/>
        <w:gridCol w:w="60"/>
        <w:gridCol w:w="1100"/>
        <w:gridCol w:w="290"/>
      </w:tblGrid>
      <w:tr>
        <w:trPr/>
        <w:tc>
          <w:tcPr>
            <w:tcW w:w="5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Fair value of Polestar1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22,183,823</w:t>
            </w:r>
          </w:p>
        </w:tc>
        <w:tc>
          <w:tcPr>
            <w:tcW w:w="290" w:type="dxa"/>
            <w:tcBorders/>
            <w:shd w:fill="CCEEFF" w:val="clear"/>
            <w:vAlign w:val="center"/>
          </w:tcPr>
          <w:p>
            <w:pPr>
              <w:pStyle w:val="TableContents"/>
              <w:spacing w:before="0" w:after="283"/>
              <w:rPr/>
            </w:pPr>
            <w:r>
              <w:rPr/>
              <w:t> </w:t>
            </w:r>
          </w:p>
        </w:tc>
      </w:tr>
      <w:tr>
        <w:trPr/>
        <w:tc>
          <w:tcPr>
            <w:tcW w:w="51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 interest in Polestar issued to GGI shareholders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w:t>
            </w:r>
          </w:p>
        </w:tc>
        <w:tc>
          <w:tcPr>
            <w:tcW w:w="290" w:type="dxa"/>
            <w:tcBorders/>
            <w:shd w:fill="auto" w:val="clear"/>
            <w:vAlign w:val="center"/>
          </w:tcPr>
          <w:p>
            <w:pPr>
              <w:pStyle w:val="TableContents"/>
              <w:spacing w:before="0" w:after="283"/>
              <w:rPr/>
            </w:pPr>
            <w:r>
              <w:rPr/>
              <w:t>% </w:t>
            </w:r>
          </w:p>
        </w:tc>
      </w:tr>
      <w:tr>
        <w:trPr/>
        <w:tc>
          <w:tcPr>
            <w:tcW w:w="51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Equity interest in Polestar issued to Former Parent shareholders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94.9</w:t>
            </w:r>
          </w:p>
        </w:tc>
        <w:tc>
          <w:tcPr>
            <w:tcW w:w="290" w:type="dxa"/>
            <w:tcBorders/>
            <w:shd w:fill="CCEEFF" w:val="clear"/>
            <w:vAlign w:val="center"/>
          </w:tcPr>
          <w:p>
            <w:pPr>
              <w:pStyle w:val="TableContents"/>
              <w:spacing w:before="0" w:after="283"/>
              <w:rPr/>
            </w:pPr>
            <w:r>
              <w:rPr/>
              <w:t>% </w:t>
            </w:r>
          </w:p>
        </w:tc>
      </w:tr>
      <w:tr>
        <w:trPr/>
        <w:tc>
          <w:tcPr>
            <w:tcW w:w="51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Deemed cost of shares issued by Polestar1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1,131,375</w:t>
            </w:r>
          </w:p>
        </w:tc>
        <w:tc>
          <w:tcPr>
            <w:tcW w:w="290" w:type="dxa"/>
            <w:tcBorders/>
            <w:shd w:fill="auto" w:val="clear"/>
            <w:vAlign w:val="center"/>
          </w:tcPr>
          <w:p>
            <w:pPr>
              <w:pStyle w:val="TableContents"/>
              <w:spacing w:before="0" w:after="283"/>
              <w:rPr/>
            </w:pPr>
            <w:r>
              <w:rPr/>
              <w:t> </w:t>
            </w:r>
          </w:p>
        </w:tc>
      </w:tr>
      <w:tr>
        <w:trPr/>
        <w:tc>
          <w:tcPr>
            <w:tcW w:w="51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GGI identifiable net assets at fair value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522,106</w:t>
            </w:r>
          </w:p>
        </w:tc>
        <w:tc>
          <w:tcPr>
            <w:tcW w:w="290" w:type="dxa"/>
            <w:tcBorders/>
            <w:shd w:fill="CCEEFF" w:val="clear"/>
            <w:vAlign w:val="center"/>
          </w:tcPr>
          <w:p>
            <w:pPr>
              <w:pStyle w:val="TableContents"/>
              <w:spacing w:before="0" w:after="283"/>
              <w:rPr/>
            </w:pPr>
            <w:r>
              <w:rPr/>
              <w:t> </w:t>
            </w:r>
          </w:p>
        </w:tc>
      </w:tr>
      <w:tr>
        <w:trPr/>
        <w:tc>
          <w:tcPr>
            <w:tcW w:w="51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Sponsor and third-party PIPE Cash</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236,951</w:t>
            </w:r>
          </w:p>
        </w:tc>
        <w:tc>
          <w:tcPr>
            <w:tcW w:w="290" w:type="dxa"/>
            <w:tcBorders/>
            <w:shd w:fill="auto" w:val="clear"/>
            <w:vAlign w:val="center"/>
          </w:tcPr>
          <w:p>
            <w:pPr>
              <w:pStyle w:val="TableContents"/>
              <w:spacing w:before="0" w:after="283"/>
              <w:rPr/>
            </w:pPr>
            <w:r>
              <w:rPr/>
              <w:t> </w:t>
            </w:r>
          </w:p>
        </w:tc>
      </w:tr>
      <w:tr>
        <w:trPr/>
        <w:tc>
          <w:tcPr>
            <w:tcW w:w="51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513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IFRS 2 Listing Expense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372,318</w:t>
            </w:r>
          </w:p>
        </w:tc>
        <w:tc>
          <w:tcPr>
            <w:tcW w:w="290" w:type="dxa"/>
            <w:tcBorders/>
            <w:shd w:fill="CCEEFF" w:val="clear"/>
            <w:vAlign w:val="center"/>
          </w:tcPr>
          <w:p>
            <w:pPr>
              <w:pStyle w:val="TableContents"/>
              <w:spacing w:before="0" w:after="0"/>
              <w:rPr>
                <w:spacing w:val="0"/>
              </w:rPr>
            </w:pPr>
            <w:r>
              <w:rPr>
                <w:spacing w:val="0"/>
              </w:rPr>
              <w:t> </w:t>
            </w:r>
          </w:p>
        </w:tc>
      </w:tr>
      <w:tr>
        <w:trPr/>
        <w:tc>
          <w:tcPr>
            <w:tcW w:w="51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1 -</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deemed cost of the shares issued by Polestar was estimated based on the fair value of Polestar at Closing, less an adjustment in respect to the fair value of the earn out rights (discussed below).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Class C Shares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the Closing of the BCA, Public Warrants and Private Warrants in GGI that were issued and are outstanding immediately prior to the Closing were exchanged for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in Parent.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Shares have the following terms: </w:t>
      </w:r>
    </w:p>
    <w:p>
      <w:pPr>
        <w:pStyle w:val="TextBody"/>
        <w:spacing w:before="0" w:after="0"/>
        <w:jc w:val="left"/>
        <w:rPr>
          <w:highlight w:val="white"/>
        </w:rPr>
      </w:pPr>
      <w:r>
        <w:rPr>
          <w:highlight w:val="white"/>
        </w:rPr>
        <w:t> </w:t>
      </w:r>
    </w:p>
    <w:tbl>
      <w:tblPr>
        <w:tblW w:w="10120" w:type="dxa"/>
        <w:jc w:val="left"/>
        <w:tblInd w:w="0" w:type="dxa"/>
        <w:tblCellMar>
          <w:top w:w="0" w:type="dxa"/>
          <w:left w:w="0" w:type="dxa"/>
          <w:bottom w:w="0" w:type="dxa"/>
          <w:right w:w="0" w:type="dxa"/>
        </w:tblCellMar>
      </w:tblPr>
      <w:tblGrid>
        <w:gridCol w:w="75"/>
        <w:gridCol w:w="110"/>
        <w:gridCol w:w="60"/>
        <w:gridCol w:w="9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whole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 entitles the holder to purchase one Class A Share in Parent at an exercise price of $11.50, subject to adjustments for </w:t>
            </w:r>
          </w:p>
          <w:p>
            <w:pPr>
              <w:pStyle w:val="TableContents"/>
              <w:spacing w:before="0" w:after="0"/>
              <w:jc w:val="left"/>
              <w:rPr>
                <w:rFonts w:ascii="Times New Roman" w:hAnsi="Times New Roman"/>
                <w:spacing w:val="0"/>
                <w:sz w:val="20"/>
              </w:rPr>
            </w:pPr>
            <w:r>
              <w:rPr>
                <w:rFonts w:ascii="Times New Roman" w:hAnsi="Times New Roman"/>
                <w:spacing w:val="0"/>
                <w:sz w:val="20"/>
              </w:rPr>
              <w:t>split-ups</w:t>
            </w:r>
          </w:p>
          <w:p>
            <w:pPr>
              <w:pStyle w:val="TableContents"/>
              <w:spacing w:before="0" w:after="0"/>
              <w:jc w:val="left"/>
              <w:rPr>
                <w:rFonts w:ascii="Times New Roman" w:hAnsi="Times New Roman"/>
                <w:sz w:val="20"/>
              </w:rPr>
            </w:pPr>
            <w:r>
              <w:rPr>
                <w:rFonts w:ascii="Times New Roman" w:hAnsi="Times New Roman"/>
                <w:sz w:val="20"/>
              </w:rPr>
              <w:t xml:space="preserve">and dividends. The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may also be exercised on a cashless basis by the holder </w:t>
            </w:r>
          </w:p>
        </w:tc>
      </w:tr>
    </w:tbl>
    <w:p>
      <w:pPr>
        <w:pStyle w:val="TextBody"/>
        <w:spacing w:before="0" w:after="0"/>
        <w:jc w:val="left"/>
        <w:rPr>
          <w:highlight w:val="white"/>
        </w:rPr>
      </w:pPr>
      <w:r>
        <w:rPr>
          <w:highlight w:val="white"/>
        </w:rPr>
        <w:t> </w:t>
      </w:r>
    </w:p>
    <w:tbl>
      <w:tblPr>
        <w:tblW w:w="7300" w:type="dxa"/>
        <w:jc w:val="left"/>
        <w:tblInd w:w="0" w:type="dxa"/>
        <w:tblCellMar>
          <w:top w:w="0" w:type="dxa"/>
          <w:left w:w="0" w:type="dxa"/>
          <w:bottom w:w="0" w:type="dxa"/>
          <w:right w:w="0" w:type="dxa"/>
        </w:tblCellMar>
      </w:tblPr>
      <w:tblGrid>
        <w:gridCol w:w="75"/>
        <w:gridCol w:w="110"/>
        <w:gridCol w:w="60"/>
        <w:gridCol w:w="70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whole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 is exercisable 30 days after the Closing of the BCA and expires on the earlier of: </w:t>
            </w:r>
          </w:p>
        </w:tc>
      </w:tr>
    </w:tbl>
    <w:p>
      <w:pPr>
        <w:pStyle w:val="TextBody"/>
        <w:spacing w:before="0" w:after="0"/>
        <w:jc w:val="left"/>
        <w:rPr>
          <w:highlight w:val="white"/>
        </w:rPr>
      </w:pPr>
      <w:r>
        <w:rPr>
          <w:highlight w:val="white"/>
        </w:rPr>
        <w:t> </w:t>
      </w:r>
    </w:p>
    <w:tbl>
      <w:tblPr>
        <w:tblW w:w="1510" w:type="dxa"/>
        <w:jc w:val="left"/>
        <w:tblInd w:w="0" w:type="dxa"/>
        <w:tblCellMar>
          <w:top w:w="0" w:type="dxa"/>
          <w:left w:w="0" w:type="dxa"/>
          <w:bottom w:w="0" w:type="dxa"/>
          <w:right w:w="0" w:type="dxa"/>
        </w:tblCellMar>
      </w:tblPr>
      <w:tblGrid>
        <w:gridCol w:w="75"/>
        <w:gridCol w:w="110"/>
        <w:gridCol w:w="60"/>
        <w:gridCol w:w="1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June 23, 2027, </w:t>
            </w:r>
          </w:p>
        </w:tc>
      </w:tr>
    </w:tbl>
    <w:p>
      <w:pPr>
        <w:pStyle w:val="TextBody"/>
        <w:spacing w:before="0" w:after="0"/>
        <w:jc w:val="left"/>
        <w:rPr>
          <w:highlight w:val="white"/>
        </w:rPr>
      </w:pPr>
      <w:r>
        <w:rPr>
          <w:highlight w:val="white"/>
        </w:rPr>
        <w:t> </w:t>
      </w:r>
    </w:p>
    <w:tbl>
      <w:tblPr>
        <w:tblW w:w="3325" w:type="dxa"/>
        <w:jc w:val="left"/>
        <w:tblInd w:w="0" w:type="dxa"/>
        <w:tblCellMar>
          <w:top w:w="0" w:type="dxa"/>
          <w:left w:w="0" w:type="dxa"/>
          <w:bottom w:w="0" w:type="dxa"/>
          <w:right w:w="0" w:type="dxa"/>
        </w:tblCellMar>
      </w:tblPr>
      <w:tblGrid>
        <w:gridCol w:w="75"/>
        <w:gridCol w:w="110"/>
        <w:gridCol w:w="60"/>
        <w:gridCol w:w="3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date the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are redeemed by the Group, or </w:t>
            </w:r>
          </w:p>
        </w:tc>
      </w:tr>
    </w:tbl>
    <w:p>
      <w:pPr>
        <w:pStyle w:val="TextBody"/>
        <w:spacing w:before="0" w:after="0"/>
        <w:jc w:val="left"/>
        <w:rPr>
          <w:highlight w:val="white"/>
        </w:rPr>
      </w:pPr>
      <w:r>
        <w:rPr>
          <w:highlight w:val="white"/>
        </w:rPr>
        <w:t> </w:t>
      </w:r>
    </w:p>
    <w:tbl>
      <w:tblPr>
        <w:tblW w:w="2650" w:type="dxa"/>
        <w:jc w:val="left"/>
        <w:tblInd w:w="0" w:type="dxa"/>
        <w:tblCellMar>
          <w:top w:w="0" w:type="dxa"/>
          <w:left w:w="0" w:type="dxa"/>
          <w:bottom w:w="0" w:type="dxa"/>
          <w:right w:w="0" w:type="dxa"/>
        </w:tblCellMar>
      </w:tblPr>
      <w:tblGrid>
        <w:gridCol w:w="75"/>
        <w:gridCol w:w="110"/>
        <w:gridCol w:w="60"/>
        <w:gridCol w:w="2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liquidation of the Group.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Group may (1) redeem the outstanding whole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at a price of $0.01 per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 or (2) convert the outstanding whole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in Class A Shares in Parent on a cashless basis any time while the warrants are exercisable upon a minimum of 30 days prior written notice of redemption if, and only if, the last sales price of the Class A Shares in Parent equals or exceeds $18 per share (as adjusted for </w:t>
            </w:r>
          </w:p>
          <w:p>
            <w:pPr>
              <w:pStyle w:val="TableContents"/>
              <w:spacing w:before="0" w:after="0"/>
              <w:jc w:val="left"/>
              <w:rPr>
                <w:rFonts w:ascii="Times New Roman" w:hAnsi="Times New Roman"/>
                <w:spacing w:val="0"/>
                <w:sz w:val="20"/>
              </w:rPr>
            </w:pPr>
            <w:r>
              <w:rPr>
                <w:rFonts w:ascii="Times New Roman" w:hAnsi="Times New Roman"/>
                <w:spacing w:val="0"/>
                <w:sz w:val="20"/>
              </w:rPr>
              <w:t>split-ups,</w:t>
            </w:r>
          </w:p>
          <w:p>
            <w:pPr>
              <w:pStyle w:val="TableContents"/>
              <w:spacing w:before="0" w:after="0"/>
              <w:jc w:val="left"/>
              <w:rPr>
                <w:rFonts w:ascii="Times New Roman" w:hAnsi="Times New Roman"/>
                <w:sz w:val="20"/>
              </w:rPr>
            </w:pPr>
            <w:r>
              <w:rPr>
                <w:rFonts w:ascii="Times New Roman" w:hAnsi="Times New Roman"/>
                <w:sz w:val="20"/>
              </w:rPr>
              <w:t xml:space="preserve">dividends, and the like) on each of 20 trading days within any 30 trading day period ending on the third business day prior to the date on which redemption notice is given.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F-56 </w:t>
      </w:r>
    </w:p>
    <w:p>
      <w:pPr>
        <w:pStyle w:val="HorizontalLine"/>
        <w:rPr/>
      </w:pPr>
      <w:r>
        <w:rPr/>
      </w:r>
    </w:p>
    <w:p>
      <w:pPr>
        <w:pStyle w:val="TextBody"/>
        <w:spacing w:before="0" w:after="0"/>
        <w:rPr/>
      </w:pPr>
      <w:hyperlink w:anchor="toc">
        <w:r>
          <w:rPr>
            <w:rStyle w:val="InternetLink"/>
            <w:highlight w:val="white"/>
          </w:rPr>
          <w:t>Table of Contents</w:t>
        </w:r>
      </w:hyperlink>
    </w:p>
    <w:tbl>
      <w:tblPr>
        <w:tblW w:w="8245" w:type="dxa"/>
        <w:jc w:val="left"/>
        <w:tblInd w:w="0" w:type="dxa"/>
        <w:tblCellMar>
          <w:top w:w="0" w:type="dxa"/>
          <w:left w:w="0" w:type="dxa"/>
          <w:bottom w:w="0" w:type="dxa"/>
          <w:right w:w="0" w:type="dxa"/>
        </w:tblCellMar>
      </w:tblPr>
      <w:tblGrid>
        <w:gridCol w:w="75"/>
        <w:gridCol w:w="110"/>
        <w:gridCol w:w="60"/>
        <w:gridCol w:w="8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Group may require the conversion of all of the outstanding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into Class A Shares in Parent on a cashless basis beginning on October 24, 2022, provided: </w:t>
            </w:r>
          </w:p>
        </w:tc>
      </w:tr>
    </w:tbl>
    <w:p>
      <w:pPr>
        <w:pStyle w:val="TextBody"/>
        <w:spacing w:before="0" w:after="0"/>
        <w:jc w:val="left"/>
        <w:rPr>
          <w:highlight w:val="white"/>
        </w:rPr>
      </w:pPr>
      <w:r>
        <w:rPr>
          <w:highlight w:val="white"/>
        </w:rPr>
        <w:t> </w:t>
      </w:r>
    </w:p>
    <w:tbl>
      <w:tblPr>
        <w:tblW w:w="8560" w:type="dxa"/>
        <w:jc w:val="left"/>
        <w:tblInd w:w="0" w:type="dxa"/>
        <w:tblCellMar>
          <w:top w:w="0" w:type="dxa"/>
          <w:left w:w="0" w:type="dxa"/>
          <w:bottom w:w="0" w:type="dxa"/>
          <w:right w:w="0" w:type="dxa"/>
        </w:tblCellMar>
      </w:tblPr>
      <w:tblGrid>
        <w:gridCol w:w="75"/>
        <w:gridCol w:w="110"/>
        <w:gridCol w:w="60"/>
        <w:gridCol w:w="8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that the last reported price of the Class A Shares in Parent was at least $10.00 per share (as adjusted for </w:t>
            </w:r>
          </w:p>
          <w:p>
            <w:pPr>
              <w:pStyle w:val="TableContents"/>
              <w:spacing w:before="0" w:after="0"/>
              <w:jc w:val="left"/>
              <w:rPr>
                <w:rFonts w:ascii="Times New Roman" w:hAnsi="Times New Roman"/>
                <w:spacing w:val="0"/>
                <w:sz w:val="20"/>
              </w:rPr>
            </w:pPr>
            <w:r>
              <w:rPr>
                <w:rFonts w:ascii="Times New Roman" w:hAnsi="Times New Roman"/>
                <w:spacing w:val="0"/>
                <w:sz w:val="20"/>
              </w:rPr>
              <w:t>split-ups,</w:t>
            </w:r>
          </w:p>
          <w:p>
            <w:pPr>
              <w:pStyle w:val="TableContents"/>
              <w:spacing w:before="0" w:after="0"/>
              <w:jc w:val="left"/>
              <w:rPr>
                <w:rFonts w:ascii="Times New Roman" w:hAnsi="Times New Roman"/>
                <w:sz w:val="20"/>
              </w:rPr>
            </w:pPr>
            <w:r>
              <w:rPr>
                <w:rFonts w:ascii="Times New Roman" w:hAnsi="Times New Roman"/>
                <w:sz w:val="20"/>
              </w:rPr>
              <w:t xml:space="preserve">dividends, and the like) on the trading day prior to the date on which redemption notice is given, </w:t>
            </w:r>
          </w:p>
        </w:tc>
      </w:tr>
    </w:tbl>
    <w:p>
      <w:pPr>
        <w:pStyle w:val="TextBody"/>
        <w:spacing w:before="0" w:after="0"/>
        <w:jc w:val="left"/>
        <w:rPr>
          <w:highlight w:val="white"/>
        </w:rPr>
      </w:pPr>
      <w:r>
        <w:rPr>
          <w:highlight w:val="white"/>
        </w:rPr>
        <w:t> </w:t>
      </w:r>
    </w:p>
    <w:tbl>
      <w:tblPr>
        <w:tblW w:w="4975" w:type="dxa"/>
        <w:jc w:val="left"/>
        <w:tblInd w:w="0" w:type="dxa"/>
        <w:tblCellMar>
          <w:top w:w="0" w:type="dxa"/>
          <w:left w:w="0" w:type="dxa"/>
          <w:bottom w:w="0" w:type="dxa"/>
          <w:right w:w="0" w:type="dxa"/>
        </w:tblCellMar>
      </w:tblPr>
      <w:tblGrid>
        <w:gridCol w:w="75"/>
        <w:gridCol w:w="110"/>
        <w:gridCol w:w="60"/>
        <w:gridCol w:w="4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t>
            </w:r>
          </w:p>
          <w:p>
            <w:pPr>
              <w:pStyle w:val="TableContents"/>
              <w:spacing w:before="0" w:after="0"/>
              <w:jc w:val="left"/>
              <w:rPr>
                <w:rFonts w:ascii="Times New Roman" w:hAnsi="Times New Roman"/>
                <w:spacing w:val="0"/>
                <w:sz w:val="20"/>
              </w:rPr>
            </w:pPr>
            <w:r>
              <w:rPr>
                <w:rFonts w:ascii="Times New Roman" w:hAnsi="Times New Roman"/>
                <w:spacing w:val="0"/>
                <w:sz w:val="20"/>
              </w:rPr>
              <w:t>Class C-2</w:t>
            </w:r>
          </w:p>
          <w:p>
            <w:pPr>
              <w:pStyle w:val="TableContents"/>
              <w:spacing w:before="0" w:after="0"/>
              <w:jc w:val="left"/>
              <w:rPr>
                <w:rFonts w:ascii="Times New Roman" w:hAnsi="Times New Roman"/>
                <w:sz w:val="20"/>
              </w:rPr>
            </w:pPr>
            <w:r>
              <w:rPr>
                <w:rFonts w:ascii="Times New Roman" w:hAnsi="Times New Roman"/>
                <w:sz w:val="20"/>
              </w:rPr>
              <w:t xml:space="preserve">Shares are converted on the same basis as the outstanding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there is an effective registration statement covering the Class A Shares in Parent arising upon conversion of the Class C Shares is available for 30 days prior to the date the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are redeemed by the Group.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may be exercised, on a cash or cashless basis at any time after a notice of redemption shall have been given by the Group and prior to the date the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are redeemed by the Group.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Shares are identical to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Shares, except that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Shares: </w:t>
      </w:r>
    </w:p>
    <w:p>
      <w:pPr>
        <w:pStyle w:val="TextBody"/>
        <w:spacing w:before="0" w:after="0"/>
        <w:jc w:val="left"/>
        <w:rPr>
          <w:highlight w:val="white"/>
        </w:rPr>
      </w:pPr>
      <w:r>
        <w:rPr>
          <w:highlight w:val="white"/>
        </w:rPr>
        <w:t> </w:t>
      </w:r>
    </w:p>
    <w:tbl>
      <w:tblPr>
        <w:tblW w:w="9460" w:type="dxa"/>
        <w:jc w:val="left"/>
        <w:tblInd w:w="0" w:type="dxa"/>
        <w:tblCellMar>
          <w:top w:w="0" w:type="dxa"/>
          <w:left w:w="0" w:type="dxa"/>
          <w:bottom w:w="0" w:type="dxa"/>
          <w:right w:w="0" w:type="dxa"/>
        </w:tblCellMar>
      </w:tblPr>
      <w:tblGrid>
        <w:gridCol w:w="75"/>
        <w:gridCol w:w="110"/>
        <w:gridCol w:w="60"/>
        <w:gridCol w:w="92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are not redeemable by the Group as long as they are held by certain GGI investors and their permitted transferees; </w:t>
            </w:r>
          </w:p>
        </w:tc>
      </w:tr>
    </w:tbl>
    <w:p>
      <w:pPr>
        <w:pStyle w:val="TextBody"/>
        <w:spacing w:before="0" w:after="0"/>
        <w:jc w:val="left"/>
        <w:rPr>
          <w:highlight w:val="white"/>
        </w:rPr>
      </w:pPr>
      <w:r>
        <w:rPr>
          <w:highlight w:val="white"/>
        </w:rPr>
        <w:t> </w:t>
      </w:r>
    </w:p>
    <w:tbl>
      <w:tblPr>
        <w:tblW w:w="8965" w:type="dxa"/>
        <w:jc w:val="left"/>
        <w:tblInd w:w="0" w:type="dxa"/>
        <w:tblCellMar>
          <w:top w:w="0" w:type="dxa"/>
          <w:left w:w="0" w:type="dxa"/>
          <w:bottom w:w="0" w:type="dxa"/>
          <w:right w:w="0" w:type="dxa"/>
        </w:tblCellMar>
      </w:tblPr>
      <w:tblGrid>
        <w:gridCol w:w="75"/>
        <w:gridCol w:w="110"/>
        <w:gridCol w:w="60"/>
        <w:gridCol w:w="87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automatically convert to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if they are transferred to individuals other than certain GGI investors and their permitted transferees; </w:t>
            </w:r>
          </w:p>
        </w:tc>
      </w:tr>
    </w:tbl>
    <w:p>
      <w:pPr>
        <w:pStyle w:val="TextBody"/>
        <w:spacing w:before="0" w:after="0"/>
        <w:jc w:val="left"/>
        <w:rPr>
          <w:highlight w:val="white"/>
        </w:rPr>
      </w:pPr>
      <w:r>
        <w:rPr>
          <w:highlight w:val="white"/>
        </w:rPr>
        <w:t> </w:t>
      </w:r>
    </w:p>
    <w:tbl>
      <w:tblPr>
        <w:tblW w:w="5860" w:type="dxa"/>
        <w:jc w:val="left"/>
        <w:tblInd w:w="0" w:type="dxa"/>
        <w:tblCellMar>
          <w:top w:w="0" w:type="dxa"/>
          <w:left w:w="0" w:type="dxa"/>
          <w:bottom w:w="0" w:type="dxa"/>
          <w:right w:w="0" w:type="dxa"/>
        </w:tblCellMar>
      </w:tblPr>
      <w:tblGrid>
        <w:gridCol w:w="75"/>
        <w:gridCol w:w="110"/>
        <w:gridCol w:w="60"/>
        <w:gridCol w:w="5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may be converted to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at any time by the holder upon notification to the Group; and </w:t>
            </w:r>
          </w:p>
        </w:tc>
      </w:tr>
    </w:tbl>
    <w:p>
      <w:pPr>
        <w:pStyle w:val="TextBody"/>
        <w:spacing w:before="0" w:after="0"/>
        <w:jc w:val="left"/>
        <w:rPr>
          <w:highlight w:val="white"/>
        </w:rPr>
      </w:pPr>
      <w:r>
        <w:rPr>
          <w:highlight w:val="white"/>
        </w:rPr>
        <w:t> </w:t>
      </w:r>
    </w:p>
    <w:tbl>
      <w:tblPr>
        <w:tblW w:w="4240" w:type="dxa"/>
        <w:jc w:val="left"/>
        <w:tblInd w:w="0" w:type="dxa"/>
        <w:tblCellMar>
          <w:top w:w="0" w:type="dxa"/>
          <w:left w:w="0" w:type="dxa"/>
          <w:bottom w:w="0" w:type="dxa"/>
          <w:right w:w="0" w:type="dxa"/>
        </w:tblCellMar>
      </w:tblPr>
      <w:tblGrid>
        <w:gridCol w:w="75"/>
        <w:gridCol w:w="110"/>
        <w:gridCol w:w="60"/>
        <w:gridCol w:w="3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are exercisable on a cashless basis by the holder.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applied the provisions of IAS 32, </w:t>
      </w:r>
    </w:p>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Financial Instruments: Presentation</w:t>
      </w:r>
    </w:p>
    <w:p>
      <w:pPr>
        <w:pStyle w:val="TextBody"/>
        <w:spacing w:before="240" w:after="0"/>
        <w:jc w:val="left"/>
        <w:rPr>
          <w:rFonts w:ascii="Times New Roman" w:hAnsi="Times New Roman"/>
          <w:sz w:val="20"/>
          <w:highlight w:val="white"/>
        </w:rPr>
      </w:pPr>
      <w:r>
        <w:rPr>
          <w:rFonts w:ascii="Times New Roman" w:hAnsi="Times New Roman"/>
          <w:sz w:val="20"/>
          <w:highlight w:val="white"/>
        </w:rPr>
        <w:t>(“IAS 32”)</w:t>
      </w:r>
    </w:p>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and IFRS 9, </w:t>
      </w:r>
    </w:p>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Financial Instruments</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(“IFRS 9”), in accounting for the Class C Shares. Under IAS 32 and IFRS 9, the Class C Shares failed to meet the definition of equity because they could result in the issuance of a variable number of Class A Shares in the Parent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recognized in the Consolidated Statement of Loss and Comprehensive Loss at each reporting date. </w:t>
      </w:r>
    </w:p>
    <w:p>
      <w:pPr>
        <w:pStyle w:val="TextBody"/>
        <w:spacing w:before="0" w:after="0"/>
        <w:jc w:val="left"/>
        <w:rPr>
          <w:highlight w:val="white"/>
        </w:rPr>
      </w:pPr>
      <w:r>
        <w:rPr>
          <w:highlight w:val="white"/>
        </w:rPr>
        <w:t> </w:t>
      </w:r>
    </w:p>
    <w:tbl>
      <w:tblPr>
        <w:tblW w:w="4525" w:type="dxa"/>
        <w:jc w:val="left"/>
        <w:tblInd w:w="0" w:type="dxa"/>
        <w:tblCellMar>
          <w:top w:w="0" w:type="dxa"/>
          <w:left w:w="0" w:type="dxa"/>
          <w:bottom w:w="0" w:type="dxa"/>
          <w:right w:w="0" w:type="dxa"/>
        </w:tblCellMar>
      </w:tblPr>
      <w:tblGrid>
        <w:gridCol w:w="1790"/>
        <w:gridCol w:w="120"/>
        <w:gridCol w:w="205"/>
        <w:gridCol w:w="2335"/>
        <w:gridCol w:w="75"/>
      </w:tblGrid>
      <w:tr>
        <w:trPr/>
        <w:tc>
          <w:tcPr>
            <w:tcW w:w="1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 2022</w:t>
            </w:r>
          </w:p>
        </w:tc>
        <w:tc>
          <w:tcPr>
            <w:tcW w:w="75" w:type="dxa"/>
            <w:tcBorders/>
            <w:shd w:fill="auto" w:val="clear"/>
            <w:vAlign w:val="center"/>
          </w:tcPr>
          <w:p>
            <w:pPr>
              <w:pStyle w:val="TableContents"/>
              <w:spacing w:before="0" w:after="283"/>
              <w:rPr/>
            </w:pPr>
            <w:r>
              <w:rPr/>
              <w:t> </w:t>
            </w:r>
          </w:p>
        </w:tc>
      </w:tr>
      <w:tr>
        <w:trPr/>
        <w:tc>
          <w:tcPr>
            <w:tcW w:w="1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C-1</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 </w:t>
            </w:r>
          </w:p>
        </w:tc>
        <w:tc>
          <w:tcPr>
            <w:tcW w:w="2335" w:type="dxa"/>
            <w:tcBorders/>
            <w:shd w:fill="CCEEFF" w:val="clear"/>
            <w:vAlign w:val="center"/>
          </w:tcPr>
          <w:p>
            <w:pPr>
              <w:pStyle w:val="TableContents"/>
              <w:spacing w:before="0" w:after="283"/>
              <w:jc w:val="right"/>
              <w:rPr/>
            </w:pPr>
            <w:r>
              <w:rPr/>
              <w:t>17,920</w:t>
            </w:r>
          </w:p>
        </w:tc>
        <w:tc>
          <w:tcPr>
            <w:tcW w:w="75" w:type="dxa"/>
            <w:tcBorders/>
            <w:shd w:fill="CCEEFF"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C-2</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2335" w:type="dxa"/>
            <w:tcBorders/>
            <w:shd w:fill="auto" w:val="clear"/>
            <w:vAlign w:val="center"/>
          </w:tcPr>
          <w:p>
            <w:pPr>
              <w:pStyle w:val="TableContents"/>
              <w:spacing w:before="0" w:after="283"/>
              <w:jc w:val="right"/>
              <w:rPr/>
            </w:pPr>
            <w:r>
              <w:rPr/>
              <w:t>10,080</w:t>
            </w:r>
          </w:p>
        </w:tc>
        <w:tc>
          <w:tcPr>
            <w:tcW w:w="75"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bdr w:val="single" w:sz="2" w:space="1" w:color="000000"/>
              </w:rPr>
            </w:pPr>
            <w:r>
              <w:rPr>
                <w:bdr w:val="single" w:sz="2" w:space="1" w:color="000000"/>
              </w:rPr>
              <w:t> </w:t>
            </w:r>
          </w:p>
        </w:tc>
        <w:tc>
          <w:tcPr>
            <w:tcW w:w="233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Class C Shares</w:t>
            </w:r>
          </w:p>
        </w:tc>
        <w:tc>
          <w:tcPr>
            <w:tcW w:w="12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0"/>
              <w:rPr>
                <w:spacing w:val="0"/>
              </w:rPr>
            </w:pPr>
            <w:r>
              <w:rPr>
                <w:spacing w:val="0"/>
              </w:rPr>
              <w:t> </w:t>
            </w:r>
          </w:p>
        </w:tc>
        <w:tc>
          <w:tcPr>
            <w:tcW w:w="2335" w:type="dxa"/>
            <w:tcBorders/>
            <w:shd w:fill="CCEEFF" w:val="clear"/>
            <w:vAlign w:val="center"/>
          </w:tcPr>
          <w:p>
            <w:pPr>
              <w:pStyle w:val="TableContents"/>
              <w:spacing w:before="0" w:after="0"/>
              <w:jc w:val="right"/>
              <w:rPr>
                <w:b/>
                <w:spacing w:val="0"/>
              </w:rPr>
            </w:pPr>
            <w:r>
              <w:rPr>
                <w:b/>
                <w:spacing w:val="0"/>
              </w:rPr>
              <w:t>28,000</w:t>
            </w:r>
          </w:p>
        </w:tc>
        <w:tc>
          <w:tcPr>
            <w:tcW w:w="75" w:type="dxa"/>
            <w:tcBorders/>
            <w:shd w:fill="CCEEFF"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bdr w:val="single" w:sz="2" w:space="1" w:color="000000"/>
              </w:rPr>
            </w:pPr>
            <w:r>
              <w:rPr>
                <w:bdr w:val="single" w:sz="2" w:space="1" w:color="000000"/>
              </w:rPr>
              <w:t> </w:t>
            </w:r>
          </w:p>
        </w:tc>
        <w:tc>
          <w:tcPr>
            <w:tcW w:w="2335"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Shares are publicly traded on the Nasdaq (i.e., Level 1 input) and the closing share price of the GGI Public Warrants on June 23, 2022 was used to measure their fair value upon initial recognition, at which time the 15,999,965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Shares had a fair value of $40,320. On December 31, 2022, the fair value of the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Shares was remeasured at $17,920, for a total unrealized gain related to the change in fair value of $22,400. </w:t>
      </w:r>
    </w:p>
    <w:p>
      <w:pPr>
        <w:pStyle w:val="TextBody"/>
        <w:spacing w:before="0" w:after="0"/>
        <w:jc w:val="left"/>
        <w:rPr>
          <w:highlight w:val="white"/>
        </w:rPr>
      </w:pPr>
      <w:r>
        <w:rPr>
          <w:highlight w:val="white"/>
        </w:rPr>
        <w:t> </w:t>
      </w:r>
    </w:p>
    <w:tbl>
      <w:tblPr>
        <w:tblW w:w="4829" w:type="dxa"/>
        <w:jc w:val="left"/>
        <w:tblInd w:w="0" w:type="dxa"/>
        <w:tblCellMar>
          <w:top w:w="0" w:type="dxa"/>
          <w:left w:w="0" w:type="dxa"/>
          <w:bottom w:w="0" w:type="dxa"/>
          <w:right w:w="0" w:type="dxa"/>
        </w:tblCellMar>
      </w:tblPr>
      <w:tblGrid>
        <w:gridCol w:w="2795"/>
        <w:gridCol w:w="120"/>
        <w:gridCol w:w="127"/>
        <w:gridCol w:w="1617"/>
        <w:gridCol w:w="170"/>
      </w:tblGrid>
      <w:tr>
        <w:trPr/>
        <w:tc>
          <w:tcPr>
            <w:tcW w:w="2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C-1 Shares</w:t>
            </w:r>
          </w:p>
        </w:tc>
        <w:tc>
          <w:tcPr>
            <w:tcW w:w="170"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 of January 1, 2022</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617"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C-1</w:t>
            </w:r>
          </w:p>
          <w:p>
            <w:pPr>
              <w:pStyle w:val="TableContents"/>
              <w:spacing w:before="0" w:after="0"/>
              <w:rPr>
                <w:rFonts w:ascii="Times New Roman" w:hAnsi="Times New Roman"/>
                <w:sz w:val="20"/>
              </w:rPr>
            </w:pPr>
            <w:r>
              <w:rPr>
                <w:rFonts w:ascii="Times New Roman" w:hAnsi="Times New Roman"/>
                <w:sz w:val="20"/>
              </w:rPr>
              <w:t>Shares issued</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617" w:type="dxa"/>
            <w:tcBorders/>
            <w:shd w:fill="auto" w:val="clear"/>
            <w:vAlign w:val="center"/>
          </w:tcPr>
          <w:p>
            <w:pPr>
              <w:pStyle w:val="TableContents"/>
              <w:spacing w:before="0" w:after="283"/>
              <w:jc w:val="right"/>
              <w:rPr/>
            </w:pPr>
            <w:r>
              <w:rPr/>
              <w:t>40,320</w:t>
            </w:r>
          </w:p>
        </w:tc>
        <w:tc>
          <w:tcPr>
            <w:tcW w:w="170"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fair value measurement</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617" w:type="dxa"/>
            <w:tcBorders/>
            <w:shd w:fill="CCEEFF" w:val="clear"/>
            <w:vAlign w:val="center"/>
          </w:tcPr>
          <w:p>
            <w:pPr>
              <w:pStyle w:val="TableContents"/>
              <w:spacing w:before="0" w:after="283"/>
              <w:jc w:val="right"/>
              <w:rPr/>
            </w:pPr>
            <w:r>
              <w:rPr/>
              <w:t>(22,400</w:t>
            </w:r>
          </w:p>
        </w:tc>
        <w:tc>
          <w:tcPr>
            <w:tcW w:w="170" w:type="dxa"/>
            <w:tcBorders/>
            <w:shd w:fill="CCEEFF"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0"/>
              <w:rPr>
                <w:bdr w:val="single" w:sz="2" w:space="1" w:color="000000"/>
              </w:rPr>
            </w:pPr>
            <w:r>
              <w:rPr>
                <w:bdr w:val="single" w:sz="2" w:space="1" w:color="000000"/>
              </w:rPr>
              <w:t> </w:t>
            </w:r>
          </w:p>
        </w:tc>
        <w:tc>
          <w:tcPr>
            <w:tcW w:w="1617"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As of December 31, 2022</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0"/>
              <w:rPr>
                <w:spacing w:val="0"/>
              </w:rPr>
            </w:pPr>
            <w:r>
              <w:rPr>
                <w:spacing w:val="0"/>
              </w:rPr>
              <w:t> </w:t>
            </w:r>
          </w:p>
        </w:tc>
        <w:tc>
          <w:tcPr>
            <w:tcW w:w="1617" w:type="dxa"/>
            <w:tcBorders/>
            <w:shd w:fill="auto" w:val="clear"/>
            <w:vAlign w:val="center"/>
          </w:tcPr>
          <w:p>
            <w:pPr>
              <w:pStyle w:val="TableContents"/>
              <w:spacing w:before="0" w:after="0"/>
              <w:jc w:val="right"/>
              <w:rPr>
                <w:b/>
                <w:spacing w:val="0"/>
              </w:rPr>
            </w:pPr>
            <w:r>
              <w:rPr>
                <w:b/>
                <w:spacing w:val="0"/>
              </w:rPr>
              <w:t>17,920</w:t>
            </w:r>
          </w:p>
        </w:tc>
        <w:tc>
          <w:tcPr>
            <w:tcW w:w="170"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0"/>
              <w:rPr>
                <w:bdr w:val="single" w:sz="2" w:space="1" w:color="000000"/>
              </w:rPr>
            </w:pPr>
            <w:r>
              <w:rPr>
                <w:bdr w:val="single" w:sz="2" w:space="1" w:color="000000"/>
              </w:rPr>
              <w:t> </w:t>
            </w:r>
          </w:p>
        </w:tc>
        <w:tc>
          <w:tcPr>
            <w:tcW w:w="1617"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F-57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9,000,000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had a fair value as of June 23, 2022, of $22,770. On December 31, 2022, the fair value of the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was remeasured at $10,080, for a total gain related to the change in fair value of $12,690. The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are not publicly traded and require a valuation approach leveraging Level 2 inputs. Refer to Note 1 - Significant accounting policies and judgements for further details on the valuation methodology utilized to determine the fair value of the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w:t>
      </w:r>
    </w:p>
    <w:p>
      <w:pPr>
        <w:pStyle w:val="TextBody"/>
        <w:spacing w:before="0" w:after="0"/>
        <w:jc w:val="left"/>
        <w:rPr>
          <w:highlight w:val="white"/>
        </w:rPr>
      </w:pPr>
      <w:r>
        <w:rPr>
          <w:highlight w:val="white"/>
        </w:rPr>
        <w:t> </w:t>
      </w:r>
    </w:p>
    <w:tbl>
      <w:tblPr>
        <w:tblW w:w="4829" w:type="dxa"/>
        <w:jc w:val="left"/>
        <w:tblInd w:w="0" w:type="dxa"/>
        <w:tblCellMar>
          <w:top w:w="0" w:type="dxa"/>
          <w:left w:w="0" w:type="dxa"/>
          <w:bottom w:w="0" w:type="dxa"/>
          <w:right w:w="0" w:type="dxa"/>
        </w:tblCellMar>
      </w:tblPr>
      <w:tblGrid>
        <w:gridCol w:w="2795"/>
        <w:gridCol w:w="120"/>
        <w:gridCol w:w="127"/>
        <w:gridCol w:w="1617"/>
        <w:gridCol w:w="170"/>
      </w:tblGrid>
      <w:tr>
        <w:trPr/>
        <w:tc>
          <w:tcPr>
            <w:tcW w:w="2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C-2 Shares</w:t>
            </w:r>
          </w:p>
        </w:tc>
        <w:tc>
          <w:tcPr>
            <w:tcW w:w="170"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 of January 1, 2022</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617"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C-2</w:t>
            </w:r>
          </w:p>
          <w:p>
            <w:pPr>
              <w:pStyle w:val="TableContents"/>
              <w:spacing w:before="0" w:after="0"/>
              <w:rPr>
                <w:rFonts w:ascii="Times New Roman" w:hAnsi="Times New Roman"/>
                <w:sz w:val="20"/>
              </w:rPr>
            </w:pPr>
            <w:r>
              <w:rPr>
                <w:rFonts w:ascii="Times New Roman" w:hAnsi="Times New Roman"/>
                <w:sz w:val="20"/>
              </w:rPr>
              <w:t>Shares issued</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617" w:type="dxa"/>
            <w:tcBorders/>
            <w:shd w:fill="auto" w:val="clear"/>
            <w:vAlign w:val="center"/>
          </w:tcPr>
          <w:p>
            <w:pPr>
              <w:pStyle w:val="TableContents"/>
              <w:spacing w:before="0" w:after="283"/>
              <w:jc w:val="right"/>
              <w:rPr/>
            </w:pPr>
            <w:r>
              <w:rPr/>
              <w:t>22,770</w:t>
            </w:r>
          </w:p>
        </w:tc>
        <w:tc>
          <w:tcPr>
            <w:tcW w:w="170"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fair value measurement</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1617" w:type="dxa"/>
            <w:tcBorders/>
            <w:shd w:fill="CCEEFF" w:val="clear"/>
            <w:vAlign w:val="center"/>
          </w:tcPr>
          <w:p>
            <w:pPr>
              <w:pStyle w:val="TableContents"/>
              <w:spacing w:before="0" w:after="283"/>
              <w:jc w:val="right"/>
              <w:rPr/>
            </w:pPr>
            <w:r>
              <w:rPr/>
              <w:t>(12,690</w:t>
            </w:r>
          </w:p>
        </w:tc>
        <w:tc>
          <w:tcPr>
            <w:tcW w:w="170" w:type="dxa"/>
            <w:tcBorders/>
            <w:shd w:fill="CCEEFF"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0"/>
              <w:rPr>
                <w:bdr w:val="single" w:sz="2" w:space="1" w:color="000000"/>
              </w:rPr>
            </w:pPr>
            <w:r>
              <w:rPr>
                <w:bdr w:val="single" w:sz="2" w:space="1" w:color="000000"/>
              </w:rPr>
              <w:t> </w:t>
            </w:r>
          </w:p>
        </w:tc>
        <w:tc>
          <w:tcPr>
            <w:tcW w:w="1617"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As of December 31, 2022</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0"/>
              <w:rPr>
                <w:spacing w:val="0"/>
              </w:rPr>
            </w:pPr>
            <w:r>
              <w:rPr>
                <w:spacing w:val="0"/>
              </w:rPr>
              <w:t> </w:t>
            </w:r>
          </w:p>
        </w:tc>
        <w:tc>
          <w:tcPr>
            <w:tcW w:w="1617" w:type="dxa"/>
            <w:tcBorders/>
            <w:shd w:fill="auto" w:val="clear"/>
            <w:vAlign w:val="center"/>
          </w:tcPr>
          <w:p>
            <w:pPr>
              <w:pStyle w:val="TableContents"/>
              <w:spacing w:before="0" w:after="0"/>
              <w:jc w:val="right"/>
              <w:rPr>
                <w:b/>
                <w:spacing w:val="0"/>
              </w:rPr>
            </w:pPr>
            <w:r>
              <w:rPr>
                <w:b/>
                <w:spacing w:val="0"/>
              </w:rPr>
              <w:t>10,080</w:t>
            </w:r>
          </w:p>
        </w:tc>
        <w:tc>
          <w:tcPr>
            <w:tcW w:w="170"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0"/>
              <w:rPr>
                <w:bdr w:val="single" w:sz="2" w:space="1" w:color="000000"/>
              </w:rPr>
            </w:pPr>
            <w:r>
              <w:rPr>
                <w:bdr w:val="single" w:sz="2" w:space="1" w:color="000000"/>
              </w:rPr>
              <w:t> </w:t>
            </w:r>
          </w:p>
        </w:tc>
        <w:tc>
          <w:tcPr>
            <w:tcW w:w="1617"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fair value change for Class C Shares are as follows: </w:t>
      </w:r>
    </w:p>
    <w:p>
      <w:pPr>
        <w:pStyle w:val="TextBody"/>
        <w:spacing w:before="0" w:after="0"/>
        <w:jc w:val="left"/>
        <w:rPr>
          <w:highlight w:val="white"/>
        </w:rPr>
      </w:pPr>
      <w:r>
        <w:rPr>
          <w:highlight w:val="white"/>
        </w:rPr>
        <w:t> </w:t>
      </w:r>
    </w:p>
    <w:tbl>
      <w:tblPr>
        <w:tblW w:w="5255" w:type="dxa"/>
        <w:jc w:val="left"/>
        <w:tblInd w:w="0" w:type="dxa"/>
        <w:tblCellMar>
          <w:top w:w="0" w:type="dxa"/>
          <w:left w:w="0" w:type="dxa"/>
          <w:bottom w:w="0" w:type="dxa"/>
          <w:right w:w="0" w:type="dxa"/>
        </w:tblCellMar>
      </w:tblPr>
      <w:tblGrid>
        <w:gridCol w:w="2960"/>
        <w:gridCol w:w="120"/>
        <w:gridCol w:w="60"/>
        <w:gridCol w:w="680"/>
        <w:gridCol w:w="60"/>
        <w:gridCol w:w="120"/>
        <w:gridCol w:w="68"/>
        <w:gridCol w:w="432"/>
        <w:gridCol w:w="60"/>
        <w:gridCol w:w="120"/>
        <w:gridCol w:w="68"/>
        <w:gridCol w:w="432"/>
        <w:gridCol w:w="75"/>
      </w:tblGrid>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w:t>
              <w:br/>
              <w:t>December 31,</w:t>
            </w:r>
          </w:p>
        </w:tc>
        <w:tc>
          <w:tcPr>
            <w:tcW w:w="75"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Fair value change - </w:t>
            </w:r>
          </w:p>
          <w:p>
            <w:pPr>
              <w:pStyle w:val="TableContents"/>
              <w:spacing w:before="0" w:after="0"/>
              <w:rPr>
                <w:rFonts w:ascii="Times New Roman" w:hAnsi="Times New Roman"/>
                <w:spacing w:val="0"/>
                <w:sz w:val="20"/>
              </w:rPr>
            </w:pPr>
            <w:r>
              <w:rPr>
                <w:rFonts w:ascii="Times New Roman" w:hAnsi="Times New Roman"/>
                <w:spacing w:val="0"/>
                <w:sz w:val="20"/>
              </w:rPr>
              <w:t>Class C-1</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22,400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Fair value change - </w:t>
            </w:r>
          </w:p>
          <w:p>
            <w:pPr>
              <w:pStyle w:val="TableContents"/>
              <w:spacing w:before="0" w:after="0"/>
              <w:rPr>
                <w:rFonts w:ascii="Times New Roman" w:hAnsi="Times New Roman"/>
                <w:spacing w:val="0"/>
                <w:sz w:val="20"/>
              </w:rPr>
            </w:pPr>
            <w:r>
              <w:rPr>
                <w:rFonts w:ascii="Times New Roman" w:hAnsi="Times New Roman"/>
                <w:spacing w:val="0"/>
                <w:sz w:val="20"/>
              </w:rPr>
              <w:t>Class C-2</w:t>
            </w:r>
          </w:p>
          <w:p>
            <w:pPr>
              <w:pStyle w:val="TableContents"/>
              <w:spacing w:before="0" w:after="0"/>
              <w:rPr>
                <w:rFonts w:ascii="Times New Roman" w:hAnsi="Times New Roman"/>
                <w:sz w:val="20"/>
              </w:rPr>
            </w:pPr>
            <w:r>
              <w:rPr>
                <w:rFonts w:ascii="Times New Roman" w:hAnsi="Times New Roman"/>
                <w:sz w:val="20"/>
              </w:rPr>
              <w:t>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12,690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43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43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Fair value change - Class C Shares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35,090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spacing w:val="0"/>
              </w:rPr>
            </w:pPr>
            <w:r>
              <w:rPr>
                <w:spacing w:val="0"/>
              </w:rPr>
              <w:t> </w:t>
            </w:r>
          </w:p>
        </w:tc>
        <w:tc>
          <w:tcPr>
            <w:tcW w:w="432"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0"/>
              <w:rPr>
                <w:spacing w:val="0"/>
              </w:rPr>
            </w:pPr>
            <w:r>
              <w:rPr>
                <w:spacing w:val="0"/>
              </w:rPr>
              <w:t> </w:t>
            </w:r>
          </w:p>
        </w:tc>
        <w:tc>
          <w:tcPr>
            <w:tcW w:w="432" w:type="dxa"/>
            <w:tcBorders/>
            <w:shd w:fill="CCEEFF" w:val="clear"/>
            <w:vAlign w:val="center"/>
          </w:tcPr>
          <w:p>
            <w:pPr>
              <w:pStyle w:val="TableContents"/>
              <w:spacing w:before="0" w:after="0"/>
              <w:jc w:val="right"/>
              <w:rPr>
                <w:spacing w:val="0"/>
              </w:rPr>
            </w:pPr>
            <w:r>
              <w:rPr>
                <w:spacing w:val="0"/>
              </w:rPr>
              <w:t>—  </w:t>
            </w:r>
          </w:p>
        </w:tc>
        <w:tc>
          <w:tcPr>
            <w:tcW w:w="75" w:type="dxa"/>
            <w:tcBorders/>
            <w:shd w:fill="CCEEFF" w:val="clear"/>
            <w:vAlign w:val="center"/>
          </w:tcPr>
          <w:p>
            <w:pPr>
              <w:pStyle w:val="TableContents"/>
              <w:spacing w:before="0" w:after="0"/>
              <w:rPr>
                <w:spacing w:val="0"/>
              </w:rPr>
            </w:pPr>
            <w:r>
              <w:rPr>
                <w:spacing w:val="0"/>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43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0"/>
              <w:rPr>
                <w:bdr w:val="single" w:sz="2" w:space="1" w:color="000000"/>
              </w:rPr>
            </w:pPr>
            <w:r>
              <w:rPr>
                <w:bdr w:val="single" w:sz="2" w:space="1" w:color="000000"/>
              </w:rPr>
              <w:t> </w:t>
            </w:r>
          </w:p>
        </w:tc>
        <w:tc>
          <w:tcPr>
            <w:tcW w:w="43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Earn-out</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rights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the Closing of the BCA, the Former Parent (or the shareholders of the Former Parent if the Former Parent is dissolved or liquidated) was issued a contingent right to receive earn outs of up to 24,078,638 Class A Shares and 134,098,971 Class B Shares in Parent, issuable in five tranches that each comprise 4,815,728 Class A Shares and 26,819,794 Class B Shares in Parent. Each tranche is issuable once the daily volume weighted average price of Class A Shares in Parent meets specific price hurdles for 20 trading days out of any 30 day trading period beginning after December 23, 2022 and ending on December 23, 2028. The daily volume weighted average price of Class A Shares in Parent that is required to trigger each tranche is as follows: </w:t>
      </w:r>
    </w:p>
    <w:p>
      <w:pPr>
        <w:pStyle w:val="TextBody"/>
        <w:spacing w:before="0" w:after="0"/>
        <w:jc w:val="left"/>
        <w:rPr>
          <w:highlight w:val="white"/>
        </w:rPr>
      </w:pPr>
      <w:r>
        <w:rPr>
          <w:highlight w:val="white"/>
        </w:rPr>
        <w:t> </w:t>
      </w:r>
    </w:p>
    <w:tbl>
      <w:tblPr>
        <w:tblW w:w="2500" w:type="dxa"/>
        <w:jc w:val="left"/>
        <w:tblInd w:w="0" w:type="dxa"/>
        <w:tblCellMar>
          <w:top w:w="0" w:type="dxa"/>
          <w:left w:w="0" w:type="dxa"/>
          <w:bottom w:w="0" w:type="dxa"/>
          <w:right w:w="0" w:type="dxa"/>
        </w:tblCellMar>
      </w:tblPr>
      <w:tblGrid>
        <w:gridCol w:w="75"/>
        <w:gridCol w:w="110"/>
        <w:gridCol w:w="60"/>
        <w:gridCol w:w="2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Tranche 1 — $13 per share </w:t>
            </w:r>
          </w:p>
        </w:tc>
      </w:tr>
    </w:tbl>
    <w:p>
      <w:pPr>
        <w:pStyle w:val="TextBody"/>
        <w:spacing w:before="0" w:after="0"/>
        <w:jc w:val="left"/>
        <w:rPr>
          <w:highlight w:val="white"/>
        </w:rPr>
      </w:pPr>
      <w:r>
        <w:rPr>
          <w:highlight w:val="white"/>
        </w:rPr>
        <w:t> </w:t>
      </w:r>
    </w:p>
    <w:tbl>
      <w:tblPr>
        <w:tblW w:w="2755" w:type="dxa"/>
        <w:jc w:val="left"/>
        <w:tblInd w:w="0" w:type="dxa"/>
        <w:tblCellMar>
          <w:top w:w="0" w:type="dxa"/>
          <w:left w:w="0" w:type="dxa"/>
          <w:bottom w:w="0" w:type="dxa"/>
          <w:right w:w="0" w:type="dxa"/>
        </w:tblCellMar>
      </w:tblPr>
      <w:tblGrid>
        <w:gridCol w:w="75"/>
        <w:gridCol w:w="110"/>
        <w:gridCol w:w="60"/>
        <w:gridCol w:w="2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Tranche 2 — $15.50 per share </w:t>
            </w:r>
          </w:p>
        </w:tc>
      </w:tr>
    </w:tbl>
    <w:p>
      <w:pPr>
        <w:pStyle w:val="TextBody"/>
        <w:spacing w:before="0" w:after="0"/>
        <w:jc w:val="left"/>
        <w:rPr>
          <w:highlight w:val="white"/>
        </w:rPr>
      </w:pPr>
      <w:r>
        <w:rPr>
          <w:highlight w:val="white"/>
        </w:rPr>
        <w:t> </w:t>
      </w:r>
    </w:p>
    <w:tbl>
      <w:tblPr>
        <w:tblW w:w="2500" w:type="dxa"/>
        <w:jc w:val="left"/>
        <w:tblInd w:w="0" w:type="dxa"/>
        <w:tblCellMar>
          <w:top w:w="0" w:type="dxa"/>
          <w:left w:w="0" w:type="dxa"/>
          <w:bottom w:w="0" w:type="dxa"/>
          <w:right w:w="0" w:type="dxa"/>
        </w:tblCellMar>
      </w:tblPr>
      <w:tblGrid>
        <w:gridCol w:w="75"/>
        <w:gridCol w:w="110"/>
        <w:gridCol w:w="60"/>
        <w:gridCol w:w="2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Tranche 3 — $18 per share </w:t>
            </w:r>
          </w:p>
        </w:tc>
      </w:tr>
    </w:tbl>
    <w:p>
      <w:pPr>
        <w:pStyle w:val="TextBody"/>
        <w:spacing w:before="0" w:after="0"/>
        <w:jc w:val="left"/>
        <w:rPr>
          <w:highlight w:val="white"/>
        </w:rPr>
      </w:pPr>
      <w:r>
        <w:rPr>
          <w:highlight w:val="white"/>
        </w:rPr>
        <w:t> </w:t>
      </w:r>
    </w:p>
    <w:tbl>
      <w:tblPr>
        <w:tblW w:w="2755" w:type="dxa"/>
        <w:jc w:val="left"/>
        <w:tblInd w:w="0" w:type="dxa"/>
        <w:tblCellMar>
          <w:top w:w="0" w:type="dxa"/>
          <w:left w:w="0" w:type="dxa"/>
          <w:bottom w:w="0" w:type="dxa"/>
          <w:right w:w="0" w:type="dxa"/>
        </w:tblCellMar>
      </w:tblPr>
      <w:tblGrid>
        <w:gridCol w:w="75"/>
        <w:gridCol w:w="110"/>
        <w:gridCol w:w="60"/>
        <w:gridCol w:w="2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Tranche 4 — $20.50 per share </w:t>
            </w:r>
          </w:p>
        </w:tc>
      </w:tr>
    </w:tbl>
    <w:p>
      <w:pPr>
        <w:pStyle w:val="TextBody"/>
        <w:spacing w:before="0" w:after="0"/>
        <w:jc w:val="left"/>
        <w:rPr>
          <w:highlight w:val="white"/>
        </w:rPr>
      </w:pPr>
      <w:r>
        <w:rPr>
          <w:highlight w:val="white"/>
        </w:rPr>
        <w:t> </w:t>
      </w:r>
    </w:p>
    <w:tbl>
      <w:tblPr>
        <w:tblW w:w="2500" w:type="dxa"/>
        <w:jc w:val="left"/>
        <w:tblInd w:w="0" w:type="dxa"/>
        <w:tblCellMar>
          <w:top w:w="0" w:type="dxa"/>
          <w:left w:w="0" w:type="dxa"/>
          <w:bottom w:w="0" w:type="dxa"/>
          <w:right w:w="0" w:type="dxa"/>
        </w:tblCellMar>
      </w:tblPr>
      <w:tblGrid>
        <w:gridCol w:w="75"/>
        <w:gridCol w:w="110"/>
        <w:gridCol w:w="60"/>
        <w:gridCol w:w="2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Tranche 5 — $23 per share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If the daily volume weighted average price of Class A Shares in Parent triggers a higher price tranche prior to triggering a lower price tranche, all tranches below the tranche triggered are also triggered for (e.g., if tranche 5 is triggered, tranches 1 through 4 are also triggered). Additionally, in the event there is a change of control of the Group (i.e., there is a change in greater than 50% equity ownership of the Group) all five tranches are automatically triggered for issuance. The Former Parent’s contingent right to the earn out tranches that are not triggered for issuance by December 23, 2028 will expire immediately.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Parent and the triggering events are subject to price hurdles (i.e., a market condition) that are outside of the control of the Group. Instead, it meets definition of a derivative liability that is carried at fair value with subsequent changes in fair value recognized in the Consolidated Statement of Loss and Comprehensive Loss at each reporting date. However, since it provides value to owners of the Former Parent effectively in the form of a pro rata dividend, the fair value at the Closing of the BCA was charged to Accumulated deficit.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F-58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At the Closing of the BCA, the fair value of the contingent earn out rights was approximately $1,500,638. The financial liability was remeasured on December 31, 2022 at $598,570, resulting in a total gain related to the change in fair value of $902,068. Refer to Note 1 - Significant accounting policies and judgements for further details on the valuation methodology utilized to determine the fair value of the earn out. </w:t>
      </w:r>
    </w:p>
    <w:p>
      <w:pPr>
        <w:pStyle w:val="TextBody"/>
        <w:spacing w:before="0" w:after="0"/>
        <w:jc w:val="left"/>
        <w:rPr>
          <w:highlight w:val="white"/>
        </w:rPr>
      </w:pPr>
      <w:r>
        <w:rPr>
          <w:highlight w:val="white"/>
        </w:rPr>
        <w:t> </w:t>
      </w:r>
    </w:p>
    <w:tbl>
      <w:tblPr>
        <w:tblW w:w="4755" w:type="dxa"/>
        <w:jc w:val="left"/>
        <w:tblInd w:w="0" w:type="dxa"/>
        <w:tblCellMar>
          <w:top w:w="0" w:type="dxa"/>
          <w:left w:w="0" w:type="dxa"/>
          <w:bottom w:w="0" w:type="dxa"/>
          <w:right w:w="0" w:type="dxa"/>
        </w:tblCellMar>
      </w:tblPr>
      <w:tblGrid>
        <w:gridCol w:w="2795"/>
        <w:gridCol w:w="120"/>
        <w:gridCol w:w="96"/>
        <w:gridCol w:w="1574"/>
        <w:gridCol w:w="170"/>
      </w:tblGrid>
      <w:tr>
        <w:trPr/>
        <w:tc>
          <w:tcPr>
            <w:tcW w:w="2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Earn-out Rights</w:t>
            </w:r>
          </w:p>
        </w:tc>
        <w:tc>
          <w:tcPr>
            <w:tcW w:w="170"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 of January 1, 2022</w:t>
            </w:r>
          </w:p>
        </w:tc>
        <w:tc>
          <w:tcPr>
            <w:tcW w:w="12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57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rights issued</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574" w:type="dxa"/>
            <w:tcBorders/>
            <w:shd w:fill="auto" w:val="clear"/>
            <w:vAlign w:val="center"/>
          </w:tcPr>
          <w:p>
            <w:pPr>
              <w:pStyle w:val="TableContents"/>
              <w:spacing w:before="0" w:after="283"/>
              <w:jc w:val="right"/>
              <w:rPr/>
            </w:pPr>
            <w:r>
              <w:rPr/>
              <w:t>1,500,638</w:t>
            </w:r>
          </w:p>
        </w:tc>
        <w:tc>
          <w:tcPr>
            <w:tcW w:w="170"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fair value measurement</w:t>
            </w:r>
          </w:p>
        </w:tc>
        <w:tc>
          <w:tcPr>
            <w:tcW w:w="12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574" w:type="dxa"/>
            <w:tcBorders/>
            <w:shd w:fill="CCEEFF" w:val="clear"/>
            <w:vAlign w:val="center"/>
          </w:tcPr>
          <w:p>
            <w:pPr>
              <w:pStyle w:val="TableContents"/>
              <w:spacing w:before="0" w:after="283"/>
              <w:jc w:val="right"/>
              <w:rPr/>
            </w:pPr>
            <w:r>
              <w:rPr/>
              <w:t>(902,068</w:t>
            </w:r>
          </w:p>
        </w:tc>
        <w:tc>
          <w:tcPr>
            <w:tcW w:w="170" w:type="dxa"/>
            <w:tcBorders/>
            <w:shd w:fill="CCEEFF"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0"/>
              <w:rPr>
                <w:bdr w:val="single" w:sz="2" w:space="1" w:color="000000"/>
              </w:rPr>
            </w:pPr>
            <w:r>
              <w:rPr>
                <w:bdr w:val="single" w:sz="2" w:space="1" w:color="000000"/>
              </w:rPr>
              <w:t> </w:t>
            </w:r>
          </w:p>
        </w:tc>
        <w:tc>
          <w:tcPr>
            <w:tcW w:w="157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As of December 31, 2022</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0"/>
              <w:rPr>
                <w:spacing w:val="0"/>
              </w:rPr>
            </w:pPr>
            <w:r>
              <w:rPr>
                <w:spacing w:val="0"/>
              </w:rPr>
              <w:t> </w:t>
            </w:r>
          </w:p>
        </w:tc>
        <w:tc>
          <w:tcPr>
            <w:tcW w:w="1574" w:type="dxa"/>
            <w:tcBorders/>
            <w:shd w:fill="auto" w:val="clear"/>
            <w:vAlign w:val="center"/>
          </w:tcPr>
          <w:p>
            <w:pPr>
              <w:pStyle w:val="TableContents"/>
              <w:spacing w:before="0" w:after="0"/>
              <w:jc w:val="right"/>
              <w:rPr>
                <w:b/>
                <w:spacing w:val="0"/>
              </w:rPr>
            </w:pPr>
            <w:r>
              <w:rPr>
                <w:b/>
                <w:spacing w:val="0"/>
              </w:rPr>
              <w:t>598,570</w:t>
            </w:r>
          </w:p>
        </w:tc>
        <w:tc>
          <w:tcPr>
            <w:tcW w:w="170"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0"/>
              <w:rPr>
                <w:bdr w:val="single" w:sz="2" w:space="1" w:color="000000"/>
              </w:rPr>
            </w:pPr>
            <w:r>
              <w:rPr>
                <w:bdr w:val="single" w:sz="2" w:space="1" w:color="000000"/>
              </w:rPr>
              <w:t> </w:t>
            </w:r>
          </w:p>
        </w:tc>
        <w:tc>
          <w:tcPr>
            <w:tcW w:w="157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fair value change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rights are as follows: </w:t>
      </w:r>
    </w:p>
    <w:p>
      <w:pPr>
        <w:pStyle w:val="TextBody"/>
        <w:spacing w:before="0" w:after="0"/>
        <w:jc w:val="left"/>
        <w:rPr>
          <w:highlight w:val="white"/>
        </w:rPr>
      </w:pPr>
      <w:r>
        <w:rPr>
          <w:highlight w:val="white"/>
        </w:rPr>
        <w:t> </w:t>
      </w:r>
    </w:p>
    <w:tbl>
      <w:tblPr>
        <w:tblW w:w="4040" w:type="dxa"/>
        <w:jc w:val="left"/>
        <w:tblInd w:w="0" w:type="dxa"/>
        <w:tblCellMar>
          <w:top w:w="0" w:type="dxa"/>
          <w:left w:w="0" w:type="dxa"/>
          <w:bottom w:w="0" w:type="dxa"/>
          <w:right w:w="0" w:type="dxa"/>
        </w:tblCellMar>
      </w:tblPr>
      <w:tblGrid>
        <w:gridCol w:w="1625"/>
        <w:gridCol w:w="120"/>
        <w:gridCol w:w="60"/>
        <w:gridCol w:w="800"/>
        <w:gridCol w:w="60"/>
        <w:gridCol w:w="120"/>
        <w:gridCol w:w="68"/>
        <w:gridCol w:w="432"/>
        <w:gridCol w:w="60"/>
        <w:gridCol w:w="120"/>
        <w:gridCol w:w="68"/>
        <w:gridCol w:w="432"/>
        <w:gridCol w:w="75"/>
      </w:tblGrid>
      <w:tr>
        <w:trPr/>
        <w:tc>
          <w:tcPr>
            <w:tcW w:w="16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w:t>
              <w:br/>
              <w:t>December 31,</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6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Fair value change - </w:t>
            </w:r>
          </w:p>
          <w:p>
            <w:pPr>
              <w:pStyle w:val="TableContents"/>
              <w:spacing w:before="0" w:after="0"/>
              <w:rPr>
                <w:rFonts w:ascii="Times New Roman" w:hAnsi="Times New Roman"/>
                <w:spacing w:val="0"/>
                <w:sz w:val="20"/>
              </w:rPr>
            </w:pPr>
            <w:r>
              <w:rPr>
                <w:rFonts w:ascii="Times New Roman" w:hAnsi="Times New Roman"/>
                <w:spacing w:val="0"/>
                <w:sz w:val="20"/>
              </w:rPr>
              <w:t>Earn-out</w:t>
            </w:r>
          </w:p>
          <w:p>
            <w:pPr>
              <w:pStyle w:val="TableContents"/>
              <w:spacing w:before="0" w:after="0"/>
              <w:rPr>
                <w:rFonts w:ascii="Times New Roman" w:hAnsi="Times New Roman"/>
                <w:sz w:val="20"/>
              </w:rPr>
            </w:pPr>
            <w:r>
              <w:rPr>
                <w:rFonts w:ascii="Times New Roman" w:hAnsi="Times New Roman"/>
                <w:sz w:val="20"/>
              </w:rPr>
              <w:t>rights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902,068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Volvo Cars Preference Subscription Shares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At the Closing of the BCA and pursuant to the Volvo Cars Preference Subscription Agreement, Volvo Cars agreed to subscribe for Preference Shares in the Parent in exchange for a cash payment of $588,826. The cash proceeds were used to pay down outstanding payables owed to VCC. Each Preference Share in the Parent automatically converted into Class A Shares in the Parent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Parent (i.e., Class A shares). As such, the initial carrying value of the Volvo Cars Preference Subscription Shares was equity classified and accounted for as a capital contribution from Volvo Cars.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Parent entity restructuring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Pursuant to the terms and conditions of the BCA, the Former Parent was separated from the Group and 100% of the ownership interests in the Group’s subsidiaries were transferred to the Parent in exchange for the issuance of 294,877,349 Class A Shares in the Parent, the issuance of 1,642,233,575 Class B Shares in the Parent, and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Earn-out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rights. When the Group was separated from the Former Parent, the intercompany relationship between the Former Parent and the Group was severed. This resulted in the realization of accumulated gains in equity of $1,512 in the Former Parent, which were historically eliminated upon consolidation. The $1,512 adjustment to equity does not reflect cash consideration transferred, but rather,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non-cash</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impact of separating intercompany interests and changing parent entities.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17 - Trade receivables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F-59 </w:t>
      </w:r>
    </w:p>
    <w:p>
      <w:pPr>
        <w:pStyle w:val="HorizontalLine"/>
        <w:jc w:val="center"/>
        <w:rPr/>
      </w:pPr>
      <w:r>
        <w:rPr/>
      </w:r>
    </w:p>
    <w:p>
      <w:pPr>
        <w:pStyle w:val="TextBody"/>
        <w:spacing w:before="0" w:after="0"/>
        <w:jc w:val="left"/>
        <w:rPr/>
      </w:pPr>
      <w:hyperlink w:anchor="toc">
        <w:r>
          <w:rPr>
            <w:rStyle w:val="InternetLink"/>
            <w:b/>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table details the aging analysis of the trade receivables: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778"/>
        <w:gridCol w:w="120"/>
        <w:gridCol w:w="89"/>
        <w:gridCol w:w="1191"/>
        <w:gridCol w:w="60"/>
        <w:gridCol w:w="120"/>
        <w:gridCol w:w="121"/>
        <w:gridCol w:w="1634"/>
        <w:gridCol w:w="60"/>
        <w:gridCol w:w="120"/>
        <w:gridCol w:w="146"/>
        <w:gridCol w:w="1663"/>
        <w:gridCol w:w="60"/>
        <w:gridCol w:w="120"/>
        <w:gridCol w:w="174"/>
        <w:gridCol w:w="1631"/>
        <w:gridCol w:w="60"/>
        <w:gridCol w:w="120"/>
        <w:gridCol w:w="60"/>
        <w:gridCol w:w="800"/>
        <w:gridCol w:w="78"/>
      </w:tblGrid>
      <w:tr>
        <w:trPr/>
        <w:tc>
          <w:tcPr>
            <w:tcW w:w="17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7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 overdue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1-30 days overdue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0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30-90 days overdue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&gt;90 days overdue</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8" w:type="dxa"/>
            <w:tcBorders/>
            <w:shd w:fill="auto" w:val="clear"/>
            <w:vAlign w:val="center"/>
          </w:tcPr>
          <w:p>
            <w:pPr>
              <w:pStyle w:val="TableContents"/>
              <w:spacing w:before="0" w:after="283"/>
              <w:rPr/>
            </w:pPr>
            <w:r>
              <w:rPr/>
              <w:t> </w:t>
            </w:r>
          </w:p>
        </w:tc>
      </w:tr>
      <w:tr>
        <w:trPr/>
        <w:tc>
          <w:tcPr>
            <w:tcW w:w="1778"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2022</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19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6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Gross trade receivables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191" w:type="dxa"/>
            <w:tcBorders/>
            <w:shd w:fill="auto" w:val="clear"/>
            <w:vAlign w:val="center"/>
          </w:tcPr>
          <w:p>
            <w:pPr>
              <w:pStyle w:val="TableContents"/>
              <w:spacing w:before="0" w:after="283"/>
              <w:jc w:val="right"/>
              <w:rPr/>
            </w:pPr>
            <w:r>
              <w:rPr/>
              <w:t>130,718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634" w:type="dxa"/>
            <w:tcBorders/>
            <w:shd w:fill="auto" w:val="clear"/>
            <w:vAlign w:val="center"/>
          </w:tcPr>
          <w:p>
            <w:pPr>
              <w:pStyle w:val="TableContents"/>
              <w:spacing w:before="0" w:after="283"/>
              <w:jc w:val="right"/>
              <w:rPr/>
            </w:pPr>
            <w:r>
              <w:rPr/>
              <w:t>93,371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63" w:type="dxa"/>
            <w:tcBorders/>
            <w:shd w:fill="auto" w:val="clear"/>
            <w:vAlign w:val="center"/>
          </w:tcPr>
          <w:p>
            <w:pPr>
              <w:pStyle w:val="TableContents"/>
              <w:spacing w:before="0" w:after="283"/>
              <w:jc w:val="right"/>
              <w:rPr/>
            </w:pPr>
            <w:r>
              <w:rPr/>
              <w:t>19,034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631" w:type="dxa"/>
            <w:tcBorders/>
            <w:shd w:fill="auto" w:val="clear"/>
            <w:vAlign w:val="center"/>
          </w:tcPr>
          <w:p>
            <w:pPr>
              <w:pStyle w:val="TableContents"/>
              <w:spacing w:before="0" w:after="283"/>
              <w:jc w:val="right"/>
              <w:rPr/>
            </w:pPr>
            <w:r>
              <w:rPr/>
              <w:t>2,984</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246,107</w:t>
            </w:r>
          </w:p>
        </w:tc>
        <w:tc>
          <w:tcPr>
            <w:tcW w:w="78" w:type="dxa"/>
            <w:tcBorders/>
            <w:shd w:fill="auto" w:val="clear"/>
            <w:vAlign w:val="center"/>
          </w:tcPr>
          <w:p>
            <w:pPr>
              <w:pStyle w:val="TableContents"/>
              <w:spacing w:before="0" w:after="283"/>
              <w:rPr/>
            </w:pPr>
            <w:r>
              <w:rPr/>
              <w:t> </w:t>
            </w:r>
          </w:p>
        </w:tc>
      </w:tr>
      <w:tr>
        <w:trPr/>
        <w:tc>
          <w:tcPr>
            <w:tcW w:w="17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191" w:type="dxa"/>
            <w:tcBorders/>
            <w:shd w:fill="CCEEFF" w:val="clear"/>
            <w:vAlign w:val="center"/>
          </w:tcPr>
          <w:p>
            <w:pPr>
              <w:pStyle w:val="TableContents"/>
              <w:spacing w:before="0" w:after="283"/>
              <w:jc w:val="right"/>
              <w:rPr/>
            </w:pPr>
            <w:r>
              <w:rPr/>
              <w:t>61,293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634" w:type="dxa"/>
            <w:tcBorders/>
            <w:shd w:fill="CCEEFF" w:val="clear"/>
            <w:vAlign w:val="center"/>
          </w:tcPr>
          <w:p>
            <w:pPr>
              <w:pStyle w:val="TableContents"/>
              <w:spacing w:before="0" w:after="283"/>
              <w:jc w:val="right"/>
              <w:rPr/>
            </w:pPr>
            <w:r>
              <w:rPr/>
              <w:t>12,786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63" w:type="dxa"/>
            <w:tcBorders/>
            <w:shd w:fill="CCEEFF" w:val="clear"/>
            <w:vAlign w:val="center"/>
          </w:tcPr>
          <w:p>
            <w:pPr>
              <w:pStyle w:val="TableContents"/>
              <w:spacing w:before="0" w:after="283"/>
              <w:jc w:val="right"/>
              <w:rPr/>
            </w:pPr>
            <w:r>
              <w:rPr/>
              <w:t>519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jc w:val="right"/>
              <w:rPr/>
            </w:pPr>
            <w:r>
              <w:rPr/>
              <w:t>398</w:t>
            </w:r>
          </w:p>
        </w:tc>
        <w:tc>
          <w:tcPr>
            <w:tcW w:w="60" w:type="dxa"/>
            <w:tcBorders/>
            <w:shd w:fill="CCEEFF" w:val="clear"/>
            <w:vAlign w:val="center"/>
          </w:tcPr>
          <w:p>
            <w:pPr>
              <w:pStyle w:val="TableContents"/>
              <w:spacing w:before="0" w:after="283"/>
              <w:rPr/>
            </w:pPr>
            <w:r>
              <w:rPr/>
              <w:t> </w:t>
            </w:r>
          </w:p>
        </w:tc>
        <w:tc>
          <w:tcPr>
            <w:tcW w:w="12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74,996</w:t>
            </w:r>
          </w:p>
        </w:tc>
        <w:tc>
          <w:tcPr>
            <w:tcW w:w="78" w:type="dxa"/>
            <w:tcBorders/>
            <w:shd w:fill="CCEEFF"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19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bdr w:val="single" w:sz="2" w:space="1" w:color="000000"/>
              </w:rPr>
            </w:pPr>
            <w:r>
              <w:rPr>
                <w:bdr w:val="single" w:sz="2" w:space="1" w:color="000000"/>
              </w:rPr>
              <w:t> </w:t>
            </w:r>
          </w:p>
        </w:tc>
        <w:tc>
          <w:tcPr>
            <w:tcW w:w="163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bdr w:val="single" w:sz="2" w:space="1" w:color="000000"/>
              </w:rPr>
            </w:pPr>
            <w:r>
              <w:rPr>
                <w:bdr w:val="single" w:sz="2" w:space="1" w:color="000000"/>
              </w:rPr>
              <w:t> </w:t>
            </w:r>
          </w:p>
        </w:tc>
        <w:tc>
          <w:tcPr>
            <w:tcW w:w="163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8" w:type="dxa"/>
            <w:tcBorders/>
            <w:shd w:fill="auto"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trade receivables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1191" w:type="dxa"/>
            <w:tcBorders/>
            <w:shd w:fill="auto" w:val="clear"/>
            <w:vAlign w:val="center"/>
          </w:tcPr>
          <w:p>
            <w:pPr>
              <w:pStyle w:val="TableContents"/>
              <w:spacing w:before="0" w:after="0"/>
              <w:jc w:val="right"/>
              <w:rPr>
                <w:b/>
                <w:spacing w:val="0"/>
              </w:rPr>
            </w:pPr>
            <w:r>
              <w:rPr>
                <w:b/>
                <w:spacing w:val="0"/>
              </w:rPr>
              <w:t>192,011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spacing w:val="0"/>
              </w:rPr>
            </w:pPr>
            <w:r>
              <w:rPr>
                <w:spacing w:val="0"/>
              </w:rPr>
              <w:t> </w:t>
            </w:r>
          </w:p>
        </w:tc>
        <w:tc>
          <w:tcPr>
            <w:tcW w:w="1634" w:type="dxa"/>
            <w:tcBorders/>
            <w:shd w:fill="auto" w:val="clear"/>
            <w:vAlign w:val="center"/>
          </w:tcPr>
          <w:p>
            <w:pPr>
              <w:pStyle w:val="TableContents"/>
              <w:spacing w:before="0" w:after="0"/>
              <w:jc w:val="right"/>
              <w:rPr>
                <w:b/>
                <w:spacing w:val="0"/>
              </w:rPr>
            </w:pPr>
            <w:r>
              <w:rPr>
                <w:b/>
                <w:spacing w:val="0"/>
              </w:rPr>
              <w:t>106,157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1663" w:type="dxa"/>
            <w:tcBorders/>
            <w:shd w:fill="auto" w:val="clear"/>
            <w:vAlign w:val="center"/>
          </w:tcPr>
          <w:p>
            <w:pPr>
              <w:pStyle w:val="TableContents"/>
              <w:spacing w:before="0" w:after="0"/>
              <w:jc w:val="right"/>
              <w:rPr>
                <w:b/>
                <w:spacing w:val="0"/>
              </w:rPr>
            </w:pPr>
            <w:r>
              <w:rPr>
                <w:b/>
                <w:spacing w:val="0"/>
              </w:rPr>
              <w:t>19,553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rPr>
            </w:pPr>
            <w:r>
              <w:rPr>
                <w:spacing w:val="0"/>
              </w:rPr>
              <w:t> </w:t>
            </w:r>
          </w:p>
        </w:tc>
        <w:tc>
          <w:tcPr>
            <w:tcW w:w="1631" w:type="dxa"/>
            <w:tcBorders/>
            <w:shd w:fill="auto" w:val="clear"/>
            <w:vAlign w:val="center"/>
          </w:tcPr>
          <w:p>
            <w:pPr>
              <w:pStyle w:val="TableContents"/>
              <w:spacing w:before="0" w:after="0"/>
              <w:jc w:val="right"/>
              <w:rPr>
                <w:b/>
                <w:spacing w:val="0"/>
              </w:rPr>
            </w:pPr>
            <w:r>
              <w:rPr>
                <w:b/>
                <w:spacing w:val="0"/>
              </w:rPr>
              <w:t>3,382</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321,103</w:t>
            </w:r>
          </w:p>
        </w:tc>
        <w:tc>
          <w:tcPr>
            <w:tcW w:w="78" w:type="dxa"/>
            <w:tcBorders/>
            <w:shd w:fill="auto"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19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bdr w:val="single" w:sz="2" w:space="1" w:color="000000"/>
              </w:rPr>
            </w:pPr>
            <w:r>
              <w:rPr>
                <w:bdr w:val="single" w:sz="2" w:space="1" w:color="000000"/>
              </w:rPr>
              <w:t> </w:t>
            </w:r>
          </w:p>
        </w:tc>
        <w:tc>
          <w:tcPr>
            <w:tcW w:w="163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bdr w:val="single" w:sz="2" w:space="1" w:color="000000"/>
              </w:rPr>
            </w:pPr>
            <w:r>
              <w:rPr>
                <w:bdr w:val="single" w:sz="2" w:space="1" w:color="000000"/>
              </w:rPr>
              <w:t> </w:t>
            </w:r>
          </w:p>
        </w:tc>
        <w:tc>
          <w:tcPr>
            <w:tcW w:w="163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8" w:type="dxa"/>
            <w:tcBorders/>
            <w:shd w:fill="auto" w:val="clear"/>
            <w:vAlign w:val="center"/>
          </w:tcPr>
          <w:p>
            <w:pPr>
              <w:pStyle w:val="TableContents"/>
              <w:spacing w:before="0" w:after="283"/>
              <w:rPr/>
            </w:pPr>
            <w:r>
              <w:rPr/>
              <w:t> </w:t>
            </w:r>
          </w:p>
        </w:tc>
      </w:tr>
      <w:tr>
        <w:trPr/>
        <w:tc>
          <w:tcPr>
            <w:tcW w:w="1778"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2021</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19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6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6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Gross trade receivables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191" w:type="dxa"/>
            <w:tcBorders/>
            <w:shd w:fill="auto" w:val="clear"/>
            <w:vAlign w:val="center"/>
          </w:tcPr>
          <w:p>
            <w:pPr>
              <w:pStyle w:val="TableContents"/>
              <w:spacing w:before="0" w:after="283"/>
              <w:jc w:val="right"/>
              <w:rPr/>
            </w:pPr>
            <w:r>
              <w:rPr/>
              <w:t>89,348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634" w:type="dxa"/>
            <w:tcBorders/>
            <w:shd w:fill="auto" w:val="clear"/>
            <w:vAlign w:val="center"/>
          </w:tcPr>
          <w:p>
            <w:pPr>
              <w:pStyle w:val="TableContents"/>
              <w:spacing w:before="0" w:after="283"/>
              <w:jc w:val="right"/>
              <w:rPr/>
            </w:pPr>
            <w:r>
              <w:rPr/>
              <w:t>53,289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663" w:type="dxa"/>
            <w:tcBorders/>
            <w:shd w:fill="auto" w:val="clear"/>
            <w:vAlign w:val="center"/>
          </w:tcPr>
          <w:p>
            <w:pPr>
              <w:pStyle w:val="TableContents"/>
              <w:spacing w:before="0" w:after="283"/>
              <w:jc w:val="right"/>
              <w:rPr/>
            </w:pPr>
            <w:r>
              <w:rPr/>
              <w:t>14,403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631" w:type="dxa"/>
            <w:tcBorders/>
            <w:shd w:fill="auto" w:val="clear"/>
            <w:vAlign w:val="center"/>
          </w:tcPr>
          <w:p>
            <w:pPr>
              <w:pStyle w:val="TableContents"/>
              <w:spacing w:before="0" w:after="283"/>
              <w:jc w:val="right"/>
              <w:rPr/>
            </w:pPr>
            <w:r>
              <w:rPr/>
              <w:t>713</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157,753</w:t>
            </w:r>
          </w:p>
        </w:tc>
        <w:tc>
          <w:tcPr>
            <w:tcW w:w="78" w:type="dxa"/>
            <w:tcBorders/>
            <w:shd w:fill="auto" w:val="clear"/>
            <w:vAlign w:val="center"/>
          </w:tcPr>
          <w:p>
            <w:pPr>
              <w:pStyle w:val="TableContents"/>
              <w:spacing w:before="0" w:after="283"/>
              <w:rPr/>
            </w:pPr>
            <w:r>
              <w:rPr/>
              <w:t> </w:t>
            </w:r>
          </w:p>
        </w:tc>
      </w:tr>
      <w:tr>
        <w:trPr/>
        <w:tc>
          <w:tcPr>
            <w:tcW w:w="17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191" w:type="dxa"/>
            <w:tcBorders/>
            <w:shd w:fill="CCEEFF" w:val="clear"/>
            <w:vAlign w:val="center"/>
          </w:tcPr>
          <w:p>
            <w:pPr>
              <w:pStyle w:val="TableContents"/>
              <w:spacing w:before="0" w:after="283"/>
              <w:jc w:val="right"/>
              <w:rPr/>
            </w:pPr>
            <w:r>
              <w:rPr/>
              <w:t>7,210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634" w:type="dxa"/>
            <w:tcBorders/>
            <w:shd w:fill="CCEEFF" w:val="clear"/>
            <w:vAlign w:val="center"/>
          </w:tcPr>
          <w:p>
            <w:pPr>
              <w:pStyle w:val="TableContents"/>
              <w:spacing w:before="0" w:after="283"/>
              <w:jc w:val="right"/>
              <w:rPr/>
            </w:pPr>
            <w:r>
              <w:rPr/>
              <w:t>7,310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66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631" w:type="dxa"/>
            <w:tcBorders/>
            <w:shd w:fill="CCEEFF" w:val="clear"/>
            <w:vAlign w:val="center"/>
          </w:tcPr>
          <w:p>
            <w:pPr>
              <w:pStyle w:val="TableContents"/>
              <w:spacing w:before="0" w:after="283"/>
              <w:jc w:val="right"/>
              <w:rPr/>
            </w:pPr>
            <w:r>
              <w:rPr/>
              <w:t>168</w:t>
            </w:r>
          </w:p>
        </w:tc>
        <w:tc>
          <w:tcPr>
            <w:tcW w:w="60" w:type="dxa"/>
            <w:tcBorders/>
            <w:shd w:fill="CCEEFF" w:val="clear"/>
            <w:vAlign w:val="center"/>
          </w:tcPr>
          <w:p>
            <w:pPr>
              <w:pStyle w:val="TableContents"/>
              <w:spacing w:before="0" w:after="283"/>
              <w:rPr/>
            </w:pPr>
            <w:r>
              <w:rPr/>
              <w:t> </w:t>
            </w:r>
          </w:p>
        </w:tc>
        <w:tc>
          <w:tcPr>
            <w:tcW w:w="12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14,688</w:t>
            </w:r>
          </w:p>
        </w:tc>
        <w:tc>
          <w:tcPr>
            <w:tcW w:w="78" w:type="dxa"/>
            <w:tcBorders/>
            <w:shd w:fill="CCEEFF"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19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bdr w:val="single" w:sz="2" w:space="1" w:color="000000"/>
              </w:rPr>
            </w:pPr>
            <w:r>
              <w:rPr>
                <w:bdr w:val="single" w:sz="2" w:space="1" w:color="000000"/>
              </w:rPr>
              <w:t> </w:t>
            </w:r>
          </w:p>
        </w:tc>
        <w:tc>
          <w:tcPr>
            <w:tcW w:w="163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bdr w:val="single" w:sz="2" w:space="1" w:color="000000"/>
              </w:rPr>
            </w:pPr>
            <w:r>
              <w:rPr>
                <w:bdr w:val="single" w:sz="2" w:space="1" w:color="000000"/>
              </w:rPr>
              <w:t> </w:t>
            </w:r>
          </w:p>
        </w:tc>
        <w:tc>
          <w:tcPr>
            <w:tcW w:w="163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8" w:type="dxa"/>
            <w:tcBorders/>
            <w:shd w:fill="auto"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trade receivables</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spacing w:val="0"/>
              </w:rPr>
            </w:pPr>
            <w:r>
              <w:rPr>
                <w:spacing w:val="0"/>
              </w:rPr>
              <w:t> </w:t>
            </w:r>
          </w:p>
        </w:tc>
        <w:tc>
          <w:tcPr>
            <w:tcW w:w="1191" w:type="dxa"/>
            <w:tcBorders/>
            <w:shd w:fill="auto" w:val="clear"/>
            <w:vAlign w:val="center"/>
          </w:tcPr>
          <w:p>
            <w:pPr>
              <w:pStyle w:val="TableContents"/>
              <w:spacing w:before="0" w:after="0"/>
              <w:jc w:val="right"/>
              <w:rPr>
                <w:b/>
                <w:spacing w:val="0"/>
              </w:rPr>
            </w:pPr>
            <w:r>
              <w:rPr>
                <w:b/>
                <w:spacing w:val="0"/>
              </w:rPr>
              <w:t>96,558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spacing w:val="0"/>
              </w:rPr>
            </w:pPr>
            <w:r>
              <w:rPr>
                <w:spacing w:val="0"/>
              </w:rPr>
              <w:t> </w:t>
            </w:r>
          </w:p>
        </w:tc>
        <w:tc>
          <w:tcPr>
            <w:tcW w:w="1634" w:type="dxa"/>
            <w:tcBorders/>
            <w:shd w:fill="auto" w:val="clear"/>
            <w:vAlign w:val="center"/>
          </w:tcPr>
          <w:p>
            <w:pPr>
              <w:pStyle w:val="TableContents"/>
              <w:spacing w:before="0" w:after="0"/>
              <w:jc w:val="right"/>
              <w:rPr>
                <w:b/>
                <w:spacing w:val="0"/>
              </w:rPr>
            </w:pPr>
            <w:r>
              <w:rPr>
                <w:b/>
                <w:spacing w:val="0"/>
              </w:rPr>
              <w:t>60,599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1663" w:type="dxa"/>
            <w:tcBorders/>
            <w:shd w:fill="auto" w:val="clear"/>
            <w:vAlign w:val="center"/>
          </w:tcPr>
          <w:p>
            <w:pPr>
              <w:pStyle w:val="TableContents"/>
              <w:spacing w:before="0" w:after="0"/>
              <w:jc w:val="right"/>
              <w:rPr>
                <w:b/>
                <w:spacing w:val="0"/>
              </w:rPr>
            </w:pPr>
            <w:r>
              <w:rPr>
                <w:b/>
                <w:spacing w:val="0"/>
              </w:rPr>
              <w:t>14,403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rPr>
            </w:pPr>
            <w:r>
              <w:rPr>
                <w:spacing w:val="0"/>
              </w:rPr>
              <w:t> </w:t>
            </w:r>
          </w:p>
        </w:tc>
        <w:tc>
          <w:tcPr>
            <w:tcW w:w="1631" w:type="dxa"/>
            <w:tcBorders/>
            <w:shd w:fill="auto" w:val="clear"/>
            <w:vAlign w:val="center"/>
          </w:tcPr>
          <w:p>
            <w:pPr>
              <w:pStyle w:val="TableContents"/>
              <w:spacing w:before="0" w:after="0"/>
              <w:jc w:val="right"/>
              <w:rPr>
                <w:b/>
                <w:spacing w:val="0"/>
              </w:rPr>
            </w:pPr>
            <w:r>
              <w:rPr>
                <w:b/>
                <w:spacing w:val="0"/>
              </w:rPr>
              <w:t>881</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172,441</w:t>
            </w:r>
          </w:p>
        </w:tc>
        <w:tc>
          <w:tcPr>
            <w:tcW w:w="78" w:type="dxa"/>
            <w:tcBorders/>
            <w:shd w:fill="auto" w:val="clear"/>
            <w:vAlign w:val="center"/>
          </w:tcPr>
          <w:p>
            <w:pPr>
              <w:pStyle w:val="TableContents"/>
              <w:spacing w:before="0" w:after="283"/>
              <w:rPr/>
            </w:pPr>
            <w:r>
              <w:rPr/>
              <w:t> </w:t>
            </w:r>
          </w:p>
        </w:tc>
      </w:tr>
      <w:tr>
        <w:trPr/>
        <w:tc>
          <w:tcPr>
            <w:tcW w:w="17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0"/>
              <w:rPr>
                <w:bdr w:val="single" w:sz="2" w:space="1" w:color="000000"/>
              </w:rPr>
            </w:pPr>
            <w:r>
              <w:rPr>
                <w:bdr w:val="single" w:sz="2" w:space="1" w:color="000000"/>
              </w:rPr>
              <w:t> </w:t>
            </w:r>
          </w:p>
        </w:tc>
        <w:tc>
          <w:tcPr>
            <w:tcW w:w="119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0"/>
              <w:rPr>
                <w:bdr w:val="single" w:sz="2" w:space="1" w:color="000000"/>
              </w:rPr>
            </w:pPr>
            <w:r>
              <w:rPr>
                <w:bdr w:val="single" w:sz="2" w:space="1" w:color="000000"/>
              </w:rPr>
              <w:t> </w:t>
            </w:r>
          </w:p>
        </w:tc>
        <w:tc>
          <w:tcPr>
            <w:tcW w:w="163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bdr w:val="single" w:sz="2" w:space="1" w:color="000000"/>
              </w:rPr>
            </w:pPr>
            <w:r>
              <w:rPr>
                <w:bdr w:val="single" w:sz="2" w:space="1" w:color="000000"/>
              </w:rPr>
              <w:t> </w:t>
            </w:r>
          </w:p>
        </w:tc>
        <w:tc>
          <w:tcPr>
            <w:tcW w:w="166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bdr w:val="single" w:sz="2" w:space="1" w:color="000000"/>
              </w:rPr>
            </w:pPr>
            <w:r>
              <w:rPr>
                <w:bdr w:val="single" w:sz="2" w:space="1" w:color="000000"/>
              </w:rPr>
              <w:t> </w:t>
            </w:r>
          </w:p>
        </w:tc>
        <w:tc>
          <w:tcPr>
            <w:tcW w:w="163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Management determines that a receivable is written off once reasonable means of collection have been unsuccessful and the Group has no reasonable expectations of recovering the entire contractual cash flows, or a portion thereof. Historically, the Group has had nil credit losses, neither from external receivables nor from related party receivables. As of December 31, 2022 and 2021 Polestar Group performed an ECL assessment and found no significant effects resulting from the analysis; no write-offs were made for trade receivables.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Further information on credit risks for trade receivables is included in Note 2 - Financial risk management.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18 - Inventories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Group’s inventory primarily consisted of vehicles as follows: </w:t>
      </w:r>
    </w:p>
    <w:p>
      <w:pPr>
        <w:pStyle w:val="TextBody"/>
        <w:spacing w:before="0" w:after="0"/>
        <w:jc w:val="left"/>
        <w:rPr>
          <w:highlight w:val="white"/>
        </w:rPr>
      </w:pPr>
      <w:r>
        <w:rPr>
          <w:highlight w:val="white"/>
        </w:rPr>
        <w:t> </w:t>
      </w:r>
    </w:p>
    <w:tbl>
      <w:tblPr>
        <w:tblW w:w="5159" w:type="dxa"/>
        <w:jc w:val="left"/>
        <w:tblInd w:w="0" w:type="dxa"/>
        <w:tblCellMar>
          <w:top w:w="0" w:type="dxa"/>
          <w:left w:w="0" w:type="dxa"/>
          <w:bottom w:w="0" w:type="dxa"/>
          <w:right w:w="0" w:type="dxa"/>
        </w:tblCellMar>
      </w:tblPr>
      <w:tblGrid>
        <w:gridCol w:w="2870"/>
        <w:gridCol w:w="120"/>
        <w:gridCol w:w="60"/>
        <w:gridCol w:w="802"/>
        <w:gridCol w:w="155"/>
        <w:gridCol w:w="120"/>
        <w:gridCol w:w="60"/>
        <w:gridCol w:w="802"/>
        <w:gridCol w:w="170"/>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9"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170"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Work in progress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2" w:type="dxa"/>
            <w:tcBorders/>
            <w:shd w:fill="CCEEFF" w:val="clear"/>
            <w:vAlign w:val="center"/>
          </w:tcPr>
          <w:p>
            <w:pPr>
              <w:pStyle w:val="TableContents"/>
              <w:spacing w:before="0" w:after="283"/>
              <w:jc w:val="right"/>
              <w:rPr/>
            </w:pPr>
            <w:r>
              <w:rPr/>
              <w:t>1,387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2" w:type="dxa"/>
            <w:tcBorders/>
            <w:shd w:fill="CCEEFF" w:val="clear"/>
            <w:vAlign w:val="center"/>
          </w:tcPr>
          <w:p>
            <w:pPr>
              <w:pStyle w:val="TableContents"/>
              <w:spacing w:before="0" w:after="283"/>
              <w:jc w:val="right"/>
              <w:rPr/>
            </w:pPr>
            <w:r>
              <w:rPr/>
              <w:t>3,586</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Finished goods and good for resale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jc w:val="right"/>
              <w:rPr/>
            </w:pPr>
            <w:r>
              <w:rPr/>
              <w:t>704,929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jc w:val="right"/>
              <w:rPr/>
            </w:pPr>
            <w:r>
              <w:rPr/>
              <w:t>610,124</w:t>
            </w:r>
          </w:p>
        </w:tc>
        <w:tc>
          <w:tcPr>
            <w:tcW w:w="17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Provision for impairment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2" w:type="dxa"/>
            <w:tcBorders/>
            <w:shd w:fill="CCEEFF" w:val="clear"/>
            <w:vAlign w:val="center"/>
          </w:tcPr>
          <w:p>
            <w:pPr>
              <w:pStyle w:val="TableContents"/>
              <w:spacing w:before="0" w:after="283"/>
              <w:jc w:val="right"/>
              <w:rPr/>
            </w:pPr>
            <w:r>
              <w:rPr/>
              <w:t>(47,757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2" w:type="dxa"/>
            <w:tcBorders/>
            <w:shd w:fill="CCEEFF" w:val="clear"/>
            <w:vAlign w:val="center"/>
          </w:tcPr>
          <w:p>
            <w:pPr>
              <w:pStyle w:val="TableContents"/>
              <w:spacing w:before="0" w:after="283"/>
              <w:jc w:val="right"/>
              <w:rPr/>
            </w:pPr>
            <w:r>
              <w:rPr/>
              <w:t>(67,967</w:t>
            </w:r>
          </w:p>
        </w:tc>
        <w:tc>
          <w:tcPr>
            <w:tcW w:w="170"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2" w:type="dxa"/>
            <w:tcBorders/>
            <w:shd w:fill="auto" w:val="clear"/>
            <w:vAlign w:val="center"/>
          </w:tcPr>
          <w:p>
            <w:pPr>
              <w:pStyle w:val="TableContents"/>
              <w:spacing w:before="0" w:after="0"/>
              <w:jc w:val="right"/>
              <w:rPr>
                <w:b/>
                <w:spacing w:val="0"/>
              </w:rPr>
            </w:pPr>
            <w:r>
              <w:rPr>
                <w:b/>
                <w:spacing w:val="0"/>
              </w:rPr>
              <w:t>658,559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2" w:type="dxa"/>
            <w:tcBorders/>
            <w:shd w:fill="auto" w:val="clear"/>
            <w:vAlign w:val="center"/>
          </w:tcPr>
          <w:p>
            <w:pPr>
              <w:pStyle w:val="TableContents"/>
              <w:spacing w:before="0" w:after="0"/>
              <w:jc w:val="right"/>
              <w:rPr>
                <w:b/>
                <w:spacing w:val="0"/>
              </w:rPr>
            </w:pPr>
            <w:r>
              <w:rPr>
                <w:b/>
                <w:spacing w:val="0"/>
              </w:rPr>
              <w:t>545,743</w:t>
            </w:r>
          </w:p>
        </w:tc>
        <w:tc>
          <w:tcPr>
            <w:tcW w:w="170"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Inventories recognized as an expense during the years ended December 31, 2022, 2021 and 2020 amounted to $2,179,958, $1,234,062 and $551,508, respectively, and were included in Cost of sales in the Consolidated Statement of Loss and Comprehensive Loss.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Inventories can be pledged as security for liabilities. Refer to Note 23 - Liabilities to credit institutions for further details.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2021, and 2020 write-downs of inventories to net realizable value amounted to $27,877, $67,967, and $35,984 respectively. The write down was recognized as an expense during the years ended December 31, 2022, 2021, and 2020 and was included in Cost of sales or Selling expenses in the Consolidated Statement of Loss and Comprehensive Loss depending on the purpose of the vehicle.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F-60 </w:t>
      </w:r>
    </w:p>
    <w:p>
      <w:pPr>
        <w:pStyle w:val="HorizontalLine"/>
        <w:jc w:val="center"/>
        <w:rPr/>
      </w:pPr>
      <w:r>
        <w:rPr/>
      </w:r>
    </w:p>
    <w:p>
      <w:pPr>
        <w:pStyle w:val="TextBody"/>
        <w:spacing w:before="0" w:after="0"/>
        <w:jc w:val="left"/>
        <w:rPr/>
      </w:pPr>
      <w:hyperlink w:anchor="toc">
        <w:r>
          <w:rPr>
            <w:rStyle w:val="InternetLink"/>
            <w:b/>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Note 19 - Other current assets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Other current assets for the Group were as follows: </w:t>
      </w:r>
    </w:p>
    <w:p>
      <w:pPr>
        <w:pStyle w:val="TextBody"/>
        <w:spacing w:before="0" w:after="0"/>
        <w:jc w:val="left"/>
        <w:rPr>
          <w:highlight w:val="white"/>
        </w:rPr>
      </w:pPr>
      <w:r>
        <w:rPr>
          <w:highlight w:val="white"/>
        </w:rPr>
        <w:t> </w:t>
      </w:r>
    </w:p>
    <w:tbl>
      <w:tblPr>
        <w:tblW w:w="5289" w:type="dxa"/>
        <w:jc w:val="left"/>
        <w:tblInd w:w="0" w:type="dxa"/>
        <w:tblCellMar>
          <w:top w:w="0" w:type="dxa"/>
          <w:left w:w="0" w:type="dxa"/>
          <w:bottom w:w="0" w:type="dxa"/>
          <w:right w:w="0" w:type="dxa"/>
        </w:tblCellMar>
      </w:tblPr>
      <w:tblGrid>
        <w:gridCol w:w="3095"/>
        <w:gridCol w:w="120"/>
        <w:gridCol w:w="63"/>
        <w:gridCol w:w="842"/>
        <w:gridCol w:w="63"/>
        <w:gridCol w:w="126"/>
        <w:gridCol w:w="63"/>
        <w:gridCol w:w="842"/>
        <w:gridCol w:w="75"/>
      </w:tblGrid>
      <w:tr>
        <w:trPr/>
        <w:tc>
          <w:tcPr>
            <w:tcW w:w="30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9"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Value added tax receivables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58,516</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63,698</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Prepaid expenses and accrued income</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34,635</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40,077</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Advances to suppliers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3,336</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6,424</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assets</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10,840</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10,003</w:t>
            </w:r>
          </w:p>
        </w:tc>
        <w:tc>
          <w:tcPr>
            <w:tcW w:w="75"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842" w:type="dxa"/>
            <w:tcBorders/>
            <w:shd w:fill="CCEEFF" w:val="clear"/>
            <w:vAlign w:val="center"/>
          </w:tcPr>
          <w:p>
            <w:pPr>
              <w:pStyle w:val="TableContents"/>
              <w:spacing w:before="0" w:after="0"/>
              <w:jc w:val="right"/>
              <w:rPr>
                <w:b/>
                <w:spacing w:val="0"/>
              </w:rPr>
            </w:pPr>
            <w:r>
              <w:rPr>
                <w:b/>
                <w:spacing w:val="0"/>
              </w:rPr>
              <w:t>107,327</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842" w:type="dxa"/>
            <w:tcBorders/>
            <w:shd w:fill="CCEEFF" w:val="clear"/>
            <w:vAlign w:val="center"/>
          </w:tcPr>
          <w:p>
            <w:pPr>
              <w:pStyle w:val="TableContents"/>
              <w:spacing w:before="0" w:after="0"/>
              <w:jc w:val="right"/>
              <w:rPr>
                <w:b/>
                <w:spacing w:val="0"/>
              </w:rPr>
            </w:pPr>
            <w:r>
              <w:rPr>
                <w:b/>
                <w:spacing w:val="0"/>
              </w:rPr>
              <w:t>120,202</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prepaid expenses and accrued interest income consisted primarily of prepaid insurance and accrued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income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related to Carbon credits. As of December 31, 2021, prepaid expenses and accrued interest income consisted primarily of accrued transaction costs related to the merger with Gores Guggenheim Inc.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20 - Equity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Changes in the Group’s equity during the years ended December 31, 2022, 2021, and 2020 were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72"/>
        <w:gridCol w:w="120"/>
        <w:gridCol w:w="60"/>
        <w:gridCol w:w="1295"/>
        <w:gridCol w:w="155"/>
        <w:gridCol w:w="60"/>
        <w:gridCol w:w="61"/>
        <w:gridCol w:w="1426"/>
        <w:gridCol w:w="155"/>
        <w:gridCol w:w="60"/>
        <w:gridCol w:w="72"/>
        <w:gridCol w:w="1283"/>
        <w:gridCol w:w="155"/>
        <w:gridCol w:w="60"/>
        <w:gridCol w:w="150"/>
        <w:gridCol w:w="2450"/>
        <w:gridCol w:w="171"/>
      </w:tblGrid>
      <w:tr>
        <w:trPr/>
        <w:tc>
          <w:tcPr>
            <w:tcW w:w="24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A</w:t>
              <w:br/>
              <w:t>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B 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 capital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Other contributed capital</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Pre-closing</w:t>
            </w:r>
          </w:p>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 xml:space="preserve">of the merger with GGI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b/>
                <w:sz w:val="18"/>
              </w:rPr>
            </w:pPr>
            <w:r>
              <w:rPr>
                <w:rFonts w:ascii="Times New Roman" w:hAnsi="Times New Roman"/>
                <w:b/>
                <w:sz w:val="18"/>
              </w:rPr>
              <w:t>Balance as of January 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295"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1426"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spacing w:val="0"/>
              </w:rPr>
            </w:pPr>
            <w:r>
              <w:rPr>
                <w:spacing w:val="0"/>
              </w:rPr>
              <w:t> </w:t>
            </w:r>
          </w:p>
        </w:tc>
        <w:tc>
          <w:tcPr>
            <w:tcW w:w="1283"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rPr>
            </w:pPr>
            <w:r>
              <w:rPr>
                <w:spacing w:val="0"/>
              </w:rPr>
              <w:t> </w:t>
            </w:r>
          </w:p>
        </w:tc>
        <w:tc>
          <w:tcPr>
            <w:tcW w:w="2450" w:type="dxa"/>
            <w:tcBorders/>
            <w:shd w:fill="auto" w:val="clear"/>
            <w:vAlign w:val="center"/>
          </w:tcPr>
          <w:p>
            <w:pPr>
              <w:pStyle w:val="TableContents"/>
              <w:spacing w:before="0" w:after="0"/>
              <w:jc w:val="right"/>
              <w:rPr>
                <w:b/>
                <w:spacing w:val="0"/>
              </w:rPr>
            </w:pPr>
            <w:r>
              <w:rPr>
                <w:b/>
                <w:spacing w:val="0"/>
              </w:rPr>
              <w:t>879,232</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Changes in the consolidated group</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200,000,000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880,412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jc w:val="right"/>
              <w:rPr/>
            </w:pPr>
            <w:r>
              <w:rPr/>
              <w:t>(879,232</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Issuance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14,371,808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438,340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Balance as of December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95" w:type="dxa"/>
            <w:tcBorders/>
            <w:shd w:fill="CCEEFF" w:val="clear"/>
            <w:vAlign w:val="center"/>
          </w:tcPr>
          <w:p>
            <w:pPr>
              <w:pStyle w:val="TableContents"/>
              <w:spacing w:before="0" w:after="0"/>
              <w:jc w:val="right"/>
              <w:rPr>
                <w:b/>
                <w:spacing w:val="0"/>
              </w:rPr>
            </w:pPr>
            <w:r>
              <w:rPr>
                <w:b/>
                <w:spacing w:val="0"/>
              </w:rPr>
              <w:t>214,371,808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1426"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1283" w:type="dxa"/>
            <w:tcBorders/>
            <w:shd w:fill="CCEEFF" w:val="clear"/>
            <w:vAlign w:val="center"/>
          </w:tcPr>
          <w:p>
            <w:pPr>
              <w:pStyle w:val="TableContents"/>
              <w:spacing w:before="0" w:after="0"/>
              <w:jc w:val="right"/>
              <w:rPr>
                <w:b/>
                <w:spacing w:val="0"/>
              </w:rPr>
            </w:pPr>
            <w:r>
              <w:rPr>
                <w:b/>
                <w:spacing w:val="0"/>
              </w:rPr>
              <w:t>1,318,752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2450" w:type="dxa"/>
            <w:tcBorders/>
            <w:shd w:fill="CCEEFF" w:val="clear"/>
            <w:vAlign w:val="center"/>
          </w:tcPr>
          <w:p>
            <w:pPr>
              <w:pStyle w:val="TableContents"/>
              <w:spacing w:before="0" w:after="0"/>
              <w:jc w:val="right"/>
              <w:rPr>
                <w:spacing w:val="0"/>
              </w:rPr>
            </w:pPr>
            <w:r>
              <w:rPr>
                <w:spacing w:val="0"/>
              </w:rPr>
              <w:t>—  </w:t>
            </w:r>
          </w:p>
        </w:tc>
        <w:tc>
          <w:tcPr>
            <w:tcW w:w="171" w:type="dxa"/>
            <w:tcBorders/>
            <w:shd w:fill="CCEEFF" w:val="clear"/>
            <w:vAlign w:val="center"/>
          </w:tcPr>
          <w:p>
            <w:pPr>
              <w:pStyle w:val="TableContents"/>
              <w:spacing w:before="0" w:after="0"/>
              <w:rPr>
                <w:spacing w:val="0"/>
              </w:rPr>
            </w:pPr>
            <w:r>
              <w:rPr>
                <w:spacing w:val="0"/>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Issuance during the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18,032,787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547,157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Conversion from Class A to Class B</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(17,345,079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jc w:val="right"/>
              <w:rPr/>
            </w:pPr>
            <w:r>
              <w:rPr/>
              <w:t>17,345,079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jc w:val="right"/>
              <w:rPr/>
            </w:pPr>
            <w:r>
              <w:rPr/>
              <w:t>—  </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Issuance of Convertible Notes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35,231</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Balance as of December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95" w:type="dxa"/>
            <w:tcBorders/>
            <w:shd w:fill="CCEEFF" w:val="clear"/>
            <w:vAlign w:val="center"/>
          </w:tcPr>
          <w:p>
            <w:pPr>
              <w:pStyle w:val="TableContents"/>
              <w:spacing w:before="0" w:after="0"/>
              <w:jc w:val="right"/>
              <w:rPr>
                <w:b/>
                <w:spacing w:val="0"/>
              </w:rPr>
            </w:pPr>
            <w:r>
              <w:rPr>
                <w:b/>
                <w:spacing w:val="0"/>
              </w:rPr>
              <w:t>197,026,729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1426" w:type="dxa"/>
            <w:tcBorders/>
            <w:shd w:fill="CCEEFF" w:val="clear"/>
            <w:vAlign w:val="center"/>
          </w:tcPr>
          <w:p>
            <w:pPr>
              <w:pStyle w:val="TableContents"/>
              <w:spacing w:before="0" w:after="0"/>
              <w:jc w:val="right"/>
              <w:rPr>
                <w:b/>
                <w:spacing w:val="0"/>
              </w:rPr>
            </w:pPr>
            <w:r>
              <w:rPr>
                <w:b/>
                <w:spacing w:val="0"/>
              </w:rPr>
              <w:t>35,377,866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1283" w:type="dxa"/>
            <w:tcBorders/>
            <w:shd w:fill="CCEEFF" w:val="clear"/>
            <w:vAlign w:val="center"/>
          </w:tcPr>
          <w:p>
            <w:pPr>
              <w:pStyle w:val="TableContents"/>
              <w:spacing w:before="0" w:after="0"/>
              <w:jc w:val="right"/>
              <w:rPr>
                <w:b/>
                <w:spacing w:val="0"/>
              </w:rPr>
            </w:pPr>
            <w:r>
              <w:rPr>
                <w:b/>
                <w:spacing w:val="0"/>
              </w:rPr>
              <w:t>1,865,909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2450" w:type="dxa"/>
            <w:tcBorders/>
            <w:shd w:fill="CCEEFF" w:val="clear"/>
            <w:vAlign w:val="center"/>
          </w:tcPr>
          <w:p>
            <w:pPr>
              <w:pStyle w:val="TableContents"/>
              <w:spacing w:before="0" w:after="0"/>
              <w:jc w:val="right"/>
              <w:rPr>
                <w:b/>
                <w:spacing w:val="0"/>
              </w:rPr>
            </w:pPr>
            <w:r>
              <w:rPr>
                <w:b/>
                <w:spacing w:val="0"/>
              </w:rPr>
              <w:t>35,231</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Issuance during the period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  </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Balance as of June 23,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95" w:type="dxa"/>
            <w:tcBorders/>
            <w:shd w:fill="CCEEFF" w:val="clear"/>
            <w:vAlign w:val="center"/>
          </w:tcPr>
          <w:p>
            <w:pPr>
              <w:pStyle w:val="TableContents"/>
              <w:spacing w:before="0" w:after="0"/>
              <w:jc w:val="right"/>
              <w:rPr>
                <w:b/>
                <w:spacing w:val="0"/>
              </w:rPr>
            </w:pPr>
            <w:r>
              <w:rPr>
                <w:b/>
                <w:spacing w:val="0"/>
              </w:rPr>
              <w:t>197,026,729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1426" w:type="dxa"/>
            <w:tcBorders/>
            <w:shd w:fill="CCEEFF" w:val="clear"/>
            <w:vAlign w:val="center"/>
          </w:tcPr>
          <w:p>
            <w:pPr>
              <w:pStyle w:val="TableContents"/>
              <w:spacing w:before="0" w:after="0"/>
              <w:jc w:val="right"/>
              <w:rPr>
                <w:b/>
                <w:spacing w:val="0"/>
              </w:rPr>
            </w:pPr>
            <w:r>
              <w:rPr>
                <w:b/>
                <w:spacing w:val="0"/>
              </w:rPr>
              <w:t>35,377,866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1283" w:type="dxa"/>
            <w:tcBorders/>
            <w:shd w:fill="CCEEFF" w:val="clear"/>
            <w:vAlign w:val="center"/>
          </w:tcPr>
          <w:p>
            <w:pPr>
              <w:pStyle w:val="TableContents"/>
              <w:spacing w:before="0" w:after="0"/>
              <w:jc w:val="right"/>
              <w:rPr>
                <w:b/>
                <w:spacing w:val="0"/>
              </w:rPr>
            </w:pPr>
            <w:r>
              <w:rPr>
                <w:b/>
                <w:spacing w:val="0"/>
              </w:rPr>
              <w:t>1,865,909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2450" w:type="dxa"/>
            <w:tcBorders/>
            <w:shd w:fill="CCEEFF" w:val="clear"/>
            <w:vAlign w:val="center"/>
          </w:tcPr>
          <w:p>
            <w:pPr>
              <w:pStyle w:val="TableContents"/>
              <w:spacing w:before="0" w:after="0"/>
              <w:jc w:val="right"/>
              <w:rPr>
                <w:b/>
                <w:spacing w:val="0"/>
              </w:rPr>
            </w:pPr>
            <w:r>
              <w:rPr>
                <w:b/>
                <w:spacing w:val="0"/>
              </w:rPr>
              <w:t>35,231</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 xml:space="preserve">Closing of the merger with GGI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Removal of Polestar Automotive Holding Limited from the Group</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Exchange of Class A for Class B (1:8.335)</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(197,026,729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1,642,233,575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(1,565,447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1,565,447</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Exchange of Class B for Class A (1:8.335)</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294,877,349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jc w:val="right"/>
              <w:rPr/>
            </w:pPr>
            <w:r>
              <w:rPr/>
              <w:t>(35,377,866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(281,090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jc w:val="right"/>
              <w:rPr/>
            </w:pPr>
            <w:r>
              <w:rPr/>
              <w:t>281,090</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Reclassification of GBP Redeemable Preferred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(65</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Issuance of Volvo Cars Preference Shares1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58,882,610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589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jc w:val="right"/>
              <w:rPr/>
            </w:pPr>
            <w:r>
              <w:rPr/>
              <w:t>588,237</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Issuance to Convertible Note holders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4,306,466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(43</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Issuance to PIPE investors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26,540,835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265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jc w:val="right"/>
              <w:rPr/>
            </w:pPr>
            <w:r>
              <w:rPr/>
              <w:t>249,735</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Issuance to GGI shareholders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82,193,962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822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521,285</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Listing expense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jc w:val="right"/>
              <w:rPr/>
            </w:pPr>
            <w:r>
              <w:rPr/>
              <w:t>372,318</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Transaction costs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(38,903</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Post-closing of the merger with GGI</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45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Equity-settled share-based payment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876,451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jc w:val="right"/>
              <w:rPr/>
            </w:pPr>
            <w:r>
              <w:rPr/>
              <w:t>9,900</w:t>
            </w:r>
          </w:p>
        </w:tc>
        <w:tc>
          <w:tcPr>
            <w:tcW w:w="171" w:type="dxa"/>
            <w:tcBorders/>
            <w:shd w:fill="auto"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Balance as of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95" w:type="dxa"/>
            <w:tcBorders/>
            <w:shd w:fill="CCEEFF" w:val="clear"/>
            <w:vAlign w:val="center"/>
          </w:tcPr>
          <w:p>
            <w:pPr>
              <w:pStyle w:val="TableContents"/>
              <w:spacing w:before="0" w:after="0"/>
              <w:jc w:val="right"/>
              <w:rPr>
                <w:b/>
                <w:spacing w:val="0"/>
              </w:rPr>
            </w:pPr>
            <w:r>
              <w:rPr>
                <w:b/>
                <w:spacing w:val="0"/>
              </w:rPr>
              <w:t>467,677,673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0"/>
              <w:rPr>
                <w:spacing w:val="0"/>
              </w:rPr>
            </w:pPr>
            <w:r>
              <w:rPr>
                <w:spacing w:val="0"/>
              </w:rPr>
              <w:t> </w:t>
            </w:r>
          </w:p>
        </w:tc>
        <w:tc>
          <w:tcPr>
            <w:tcW w:w="1426" w:type="dxa"/>
            <w:tcBorders/>
            <w:shd w:fill="CCEEFF" w:val="clear"/>
            <w:vAlign w:val="center"/>
          </w:tcPr>
          <w:p>
            <w:pPr>
              <w:pStyle w:val="TableContents"/>
              <w:spacing w:before="0" w:after="0"/>
              <w:jc w:val="right"/>
              <w:rPr>
                <w:b/>
                <w:spacing w:val="0"/>
              </w:rPr>
            </w:pPr>
            <w:r>
              <w:rPr>
                <w:b/>
                <w:spacing w:val="0"/>
              </w:rPr>
              <w:t>1,642,233,575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0"/>
              <w:rPr>
                <w:spacing w:val="0"/>
              </w:rPr>
            </w:pPr>
            <w:r>
              <w:rPr>
                <w:spacing w:val="0"/>
              </w:rPr>
              <w:t> </w:t>
            </w:r>
          </w:p>
        </w:tc>
        <w:tc>
          <w:tcPr>
            <w:tcW w:w="1283" w:type="dxa"/>
            <w:tcBorders/>
            <w:shd w:fill="CCEEFF" w:val="clear"/>
            <w:vAlign w:val="center"/>
          </w:tcPr>
          <w:p>
            <w:pPr>
              <w:pStyle w:val="TableContents"/>
              <w:spacing w:before="0" w:after="0"/>
              <w:jc w:val="right"/>
              <w:rPr>
                <w:b/>
                <w:spacing w:val="0"/>
              </w:rPr>
            </w:pPr>
            <w:r>
              <w:rPr>
                <w:b/>
                <w:spacing w:val="0"/>
              </w:rPr>
              <w:t>21,165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0"/>
              <w:rPr>
                <w:spacing w:val="0"/>
              </w:rPr>
            </w:pPr>
            <w:r>
              <w:rPr>
                <w:spacing w:val="0"/>
              </w:rPr>
              <w:t> </w:t>
            </w:r>
          </w:p>
        </w:tc>
        <w:tc>
          <w:tcPr>
            <w:tcW w:w="2450" w:type="dxa"/>
            <w:tcBorders/>
            <w:shd w:fill="CCEEFF" w:val="clear"/>
            <w:vAlign w:val="center"/>
          </w:tcPr>
          <w:p>
            <w:pPr>
              <w:pStyle w:val="TableContents"/>
              <w:spacing w:before="0" w:after="0"/>
              <w:jc w:val="right"/>
              <w:rPr>
                <w:b/>
                <w:spacing w:val="0"/>
              </w:rPr>
            </w:pPr>
            <w:r>
              <w:rPr>
                <w:b/>
                <w:spacing w:val="0"/>
              </w:rPr>
              <w:t>3,584,232</w:t>
            </w:r>
          </w:p>
        </w:tc>
        <w:tc>
          <w:tcPr>
            <w:tcW w:w="171" w:type="dxa"/>
            <w:tcBorders/>
            <w:shd w:fill="CCEEFF" w:val="clear"/>
            <w:vAlign w:val="center"/>
          </w:tcPr>
          <w:p>
            <w:pPr>
              <w:pStyle w:val="TableContents"/>
              <w:spacing w:before="0" w:after="283"/>
              <w:rPr/>
            </w:pPr>
            <w:r>
              <w:rPr/>
              <w:t> </w:t>
            </w:r>
          </w:p>
        </w:tc>
      </w:tr>
      <w:tr>
        <w:trPr/>
        <w:tc>
          <w:tcPr>
            <w:tcW w:w="24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bdr w:val="single" w:sz="2" w:space="1" w:color="000000"/>
              </w:rPr>
            </w:pPr>
            <w:r>
              <w:rPr>
                <w:bdr w:val="single" w:sz="2" w:space="1" w:color="000000"/>
              </w:rPr>
              <w:t> </w:t>
            </w:r>
          </w:p>
        </w:tc>
        <w:tc>
          <w:tcPr>
            <w:tcW w:w="14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3"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bdr w:val="single" w:sz="2" w:space="1" w:color="000000"/>
              </w:rPr>
            </w:pPr>
            <w:r>
              <w:rPr>
                <w:bdr w:val="single" w:sz="2" w:space="1" w:color="000000"/>
              </w:rPr>
              <w:t> </w:t>
            </w:r>
          </w:p>
        </w:tc>
        <w:tc>
          <w:tcPr>
            <w:tcW w:w="2450" w:type="dxa"/>
            <w:tcBorders/>
            <w:shd w:fill="auto" w:val="clear"/>
            <w:vAlign w:val="center"/>
          </w:tcPr>
          <w:p>
            <w:pPr>
              <w:pStyle w:val="TableContents"/>
              <w:spacing w:before="0" w:after="0"/>
              <w:rPr>
                <w:bdr w:val="single" w:sz="2" w:space="1" w:color="000000"/>
              </w:rPr>
            </w:pPr>
            <w:r>
              <w:rPr>
                <w:bdr w:val="single" w:sz="2" w:space="1" w:color="000000"/>
              </w:rPr>
              <w:t> </w:t>
            </w:r>
          </w:p>
        </w:tc>
        <w:tc>
          <w:tcPr>
            <w:tcW w:w="171"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1 -</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Volvo Cars Preference Shares subsequently converted into Class A shares following the merger with GGI on June 23, 2022.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F-61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Pre-closing</w:t>
      </w:r>
    </w:p>
    <w:p>
      <w:pPr>
        <w:pStyle w:val="TextBody"/>
        <w:spacing w:before="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of the merger with GGI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concept of share capital did not exist under the limited company structure when Polestar Automotive (Shanghai) Co., Ltd was the parent entity prior to the common control transaction that occurred on September 14, 2020. Share capital was subsequently introduced under the private company limited structure when Polestar Automotive Holding Limited became the parent entity as a result of the transaction. Refer to Note 3 - Common control transaction for additional details. As of December 31, 2020, after the issuance of 14,371,808 Class A Shares, total common shares fully paid, authorized, issued, and outstanding were 214,371,808. Each common share was valued at $6.15 (in ones).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March 2021, the Group distributed 18,032,787 shares of newly authorized Class B Shares at $30.50 (in ones) per share for gross proceeds of $550,000 with related issuance costs of $2,843. Of the 18,032,787 shares issued, 4,262,295 were issued to Geely. In July 2021, 17,345,079 Class A Shares were converted to Class B Shares. As of December 31, 2021, 197,026,729 Class A Shares and 197,026,729 Class B Shares were outstanding, respectively. Each common share was valued at $8.04 (in ones).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Both Class A and B Shares were issued with no par value.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Closing of the merger with GGI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Between January 1, 2022, and prior to the Closing of the merger with GGI, there were no events impacting the Group’s equity other than the issuance of 50,000 British Pound Sterling (“GBP”) Redeemable Preferred Shares in the Parent with a par value of GBP 1.00, equivalent to $65, to the Former Parent. This issuance was part of Parent’s incorporation in the United Kingdom as a subsidiary of the Former Parent in preparation for the Closing of the merger with GGI. These shares were subsequently reclassified to Share capital when the Former Parent was separated from the Group at Closing.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connection with the Closing of the merger with GGI and the removal of the Former Parent (Polestar Automotive Holding Limited) from the Group: </w:t>
      </w:r>
    </w:p>
    <w:p>
      <w:pPr>
        <w:pStyle w:val="TextBody"/>
        <w:spacing w:before="0" w:after="0"/>
        <w:jc w:val="left"/>
        <w:rPr>
          <w:highlight w:val="white"/>
        </w:rPr>
      </w:pPr>
      <w:r>
        <w:rPr>
          <w:highlight w:val="white"/>
        </w:rPr>
        <w:t> </w:t>
      </w:r>
    </w:p>
    <w:tbl>
      <w:tblPr>
        <w:tblW w:w="8365" w:type="dxa"/>
        <w:jc w:val="left"/>
        <w:tblInd w:w="0" w:type="dxa"/>
        <w:tblCellMar>
          <w:top w:w="0" w:type="dxa"/>
          <w:left w:w="0" w:type="dxa"/>
          <w:bottom w:w="0" w:type="dxa"/>
          <w:right w:w="0" w:type="dxa"/>
        </w:tblCellMar>
      </w:tblPr>
      <w:tblGrid>
        <w:gridCol w:w="75"/>
        <w:gridCol w:w="110"/>
        <w:gridCol w:w="60"/>
        <w:gridCol w:w="8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197,026,729 Class A Shares were exchanged at a ratio of 1:8.335 for 1,642,233,575 Class B Shares; </w:t>
            </w:r>
          </w:p>
        </w:tc>
      </w:tr>
    </w:tbl>
    <w:p>
      <w:pPr>
        <w:pStyle w:val="TextBody"/>
        <w:spacing w:before="0" w:after="0"/>
        <w:jc w:val="left"/>
        <w:rPr>
          <w:highlight w:val="white"/>
        </w:rPr>
      </w:pPr>
      <w:r>
        <w:rPr>
          <w:highlight w:val="white"/>
        </w:rPr>
        <w:t> </w:t>
      </w:r>
    </w:p>
    <w:tbl>
      <w:tblPr>
        <w:tblW w:w="8110" w:type="dxa"/>
        <w:jc w:val="left"/>
        <w:tblInd w:w="0" w:type="dxa"/>
        <w:tblCellMar>
          <w:top w:w="0" w:type="dxa"/>
          <w:left w:w="0" w:type="dxa"/>
          <w:bottom w:w="0" w:type="dxa"/>
          <w:right w:w="0" w:type="dxa"/>
        </w:tblCellMar>
      </w:tblPr>
      <w:tblGrid>
        <w:gridCol w:w="75"/>
        <w:gridCol w:w="110"/>
        <w:gridCol w:w="60"/>
        <w:gridCol w:w="7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35,377,866 Class B Shares were exchanged at a ratio of 1:8.335 for 294,877,349 Class A Shares; </w:t>
            </w:r>
          </w:p>
        </w:tc>
      </w:tr>
    </w:tbl>
    <w:p>
      <w:pPr>
        <w:pStyle w:val="TextBody"/>
        <w:spacing w:before="0" w:after="0"/>
        <w:jc w:val="left"/>
        <w:rPr>
          <w:highlight w:val="white"/>
        </w:rPr>
      </w:pPr>
      <w:r>
        <w:rPr>
          <w:highlight w:val="white"/>
        </w:rPr>
        <w:t> </w:t>
      </w:r>
    </w:p>
    <w:tbl>
      <w:tblPr>
        <w:tblW w:w="6310" w:type="dxa"/>
        <w:jc w:val="left"/>
        <w:tblInd w:w="0" w:type="dxa"/>
        <w:tblCellMar>
          <w:top w:w="0" w:type="dxa"/>
          <w:left w:w="0" w:type="dxa"/>
          <w:bottom w:w="0" w:type="dxa"/>
          <w:right w:w="0" w:type="dxa"/>
        </w:tblCellMar>
      </w:tblPr>
      <w:tblGrid>
        <w:gridCol w:w="75"/>
        <w:gridCol w:w="110"/>
        <w:gridCol w:w="60"/>
        <w:gridCol w:w="6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4,306,466 Class A Shares were issued to holders of the Convertible Notes; </w:t>
            </w:r>
          </w:p>
        </w:tc>
      </w:tr>
    </w:tbl>
    <w:p>
      <w:pPr>
        <w:pStyle w:val="TextBody"/>
        <w:spacing w:before="0" w:after="0"/>
        <w:jc w:val="left"/>
        <w:rPr>
          <w:highlight w:val="white"/>
        </w:rPr>
      </w:pPr>
      <w:r>
        <w:rPr>
          <w:highlight w:val="white"/>
        </w:rPr>
        <w:t> </w:t>
      </w:r>
    </w:p>
    <w:tbl>
      <w:tblPr>
        <w:tblW w:w="5245" w:type="dxa"/>
        <w:jc w:val="left"/>
        <w:tblInd w:w="0" w:type="dxa"/>
        <w:tblCellMar>
          <w:top w:w="0" w:type="dxa"/>
          <w:left w:w="0" w:type="dxa"/>
          <w:bottom w:w="0" w:type="dxa"/>
          <w:right w:w="0" w:type="dxa"/>
        </w:tblCellMar>
      </w:tblPr>
      <w:tblGrid>
        <w:gridCol w:w="75"/>
        <w:gridCol w:w="110"/>
        <w:gridCol w:w="60"/>
        <w:gridCol w:w="5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26,540,835 Class A Shares were issued to the PIPE investors; </w:t>
            </w:r>
          </w:p>
        </w:tc>
      </w:tr>
    </w:tbl>
    <w:p>
      <w:pPr>
        <w:pStyle w:val="TextBody"/>
        <w:spacing w:before="0" w:after="0"/>
        <w:jc w:val="left"/>
        <w:rPr>
          <w:highlight w:val="white"/>
        </w:rPr>
      </w:pPr>
      <w:r>
        <w:rPr>
          <w:highlight w:val="white"/>
        </w:rPr>
        <w:t> </w:t>
      </w:r>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82,193,962 Class A Shares were issued to the former shareholders of GGI; and </w:t>
            </w:r>
          </w:p>
        </w:tc>
      </w:tr>
    </w:tbl>
    <w:p>
      <w:pPr>
        <w:pStyle w:val="TextBody"/>
        <w:spacing w:before="0" w:after="0"/>
        <w:jc w:val="left"/>
        <w:rPr>
          <w:highlight w:val="white"/>
        </w:rPr>
      </w:pPr>
      <w:r>
        <w:rPr>
          <w:highlight w:val="white"/>
        </w:rPr>
        <w:t> </w:t>
      </w:r>
    </w:p>
    <w:tbl>
      <w:tblPr>
        <w:tblW w:w="10000" w:type="dxa"/>
        <w:jc w:val="left"/>
        <w:tblInd w:w="0" w:type="dxa"/>
        <w:tblCellMar>
          <w:top w:w="0" w:type="dxa"/>
          <w:left w:w="0" w:type="dxa"/>
          <w:bottom w:w="0" w:type="dxa"/>
          <w:right w:w="0" w:type="dxa"/>
        </w:tblCellMar>
      </w:tblPr>
      <w:tblGrid>
        <w:gridCol w:w="75"/>
        <w:gridCol w:w="110"/>
        <w:gridCol w:w="60"/>
        <w:gridCol w:w="9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58,882,610 Preference Shares were issued to Volvo Cars which subsequently converted into 58,882,610 Class A Shares.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Refer to Note 1 - Significant accounting policies and judgements and Note 16 - Reverse recapitalization for more details on the merger with GGI.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Post-closing of the merger with GGI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Following the merger with GGI, 501,451 Class A Shares were issued to employees of the Group under the Omnibus Plan and 375,000 were issued in exchange for marketing services. Refer to Note 7 - Share-based payment for additional details. As of December 31, 2022, there were an additional 4,532,322,327 Class A Shares and 135,133,164 Class B Shares with par values of $0.01 authorized for issuance. No additional Class C Shares or Redeemable Preferred Shares were authorized for issuance.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F-62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instruments of Parent were issued and outstanding as of December 31, 2022: </w:t>
      </w:r>
    </w:p>
    <w:p>
      <w:pPr>
        <w:pStyle w:val="TextBody"/>
        <w:spacing w:before="0" w:after="0"/>
        <w:jc w:val="left"/>
        <w:rPr>
          <w:highlight w:val="white"/>
        </w:rPr>
      </w:pPr>
      <w:r>
        <w:rPr>
          <w:highlight w:val="white"/>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467,677,673 Class A Shares with a par value of $0.01, of which 240,099,199 were owned by related parties; </w:t>
            </w:r>
          </w:p>
        </w:tc>
      </w:tr>
    </w:tbl>
    <w:p>
      <w:pPr>
        <w:pStyle w:val="TextBody"/>
        <w:spacing w:before="0" w:after="0"/>
        <w:jc w:val="left"/>
        <w:rPr>
          <w:highlight w:val="white"/>
        </w:rPr>
      </w:pPr>
      <w:r>
        <w:rPr>
          <w:highlight w:val="white"/>
        </w:rPr>
        <w:t> </w:t>
      </w:r>
    </w:p>
    <w:tbl>
      <w:tblPr>
        <w:tblW w:w="8350" w:type="dxa"/>
        <w:jc w:val="left"/>
        <w:tblInd w:w="0" w:type="dxa"/>
        <w:tblCellMar>
          <w:top w:w="0" w:type="dxa"/>
          <w:left w:w="0" w:type="dxa"/>
          <w:bottom w:w="0" w:type="dxa"/>
          <w:right w:w="0" w:type="dxa"/>
        </w:tblCellMar>
      </w:tblPr>
      <w:tblGrid>
        <w:gridCol w:w="75"/>
        <w:gridCol w:w="110"/>
        <w:gridCol w:w="60"/>
        <w:gridCol w:w="8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1,642,233,575 Class B Shares with a par value of $0.01, of which all were owned by related parties; </w:t>
            </w:r>
          </w:p>
        </w:tc>
      </w:tr>
    </w:tbl>
    <w:p>
      <w:pPr>
        <w:pStyle w:val="TextBody"/>
        <w:spacing w:before="0" w:after="0"/>
        <w:jc w:val="left"/>
        <w:rPr>
          <w:highlight w:val="white"/>
        </w:rPr>
      </w:pPr>
      <w:r>
        <w:rPr>
          <w:highlight w:val="white"/>
        </w:rPr>
        <w:t> </w:t>
      </w:r>
    </w:p>
    <w:tbl>
      <w:tblPr>
        <w:tblW w:w="2965" w:type="dxa"/>
        <w:jc w:val="left"/>
        <w:tblInd w:w="0" w:type="dxa"/>
        <w:tblCellMar>
          <w:top w:w="0" w:type="dxa"/>
          <w:left w:w="0" w:type="dxa"/>
          <w:bottom w:w="0" w:type="dxa"/>
          <w:right w:w="0" w:type="dxa"/>
        </w:tblCellMar>
      </w:tblPr>
      <w:tblGrid>
        <w:gridCol w:w="75"/>
        <w:gridCol w:w="110"/>
        <w:gridCol w:w="60"/>
        <w:gridCol w:w="27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15,999,965 </w:t>
            </w:r>
          </w:p>
          <w:p>
            <w:pPr>
              <w:pStyle w:val="TableContents"/>
              <w:spacing w:before="0" w:after="0"/>
              <w:jc w:val="left"/>
              <w:rPr>
                <w:rFonts w:ascii="Times New Roman" w:hAnsi="Times New Roman"/>
                <w:spacing w:val="0"/>
                <w:sz w:val="20"/>
              </w:rPr>
            </w:pPr>
            <w:r>
              <w:rPr>
                <w:rFonts w:ascii="Times New Roman" w:hAnsi="Times New Roman"/>
                <w:spacing w:val="0"/>
                <w:sz w:val="20"/>
              </w:rPr>
              <w:t>Class C-1</w:t>
            </w:r>
          </w:p>
          <w:p>
            <w:pPr>
              <w:pStyle w:val="TableContents"/>
              <w:spacing w:before="0" w:after="0"/>
              <w:jc w:val="left"/>
              <w:rPr>
                <w:rFonts w:ascii="Times New Roman" w:hAnsi="Times New Roman"/>
                <w:sz w:val="20"/>
              </w:rPr>
            </w:pPr>
            <w:r>
              <w:rPr>
                <w:rFonts w:ascii="Times New Roman" w:hAnsi="Times New Roman"/>
                <w:sz w:val="20"/>
              </w:rPr>
              <w:t xml:space="preserve">Shares with a par value of $0.10; </w:t>
            </w:r>
          </w:p>
        </w:tc>
      </w:tr>
    </w:tbl>
    <w:p>
      <w:pPr>
        <w:pStyle w:val="TextBody"/>
        <w:spacing w:before="0" w:after="0"/>
        <w:jc w:val="left"/>
        <w:rPr>
          <w:highlight w:val="white"/>
        </w:rPr>
      </w:pPr>
      <w:r>
        <w:rPr>
          <w:highlight w:val="white"/>
        </w:rPr>
        <w:t> </w:t>
      </w:r>
    </w:p>
    <w:tbl>
      <w:tblPr>
        <w:tblW w:w="3310" w:type="dxa"/>
        <w:jc w:val="left"/>
        <w:tblInd w:w="0" w:type="dxa"/>
        <w:tblCellMar>
          <w:top w:w="0" w:type="dxa"/>
          <w:left w:w="0" w:type="dxa"/>
          <w:bottom w:w="0" w:type="dxa"/>
          <w:right w:w="0" w:type="dxa"/>
        </w:tblCellMar>
      </w:tblPr>
      <w:tblGrid>
        <w:gridCol w:w="75"/>
        <w:gridCol w:w="110"/>
        <w:gridCol w:w="60"/>
        <w:gridCol w:w="3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9,000,000 </w:t>
            </w:r>
          </w:p>
          <w:p>
            <w:pPr>
              <w:pStyle w:val="TableContents"/>
              <w:spacing w:before="0" w:after="0"/>
              <w:jc w:val="left"/>
              <w:rPr>
                <w:rFonts w:ascii="Times New Roman" w:hAnsi="Times New Roman"/>
                <w:spacing w:val="0"/>
                <w:sz w:val="20"/>
              </w:rPr>
            </w:pPr>
            <w:r>
              <w:rPr>
                <w:rFonts w:ascii="Times New Roman" w:hAnsi="Times New Roman"/>
                <w:spacing w:val="0"/>
                <w:sz w:val="20"/>
              </w:rPr>
              <w:t>Class C-2</w:t>
            </w:r>
          </w:p>
          <w:p>
            <w:pPr>
              <w:pStyle w:val="TableContents"/>
              <w:spacing w:before="0" w:after="0"/>
              <w:jc w:val="left"/>
              <w:rPr>
                <w:rFonts w:ascii="Times New Roman" w:hAnsi="Times New Roman"/>
                <w:sz w:val="20"/>
              </w:rPr>
            </w:pPr>
            <w:r>
              <w:rPr>
                <w:rFonts w:ascii="Times New Roman" w:hAnsi="Times New Roman"/>
                <w:sz w:val="20"/>
              </w:rPr>
              <w:t xml:space="preserve">Shares with a par value of $0.10; and </w:t>
            </w:r>
          </w:p>
        </w:tc>
      </w:tr>
    </w:tbl>
    <w:p>
      <w:pPr>
        <w:pStyle w:val="TextBody"/>
        <w:spacing w:before="0" w:after="0"/>
        <w:jc w:val="left"/>
        <w:rPr>
          <w:highlight w:val="white"/>
        </w:rPr>
      </w:pPr>
      <w:r>
        <w:rPr>
          <w:highlight w:val="white"/>
        </w:rPr>
        <w:t> </w:t>
      </w:r>
    </w:p>
    <w:tbl>
      <w:tblPr>
        <w:tblW w:w="6115" w:type="dxa"/>
        <w:jc w:val="left"/>
        <w:tblInd w:w="0" w:type="dxa"/>
        <w:tblCellMar>
          <w:top w:w="0" w:type="dxa"/>
          <w:left w:w="0" w:type="dxa"/>
          <w:bottom w:w="0" w:type="dxa"/>
          <w:right w:w="0" w:type="dxa"/>
        </w:tblCellMar>
      </w:tblPr>
      <w:tblGrid>
        <w:gridCol w:w="75"/>
        <w:gridCol w:w="110"/>
        <w:gridCol w:w="60"/>
        <w:gridCol w:w="58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50,000 GBP Redeemable Preferred Shares with a par value of GBP 1.00.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Holders of Class A Shares in Parent are entitled to one vote per share and holders of Class B Shares in the Parent are entitled to ten votes per share. Holders of Class C Shares in Parent are entitled to one vote per share for certain matters, but have no voting rights with respect to general matters voted on by holders of Class A Shares and Class B Shares in the Parent. Additionally, holders of GBP Redeemable Preferred Shares in the Parent have no voting rights. Any dividends or other distributions paid by the Parent shall only be issued to holders of outstanding Class A Shares and Class B Shares in the Parent. Holders of Class C Shares and GBP Redeemable Preferred Shares in the Parent are not entitled to participate in any dividends or other distributions. Refer to Note 16 - Reverse recapitalization for additional information on the Class C Shares.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Convertible Notes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July 2021, Geely and two other third-parties invested $35,231 in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non-interest-bearing</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Convertible Notes. Of the $35,231, $9,531 was held by Geely. The Convertible notes were accounted for as equity upon issuance and classified within Other contributed capital. The Convertible Notes were not eligible to receive a coupon or dividend for the first 24 months after issuance and were to convert to common shares upon (1) an issuance of equity securities in an amount greater than $50,000 to any entity that owned more than 35% voting power in the Former Group, (2) the occurrence of any initial public offering, combination with a special purpose acquisition company, or direct listing, (3) a liquidation of the Former Group, or (4)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non-occurrence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of any of the preceding events by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24-month</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anniversary of the issuance of the Convertible Notes. The second conversion event was satisfied on June 23, 2022 in connection with the merger with GGI and the Convertible Notes were converted into 4,306,466 Class A Shares in the Parent, resulting in a reclassification of par value within equity from Other contributed capital to Share capital.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Currency translation reserve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currency translation reserve comprises exchange rate differences resulting from the translation of financial reports of foreign operations that have prepared their financial reports in a currency other than Polestar Group’s reporting currency.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Accumulated deficit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Accumulated deficit comprises Net loss for the year and preceding years less any profits distributed. Accumulated deficit also includes the effects of business combinations under common control within Polestar Group.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Note 21 - Current and </w:t>
      </w:r>
    </w:p>
    <w:p>
      <w:pPr>
        <w:pStyle w:val="TextBody"/>
        <w:spacing w:before="0" w:after="0"/>
        <w:jc w:val="left"/>
        <w:rPr>
          <w:rFonts w:ascii="Times New Roman" w:hAnsi="Times New Roman"/>
          <w:b/>
          <w:spacing w:val="0"/>
          <w:sz w:val="20"/>
          <w:highlight w:val="white"/>
        </w:rPr>
      </w:pPr>
      <w:r>
        <w:rPr>
          <w:rFonts w:ascii="Times New Roman" w:hAnsi="Times New Roman"/>
          <w:b/>
          <w:spacing w:val="0"/>
          <w:sz w:val="20"/>
          <w:highlight w:val="white"/>
        </w:rPr>
        <w:t>non-current</w:t>
      </w:r>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provisions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changes in the Group’s current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provisions were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175"/>
        <w:gridCol w:w="120"/>
        <w:gridCol w:w="81"/>
        <w:gridCol w:w="1094"/>
        <w:gridCol w:w="155"/>
        <w:gridCol w:w="60"/>
        <w:gridCol w:w="190"/>
        <w:gridCol w:w="2155"/>
        <w:gridCol w:w="155"/>
        <w:gridCol w:w="60"/>
        <w:gridCol w:w="126"/>
        <w:gridCol w:w="1589"/>
        <w:gridCol w:w="155"/>
        <w:gridCol w:w="60"/>
        <w:gridCol w:w="60"/>
        <w:gridCol w:w="800"/>
        <w:gridCol w:w="170"/>
      </w:tblGrid>
      <w:tr>
        <w:trPr/>
        <w:tc>
          <w:tcPr>
            <w:tcW w:w="3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Warranties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Provision for employee</w:t>
              <w:br/>
              <w:t>benefits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Other provisions</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34,305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2155" w:type="dxa"/>
            <w:tcBorders/>
            <w:shd w:fill="CCEEFF" w:val="clear"/>
            <w:vAlign w:val="center"/>
          </w:tcPr>
          <w:p>
            <w:pPr>
              <w:pStyle w:val="TableContents"/>
              <w:spacing w:before="0" w:after="283"/>
              <w:jc w:val="right"/>
              <w:rPr/>
            </w:pPr>
            <w:r>
              <w:rPr/>
              <w:t>5,128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589" w:type="dxa"/>
            <w:tcBorders/>
            <w:shd w:fill="CCEEFF" w:val="clear"/>
            <w:vAlign w:val="center"/>
          </w:tcPr>
          <w:p>
            <w:pPr>
              <w:pStyle w:val="TableContents"/>
              <w:spacing w:before="0" w:after="283"/>
              <w:jc w:val="right"/>
              <w:rPr/>
            </w:pPr>
            <w:r>
              <w:rPr/>
              <w:t>14,683</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54,116</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68,081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6,867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4,853</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79,801</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Utilization</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(33,332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2155" w:type="dxa"/>
            <w:tcBorders/>
            <w:shd w:fill="CCEEFF" w:val="clear"/>
            <w:vAlign w:val="center"/>
          </w:tcPr>
          <w:p>
            <w:pPr>
              <w:pStyle w:val="TableContents"/>
              <w:spacing w:before="0" w:after="283"/>
              <w:jc w:val="right"/>
              <w:rPr/>
            </w:pPr>
            <w:r>
              <w:rPr/>
              <w:t>(4,207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589" w:type="dxa"/>
            <w:tcBorders/>
            <w:shd w:fill="CCEEFF" w:val="clear"/>
            <w:vAlign w:val="center"/>
          </w:tcPr>
          <w:p>
            <w:pPr>
              <w:pStyle w:val="TableContents"/>
              <w:spacing w:before="0" w:after="283"/>
              <w:jc w:val="right"/>
              <w:rPr/>
            </w:pPr>
            <w:r>
              <w:rPr/>
              <w:t>(8,498</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(46,037</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Reversals</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(4,967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(160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(5,127</w:t>
            </w:r>
          </w:p>
        </w:tc>
        <w:tc>
          <w:tcPr>
            <w:tcW w:w="170" w:type="dxa"/>
            <w:tcBorders/>
            <w:shd w:fill="auto"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0"/>
              <w:rPr>
                <w:bdr w:val="single" w:sz="2" w:space="1" w:color="000000"/>
              </w:rPr>
            </w:pPr>
            <w:r>
              <w:rPr>
                <w:bdr w:val="single" w:sz="2" w:space="1" w:color="000000"/>
              </w:rPr>
              <w:t> </w:t>
            </w:r>
          </w:p>
        </w:tc>
        <w:tc>
          <w:tcPr>
            <w:tcW w:w="10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bdr w:val="single" w:sz="2" w:space="1" w:color="000000"/>
              </w:rPr>
            </w:pPr>
            <w:r>
              <w:rPr>
                <w:bdr w:val="single" w:sz="2" w:space="1" w:color="000000"/>
              </w:rPr>
              <w:t> </w:t>
            </w:r>
          </w:p>
        </w:tc>
        <w:tc>
          <w:tcPr>
            <w:tcW w:w="21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0"/>
              <w:rPr>
                <w:spacing w:val="0"/>
              </w:rPr>
            </w:pPr>
            <w:r>
              <w:rPr>
                <w:spacing w:val="0"/>
              </w:rPr>
              <w:t> </w:t>
            </w:r>
          </w:p>
        </w:tc>
        <w:tc>
          <w:tcPr>
            <w:tcW w:w="1094" w:type="dxa"/>
            <w:tcBorders/>
            <w:shd w:fill="CCEEFF" w:val="clear"/>
            <w:vAlign w:val="center"/>
          </w:tcPr>
          <w:p>
            <w:pPr>
              <w:pStyle w:val="TableContents"/>
              <w:spacing w:before="0" w:after="0"/>
              <w:jc w:val="right"/>
              <w:rPr>
                <w:b/>
                <w:spacing w:val="0"/>
              </w:rPr>
            </w:pPr>
            <w:r>
              <w:rPr>
                <w:b/>
                <w:spacing w:val="0"/>
              </w:rPr>
              <w:t>64,087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0"/>
              <w:rPr>
                <w:spacing w:val="0"/>
              </w:rPr>
            </w:pPr>
            <w:r>
              <w:rPr>
                <w:spacing w:val="0"/>
              </w:rPr>
              <w:t> </w:t>
            </w:r>
          </w:p>
        </w:tc>
        <w:tc>
          <w:tcPr>
            <w:tcW w:w="2155" w:type="dxa"/>
            <w:tcBorders/>
            <w:shd w:fill="CCEEFF" w:val="clear"/>
            <w:vAlign w:val="center"/>
          </w:tcPr>
          <w:p>
            <w:pPr>
              <w:pStyle w:val="TableContents"/>
              <w:spacing w:before="0" w:after="0"/>
              <w:jc w:val="right"/>
              <w:rPr>
                <w:b/>
                <w:spacing w:val="0"/>
              </w:rPr>
            </w:pPr>
            <w:r>
              <w:rPr>
                <w:b/>
                <w:spacing w:val="0"/>
              </w:rPr>
              <w:t>7,628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1589" w:type="dxa"/>
            <w:tcBorders/>
            <w:shd w:fill="CCEEFF" w:val="clear"/>
            <w:vAlign w:val="center"/>
          </w:tcPr>
          <w:p>
            <w:pPr>
              <w:pStyle w:val="TableContents"/>
              <w:spacing w:before="0" w:after="0"/>
              <w:jc w:val="right"/>
              <w:rPr>
                <w:b/>
                <w:spacing w:val="0"/>
              </w:rPr>
            </w:pPr>
            <w:r>
              <w:rPr>
                <w:b/>
                <w:spacing w:val="0"/>
              </w:rPr>
              <w:t>11,038</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82,753</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0"/>
              <w:rPr>
                <w:bdr w:val="single" w:sz="2" w:space="1" w:color="000000"/>
              </w:rPr>
            </w:pPr>
            <w:r>
              <w:rPr>
                <w:bdr w:val="single" w:sz="2" w:space="1" w:color="000000"/>
              </w:rPr>
              <w:t> </w:t>
            </w:r>
          </w:p>
        </w:tc>
        <w:tc>
          <w:tcPr>
            <w:tcW w:w="10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bdr w:val="single" w:sz="2" w:space="1" w:color="000000"/>
              </w:rPr>
            </w:pPr>
            <w:r>
              <w:rPr>
                <w:bdr w:val="single" w:sz="2" w:space="1" w:color="000000"/>
              </w:rPr>
              <w:t> </w:t>
            </w:r>
          </w:p>
        </w:tc>
        <w:tc>
          <w:tcPr>
            <w:tcW w:w="21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of which current</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28,660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6,325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9,057</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44,042</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of which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35,427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2155" w:type="dxa"/>
            <w:tcBorders/>
            <w:shd w:fill="CCEEFF" w:val="clear"/>
            <w:vAlign w:val="center"/>
          </w:tcPr>
          <w:p>
            <w:pPr>
              <w:pStyle w:val="TableContents"/>
              <w:spacing w:before="0" w:after="283"/>
              <w:jc w:val="right"/>
              <w:rPr/>
            </w:pPr>
            <w:r>
              <w:rPr/>
              <w:t>1,303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589" w:type="dxa"/>
            <w:tcBorders/>
            <w:shd w:fill="CCEEFF" w:val="clear"/>
            <w:vAlign w:val="center"/>
          </w:tcPr>
          <w:p>
            <w:pPr>
              <w:pStyle w:val="TableContents"/>
              <w:spacing w:before="0" w:after="283"/>
              <w:jc w:val="right"/>
              <w:rPr/>
            </w:pPr>
            <w:r>
              <w:rPr/>
              <w:t>1,981</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38,711</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January 1, 2022</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64,087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7,628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11,038</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82,753</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100,389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2155" w:type="dxa"/>
            <w:tcBorders/>
            <w:shd w:fill="CCEEFF" w:val="clear"/>
            <w:vAlign w:val="center"/>
          </w:tcPr>
          <w:p>
            <w:pPr>
              <w:pStyle w:val="TableContents"/>
              <w:spacing w:before="0" w:after="283"/>
              <w:jc w:val="right"/>
              <w:rPr/>
            </w:pPr>
            <w:r>
              <w:rPr/>
              <w:t>16,647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589" w:type="dxa"/>
            <w:tcBorders/>
            <w:shd w:fill="CCEEFF" w:val="clear"/>
            <w:vAlign w:val="center"/>
          </w:tcPr>
          <w:p>
            <w:pPr>
              <w:pStyle w:val="TableContents"/>
              <w:spacing w:before="0" w:after="283"/>
              <w:jc w:val="right"/>
              <w:rPr/>
            </w:pPr>
            <w:r>
              <w:rPr/>
              <w:t>8,987</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126,023</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Utilization</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(25,239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(8,608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(10,431</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(44,278</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Reversals</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(10,785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2155" w:type="dxa"/>
            <w:tcBorders/>
            <w:shd w:fill="CCEEFF" w:val="clear"/>
            <w:vAlign w:val="center"/>
          </w:tcPr>
          <w:p>
            <w:pPr>
              <w:pStyle w:val="TableContents"/>
              <w:spacing w:before="0" w:after="283"/>
              <w:jc w:val="right"/>
              <w:rPr/>
            </w:pPr>
            <w:r>
              <w:rPr/>
              <w:t>(192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589" w:type="dxa"/>
            <w:tcBorders/>
            <w:shd w:fill="CCEEFF" w:val="clear"/>
            <w:vAlign w:val="center"/>
          </w:tcPr>
          <w:p>
            <w:pPr>
              <w:pStyle w:val="TableContents"/>
              <w:spacing w:before="0" w:after="283"/>
              <w:jc w:val="right"/>
              <w:rPr/>
            </w:pPr>
            <w:r>
              <w:rPr/>
              <w:t>(17</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(10,994</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Unwinding of discount and effect in changes due to discount rate</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(4,612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(4,612</w:t>
            </w:r>
          </w:p>
        </w:tc>
        <w:tc>
          <w:tcPr>
            <w:tcW w:w="170" w:type="dxa"/>
            <w:tcBorders/>
            <w:shd w:fill="auto"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0"/>
              <w:rPr>
                <w:bdr w:val="single" w:sz="2" w:space="1" w:color="000000"/>
              </w:rPr>
            </w:pPr>
            <w:r>
              <w:rPr>
                <w:bdr w:val="single" w:sz="2" w:space="1" w:color="000000"/>
              </w:rPr>
              <w:t> </w:t>
            </w:r>
          </w:p>
        </w:tc>
        <w:tc>
          <w:tcPr>
            <w:tcW w:w="10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bdr w:val="single" w:sz="2" w:space="1" w:color="000000"/>
              </w:rPr>
            </w:pPr>
            <w:r>
              <w:rPr>
                <w:bdr w:val="single" w:sz="2" w:space="1" w:color="000000"/>
              </w:rPr>
              <w:t> </w:t>
            </w:r>
          </w:p>
        </w:tc>
        <w:tc>
          <w:tcPr>
            <w:tcW w:w="21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0"/>
              <w:rPr>
                <w:spacing w:val="0"/>
              </w:rPr>
            </w:pPr>
            <w:r>
              <w:rPr>
                <w:spacing w:val="0"/>
              </w:rPr>
              <w:t> </w:t>
            </w:r>
          </w:p>
        </w:tc>
        <w:tc>
          <w:tcPr>
            <w:tcW w:w="1094" w:type="dxa"/>
            <w:tcBorders/>
            <w:shd w:fill="CCEEFF" w:val="clear"/>
            <w:vAlign w:val="center"/>
          </w:tcPr>
          <w:p>
            <w:pPr>
              <w:pStyle w:val="TableContents"/>
              <w:spacing w:before="0" w:after="0"/>
              <w:jc w:val="right"/>
              <w:rPr>
                <w:b/>
                <w:spacing w:val="0"/>
              </w:rPr>
            </w:pPr>
            <w:r>
              <w:rPr>
                <w:b/>
                <w:spacing w:val="0"/>
              </w:rPr>
              <w:t>123,840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0"/>
              <w:rPr>
                <w:spacing w:val="0"/>
              </w:rPr>
            </w:pPr>
            <w:r>
              <w:rPr>
                <w:spacing w:val="0"/>
              </w:rPr>
              <w:t> </w:t>
            </w:r>
          </w:p>
        </w:tc>
        <w:tc>
          <w:tcPr>
            <w:tcW w:w="2155" w:type="dxa"/>
            <w:tcBorders/>
            <w:shd w:fill="CCEEFF" w:val="clear"/>
            <w:vAlign w:val="center"/>
          </w:tcPr>
          <w:p>
            <w:pPr>
              <w:pStyle w:val="TableContents"/>
              <w:spacing w:before="0" w:after="0"/>
              <w:jc w:val="right"/>
              <w:rPr>
                <w:b/>
                <w:spacing w:val="0"/>
              </w:rPr>
            </w:pPr>
            <w:r>
              <w:rPr>
                <w:b/>
                <w:spacing w:val="0"/>
              </w:rPr>
              <w:t>15,475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1589" w:type="dxa"/>
            <w:tcBorders/>
            <w:shd w:fill="CCEEFF" w:val="clear"/>
            <w:vAlign w:val="center"/>
          </w:tcPr>
          <w:p>
            <w:pPr>
              <w:pStyle w:val="TableContents"/>
              <w:spacing w:before="0" w:after="0"/>
              <w:jc w:val="right"/>
              <w:rPr>
                <w:b/>
                <w:spacing w:val="0"/>
              </w:rPr>
            </w:pPr>
            <w:r>
              <w:rPr>
                <w:b/>
                <w:spacing w:val="0"/>
              </w:rPr>
              <w:t>9,577</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148,892</w:t>
            </w:r>
          </w:p>
        </w:tc>
        <w:tc>
          <w:tcPr>
            <w:tcW w:w="170" w:type="dxa"/>
            <w:tcBorders/>
            <w:shd w:fill="CCEEFF"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0"/>
              <w:rPr>
                <w:bdr w:val="single" w:sz="2" w:space="1" w:color="000000"/>
              </w:rPr>
            </w:pPr>
            <w:r>
              <w:rPr>
                <w:bdr w:val="single" w:sz="2" w:space="1" w:color="000000"/>
              </w:rPr>
              <w:t> </w:t>
            </w:r>
          </w:p>
        </w:tc>
        <w:tc>
          <w:tcPr>
            <w:tcW w:w="109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rPr>
                <w:bdr w:val="single" w:sz="2" w:space="1" w:color="000000"/>
              </w:rPr>
            </w:pPr>
            <w:r>
              <w:rPr>
                <w:bdr w:val="single" w:sz="2" w:space="1" w:color="000000"/>
              </w:rPr>
              <w:t> </w:t>
            </w:r>
          </w:p>
        </w:tc>
        <w:tc>
          <w:tcPr>
            <w:tcW w:w="21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of which current</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53,595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2155" w:type="dxa"/>
            <w:tcBorders/>
            <w:shd w:fill="auto" w:val="clear"/>
            <w:vAlign w:val="center"/>
          </w:tcPr>
          <w:p>
            <w:pPr>
              <w:pStyle w:val="TableContents"/>
              <w:spacing w:before="0" w:after="283"/>
              <w:jc w:val="right"/>
              <w:rPr/>
            </w:pPr>
            <w:r>
              <w:rPr/>
              <w:t>15,379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589" w:type="dxa"/>
            <w:tcBorders/>
            <w:shd w:fill="auto" w:val="clear"/>
            <w:vAlign w:val="center"/>
          </w:tcPr>
          <w:p>
            <w:pPr>
              <w:pStyle w:val="TableContents"/>
              <w:spacing w:before="0" w:after="283"/>
              <w:jc w:val="right"/>
              <w:rPr/>
            </w:pPr>
            <w:r>
              <w:rPr/>
              <w:t>5,933</w:t>
            </w:r>
          </w:p>
        </w:tc>
        <w:tc>
          <w:tcPr>
            <w:tcW w:w="155"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74,907</w:t>
            </w:r>
          </w:p>
        </w:tc>
        <w:tc>
          <w:tcPr>
            <w:tcW w:w="170" w:type="dxa"/>
            <w:tcBorders/>
            <w:shd w:fill="auto" w:val="clear"/>
            <w:vAlign w:val="center"/>
          </w:tcPr>
          <w:p>
            <w:pPr>
              <w:pStyle w:val="TableContents"/>
              <w:spacing w:before="0" w:after="283"/>
              <w:rPr/>
            </w:pPr>
            <w:r>
              <w:rPr/>
              <w:t> </w:t>
            </w:r>
          </w:p>
        </w:tc>
      </w:tr>
      <w:tr>
        <w:trPr/>
        <w:tc>
          <w:tcPr>
            <w:tcW w:w="3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of which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70,245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2155" w:type="dxa"/>
            <w:tcBorders/>
            <w:shd w:fill="CCEEFF" w:val="clear"/>
            <w:vAlign w:val="center"/>
          </w:tcPr>
          <w:p>
            <w:pPr>
              <w:pStyle w:val="TableContents"/>
              <w:spacing w:before="0" w:after="283"/>
              <w:jc w:val="right"/>
              <w:rPr/>
            </w:pPr>
            <w:r>
              <w:rPr/>
              <w:t>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589" w:type="dxa"/>
            <w:tcBorders/>
            <w:shd w:fill="CCEEFF" w:val="clear"/>
            <w:vAlign w:val="center"/>
          </w:tcPr>
          <w:p>
            <w:pPr>
              <w:pStyle w:val="TableContents"/>
              <w:spacing w:before="0" w:after="283"/>
              <w:jc w:val="right"/>
              <w:rPr/>
            </w:pPr>
            <w:r>
              <w:rPr/>
              <w:t>3,644</w:t>
            </w:r>
          </w:p>
        </w:tc>
        <w:tc>
          <w:tcPr>
            <w:tcW w:w="155"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73,985</w:t>
            </w:r>
          </w:p>
        </w:tc>
        <w:tc>
          <w:tcPr>
            <w:tcW w:w="17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Provision for employee benefits relates to the Group’s short-term incentive plan and LTVP. Refer to Note 6 - Employee benefits for more details.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22 - Other current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Other current liabilities for the Group were as follows: </w:t>
      </w:r>
    </w:p>
    <w:p>
      <w:pPr>
        <w:pStyle w:val="TextBody"/>
        <w:spacing w:before="0" w:after="0"/>
        <w:jc w:val="left"/>
        <w:rPr>
          <w:highlight w:val="white"/>
        </w:rPr>
      </w:pPr>
      <w:r>
        <w:rPr>
          <w:highlight w:val="white"/>
        </w:rPr>
        <w:t> </w:t>
      </w:r>
    </w:p>
    <w:tbl>
      <w:tblPr>
        <w:tblW w:w="5934" w:type="dxa"/>
        <w:jc w:val="left"/>
        <w:tblInd w:w="0" w:type="dxa"/>
        <w:tblCellMar>
          <w:top w:w="0" w:type="dxa"/>
          <w:left w:w="0" w:type="dxa"/>
          <w:bottom w:w="0" w:type="dxa"/>
          <w:right w:w="0" w:type="dxa"/>
        </w:tblCellMar>
      </w:tblPr>
      <w:tblGrid>
        <w:gridCol w:w="3740"/>
        <w:gridCol w:w="120"/>
        <w:gridCol w:w="63"/>
        <w:gridCol w:w="842"/>
        <w:gridCol w:w="63"/>
        <w:gridCol w:w="126"/>
        <w:gridCol w:w="63"/>
        <w:gridCol w:w="842"/>
        <w:gridCol w:w="75"/>
      </w:tblGrid>
      <w:tr>
        <w:trPr/>
        <w:tc>
          <w:tcPr>
            <w:tcW w:w="37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9"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199,489</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186,748</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Liabilities related to repurchase commitments</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79,501</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92,421</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interest</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2,614</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305</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Personnel related liabilities</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28,816</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19,642</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VAT liabilities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78,954</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46,464</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liabilities</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4,416</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19,082</w:t>
            </w:r>
          </w:p>
        </w:tc>
        <w:tc>
          <w:tcPr>
            <w:tcW w:w="75" w:type="dxa"/>
            <w:tcBorders/>
            <w:shd w:fill="auto"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842" w:type="dxa"/>
            <w:tcBorders/>
            <w:shd w:fill="CCEEFF" w:val="clear"/>
            <w:vAlign w:val="center"/>
          </w:tcPr>
          <w:p>
            <w:pPr>
              <w:pStyle w:val="TableContents"/>
              <w:spacing w:before="0" w:after="0"/>
              <w:jc w:val="right"/>
              <w:rPr>
                <w:b/>
                <w:spacing w:val="0"/>
              </w:rPr>
            </w:pPr>
            <w:r>
              <w:rPr>
                <w:b/>
                <w:spacing w:val="0"/>
              </w:rPr>
              <w:t>393,790</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842" w:type="dxa"/>
            <w:tcBorders/>
            <w:shd w:fill="CCEEFF" w:val="clear"/>
            <w:vAlign w:val="center"/>
          </w:tcPr>
          <w:p>
            <w:pPr>
              <w:pStyle w:val="TableContents"/>
              <w:spacing w:before="0" w:after="0"/>
              <w:jc w:val="right"/>
              <w:rPr>
                <w:b/>
                <w:spacing w:val="0"/>
              </w:rPr>
            </w:pPr>
            <w:r>
              <w:rPr>
                <w:b/>
                <w:spacing w:val="0"/>
              </w:rPr>
              <w:t>364,662</w:t>
            </w:r>
          </w:p>
        </w:tc>
        <w:tc>
          <w:tcPr>
            <w:tcW w:w="75" w:type="dxa"/>
            <w:tcBorders/>
            <w:shd w:fill="CCEE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84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Accrued expenses were mainly related to marketing and product development; personnel related liabilities consisted of wages, salaries, and other benefits payable.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Note 23 - Liabilities to credit institutions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carrying amount of Polestar Group’s liabilities to credit institutions as of December 31, 2022 and December 31, 2021 are as follows: </w:t>
      </w:r>
    </w:p>
    <w:p>
      <w:pPr>
        <w:pStyle w:val="TextBody"/>
        <w:spacing w:before="0" w:after="0"/>
        <w:jc w:val="left"/>
        <w:rPr>
          <w:highlight w:val="white"/>
        </w:rPr>
      </w:pPr>
      <w:r>
        <w:rPr>
          <w:highlight w:val="white"/>
        </w:rPr>
        <w:t> </w:t>
      </w:r>
    </w:p>
    <w:tbl>
      <w:tblPr>
        <w:tblW w:w="5055" w:type="dxa"/>
        <w:jc w:val="left"/>
        <w:tblInd w:w="0" w:type="dxa"/>
        <w:tblCellMar>
          <w:top w:w="0" w:type="dxa"/>
          <w:left w:w="0" w:type="dxa"/>
          <w:bottom w:w="0" w:type="dxa"/>
          <w:right w:w="0" w:type="dxa"/>
        </w:tblCellMar>
      </w:tblPr>
      <w:tblGrid>
        <w:gridCol w:w="2780"/>
        <w:gridCol w:w="120"/>
        <w:gridCol w:w="60"/>
        <w:gridCol w:w="980"/>
        <w:gridCol w:w="60"/>
        <w:gridCol w:w="120"/>
        <w:gridCol w:w="60"/>
        <w:gridCol w:w="800"/>
        <w:gridCol w:w="75"/>
      </w:tblGrid>
      <w:tr>
        <w:trPr/>
        <w:tc>
          <w:tcPr>
            <w:tcW w:w="2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Working capital loans from banks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1,300,108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609,209</w:t>
            </w:r>
          </w:p>
        </w:tc>
        <w:tc>
          <w:tcPr>
            <w:tcW w:w="75" w:type="dxa"/>
            <w:tcBorders/>
            <w:shd w:fill="CCEEFF"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Floorplan facilities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16,925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18,664</w:t>
            </w:r>
          </w:p>
        </w:tc>
        <w:tc>
          <w:tcPr>
            <w:tcW w:w="75" w:type="dxa"/>
            <w:tcBorders/>
            <w:shd w:fill="auto"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Sale-leaseback facilities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11,719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14,465</w:t>
            </w:r>
          </w:p>
        </w:tc>
        <w:tc>
          <w:tcPr>
            <w:tcW w:w="75" w:type="dxa"/>
            <w:tcBorders/>
            <w:shd w:fill="CCEEFF"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Closing balance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1,328,752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642,338</w:t>
            </w:r>
          </w:p>
        </w:tc>
        <w:tc>
          <w:tcPr>
            <w:tcW w:w="75" w:type="dxa"/>
            <w:tcBorders/>
            <w:shd w:fill="auto" w:val="clear"/>
            <w:vAlign w:val="center"/>
          </w:tcPr>
          <w:p>
            <w:pPr>
              <w:pStyle w:val="TableContents"/>
              <w:spacing w:before="0" w:after="283"/>
              <w:rPr/>
            </w:pPr>
            <w:r>
              <w:rPr/>
              <w:t> </w:t>
            </w:r>
          </w:p>
        </w:tc>
      </w:tr>
      <w:tr>
        <w:trPr/>
        <w:tc>
          <w:tcPr>
            <w:tcW w:w="2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had the following working capital loans outstanding as of December 31, 2022: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25"/>
        <w:gridCol w:w="60"/>
        <w:gridCol w:w="2348"/>
        <w:gridCol w:w="60"/>
        <w:gridCol w:w="60"/>
        <w:gridCol w:w="1040"/>
        <w:gridCol w:w="80"/>
        <w:gridCol w:w="60"/>
        <w:gridCol w:w="2476"/>
        <w:gridCol w:w="60"/>
        <w:gridCol w:w="139"/>
        <w:gridCol w:w="1861"/>
        <w:gridCol w:w="60"/>
        <w:gridCol w:w="60"/>
        <w:gridCol w:w="60"/>
        <w:gridCol w:w="980"/>
        <w:gridCol w:w="76"/>
      </w:tblGrid>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Currency</w:t>
            </w:r>
          </w:p>
        </w:tc>
        <w:tc>
          <w:tcPr>
            <w:tcW w:w="60" w:type="dxa"/>
            <w:tcBorders/>
            <w:shd w:fill="auto" w:val="clear"/>
            <w:vAlign w:val="center"/>
          </w:tcPr>
          <w:p>
            <w:pPr>
              <w:pStyle w:val="TableContents"/>
              <w:spacing w:before="0" w:after="283"/>
              <w:rPr/>
            </w:pPr>
            <w:r>
              <w:rPr/>
              <w:t> </w:t>
            </w:r>
          </w:p>
        </w:tc>
        <w:tc>
          <w:tcPr>
            <w:tcW w:w="234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Term</w:t>
            </w:r>
          </w:p>
        </w:tc>
        <w:tc>
          <w:tcPr>
            <w:tcW w:w="6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Security</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6"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Interest</w:t>
            </w:r>
          </w:p>
        </w:tc>
        <w:tc>
          <w:tcPr>
            <w:tcW w:w="60" w:type="dxa"/>
            <w:tcBorders/>
            <w:shd w:fill="auto" w:val="clear"/>
            <w:vAlign w:val="center"/>
          </w:tcPr>
          <w:p>
            <w:pPr>
              <w:pStyle w:val="TableContents"/>
              <w:spacing w:before="0" w:after="283"/>
              <w:rPr/>
            </w:pPr>
            <w:r>
              <w:rPr/>
              <w:t> </w:t>
            </w:r>
          </w:p>
        </w:tc>
        <w:tc>
          <w:tcPr>
            <w:tcW w:w="20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Nominal amount in</w:t>
              <w:br/>
              <w:t>respective currency</w:t>
              <w:br/>
              <w:t>(thousands)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TUSD</w:t>
            </w:r>
          </w:p>
        </w:tc>
        <w:tc>
          <w:tcPr>
            <w:tcW w:w="76" w:type="dxa"/>
            <w:tcBorders/>
            <w:shd w:fill="auto" w:val="clear"/>
            <w:vAlign w:val="center"/>
          </w:tcPr>
          <w:p>
            <w:pPr>
              <w:pStyle w:val="TableContents"/>
              <w:spacing w:before="0" w:after="283"/>
              <w:rPr/>
            </w:pPr>
            <w:r>
              <w:rPr/>
              <w:t> </w:t>
            </w:r>
          </w:p>
        </w:tc>
      </w:tr>
      <w:tr>
        <w:trPr/>
        <w:tc>
          <w:tcPr>
            <w:tcW w:w="7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EUR</w:t>
            </w:r>
          </w:p>
        </w:tc>
        <w:tc>
          <w:tcPr>
            <w:tcW w:w="60" w:type="dxa"/>
            <w:tcBorders/>
            <w:shd w:fill="CCEEFF" w:val="clear"/>
            <w:vAlign w:val="center"/>
          </w:tcPr>
          <w:p>
            <w:pPr>
              <w:pStyle w:val="TableContents"/>
              <w:spacing w:before="0" w:after="283"/>
              <w:rPr/>
            </w:pPr>
            <w:r>
              <w:rPr/>
              <w:t> </w:t>
            </w:r>
          </w:p>
        </w:tc>
        <w:tc>
          <w:tcPr>
            <w:tcW w:w="2348" w:type="dxa"/>
            <w:tcBorders/>
            <w:shd w:fill="CCEEFF" w:val="clear"/>
            <w:vAlign w:val="center"/>
          </w:tcPr>
          <w:p>
            <w:pPr>
              <w:pStyle w:val="TableContents"/>
              <w:spacing w:before="0" w:after="283"/>
              <w:rPr/>
            </w:pPr>
            <w:r>
              <w:rPr/>
              <w:t>February 2022 -February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0"/>
              <w:rPr/>
            </w:pPr>
            <w:r>
              <w:rPr/>
              <w:t>Secured</w:t>
            </w:r>
          </w:p>
          <w:p>
            <w:pPr>
              <w:pStyle w:val="TableContents"/>
              <w:spacing w:before="0" w:after="0"/>
              <w:rPr>
                <w:sz w:val="11"/>
              </w:rPr>
            </w:pPr>
            <w:r>
              <w:rPr>
                <w:sz w:val="11"/>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76" w:type="dxa"/>
            <w:tcBorders/>
            <w:shd w:fill="CCEEFF" w:val="clear"/>
            <w:vAlign w:val="center"/>
          </w:tcPr>
          <w:p>
            <w:pPr>
              <w:pStyle w:val="TableContents"/>
              <w:spacing w:before="0" w:after="0"/>
              <w:rPr/>
            </w:pPr>
            <w:r>
              <w:rPr/>
              <w:t>3 month EURIBOR</w:t>
            </w:r>
          </w:p>
          <w:p>
            <w:pPr>
              <w:pStyle w:val="TableContents"/>
              <w:spacing w:before="0" w:after="0"/>
              <w:rPr>
                <w:sz w:val="11"/>
              </w:rPr>
            </w:pPr>
            <w:r>
              <w:rPr>
                <w:sz w:val="11"/>
              </w:rPr>
              <w:t>2</w:t>
            </w:r>
          </w:p>
          <w:p>
            <w:pPr>
              <w:pStyle w:val="TableContents"/>
              <w:spacing w:before="0" w:after="0"/>
              <w:rPr/>
            </w:pPr>
            <w:r>
              <w:rPr/>
              <w:t>plus 2.1% and an arrangement fee of 0.15%</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861" w:type="dxa"/>
            <w:tcBorders/>
            <w:shd w:fill="CCEEFF" w:val="clear"/>
            <w:vAlign w:val="center"/>
          </w:tcPr>
          <w:p>
            <w:pPr>
              <w:pStyle w:val="TableContents"/>
              <w:spacing w:before="0" w:after="283"/>
              <w:jc w:val="right"/>
              <w:rPr/>
            </w:pPr>
            <w:r>
              <w:rPr/>
              <w:t>270,095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288,746</w:t>
            </w:r>
          </w:p>
        </w:tc>
        <w:tc>
          <w:tcPr>
            <w:tcW w:w="76" w:type="dxa"/>
            <w:tcBorders/>
            <w:shd w:fill="CCEEFF"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auto" w:val="clear"/>
            <w:vAlign w:val="center"/>
          </w:tcPr>
          <w:p>
            <w:pPr>
              <w:pStyle w:val="TableContents"/>
              <w:spacing w:before="0" w:after="283"/>
              <w:rPr/>
            </w:pPr>
            <w:r>
              <w:rPr/>
              <w:t> </w:t>
            </w:r>
          </w:p>
        </w:tc>
        <w:tc>
          <w:tcPr>
            <w:tcW w:w="2348" w:type="dxa"/>
            <w:tcBorders/>
            <w:shd w:fill="auto" w:val="clear"/>
            <w:vAlign w:val="center"/>
          </w:tcPr>
          <w:p>
            <w:pPr>
              <w:pStyle w:val="TableContents"/>
              <w:spacing w:before="0" w:after="283"/>
              <w:rPr/>
            </w:pPr>
            <w:r>
              <w:rPr/>
              <w:t>June 2022 - June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Unsecured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6" w:type="dxa"/>
            <w:tcBorders/>
            <w:shd w:fill="auto" w:val="clear"/>
            <w:vAlign w:val="center"/>
          </w:tcPr>
          <w:p>
            <w:pPr>
              <w:pStyle w:val="TableContents"/>
              <w:spacing w:before="0" w:after="0"/>
              <w:rPr/>
            </w:pPr>
            <w:r>
              <w:rPr/>
              <w:t>12 month LPR</w:t>
            </w:r>
          </w:p>
          <w:p>
            <w:pPr>
              <w:pStyle w:val="TableContents"/>
              <w:spacing w:before="0" w:after="0"/>
              <w:rPr>
                <w:sz w:val="11"/>
              </w:rPr>
            </w:pPr>
            <w:r>
              <w:rPr>
                <w:sz w:val="11"/>
              </w:rPr>
              <w:t>3</w:t>
            </w:r>
          </w:p>
          <w:p>
            <w:pPr>
              <w:pStyle w:val="TableContents"/>
              <w:spacing w:before="0" w:after="0"/>
              <w:rPr/>
            </w:pPr>
            <w:r>
              <w:rPr/>
              <w:t>plus 1.25%, settled monthly</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72,517</w:t>
            </w:r>
          </w:p>
        </w:tc>
        <w:tc>
          <w:tcPr>
            <w:tcW w:w="76" w:type="dxa"/>
            <w:tcBorders/>
            <w:shd w:fill="auto" w:val="clear"/>
            <w:vAlign w:val="center"/>
          </w:tcPr>
          <w:p>
            <w:pPr>
              <w:pStyle w:val="TableContents"/>
              <w:spacing w:before="0" w:after="283"/>
              <w:rPr/>
            </w:pPr>
            <w:r>
              <w:rPr/>
              <w:t> </w:t>
            </w:r>
          </w:p>
        </w:tc>
      </w:tr>
      <w:tr>
        <w:trPr/>
        <w:tc>
          <w:tcPr>
            <w:tcW w:w="7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CCEEFF" w:val="clear"/>
            <w:vAlign w:val="center"/>
          </w:tcPr>
          <w:p>
            <w:pPr>
              <w:pStyle w:val="TableContents"/>
              <w:spacing w:before="0" w:after="283"/>
              <w:rPr/>
            </w:pPr>
            <w:r>
              <w:rPr/>
              <w:t> </w:t>
            </w:r>
          </w:p>
        </w:tc>
        <w:tc>
          <w:tcPr>
            <w:tcW w:w="2348" w:type="dxa"/>
            <w:tcBorders/>
            <w:shd w:fill="CCEEFF" w:val="clear"/>
            <w:vAlign w:val="center"/>
          </w:tcPr>
          <w:p>
            <w:pPr>
              <w:pStyle w:val="TableContents"/>
              <w:spacing w:before="0" w:after="283"/>
              <w:rPr/>
            </w:pPr>
            <w:r>
              <w:rPr/>
              <w:t>August 2022 - August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rPr/>
            </w:pPr>
            <w:r>
              <w:rPr/>
              <w:t>Unsecured</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76" w:type="dxa"/>
            <w:tcBorders/>
            <w:shd w:fill="CCEEFF" w:val="clear"/>
            <w:vAlign w:val="center"/>
          </w:tcPr>
          <w:p>
            <w:pPr>
              <w:pStyle w:val="TableContents"/>
              <w:spacing w:before="0" w:after="283"/>
              <w:rPr/>
            </w:pPr>
            <w:r>
              <w:rPr/>
              <w:t>12 month LPR plus 0.05%, settled quarterly</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861" w:type="dxa"/>
            <w:tcBorders/>
            <w:shd w:fill="CCEEFF" w:val="clear"/>
            <w:vAlign w:val="center"/>
          </w:tcPr>
          <w:p>
            <w:pPr>
              <w:pStyle w:val="TableContents"/>
              <w:spacing w:before="0" w:after="283"/>
              <w:jc w:val="right"/>
              <w:rPr/>
            </w:pPr>
            <w:r>
              <w:rPr/>
              <w:t>716,000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103,845</w:t>
            </w:r>
          </w:p>
        </w:tc>
        <w:tc>
          <w:tcPr>
            <w:tcW w:w="76" w:type="dxa"/>
            <w:tcBorders/>
            <w:shd w:fill="CCEEFF"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auto" w:val="clear"/>
            <w:vAlign w:val="center"/>
          </w:tcPr>
          <w:p>
            <w:pPr>
              <w:pStyle w:val="TableContents"/>
              <w:spacing w:before="0" w:after="283"/>
              <w:rPr/>
            </w:pPr>
            <w:r>
              <w:rPr/>
              <w:t> </w:t>
            </w:r>
          </w:p>
        </w:tc>
        <w:tc>
          <w:tcPr>
            <w:tcW w:w="2348" w:type="dxa"/>
            <w:tcBorders/>
            <w:shd w:fill="auto" w:val="clear"/>
            <w:vAlign w:val="center"/>
          </w:tcPr>
          <w:p>
            <w:pPr>
              <w:pStyle w:val="TableContents"/>
              <w:spacing w:before="0" w:after="283"/>
              <w:rPr/>
            </w:pPr>
            <w:r>
              <w:rPr/>
              <w:t>August 2022 - August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Unsecured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6" w:type="dxa"/>
            <w:tcBorders/>
            <w:shd w:fill="auto" w:val="clear"/>
            <w:vAlign w:val="center"/>
          </w:tcPr>
          <w:p>
            <w:pPr>
              <w:pStyle w:val="TableContents"/>
              <w:spacing w:before="0" w:after="283"/>
              <w:rPr/>
            </w:pPr>
            <w:r>
              <w:rPr/>
              <w:t>3 month LPR plus 2.3%, settled quarterly</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right"/>
              <w:rPr/>
            </w:pPr>
            <w:r>
              <w:rPr/>
              <w:t>147,000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147,000</w:t>
            </w:r>
          </w:p>
        </w:tc>
        <w:tc>
          <w:tcPr>
            <w:tcW w:w="76" w:type="dxa"/>
            <w:tcBorders/>
            <w:shd w:fill="auto" w:val="clear"/>
            <w:vAlign w:val="center"/>
          </w:tcPr>
          <w:p>
            <w:pPr>
              <w:pStyle w:val="TableContents"/>
              <w:spacing w:before="0" w:after="283"/>
              <w:rPr/>
            </w:pPr>
            <w:r>
              <w:rPr/>
              <w:t> </w:t>
            </w:r>
          </w:p>
        </w:tc>
      </w:tr>
      <w:tr>
        <w:trPr/>
        <w:tc>
          <w:tcPr>
            <w:tcW w:w="7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CCEEFF" w:val="clear"/>
            <w:vAlign w:val="center"/>
          </w:tcPr>
          <w:p>
            <w:pPr>
              <w:pStyle w:val="TableContents"/>
              <w:spacing w:before="0" w:after="283"/>
              <w:rPr/>
            </w:pPr>
            <w:r>
              <w:rPr/>
              <w:t> </w:t>
            </w:r>
          </w:p>
        </w:tc>
        <w:tc>
          <w:tcPr>
            <w:tcW w:w="2348" w:type="dxa"/>
            <w:tcBorders/>
            <w:shd w:fill="CCEEFF" w:val="clear"/>
            <w:vAlign w:val="center"/>
          </w:tcPr>
          <w:p>
            <w:pPr>
              <w:pStyle w:val="TableContents"/>
              <w:spacing w:before="0" w:after="283"/>
              <w:rPr/>
            </w:pPr>
            <w:r>
              <w:rPr/>
              <w:t>September 2022 -September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rPr/>
            </w:pPr>
            <w:r>
              <w:rPr/>
              <w:t>Unsecured</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76" w:type="dxa"/>
            <w:tcBorders/>
            <w:shd w:fill="CCEEFF" w:val="clear"/>
            <w:vAlign w:val="center"/>
          </w:tcPr>
          <w:p>
            <w:pPr>
              <w:pStyle w:val="TableContents"/>
              <w:spacing w:before="0" w:after="283"/>
              <w:rPr/>
            </w:pPr>
            <w:r>
              <w:rPr/>
              <w:t>3 month LPR plus 2.3%, settled quarterly</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861" w:type="dxa"/>
            <w:tcBorders/>
            <w:shd w:fill="CCEEFF" w:val="clear"/>
            <w:vAlign w:val="center"/>
          </w:tcPr>
          <w:p>
            <w:pPr>
              <w:pStyle w:val="TableContents"/>
              <w:spacing w:before="0" w:after="283"/>
              <w:jc w:val="right"/>
              <w:rPr/>
            </w:pPr>
            <w:r>
              <w:rPr/>
              <w:t>255,000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255,000</w:t>
            </w:r>
          </w:p>
        </w:tc>
        <w:tc>
          <w:tcPr>
            <w:tcW w:w="76" w:type="dxa"/>
            <w:tcBorders/>
            <w:shd w:fill="CCEEFF"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auto" w:val="clear"/>
            <w:vAlign w:val="center"/>
          </w:tcPr>
          <w:p>
            <w:pPr>
              <w:pStyle w:val="TableContents"/>
              <w:spacing w:before="0" w:after="283"/>
              <w:rPr/>
            </w:pPr>
            <w:r>
              <w:rPr/>
              <w:t> </w:t>
            </w:r>
          </w:p>
        </w:tc>
        <w:tc>
          <w:tcPr>
            <w:tcW w:w="2348" w:type="dxa"/>
            <w:tcBorders/>
            <w:shd w:fill="auto" w:val="clear"/>
            <w:vAlign w:val="center"/>
          </w:tcPr>
          <w:p>
            <w:pPr>
              <w:pStyle w:val="TableContents"/>
              <w:spacing w:before="0" w:after="0"/>
              <w:rPr/>
            </w:pPr>
            <w:r>
              <w:rPr/>
              <w:t xml:space="preserve">September 2022 </w:t>
            </w:r>
          </w:p>
          <w:p>
            <w:pPr>
              <w:pStyle w:val="TableContents"/>
              <w:spacing w:before="0" w:after="0"/>
              <w:rPr>
                <w:spacing w:val="0"/>
              </w:rPr>
            </w:pPr>
            <w:r>
              <w:rPr>
                <w:spacing w:val="0"/>
              </w:rPr>
              <w:t>-</w:t>
            </w:r>
          </w:p>
          <w:p>
            <w:pPr>
              <w:pStyle w:val="TableContents"/>
              <w:spacing w:before="0" w:after="0"/>
              <w:rPr/>
            </w:pPr>
            <w:r>
              <w:rPr/>
              <w:t>September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0"/>
              <w:rPr/>
            </w:pPr>
            <w:r>
              <w:rPr/>
              <w:t>Secured</w:t>
            </w:r>
          </w:p>
          <w:p>
            <w:pPr>
              <w:pStyle w:val="TableContents"/>
              <w:spacing w:before="0" w:after="0"/>
              <w:rPr>
                <w:sz w:val="11"/>
              </w:rPr>
            </w:pPr>
            <w:r>
              <w:rPr>
                <w:sz w:val="11"/>
              </w:rPr>
              <w:t>4</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6" w:type="dxa"/>
            <w:tcBorders/>
            <w:shd w:fill="auto" w:val="clear"/>
            <w:vAlign w:val="center"/>
          </w:tcPr>
          <w:p>
            <w:pPr>
              <w:pStyle w:val="TableContents"/>
              <w:spacing w:before="0" w:after="283"/>
              <w:rPr/>
            </w:pPr>
            <w:r>
              <w:rPr/>
              <w:t>4.48% per annum</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right"/>
              <w:rPr/>
            </w:pPr>
            <w:r>
              <w:rPr/>
              <w:t>133,000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133,000</w:t>
            </w:r>
          </w:p>
        </w:tc>
        <w:tc>
          <w:tcPr>
            <w:tcW w:w="76" w:type="dxa"/>
            <w:tcBorders/>
            <w:shd w:fill="auto" w:val="clear"/>
            <w:vAlign w:val="center"/>
          </w:tcPr>
          <w:p>
            <w:pPr>
              <w:pStyle w:val="TableContents"/>
              <w:spacing w:before="0" w:after="283"/>
              <w:rPr/>
            </w:pPr>
            <w:r>
              <w:rPr/>
              <w:t> </w:t>
            </w:r>
          </w:p>
        </w:tc>
      </w:tr>
      <w:tr>
        <w:trPr/>
        <w:tc>
          <w:tcPr>
            <w:tcW w:w="7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CCEEFF" w:val="clear"/>
            <w:vAlign w:val="center"/>
          </w:tcPr>
          <w:p>
            <w:pPr>
              <w:pStyle w:val="TableContents"/>
              <w:spacing w:before="0" w:after="283"/>
              <w:rPr/>
            </w:pPr>
            <w:r>
              <w:rPr/>
              <w:t> </w:t>
            </w:r>
          </w:p>
        </w:tc>
        <w:tc>
          <w:tcPr>
            <w:tcW w:w="2348" w:type="dxa"/>
            <w:tcBorders/>
            <w:shd w:fill="CCEEFF" w:val="clear"/>
            <w:vAlign w:val="center"/>
          </w:tcPr>
          <w:p>
            <w:pPr>
              <w:pStyle w:val="TableContents"/>
              <w:spacing w:before="0" w:after="0"/>
              <w:rPr>
                <w:spacing w:val="0"/>
                <w:sz w:val="18"/>
              </w:rPr>
            </w:pPr>
            <w:r>
              <w:rPr>
                <w:spacing w:val="0"/>
                <w:sz w:val="18"/>
              </w:rPr>
              <w:t>September 2022 - September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040" w:type="dxa"/>
            <w:tcBorders/>
            <w:shd w:fill="CCEEFF" w:val="clear"/>
            <w:vAlign w:val="center"/>
          </w:tcPr>
          <w:p>
            <w:pPr>
              <w:pStyle w:val="TableContents"/>
              <w:spacing w:before="0" w:after="0"/>
              <w:rPr>
                <w:spacing w:val="0"/>
                <w:sz w:val="18"/>
              </w:rPr>
            </w:pPr>
            <w:r>
              <w:rPr>
                <w:spacing w:val="0"/>
                <w:sz w:val="18"/>
              </w:rPr>
              <w:t>Unsecured</w:t>
            </w:r>
          </w:p>
        </w:tc>
        <w:tc>
          <w:tcPr>
            <w:tcW w:w="8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2476" w:type="dxa"/>
            <w:tcBorders/>
            <w:shd w:fill="CCEEFF" w:val="clear"/>
            <w:vAlign w:val="center"/>
          </w:tcPr>
          <w:p>
            <w:pPr>
              <w:pStyle w:val="TableContents"/>
              <w:spacing w:before="0" w:after="0"/>
              <w:rPr>
                <w:spacing w:val="0"/>
                <w:sz w:val="18"/>
              </w:rPr>
            </w:pPr>
            <w:r>
              <w:rPr>
                <w:spacing w:val="0"/>
                <w:sz w:val="18"/>
              </w:rPr>
              <w:t>3 month SOFR</w:t>
            </w:r>
          </w:p>
          <w:p>
            <w:pPr>
              <w:pStyle w:val="TableContents"/>
              <w:spacing w:before="0" w:after="0"/>
              <w:rPr>
                <w:spacing w:val="0"/>
                <w:sz w:val="11"/>
              </w:rPr>
            </w:pPr>
            <w:r>
              <w:rPr>
                <w:spacing w:val="0"/>
                <w:sz w:val="11"/>
              </w:rPr>
              <w:t>5</w:t>
            </w:r>
          </w:p>
          <w:p>
            <w:pPr>
              <w:pStyle w:val="TableContents"/>
              <w:spacing w:before="0" w:after="0"/>
              <w:rPr>
                <w:spacing w:val="0"/>
                <w:sz w:val="18"/>
              </w:rPr>
            </w:pPr>
            <w:r>
              <w:rPr>
                <w:spacing w:val="0"/>
                <w:sz w:val="18"/>
              </w:rPr>
              <w:t>plus 2.4%, settled quarterly</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0"/>
              <w:rPr>
                <w:spacing w:val="0"/>
              </w:rPr>
            </w:pPr>
            <w:r>
              <w:rPr>
                <w:spacing w:val="0"/>
              </w:rPr>
              <w:t> </w:t>
            </w:r>
          </w:p>
        </w:tc>
        <w:tc>
          <w:tcPr>
            <w:tcW w:w="1861" w:type="dxa"/>
            <w:tcBorders/>
            <w:shd w:fill="CCEEFF" w:val="clear"/>
            <w:vAlign w:val="center"/>
          </w:tcPr>
          <w:p>
            <w:pPr>
              <w:pStyle w:val="TableContents"/>
              <w:spacing w:before="0" w:after="0"/>
              <w:jc w:val="right"/>
              <w:rPr>
                <w:spacing w:val="0"/>
                <w:sz w:val="18"/>
              </w:rPr>
            </w:pPr>
            <w:r>
              <w:rPr>
                <w:spacing w:val="0"/>
                <w:sz w:val="18"/>
              </w:rPr>
              <w:t>100,000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spacing w:val="0"/>
                <w:sz w:val="18"/>
              </w:rPr>
            </w:pPr>
            <w:r>
              <w:rPr>
                <w:spacing w:val="0"/>
                <w:sz w:val="18"/>
              </w:rPr>
              <w:t>100,000</w:t>
            </w:r>
          </w:p>
        </w:tc>
        <w:tc>
          <w:tcPr>
            <w:tcW w:w="76" w:type="dxa"/>
            <w:tcBorders/>
            <w:shd w:fill="CCEEFF"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auto" w:val="clear"/>
            <w:vAlign w:val="center"/>
          </w:tcPr>
          <w:p>
            <w:pPr>
              <w:pStyle w:val="TableContents"/>
              <w:spacing w:before="0" w:after="283"/>
              <w:rPr/>
            </w:pPr>
            <w:r>
              <w:rPr/>
              <w:t> </w:t>
            </w:r>
          </w:p>
        </w:tc>
        <w:tc>
          <w:tcPr>
            <w:tcW w:w="2348" w:type="dxa"/>
            <w:tcBorders/>
            <w:shd w:fill="auto" w:val="clear"/>
            <w:vAlign w:val="center"/>
          </w:tcPr>
          <w:p>
            <w:pPr>
              <w:pStyle w:val="TableContents"/>
              <w:spacing w:before="0" w:after="283"/>
              <w:rPr/>
            </w:pPr>
            <w:r>
              <w:rPr/>
              <w:t>December 2022 - December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Unsecured</w:t>
            </w:r>
          </w:p>
        </w:tc>
        <w:tc>
          <w:tcPr>
            <w:tcW w:w="80" w:type="dxa"/>
            <w:tcBorders/>
            <w:shd w:fill="auto" w:val="clear"/>
            <w:vAlign w:val="center"/>
          </w:tcPr>
          <w:p>
            <w:pPr>
              <w:pStyle w:val="TableContents"/>
              <w:spacing w:before="0" w:after="0"/>
              <w:rPr>
                <w:sz w:val="11"/>
              </w:rPr>
            </w:pPr>
            <w:r>
              <w:rPr>
                <w:sz w:val="11"/>
              </w:rPr>
              <w:t>6</w:t>
            </w:r>
          </w:p>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476" w:type="dxa"/>
            <w:tcBorders/>
            <w:shd w:fill="auto" w:val="clear"/>
            <w:vAlign w:val="center"/>
          </w:tcPr>
          <w:p>
            <w:pPr>
              <w:pStyle w:val="TableContents"/>
              <w:spacing w:before="0" w:after="283"/>
              <w:rPr/>
            </w:pPr>
            <w:r>
              <w:rPr/>
              <w:t>7.5% per annum</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w:t>
            </w:r>
          </w:p>
        </w:tc>
        <w:tc>
          <w:tcPr>
            <w:tcW w:w="76"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72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Total</w:t>
            </w:r>
          </w:p>
        </w:tc>
        <w:tc>
          <w:tcPr>
            <w:tcW w:w="60" w:type="dxa"/>
            <w:tcBorders/>
            <w:shd w:fill="CCEEFF" w:val="clear"/>
            <w:vAlign w:val="center"/>
          </w:tcPr>
          <w:p>
            <w:pPr>
              <w:pStyle w:val="TableContents"/>
              <w:spacing w:before="0" w:after="283"/>
              <w:rPr/>
            </w:pPr>
            <w:r>
              <w:rPr/>
              <w:t> </w:t>
            </w:r>
          </w:p>
        </w:tc>
        <w:tc>
          <w:tcPr>
            <w:tcW w:w="234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7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86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1,300,108</w:t>
            </w:r>
          </w:p>
        </w:tc>
        <w:tc>
          <w:tcPr>
            <w:tcW w:w="76" w:type="dxa"/>
            <w:tcBorders/>
            <w:shd w:fill="CCEEFF"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1 -</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New vehicle inventory purchased via this facility is pledged as security until repaid. This facility has a repayment period of 90 days and includes a covenant tied to the Group’s financial performance. </w:t>
            </w:r>
          </w:p>
        </w:tc>
      </w:tr>
    </w:tbl>
    <w:tbl>
      <w:tblPr>
        <w:tblW w:w="3895" w:type="dxa"/>
        <w:jc w:val="left"/>
        <w:tblInd w:w="0" w:type="dxa"/>
        <w:tblCellMar>
          <w:top w:w="0" w:type="dxa"/>
          <w:left w:w="0" w:type="dxa"/>
          <w:bottom w:w="0" w:type="dxa"/>
          <w:right w:w="0" w:type="dxa"/>
        </w:tblCellMar>
      </w:tblPr>
      <w:tblGrid>
        <w:gridCol w:w="290"/>
        <w:gridCol w:w="3605"/>
      </w:tblGrid>
      <w:tr>
        <w:trPr/>
        <w:tc>
          <w:tcPr>
            <w:tcW w:w="290" w:type="dxa"/>
            <w:tcBorders/>
            <w:shd w:fill="auto" w:val="clear"/>
            <w:vAlign w:val="center"/>
          </w:tcPr>
          <w:p>
            <w:pPr>
              <w:pStyle w:val="TableContents"/>
              <w:spacing w:before="0" w:after="283"/>
              <w:jc w:val="left"/>
              <w:rPr/>
            </w:pPr>
            <w:r>
              <w:rPr/>
              <w:t>2 -</w:t>
            </w:r>
          </w:p>
        </w:tc>
        <w:tc>
          <w:tcPr>
            <w:tcW w:w="36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Euro Interbank Offered Rate (“EURIBOR”). </w:t>
            </w:r>
          </w:p>
        </w:tc>
      </w:tr>
    </w:tbl>
    <w:tbl>
      <w:tblPr>
        <w:tblW w:w="5290" w:type="dxa"/>
        <w:jc w:val="left"/>
        <w:tblInd w:w="0" w:type="dxa"/>
        <w:tblCellMar>
          <w:top w:w="0" w:type="dxa"/>
          <w:left w:w="0" w:type="dxa"/>
          <w:bottom w:w="0" w:type="dxa"/>
          <w:right w:w="0" w:type="dxa"/>
        </w:tblCellMar>
      </w:tblPr>
      <w:tblGrid>
        <w:gridCol w:w="290"/>
        <w:gridCol w:w="5000"/>
      </w:tblGrid>
      <w:tr>
        <w:trPr/>
        <w:tc>
          <w:tcPr>
            <w:tcW w:w="290" w:type="dxa"/>
            <w:tcBorders/>
            <w:shd w:fill="auto" w:val="clear"/>
            <w:vAlign w:val="center"/>
          </w:tcPr>
          <w:p>
            <w:pPr>
              <w:pStyle w:val="TableContents"/>
              <w:spacing w:before="0" w:after="283"/>
              <w:jc w:val="left"/>
              <w:rPr/>
            </w:pPr>
            <w:r>
              <w:rPr/>
              <w:t>3 -</w:t>
            </w:r>
          </w:p>
        </w:tc>
        <w:tc>
          <w:tcPr>
            <w:tcW w:w="50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People’s Bank of China (“PBOC”) Loan Prime Rate (“LPR”). </w:t>
            </w:r>
          </w:p>
        </w:tc>
      </w:tr>
    </w:tbl>
    <w:tbl>
      <w:tblPr>
        <w:tblW w:w="6970" w:type="dxa"/>
        <w:jc w:val="left"/>
        <w:tblInd w:w="0" w:type="dxa"/>
        <w:tblCellMar>
          <w:top w:w="0" w:type="dxa"/>
          <w:left w:w="0" w:type="dxa"/>
          <w:bottom w:w="0" w:type="dxa"/>
          <w:right w:w="0" w:type="dxa"/>
        </w:tblCellMar>
      </w:tblPr>
      <w:tblGrid>
        <w:gridCol w:w="290"/>
        <w:gridCol w:w="6680"/>
      </w:tblGrid>
      <w:tr>
        <w:trPr/>
        <w:tc>
          <w:tcPr>
            <w:tcW w:w="290" w:type="dxa"/>
            <w:tcBorders/>
            <w:shd w:fill="auto" w:val="clear"/>
            <w:vAlign w:val="center"/>
          </w:tcPr>
          <w:p>
            <w:pPr>
              <w:pStyle w:val="TableContents"/>
              <w:spacing w:before="0" w:after="283"/>
              <w:jc w:val="left"/>
              <w:rPr/>
            </w:pPr>
            <w:r>
              <w:rPr/>
              <w:t>4 -</w:t>
            </w:r>
          </w:p>
        </w:tc>
        <w:tc>
          <w:tcPr>
            <w:tcW w:w="66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Secured by Geely, including letters of keep well from both Volvo Cars and Geely. </w:t>
            </w:r>
          </w:p>
        </w:tc>
      </w:tr>
    </w:tbl>
    <w:tbl>
      <w:tblPr>
        <w:tblW w:w="4045" w:type="dxa"/>
        <w:jc w:val="left"/>
        <w:tblInd w:w="0" w:type="dxa"/>
        <w:tblCellMar>
          <w:top w:w="0" w:type="dxa"/>
          <w:left w:w="0" w:type="dxa"/>
          <w:bottom w:w="0" w:type="dxa"/>
          <w:right w:w="0" w:type="dxa"/>
        </w:tblCellMar>
      </w:tblPr>
      <w:tblGrid>
        <w:gridCol w:w="290"/>
        <w:gridCol w:w="3755"/>
      </w:tblGrid>
      <w:tr>
        <w:trPr/>
        <w:tc>
          <w:tcPr>
            <w:tcW w:w="290" w:type="dxa"/>
            <w:tcBorders/>
            <w:shd w:fill="auto" w:val="clear"/>
            <w:vAlign w:val="center"/>
          </w:tcPr>
          <w:p>
            <w:pPr>
              <w:pStyle w:val="TableContents"/>
              <w:spacing w:before="0" w:after="283"/>
              <w:jc w:val="left"/>
              <w:rPr/>
            </w:pPr>
            <w:r>
              <w:rPr/>
              <w:t>5 -</w:t>
            </w:r>
          </w:p>
        </w:tc>
        <w:tc>
          <w:tcPr>
            <w:tcW w:w="37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Secured Overnight Financing Rate (“SOFR”). </w:t>
            </w:r>
          </w:p>
        </w:tc>
      </w:tr>
    </w:tbl>
    <w:tbl>
      <w:tblPr>
        <w:tblW w:w="4675" w:type="dxa"/>
        <w:jc w:val="left"/>
        <w:tblInd w:w="0" w:type="dxa"/>
        <w:tblCellMar>
          <w:top w:w="0" w:type="dxa"/>
          <w:left w:w="0" w:type="dxa"/>
          <w:bottom w:w="0" w:type="dxa"/>
          <w:right w:w="0" w:type="dxa"/>
        </w:tblCellMar>
      </w:tblPr>
      <w:tblGrid>
        <w:gridCol w:w="290"/>
        <w:gridCol w:w="4385"/>
      </w:tblGrid>
      <w:tr>
        <w:trPr/>
        <w:tc>
          <w:tcPr>
            <w:tcW w:w="290" w:type="dxa"/>
            <w:tcBorders/>
            <w:shd w:fill="auto" w:val="clear"/>
            <w:vAlign w:val="center"/>
          </w:tcPr>
          <w:p>
            <w:pPr>
              <w:pStyle w:val="TableContents"/>
              <w:spacing w:before="0" w:after="283"/>
              <w:jc w:val="left"/>
              <w:rPr/>
            </w:pPr>
            <w:r>
              <w:rPr/>
              <w:t>6 -</w:t>
            </w:r>
          </w:p>
        </w:tc>
        <w:tc>
          <w:tcPr>
            <w:tcW w:w="43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Letters of keep well from both Volvo Cars and Geely.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had the following working capital loans outstanding as of December 31, 2021: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70"/>
        <w:gridCol w:w="60"/>
        <w:gridCol w:w="2057"/>
        <w:gridCol w:w="60"/>
        <w:gridCol w:w="60"/>
        <w:gridCol w:w="1040"/>
        <w:gridCol w:w="60"/>
        <w:gridCol w:w="60"/>
        <w:gridCol w:w="2922"/>
        <w:gridCol w:w="60"/>
        <w:gridCol w:w="139"/>
        <w:gridCol w:w="1861"/>
        <w:gridCol w:w="60"/>
        <w:gridCol w:w="60"/>
        <w:gridCol w:w="60"/>
        <w:gridCol w:w="800"/>
        <w:gridCol w:w="76"/>
      </w:tblGrid>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rFonts w:ascii="Times New Roman" w:hAnsi="Times New Roman"/>
                <w:b/>
                <w:sz w:val="18"/>
                <w:bdr w:val="single" w:sz="8" w:space="1" w:color="000000"/>
              </w:rPr>
            </w:pPr>
            <w:r>
              <w:rPr>
                <w:rFonts w:ascii="Times New Roman" w:hAnsi="Times New Roman"/>
                <w:b/>
                <w:sz w:val="18"/>
                <w:bdr w:val="single" w:sz="8" w:space="1" w:color="000000"/>
              </w:rPr>
              <w:t>Currency</w:t>
            </w:r>
          </w:p>
        </w:tc>
        <w:tc>
          <w:tcPr>
            <w:tcW w:w="60" w:type="dxa"/>
            <w:tcBorders/>
            <w:shd w:fill="auto" w:val="clear"/>
            <w:vAlign w:val="center"/>
          </w:tcPr>
          <w:p>
            <w:pPr>
              <w:pStyle w:val="TableContents"/>
              <w:spacing w:before="0" w:after="283"/>
              <w:rPr/>
            </w:pPr>
            <w:r>
              <w:rPr/>
              <w:t> </w:t>
            </w:r>
          </w:p>
        </w:tc>
        <w:tc>
          <w:tcPr>
            <w:tcW w:w="2057"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8"/>
              </w:rPr>
            </w:pPr>
            <w:r>
              <w:rPr>
                <w:rFonts w:ascii="Times New Roman" w:hAnsi="Times New Roman"/>
                <w:b/>
                <w:sz w:val="18"/>
              </w:rPr>
              <w:t>Term</w:t>
            </w:r>
          </w:p>
        </w:tc>
        <w:tc>
          <w:tcPr>
            <w:tcW w:w="6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Security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2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8"/>
              </w:rPr>
            </w:pPr>
            <w:r>
              <w:rPr>
                <w:rFonts w:ascii="Times New Roman" w:hAnsi="Times New Roman"/>
                <w:b/>
                <w:sz w:val="18"/>
              </w:rPr>
              <w:t>Interest</w:t>
            </w:r>
          </w:p>
        </w:tc>
        <w:tc>
          <w:tcPr>
            <w:tcW w:w="60" w:type="dxa"/>
            <w:tcBorders/>
            <w:shd w:fill="auto" w:val="clear"/>
            <w:vAlign w:val="center"/>
          </w:tcPr>
          <w:p>
            <w:pPr>
              <w:pStyle w:val="TableContents"/>
              <w:spacing w:before="0" w:after="283"/>
              <w:rPr/>
            </w:pPr>
            <w:r>
              <w:rPr/>
              <w:t> </w:t>
            </w:r>
          </w:p>
        </w:tc>
        <w:tc>
          <w:tcPr>
            <w:tcW w:w="20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Nominal amount in</w:t>
              <w:br/>
              <w:t>respective currency</w:t>
              <w:br/>
              <w:t>(thousands)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TUSD</w:t>
            </w:r>
          </w:p>
        </w:tc>
        <w:tc>
          <w:tcPr>
            <w:tcW w:w="76" w:type="dxa"/>
            <w:tcBorders/>
            <w:shd w:fill="auto" w:val="clear"/>
            <w:vAlign w:val="center"/>
          </w:tcPr>
          <w:p>
            <w:pPr>
              <w:pStyle w:val="TableContents"/>
              <w:spacing w:before="0" w:after="283"/>
              <w:rPr/>
            </w:pPr>
            <w:r>
              <w:rPr/>
              <w:t> </w:t>
            </w:r>
          </w:p>
        </w:tc>
      </w:tr>
      <w:tr>
        <w:trPr/>
        <w:tc>
          <w:tcPr>
            <w:tcW w:w="770"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CCEEFF" w:val="clear"/>
            <w:vAlign w:val="center"/>
          </w:tcPr>
          <w:p>
            <w:pPr>
              <w:pStyle w:val="TableContents"/>
              <w:spacing w:before="0" w:after="283"/>
              <w:rPr/>
            </w:pPr>
            <w:r>
              <w:rPr/>
              <w:t> </w:t>
            </w:r>
          </w:p>
        </w:tc>
        <w:tc>
          <w:tcPr>
            <w:tcW w:w="2057" w:type="dxa"/>
            <w:tcBorders/>
            <w:shd w:fill="CCEEFF" w:val="clear"/>
            <w:vAlign w:val="center"/>
          </w:tcPr>
          <w:p>
            <w:pPr>
              <w:pStyle w:val="TableContents"/>
              <w:spacing w:before="0" w:after="283"/>
              <w:rPr/>
            </w:pPr>
            <w:r>
              <w:rPr/>
              <w:t>December 2021 - September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0"/>
              <w:rPr/>
            </w:pPr>
            <w:r>
              <w:rPr/>
              <w:t>Secured</w:t>
            </w:r>
          </w:p>
          <w:p>
            <w:pPr>
              <w:pStyle w:val="TableContents"/>
              <w:spacing w:before="0" w:after="0"/>
              <w:rPr>
                <w:sz w:val="11"/>
              </w:rPr>
            </w:pPr>
            <w:r>
              <w:rPr>
                <w:sz w:val="11"/>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22" w:type="dxa"/>
            <w:tcBorders/>
            <w:shd w:fill="CCEEFF" w:val="clear"/>
            <w:vAlign w:val="center"/>
          </w:tcPr>
          <w:p>
            <w:pPr>
              <w:pStyle w:val="TableContents"/>
              <w:spacing w:before="0" w:after="283"/>
              <w:rPr/>
            </w:pPr>
            <w:r>
              <w:rPr/>
              <w:t>1.883% per annum</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861" w:type="dxa"/>
            <w:tcBorders/>
            <w:shd w:fill="CCEEFF" w:val="clear"/>
            <w:vAlign w:val="center"/>
          </w:tcPr>
          <w:p>
            <w:pPr>
              <w:pStyle w:val="TableContents"/>
              <w:spacing w:before="0" w:after="283"/>
              <w:jc w:val="right"/>
              <w:rPr/>
            </w:pPr>
            <w:r>
              <w:rPr/>
              <w:t>400,000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400,000</w:t>
            </w:r>
          </w:p>
        </w:tc>
        <w:tc>
          <w:tcPr>
            <w:tcW w:w="76" w:type="dxa"/>
            <w:tcBorders/>
            <w:shd w:fill="CCEE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auto" w:val="clear"/>
            <w:vAlign w:val="center"/>
          </w:tcPr>
          <w:p>
            <w:pPr>
              <w:pStyle w:val="TableContents"/>
              <w:spacing w:before="0" w:after="283"/>
              <w:rPr/>
            </w:pPr>
            <w:r>
              <w:rPr/>
              <w:t> </w:t>
            </w:r>
          </w:p>
        </w:tc>
        <w:tc>
          <w:tcPr>
            <w:tcW w:w="2057" w:type="dxa"/>
            <w:tcBorders/>
            <w:shd w:fill="auto" w:val="clear"/>
            <w:vAlign w:val="center"/>
          </w:tcPr>
          <w:p>
            <w:pPr>
              <w:pStyle w:val="TableContents"/>
              <w:spacing w:before="0" w:after="283"/>
              <w:rPr/>
            </w:pPr>
            <w:r>
              <w:rPr/>
              <w:t>July 2021 - July 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Unsecured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22" w:type="dxa"/>
            <w:tcBorders/>
            <w:shd w:fill="auto" w:val="clear"/>
            <w:vAlign w:val="center"/>
          </w:tcPr>
          <w:p>
            <w:pPr>
              <w:pStyle w:val="TableContents"/>
              <w:spacing w:before="0" w:after="283"/>
              <w:rPr/>
            </w:pPr>
            <w:r>
              <w:rPr/>
              <w:t>3.915% per annum</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right"/>
              <w:rPr/>
            </w:pPr>
            <w:r>
              <w:rPr/>
              <w:t>830,000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130,559</w:t>
            </w:r>
          </w:p>
        </w:tc>
        <w:tc>
          <w:tcPr>
            <w:tcW w:w="76" w:type="dxa"/>
            <w:tcBorders/>
            <w:shd w:fill="auto" w:val="clear"/>
            <w:vAlign w:val="center"/>
          </w:tcPr>
          <w:p>
            <w:pPr>
              <w:pStyle w:val="TableContents"/>
              <w:spacing w:before="0" w:after="283"/>
              <w:rPr/>
            </w:pPr>
            <w:r>
              <w:rPr/>
              <w:t> </w:t>
            </w:r>
          </w:p>
        </w:tc>
      </w:tr>
      <w:tr>
        <w:trPr/>
        <w:tc>
          <w:tcPr>
            <w:tcW w:w="770"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CCEEFF" w:val="clear"/>
            <w:vAlign w:val="center"/>
          </w:tcPr>
          <w:p>
            <w:pPr>
              <w:pStyle w:val="TableContents"/>
              <w:spacing w:before="0" w:after="283"/>
              <w:rPr/>
            </w:pPr>
            <w:r>
              <w:rPr/>
              <w:t> </w:t>
            </w:r>
          </w:p>
        </w:tc>
        <w:tc>
          <w:tcPr>
            <w:tcW w:w="2057" w:type="dxa"/>
            <w:tcBorders/>
            <w:shd w:fill="CCEEFF" w:val="clear"/>
            <w:vAlign w:val="center"/>
          </w:tcPr>
          <w:p>
            <w:pPr>
              <w:pStyle w:val="TableContents"/>
              <w:spacing w:before="0" w:after="283"/>
              <w:rPr/>
            </w:pPr>
            <w:r>
              <w:rPr/>
              <w:t>June 2021 - June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rPr/>
            </w:pPr>
            <w:r>
              <w:rPr/>
              <w:t>Unsecured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22" w:type="dxa"/>
            <w:tcBorders/>
            <w:shd w:fill="CCEEFF" w:val="clear"/>
            <w:vAlign w:val="center"/>
          </w:tcPr>
          <w:p>
            <w:pPr>
              <w:pStyle w:val="TableContents"/>
              <w:spacing w:before="0" w:after="283"/>
              <w:rPr/>
            </w:pPr>
            <w:r>
              <w:rPr/>
              <w:t>12 month national interbank loan prime offer rate plus 1.1%</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861"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78,650</w:t>
            </w:r>
          </w:p>
        </w:tc>
        <w:tc>
          <w:tcPr>
            <w:tcW w:w="76" w:type="dxa"/>
            <w:tcBorders/>
            <w:shd w:fill="CCEE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2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b/>
                <w:sz w:val="18"/>
              </w:rPr>
            </w:pPr>
            <w:r>
              <w:rPr>
                <w:rFonts w:ascii="Times New Roman" w:hAnsi="Times New Roman"/>
                <w:b/>
                <w:sz w:val="18"/>
              </w:rPr>
              <w:t>Total</w:t>
            </w:r>
          </w:p>
        </w:tc>
        <w:tc>
          <w:tcPr>
            <w:tcW w:w="60" w:type="dxa"/>
            <w:tcBorders/>
            <w:shd w:fill="auto" w:val="clear"/>
            <w:vAlign w:val="center"/>
          </w:tcPr>
          <w:p>
            <w:pPr>
              <w:pStyle w:val="TableContents"/>
              <w:spacing w:before="0" w:after="283"/>
              <w:rPr/>
            </w:pPr>
            <w:r>
              <w:rPr/>
              <w:t> </w:t>
            </w:r>
          </w:p>
        </w:tc>
        <w:tc>
          <w:tcPr>
            <w:tcW w:w="20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2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609,209</w:t>
            </w:r>
          </w:p>
        </w:tc>
        <w:tc>
          <w:tcPr>
            <w:tcW w:w="76"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2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6970" w:type="dxa"/>
        <w:jc w:val="left"/>
        <w:tblInd w:w="0" w:type="dxa"/>
        <w:tblCellMar>
          <w:top w:w="0" w:type="dxa"/>
          <w:left w:w="0" w:type="dxa"/>
          <w:bottom w:w="0" w:type="dxa"/>
          <w:right w:w="0" w:type="dxa"/>
        </w:tblCellMar>
      </w:tblPr>
      <w:tblGrid>
        <w:gridCol w:w="290"/>
        <w:gridCol w:w="6680"/>
      </w:tblGrid>
      <w:tr>
        <w:trPr/>
        <w:tc>
          <w:tcPr>
            <w:tcW w:w="290" w:type="dxa"/>
            <w:tcBorders/>
            <w:shd w:fill="auto" w:val="clear"/>
            <w:vAlign w:val="center"/>
          </w:tcPr>
          <w:p>
            <w:pPr>
              <w:pStyle w:val="TableContents"/>
              <w:spacing w:before="0" w:after="283"/>
              <w:jc w:val="left"/>
              <w:rPr/>
            </w:pPr>
            <w:r>
              <w:rPr/>
              <w:t>1 -</w:t>
            </w:r>
          </w:p>
        </w:tc>
        <w:tc>
          <w:tcPr>
            <w:tcW w:w="66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Secured by Geely, including letters of keep well from both Volvo Cars and Geely.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Floorplan facilities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the ordinary course of business, Polestar, on a market by market basis, enters into multiple low 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market-by-market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basis. As of December 31, 2022 and December 31, 2021, the aggregate amount outstanding under these arrangements was $33,615 and $32,453, respectively.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maintains one such facility with the related party Volvo Cars that is presented separately in Interest-bearing current liabilities - related parties within the Consolidated Statement of Financial Position. Of the amounts above, the aggregate amount outstanding as of December 31, 2022 and 2021 due to related parties amounted to $16,690 and $13,789, respectively. Refer to Note 25 - Related party transactions for further details.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Sale-leaseback facilities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enters into contracts to sell vehicles and then lease such vehicles back for a period of up to twelve months. At the end of the leaseback period, Polestar is obligated to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re-purchase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vehicles. Accordingly, the consideration received for these transactions was recorded as a financing transaction. As of December 31, 2022 and December 31, 2021, the aggregate amount outstanding under these arrangements was $11,719 and $14,465, respectively.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2022.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weighted average interest rate on short-term borrowings outstanding was 5.2% and 2.6% as of December 31, 2022 and 2021, respectively.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Note 24 - Supplemental cash flow information </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6726"/>
        <w:gridCol w:w="120"/>
        <w:gridCol w:w="69"/>
        <w:gridCol w:w="792"/>
        <w:gridCol w:w="69"/>
        <w:gridCol w:w="139"/>
        <w:gridCol w:w="69"/>
        <w:gridCol w:w="932"/>
        <w:gridCol w:w="69"/>
        <w:gridCol w:w="139"/>
        <w:gridCol w:w="69"/>
        <w:gridCol w:w="932"/>
        <w:gridCol w:w="80"/>
      </w:tblGrid>
      <w:tr>
        <w:trPr/>
        <w:tc>
          <w:tcPr>
            <w:tcW w:w="67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672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279" w:type="dxa"/>
            <w:gridSpan w:val="10"/>
            <w:tcBorders/>
            <w:shd w:fill="auto" w:val="clear"/>
            <w:vAlign w:val="center"/>
          </w:tcPr>
          <w:p>
            <w:pPr>
              <w:pStyle w:val="TableContents"/>
              <w:spacing w:before="0" w:after="0"/>
              <w:jc w:val="center"/>
              <w:rPr>
                <w:b/>
                <w:spacing w:val="0"/>
              </w:rPr>
            </w:pPr>
            <w:r>
              <w:rPr>
                <w:b/>
                <w:spacing w:val="0"/>
              </w:rPr>
              <w:t>For the year ended December 31,</w:t>
            </w:r>
          </w:p>
        </w:tc>
        <w:tc>
          <w:tcPr>
            <w:tcW w:w="80" w:type="dxa"/>
            <w:tcBorders/>
            <w:shd w:fill="auto" w:val="clear"/>
            <w:vAlign w:val="center"/>
          </w:tcPr>
          <w:p>
            <w:pPr>
              <w:pStyle w:val="TableContents"/>
              <w:spacing w:before="0" w:after="0"/>
              <w:rPr/>
            </w:pPr>
            <w:r>
              <w:rPr/>
              <w:t> </w:t>
            </w:r>
          </w:p>
        </w:tc>
      </w:tr>
      <w:tr>
        <w:trPr/>
        <w:tc>
          <w:tcPr>
            <w:tcW w:w="672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861" w:type="dxa"/>
            <w:gridSpan w:val="2"/>
            <w:tcBorders/>
            <w:shd w:fill="auto" w:val="clear"/>
            <w:vAlign w:val="center"/>
          </w:tcPr>
          <w:p>
            <w:pPr>
              <w:pStyle w:val="TableContents"/>
              <w:spacing w:before="0" w:after="0"/>
              <w:jc w:val="center"/>
              <w:rPr>
                <w:b/>
                <w:spacing w:val="0"/>
              </w:rPr>
            </w:pPr>
            <w:r>
              <w:rPr>
                <w:b/>
                <w:spacing w:val="0"/>
              </w:rPr>
              <w:t>2022</w:t>
            </w:r>
          </w:p>
        </w:tc>
        <w:tc>
          <w:tcPr>
            <w:tcW w:w="69" w:type="dxa"/>
            <w:tcBorders/>
            <w:shd w:fill="auto" w:val="clear"/>
            <w:vAlign w:val="center"/>
          </w:tcPr>
          <w:p>
            <w:pPr>
              <w:pStyle w:val="TableContents"/>
              <w:spacing w:before="0" w:after="0"/>
              <w:rPr/>
            </w:pPr>
            <w:r>
              <w:rPr/>
              <w:t> </w:t>
            </w:r>
          </w:p>
        </w:tc>
        <w:tc>
          <w:tcPr>
            <w:tcW w:w="139" w:type="dxa"/>
            <w:tcBorders/>
            <w:shd w:fill="auto" w:val="clear"/>
            <w:vAlign w:val="center"/>
          </w:tcPr>
          <w:p>
            <w:pPr>
              <w:pStyle w:val="TableContents"/>
              <w:spacing w:before="0" w:after="0"/>
              <w:rPr/>
            </w:pPr>
            <w:r>
              <w:rPr/>
              <w:t>  </w:t>
            </w:r>
          </w:p>
        </w:tc>
        <w:tc>
          <w:tcPr>
            <w:tcW w:w="1001" w:type="dxa"/>
            <w:gridSpan w:val="2"/>
            <w:tcBorders/>
            <w:shd w:fill="auto" w:val="clear"/>
            <w:vAlign w:val="center"/>
          </w:tcPr>
          <w:p>
            <w:pPr>
              <w:pStyle w:val="TableContents"/>
              <w:spacing w:before="0" w:after="0"/>
              <w:jc w:val="center"/>
              <w:rPr>
                <w:b/>
                <w:spacing w:val="0"/>
              </w:rPr>
            </w:pPr>
            <w:r>
              <w:rPr>
                <w:b/>
                <w:spacing w:val="0"/>
              </w:rPr>
              <w:t>2021</w:t>
            </w:r>
          </w:p>
        </w:tc>
        <w:tc>
          <w:tcPr>
            <w:tcW w:w="69" w:type="dxa"/>
            <w:tcBorders/>
            <w:shd w:fill="auto" w:val="clear"/>
            <w:vAlign w:val="center"/>
          </w:tcPr>
          <w:p>
            <w:pPr>
              <w:pStyle w:val="TableContents"/>
              <w:spacing w:before="0" w:after="0"/>
              <w:rPr/>
            </w:pPr>
            <w:r>
              <w:rPr/>
              <w:t> </w:t>
            </w:r>
          </w:p>
        </w:tc>
        <w:tc>
          <w:tcPr>
            <w:tcW w:w="139" w:type="dxa"/>
            <w:tcBorders/>
            <w:shd w:fill="auto" w:val="clear"/>
            <w:vAlign w:val="center"/>
          </w:tcPr>
          <w:p>
            <w:pPr>
              <w:pStyle w:val="TableContents"/>
              <w:spacing w:before="0" w:after="0"/>
              <w:rPr/>
            </w:pPr>
            <w:r>
              <w:rPr/>
              <w:t>  </w:t>
            </w:r>
          </w:p>
        </w:tc>
        <w:tc>
          <w:tcPr>
            <w:tcW w:w="1001" w:type="dxa"/>
            <w:gridSpan w:val="2"/>
            <w:tcBorders/>
            <w:shd w:fill="auto" w:val="clear"/>
            <w:vAlign w:val="center"/>
          </w:tcPr>
          <w:p>
            <w:pPr>
              <w:pStyle w:val="TableContents"/>
              <w:spacing w:before="0" w:after="0"/>
              <w:jc w:val="center"/>
              <w:rPr>
                <w:b/>
                <w:spacing w:val="0"/>
              </w:rPr>
            </w:pPr>
            <w:r>
              <w:rPr>
                <w:b/>
                <w:spacing w:val="0"/>
              </w:rPr>
              <w:t>2020</w:t>
            </w:r>
          </w:p>
        </w:tc>
        <w:tc>
          <w:tcPr>
            <w:tcW w:w="80" w:type="dxa"/>
            <w:tcBorders/>
            <w:shd w:fill="auto" w:val="clear"/>
            <w:vAlign w:val="center"/>
          </w:tcPr>
          <w:p>
            <w:pPr>
              <w:pStyle w:val="TableContents"/>
              <w:spacing w:before="0" w:after="0"/>
              <w:rPr/>
            </w:pPr>
            <w:r>
              <w:rPr/>
              <w:t> </w:t>
            </w:r>
          </w:p>
        </w:tc>
      </w:tr>
      <w:tr>
        <w:trPr/>
        <w:tc>
          <w:tcPr>
            <w:tcW w:w="6726"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Non-cash</w:t>
            </w:r>
          </w:p>
          <w:p>
            <w:pPr>
              <w:pStyle w:val="TableContents"/>
              <w:spacing w:before="0" w:after="0"/>
              <w:rPr>
                <w:rFonts w:ascii="Times New Roman" w:hAnsi="Times New Roman"/>
                <w:b/>
                <w:sz w:val="20"/>
              </w:rPr>
            </w:pPr>
            <w:r>
              <w:rPr>
                <w:rFonts w:ascii="Times New Roman" w:hAnsi="Times New Roman"/>
                <w:b/>
                <w:sz w:val="20"/>
              </w:rPr>
              <w:t>investing and financing activities</w:t>
            </w:r>
          </w:p>
        </w:tc>
        <w:tc>
          <w:tcPr>
            <w:tcW w:w="120"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283"/>
              <w:rPr>
                <w:sz w:val="4"/>
                <w:szCs w:val="4"/>
              </w:rPr>
            </w:pPr>
            <w:r>
              <w:rPr>
                <w:sz w:val="4"/>
                <w:szCs w:val="4"/>
              </w:rPr>
            </w:r>
          </w:p>
        </w:tc>
        <w:tc>
          <w:tcPr>
            <w:tcW w:w="792" w:type="dxa"/>
            <w:tcBorders/>
            <w:shd w:fill="CCEEFF" w:val="clear"/>
            <w:vAlign w:val="center"/>
          </w:tcPr>
          <w:p>
            <w:pPr>
              <w:pStyle w:val="TableContents"/>
              <w:spacing w:before="0" w:after="283"/>
              <w:rPr>
                <w:sz w:val="4"/>
                <w:szCs w:val="4"/>
              </w:rPr>
            </w:pPr>
            <w:r>
              <w:rPr>
                <w:sz w:val="4"/>
                <w:szCs w:val="4"/>
              </w:rPr>
            </w:r>
          </w:p>
        </w:tc>
        <w:tc>
          <w:tcPr>
            <w:tcW w:w="69" w:type="dxa"/>
            <w:tcBorders/>
            <w:shd w:fill="CCEEFF" w:val="clear"/>
            <w:vAlign w:val="center"/>
          </w:tcPr>
          <w:p>
            <w:pPr>
              <w:pStyle w:val="TableContents"/>
              <w:spacing w:before="0" w:after="283"/>
              <w:rPr>
                <w:sz w:val="4"/>
                <w:szCs w:val="4"/>
              </w:rPr>
            </w:pPr>
            <w:r>
              <w:rPr>
                <w:sz w:val="4"/>
                <w:szCs w:val="4"/>
              </w:rPr>
            </w:r>
          </w:p>
        </w:tc>
        <w:tc>
          <w:tcPr>
            <w:tcW w:w="139"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283"/>
              <w:rPr>
                <w:sz w:val="4"/>
                <w:szCs w:val="4"/>
              </w:rPr>
            </w:pPr>
            <w:r>
              <w:rPr>
                <w:sz w:val="4"/>
                <w:szCs w:val="4"/>
              </w:rPr>
            </w:r>
          </w:p>
        </w:tc>
        <w:tc>
          <w:tcPr>
            <w:tcW w:w="932" w:type="dxa"/>
            <w:tcBorders/>
            <w:shd w:fill="CCEEFF" w:val="clear"/>
            <w:vAlign w:val="center"/>
          </w:tcPr>
          <w:p>
            <w:pPr>
              <w:pStyle w:val="TableContents"/>
              <w:spacing w:before="0" w:after="283"/>
              <w:rPr>
                <w:sz w:val="4"/>
                <w:szCs w:val="4"/>
              </w:rPr>
            </w:pPr>
            <w:r>
              <w:rPr>
                <w:sz w:val="4"/>
                <w:szCs w:val="4"/>
              </w:rPr>
            </w:r>
          </w:p>
        </w:tc>
        <w:tc>
          <w:tcPr>
            <w:tcW w:w="69" w:type="dxa"/>
            <w:tcBorders/>
            <w:shd w:fill="CCEEFF" w:val="clear"/>
            <w:vAlign w:val="center"/>
          </w:tcPr>
          <w:p>
            <w:pPr>
              <w:pStyle w:val="TableContents"/>
              <w:spacing w:before="0" w:after="283"/>
              <w:rPr>
                <w:sz w:val="4"/>
                <w:szCs w:val="4"/>
              </w:rPr>
            </w:pPr>
            <w:r>
              <w:rPr>
                <w:sz w:val="4"/>
                <w:szCs w:val="4"/>
              </w:rPr>
            </w:r>
          </w:p>
        </w:tc>
        <w:tc>
          <w:tcPr>
            <w:tcW w:w="139"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283"/>
              <w:rPr>
                <w:sz w:val="4"/>
                <w:szCs w:val="4"/>
              </w:rPr>
            </w:pPr>
            <w:r>
              <w:rPr>
                <w:sz w:val="4"/>
                <w:szCs w:val="4"/>
              </w:rPr>
            </w:r>
          </w:p>
        </w:tc>
        <w:tc>
          <w:tcPr>
            <w:tcW w:w="932"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sz w:val="4"/>
                <w:szCs w:val="4"/>
              </w:rPr>
            </w:pPr>
            <w:r>
              <w:rPr>
                <w:sz w:val="4"/>
                <w:szCs w:val="4"/>
              </w:rPr>
            </w:r>
          </w:p>
        </w:tc>
      </w:tr>
      <w:tr>
        <w:trPr/>
        <w:tc>
          <w:tcPr>
            <w:tcW w:w="6726"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Purchases of intangible assets in trade payables - related parties and accrued expenses - related parties</w:t>
            </w:r>
          </w:p>
        </w:tc>
        <w:tc>
          <w:tcPr>
            <w:tcW w:w="120" w:type="dxa"/>
            <w:tcBorders/>
            <w:shd w:fill="auto" w:val="clear"/>
            <w:vAlign w:val="center"/>
          </w:tcPr>
          <w:p>
            <w:pPr>
              <w:pStyle w:val="TableContents"/>
              <w:spacing w:before="0" w:after="0"/>
              <w:rPr/>
            </w:pPr>
            <w:r>
              <w:rPr/>
              <w:t>  </w:t>
            </w:r>
          </w:p>
        </w:tc>
        <w:tc>
          <w:tcPr>
            <w:tcW w:w="69" w:type="dxa"/>
            <w:tcBorders/>
            <w:shd w:fill="auto" w:val="clear"/>
            <w:vAlign w:val="center"/>
          </w:tcPr>
          <w:p>
            <w:pPr>
              <w:pStyle w:val="TableContents"/>
              <w:spacing w:before="0" w:after="0"/>
              <w:rPr/>
            </w:pPr>
            <w:r>
              <w:rPr/>
              <w:t> </w:t>
            </w:r>
          </w:p>
        </w:tc>
        <w:tc>
          <w:tcPr>
            <w:tcW w:w="792" w:type="dxa"/>
            <w:tcBorders/>
            <w:shd w:fill="auto" w:val="clear"/>
            <w:vAlign w:val="center"/>
          </w:tcPr>
          <w:p>
            <w:pPr>
              <w:pStyle w:val="TableContents"/>
              <w:spacing w:before="0" w:after="0"/>
              <w:jc w:val="right"/>
              <w:rPr/>
            </w:pPr>
            <w:r>
              <w:rPr/>
              <w:t>74,781</w:t>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0"/>
              <w:rPr/>
            </w:pPr>
            <w:r>
              <w:rPr/>
              <w:t>  </w:t>
            </w:r>
          </w:p>
        </w:tc>
        <w:tc>
          <w:tcPr>
            <w:tcW w:w="69" w:type="dxa"/>
            <w:tcBorders/>
            <w:shd w:fill="auto" w:val="clear"/>
            <w:vAlign w:val="center"/>
          </w:tcPr>
          <w:p>
            <w:pPr>
              <w:pStyle w:val="TableContents"/>
              <w:spacing w:before="0" w:after="0"/>
              <w:rPr/>
            </w:pPr>
            <w:r>
              <w:rPr/>
              <w:t> </w:t>
            </w:r>
          </w:p>
        </w:tc>
        <w:tc>
          <w:tcPr>
            <w:tcW w:w="932" w:type="dxa"/>
            <w:tcBorders/>
            <w:shd w:fill="auto" w:val="clear"/>
            <w:vAlign w:val="center"/>
          </w:tcPr>
          <w:p>
            <w:pPr>
              <w:pStyle w:val="TableContents"/>
              <w:spacing w:before="0" w:after="0"/>
              <w:jc w:val="right"/>
              <w:rPr/>
            </w:pPr>
            <w:r>
              <w:rPr/>
              <w:t>357,760</w:t>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0"/>
              <w:rPr/>
            </w:pPr>
            <w:r>
              <w:rPr/>
              <w:t>  </w:t>
            </w:r>
          </w:p>
        </w:tc>
        <w:tc>
          <w:tcPr>
            <w:tcW w:w="69" w:type="dxa"/>
            <w:tcBorders/>
            <w:shd w:fill="auto" w:val="clear"/>
            <w:vAlign w:val="center"/>
          </w:tcPr>
          <w:p>
            <w:pPr>
              <w:pStyle w:val="TableContents"/>
              <w:spacing w:before="0" w:after="0"/>
              <w:rPr/>
            </w:pPr>
            <w:r>
              <w:rPr/>
              <w:t> </w:t>
            </w:r>
          </w:p>
        </w:tc>
        <w:tc>
          <w:tcPr>
            <w:tcW w:w="932" w:type="dxa"/>
            <w:tcBorders/>
            <w:shd w:fill="auto" w:val="clear"/>
            <w:vAlign w:val="center"/>
          </w:tcPr>
          <w:p>
            <w:pPr>
              <w:pStyle w:val="TableContents"/>
              <w:spacing w:before="0" w:after="0"/>
              <w:jc w:val="right"/>
              <w:rPr/>
            </w:pPr>
            <w:r>
              <w:rPr/>
              <w:t>143,986</w:t>
            </w:r>
          </w:p>
        </w:tc>
        <w:tc>
          <w:tcPr>
            <w:tcW w:w="80" w:type="dxa"/>
            <w:tcBorders/>
            <w:shd w:fill="auto" w:val="clear"/>
            <w:vAlign w:val="center"/>
          </w:tcPr>
          <w:p>
            <w:pPr>
              <w:pStyle w:val="TableContents"/>
              <w:spacing w:before="0" w:after="283"/>
              <w:rPr>
                <w:sz w:val="4"/>
                <w:szCs w:val="4"/>
              </w:rPr>
            </w:pPr>
            <w:r>
              <w:rPr>
                <w:sz w:val="4"/>
                <w:szCs w:val="4"/>
              </w:rPr>
            </w:r>
          </w:p>
        </w:tc>
      </w:tr>
      <w:tr>
        <w:trPr/>
        <w:tc>
          <w:tcPr>
            <w:tcW w:w="6726"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Initial recognition of ROU assets and liabilities</w:t>
            </w:r>
          </w:p>
        </w:tc>
        <w:tc>
          <w:tcPr>
            <w:tcW w:w="120"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0"/>
              <w:rPr/>
            </w:pPr>
            <w:r>
              <w:rPr/>
              <w:t> </w:t>
            </w:r>
          </w:p>
        </w:tc>
        <w:tc>
          <w:tcPr>
            <w:tcW w:w="792" w:type="dxa"/>
            <w:tcBorders/>
            <w:shd w:fill="CCEEFF" w:val="clear"/>
            <w:vAlign w:val="center"/>
          </w:tcPr>
          <w:p>
            <w:pPr>
              <w:pStyle w:val="TableContents"/>
              <w:spacing w:before="0" w:after="0"/>
              <w:jc w:val="right"/>
              <w:rPr/>
            </w:pPr>
            <w:r>
              <w:rPr/>
              <w:t>53,870</w:t>
            </w:r>
          </w:p>
        </w:tc>
        <w:tc>
          <w:tcPr>
            <w:tcW w:w="69" w:type="dxa"/>
            <w:tcBorders/>
            <w:shd w:fill="CCEEFF" w:val="clear"/>
            <w:vAlign w:val="center"/>
          </w:tcPr>
          <w:p>
            <w:pPr>
              <w:pStyle w:val="TableContents"/>
              <w:spacing w:before="0" w:after="283"/>
              <w:rPr>
                <w:sz w:val="4"/>
                <w:szCs w:val="4"/>
              </w:rPr>
            </w:pPr>
            <w:r>
              <w:rPr>
                <w:sz w:val="4"/>
                <w:szCs w:val="4"/>
              </w:rPr>
            </w:r>
          </w:p>
        </w:tc>
        <w:tc>
          <w:tcPr>
            <w:tcW w:w="139"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0"/>
              <w:rPr/>
            </w:pPr>
            <w:r>
              <w:rPr/>
              <w:t> </w:t>
            </w:r>
          </w:p>
        </w:tc>
        <w:tc>
          <w:tcPr>
            <w:tcW w:w="932" w:type="dxa"/>
            <w:tcBorders/>
            <w:shd w:fill="CCEEFF" w:val="clear"/>
            <w:vAlign w:val="center"/>
          </w:tcPr>
          <w:p>
            <w:pPr>
              <w:pStyle w:val="TableContents"/>
              <w:spacing w:before="0" w:after="0"/>
              <w:jc w:val="right"/>
              <w:rPr/>
            </w:pPr>
            <w:r>
              <w:rPr/>
              <w:t>12,376</w:t>
            </w:r>
          </w:p>
        </w:tc>
        <w:tc>
          <w:tcPr>
            <w:tcW w:w="69" w:type="dxa"/>
            <w:tcBorders/>
            <w:shd w:fill="CCEEFF" w:val="clear"/>
            <w:vAlign w:val="center"/>
          </w:tcPr>
          <w:p>
            <w:pPr>
              <w:pStyle w:val="TableContents"/>
              <w:spacing w:before="0" w:after="283"/>
              <w:rPr>
                <w:sz w:val="4"/>
                <w:szCs w:val="4"/>
              </w:rPr>
            </w:pPr>
            <w:r>
              <w:rPr>
                <w:sz w:val="4"/>
                <w:szCs w:val="4"/>
              </w:rPr>
            </w:r>
          </w:p>
        </w:tc>
        <w:tc>
          <w:tcPr>
            <w:tcW w:w="139"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0"/>
              <w:rPr/>
            </w:pPr>
            <w:r>
              <w:rPr/>
              <w:t> </w:t>
            </w:r>
          </w:p>
        </w:tc>
        <w:tc>
          <w:tcPr>
            <w:tcW w:w="932" w:type="dxa"/>
            <w:tcBorders/>
            <w:shd w:fill="CCEEFF" w:val="clear"/>
            <w:vAlign w:val="center"/>
          </w:tcPr>
          <w:p>
            <w:pPr>
              <w:pStyle w:val="TableContents"/>
              <w:spacing w:before="0" w:after="0"/>
              <w:jc w:val="right"/>
              <w:rPr/>
            </w:pPr>
            <w:r>
              <w:rPr/>
              <w:t>61,529</w:t>
            </w:r>
          </w:p>
        </w:tc>
        <w:tc>
          <w:tcPr>
            <w:tcW w:w="80" w:type="dxa"/>
            <w:tcBorders/>
            <w:shd w:fill="CCEEFF" w:val="clear"/>
            <w:vAlign w:val="center"/>
          </w:tcPr>
          <w:p>
            <w:pPr>
              <w:pStyle w:val="TableContents"/>
              <w:spacing w:before="0" w:after="283"/>
              <w:rPr>
                <w:sz w:val="4"/>
                <w:szCs w:val="4"/>
              </w:rPr>
            </w:pPr>
            <w:r>
              <w:rPr>
                <w:sz w:val="4"/>
                <w:szCs w:val="4"/>
              </w:rPr>
            </w:r>
          </w:p>
        </w:tc>
      </w:tr>
      <w:tr>
        <w:trPr/>
        <w:tc>
          <w:tcPr>
            <w:tcW w:w="6726"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Purchases of property, plant and equipment in trade payables</w:t>
            </w:r>
          </w:p>
        </w:tc>
        <w:tc>
          <w:tcPr>
            <w:tcW w:w="120" w:type="dxa"/>
            <w:tcBorders/>
            <w:shd w:fill="auto" w:val="clear"/>
            <w:vAlign w:val="center"/>
          </w:tcPr>
          <w:p>
            <w:pPr>
              <w:pStyle w:val="TableContents"/>
              <w:spacing w:before="0" w:after="0"/>
              <w:rPr/>
            </w:pPr>
            <w:r>
              <w:rPr/>
              <w:t>  </w:t>
            </w:r>
          </w:p>
        </w:tc>
        <w:tc>
          <w:tcPr>
            <w:tcW w:w="69" w:type="dxa"/>
            <w:tcBorders/>
            <w:shd w:fill="auto" w:val="clear"/>
            <w:vAlign w:val="center"/>
          </w:tcPr>
          <w:p>
            <w:pPr>
              <w:pStyle w:val="TableContents"/>
              <w:spacing w:before="0" w:after="0"/>
              <w:rPr/>
            </w:pPr>
            <w:r>
              <w:rPr/>
              <w:t> </w:t>
            </w:r>
          </w:p>
        </w:tc>
        <w:tc>
          <w:tcPr>
            <w:tcW w:w="792" w:type="dxa"/>
            <w:tcBorders/>
            <w:shd w:fill="auto" w:val="clear"/>
            <w:vAlign w:val="center"/>
          </w:tcPr>
          <w:p>
            <w:pPr>
              <w:pStyle w:val="TableContents"/>
              <w:spacing w:before="0" w:after="0"/>
              <w:jc w:val="right"/>
              <w:rPr/>
            </w:pPr>
            <w:r>
              <w:rPr/>
              <w:t>34,945</w:t>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0"/>
              <w:rPr/>
            </w:pPr>
            <w:r>
              <w:rPr/>
              <w:t>  </w:t>
            </w:r>
          </w:p>
        </w:tc>
        <w:tc>
          <w:tcPr>
            <w:tcW w:w="69" w:type="dxa"/>
            <w:tcBorders/>
            <w:shd w:fill="auto" w:val="clear"/>
            <w:vAlign w:val="center"/>
          </w:tcPr>
          <w:p>
            <w:pPr>
              <w:pStyle w:val="TableContents"/>
              <w:spacing w:before="0" w:after="0"/>
              <w:rPr/>
            </w:pPr>
            <w:r>
              <w:rPr/>
              <w:t> </w:t>
            </w:r>
          </w:p>
        </w:tc>
        <w:tc>
          <w:tcPr>
            <w:tcW w:w="932" w:type="dxa"/>
            <w:tcBorders/>
            <w:shd w:fill="auto" w:val="clear"/>
            <w:vAlign w:val="center"/>
          </w:tcPr>
          <w:p>
            <w:pPr>
              <w:pStyle w:val="TableContents"/>
              <w:spacing w:before="0" w:after="0"/>
              <w:jc w:val="right"/>
              <w:rPr/>
            </w:pPr>
            <w:r>
              <w:rPr/>
              <w:t>17,341</w:t>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0"/>
              <w:rPr/>
            </w:pPr>
            <w:r>
              <w:rPr/>
              <w:t>  </w:t>
            </w:r>
          </w:p>
        </w:tc>
        <w:tc>
          <w:tcPr>
            <w:tcW w:w="69" w:type="dxa"/>
            <w:tcBorders/>
            <w:shd w:fill="auto" w:val="clear"/>
            <w:vAlign w:val="center"/>
          </w:tcPr>
          <w:p>
            <w:pPr>
              <w:pStyle w:val="TableContents"/>
              <w:spacing w:before="0" w:after="0"/>
              <w:rPr/>
            </w:pPr>
            <w:r>
              <w:rPr/>
              <w:t> </w:t>
            </w:r>
          </w:p>
        </w:tc>
        <w:tc>
          <w:tcPr>
            <w:tcW w:w="932" w:type="dxa"/>
            <w:tcBorders/>
            <w:shd w:fill="auto" w:val="clear"/>
            <w:vAlign w:val="center"/>
          </w:tcPr>
          <w:p>
            <w:pPr>
              <w:pStyle w:val="TableContents"/>
              <w:spacing w:before="0" w:after="0"/>
              <w:jc w:val="right"/>
              <w:rPr/>
            </w:pPr>
            <w:r>
              <w:rPr/>
              <w:t>13,101</w:t>
            </w:r>
          </w:p>
        </w:tc>
        <w:tc>
          <w:tcPr>
            <w:tcW w:w="80" w:type="dxa"/>
            <w:tcBorders/>
            <w:shd w:fill="auto" w:val="clear"/>
            <w:vAlign w:val="center"/>
          </w:tcPr>
          <w:p>
            <w:pPr>
              <w:pStyle w:val="TableContents"/>
              <w:spacing w:before="0" w:after="283"/>
              <w:rPr>
                <w:sz w:val="4"/>
                <w:szCs w:val="4"/>
              </w:rPr>
            </w:pPr>
            <w:r>
              <w:rPr>
                <w:sz w:val="4"/>
                <w:szCs w:val="4"/>
              </w:rPr>
            </w:r>
          </w:p>
        </w:tc>
      </w:tr>
      <w:tr>
        <w:trPr/>
        <w:tc>
          <w:tcPr>
            <w:tcW w:w="6726"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assets and warrant liabilities assumed upon closing of the merger with GGI</w:t>
            </w:r>
          </w:p>
        </w:tc>
        <w:tc>
          <w:tcPr>
            <w:tcW w:w="120"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0"/>
              <w:rPr/>
            </w:pPr>
            <w:r>
              <w:rPr/>
              <w:t> </w:t>
            </w:r>
          </w:p>
        </w:tc>
        <w:tc>
          <w:tcPr>
            <w:tcW w:w="792" w:type="dxa"/>
            <w:tcBorders/>
            <w:shd w:fill="CCEEFF" w:val="clear"/>
            <w:vAlign w:val="center"/>
          </w:tcPr>
          <w:p>
            <w:pPr>
              <w:pStyle w:val="TableContents"/>
              <w:spacing w:before="0" w:after="0"/>
              <w:jc w:val="right"/>
              <w:rPr/>
            </w:pPr>
            <w:r>
              <w:rPr/>
              <w:t>57,040</w:t>
            </w:r>
          </w:p>
        </w:tc>
        <w:tc>
          <w:tcPr>
            <w:tcW w:w="69" w:type="dxa"/>
            <w:tcBorders/>
            <w:shd w:fill="CCEEFF" w:val="clear"/>
            <w:vAlign w:val="center"/>
          </w:tcPr>
          <w:p>
            <w:pPr>
              <w:pStyle w:val="TableContents"/>
              <w:spacing w:before="0" w:after="283"/>
              <w:rPr>
                <w:sz w:val="4"/>
                <w:szCs w:val="4"/>
              </w:rPr>
            </w:pPr>
            <w:r>
              <w:rPr>
                <w:sz w:val="4"/>
                <w:szCs w:val="4"/>
              </w:rPr>
            </w:r>
          </w:p>
        </w:tc>
        <w:tc>
          <w:tcPr>
            <w:tcW w:w="139"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0"/>
              <w:rPr/>
            </w:pPr>
            <w:r>
              <w:rPr/>
              <w:t> </w:t>
            </w:r>
          </w:p>
        </w:tc>
        <w:tc>
          <w:tcPr>
            <w:tcW w:w="932" w:type="dxa"/>
            <w:tcBorders/>
            <w:shd w:fill="CCEEFF" w:val="clear"/>
            <w:vAlign w:val="center"/>
          </w:tcPr>
          <w:p>
            <w:pPr>
              <w:pStyle w:val="TableContents"/>
              <w:spacing w:before="0" w:after="0"/>
              <w:jc w:val="right"/>
              <w:rPr/>
            </w:pPr>
            <w:r>
              <w:rPr/>
              <w:t>—  </w:t>
            </w:r>
          </w:p>
        </w:tc>
        <w:tc>
          <w:tcPr>
            <w:tcW w:w="69" w:type="dxa"/>
            <w:tcBorders/>
            <w:shd w:fill="CCEEFF" w:val="clear"/>
            <w:vAlign w:val="center"/>
          </w:tcPr>
          <w:p>
            <w:pPr>
              <w:pStyle w:val="TableContents"/>
              <w:spacing w:before="0" w:after="0"/>
              <w:rPr/>
            </w:pPr>
            <w:r>
              <w:rPr/>
              <w:t> </w:t>
            </w:r>
          </w:p>
        </w:tc>
        <w:tc>
          <w:tcPr>
            <w:tcW w:w="139" w:type="dxa"/>
            <w:tcBorders/>
            <w:shd w:fill="CCEEFF" w:val="clear"/>
            <w:vAlign w:val="center"/>
          </w:tcPr>
          <w:p>
            <w:pPr>
              <w:pStyle w:val="TableContents"/>
              <w:spacing w:before="0" w:after="0"/>
              <w:rPr/>
            </w:pPr>
            <w:r>
              <w:rPr/>
              <w:t>  </w:t>
            </w:r>
          </w:p>
        </w:tc>
        <w:tc>
          <w:tcPr>
            <w:tcW w:w="69" w:type="dxa"/>
            <w:tcBorders/>
            <w:shd w:fill="CCEEFF" w:val="clear"/>
            <w:vAlign w:val="center"/>
          </w:tcPr>
          <w:p>
            <w:pPr>
              <w:pStyle w:val="TableContents"/>
              <w:spacing w:before="0" w:after="0"/>
              <w:rPr/>
            </w:pPr>
            <w:r>
              <w:rPr/>
              <w:t> </w:t>
            </w:r>
          </w:p>
        </w:tc>
        <w:tc>
          <w:tcPr>
            <w:tcW w:w="932" w:type="dxa"/>
            <w:tcBorders/>
            <w:shd w:fill="CCEEFF" w:val="clear"/>
            <w:vAlign w:val="center"/>
          </w:tcPr>
          <w:p>
            <w:pPr>
              <w:pStyle w:val="TableContents"/>
              <w:spacing w:before="0" w:after="0"/>
              <w:jc w:val="right"/>
              <w:rPr/>
            </w:pPr>
            <w:r>
              <w:rPr/>
              <w:t>—  </w:t>
            </w:r>
          </w:p>
        </w:tc>
        <w:tc>
          <w:tcPr>
            <w:tcW w:w="80" w:type="dxa"/>
            <w:tcBorders/>
            <w:shd w:fill="CCEEFF" w:val="clear"/>
            <w:vAlign w:val="center"/>
          </w:tcPr>
          <w:p>
            <w:pPr>
              <w:pStyle w:val="TableContents"/>
              <w:spacing w:before="0" w:after="0"/>
              <w:rPr/>
            </w:pPr>
            <w:r>
              <w:rPr/>
              <w:t> </w:t>
            </w:r>
          </w:p>
        </w:tc>
      </w:tr>
    </w:tbl>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Note 25 - Related party transactions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Related parties are as follows: </w:t>
      </w:r>
    </w:p>
    <w:p>
      <w:pPr>
        <w:pStyle w:val="TextBody"/>
        <w:spacing w:before="0" w:after="0"/>
        <w:ind w:left="0" w:right="0" w:hanging="0"/>
        <w:jc w:val="left"/>
        <w:rPr>
          <w:spacing w:val="0"/>
          <w:highlight w:val="white"/>
        </w:rPr>
      </w:pPr>
      <w:r>
        <w:rPr>
          <w:spacing w:val="0"/>
          <w:highlight w:val="white"/>
        </w:rPr>
        <w:t> </w:t>
      </w:r>
    </w:p>
    <w:tbl>
      <w:tblPr>
        <w:tblW w:w="8545" w:type="dxa"/>
        <w:jc w:val="left"/>
        <w:tblInd w:w="0" w:type="dxa"/>
        <w:tblCellMar>
          <w:top w:w="0" w:type="dxa"/>
          <w:left w:w="0" w:type="dxa"/>
          <w:bottom w:w="0" w:type="dxa"/>
          <w:right w:w="0" w:type="dxa"/>
        </w:tblCellMar>
      </w:tblPr>
      <w:tblGrid>
        <w:gridCol w:w="75"/>
        <w:gridCol w:w="110"/>
        <w:gridCol w:w="60"/>
        <w:gridCol w:w="8300"/>
      </w:tblGrid>
      <w:tr>
        <w:trPr/>
        <w:tc>
          <w:tcPr>
            <w:tcW w:w="75" w:type="dxa"/>
            <w:tcBorders/>
            <w:shd w:fill="auto" w:val="clear"/>
            <w:vAlign w:val="center"/>
          </w:tcPr>
          <w:p>
            <w:pPr>
              <w:pStyle w:val="TableContents"/>
              <w:spacing w:before="0" w:after="0"/>
              <w:rPr/>
            </w:pPr>
            <w:r>
              <w:rPr/>
              <w:t> </w:t>
            </w:r>
          </w:p>
        </w:tc>
        <w:tc>
          <w:tcPr>
            <w:tcW w:w="110" w:type="dxa"/>
            <w:tcBorders/>
            <w:shd w:fill="auto" w:val="clear"/>
            <w:vAlign w:val="center"/>
          </w:tcPr>
          <w:p>
            <w:pPr>
              <w:pStyle w:val="TableContents"/>
              <w:spacing w:before="0" w:after="0"/>
              <w:jc w:val="left"/>
              <w:rPr/>
            </w:pPr>
            <w:r>
              <w:rPr/>
              <w:t>•</w:t>
            </w:r>
          </w:p>
        </w:tc>
        <w:tc>
          <w:tcPr>
            <w:tcW w:w="60" w:type="dxa"/>
            <w:tcBorders/>
            <w:shd w:fill="auto" w:val="clear"/>
            <w:vAlign w:val="center"/>
          </w:tcPr>
          <w:p>
            <w:pPr>
              <w:pStyle w:val="TableContents"/>
              <w:spacing w:before="0" w:after="0"/>
              <w:rPr/>
            </w:pPr>
            <w:r>
              <w:rPr/>
              <w:t> </w:t>
            </w:r>
          </w:p>
        </w:tc>
        <w:tc>
          <w:tcPr>
            <w:tcW w:w="83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member of the board of directors, CEO and other key management employees in any Polestar entity; </w:t>
            </w:r>
          </w:p>
        </w:tc>
      </w:tr>
    </w:tbl>
    <w:p>
      <w:pPr>
        <w:pStyle w:val="TextBody"/>
        <w:spacing w:before="0" w:after="0"/>
        <w:ind w:left="0" w:right="0" w:hanging="0"/>
        <w:jc w:val="left"/>
        <w:rPr>
          <w:spacing w:val="0"/>
          <w:highlight w:val="white"/>
        </w:rPr>
      </w:pPr>
      <w:r>
        <w:rPr>
          <w:spacing w:val="0"/>
          <w:highlight w:val="white"/>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0"/>
              <w:rPr/>
            </w:pPr>
            <w:r>
              <w:rPr/>
              <w:t> </w:t>
            </w:r>
          </w:p>
        </w:tc>
        <w:tc>
          <w:tcPr>
            <w:tcW w:w="110" w:type="dxa"/>
            <w:tcBorders/>
            <w:shd w:fill="auto" w:val="clear"/>
            <w:vAlign w:val="center"/>
          </w:tcPr>
          <w:p>
            <w:pPr>
              <w:pStyle w:val="TableContents"/>
              <w:spacing w:before="0" w:after="0"/>
              <w:jc w:val="left"/>
              <w:rPr/>
            </w:pPr>
            <w:r>
              <w:rPr/>
              <w:t>•</w:t>
            </w:r>
          </w:p>
        </w:tc>
        <w:tc>
          <w:tcPr>
            <w:tcW w:w="60" w:type="dxa"/>
            <w:tcBorders/>
            <w:shd w:fill="auto" w:val="clear"/>
            <w:vAlign w:val="center"/>
          </w:tcPr>
          <w:p>
            <w:pPr>
              <w:pStyle w:val="TableContents"/>
              <w:spacing w:before="0" w:after="0"/>
              <w:rPr/>
            </w:pPr>
            <w:r>
              <w:rPr/>
              <w:t> </w:t>
            </w:r>
          </w:p>
        </w:tc>
        <w:tc>
          <w:tcPr>
            <w:tcW w:w="78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spouse or co-habitee of, or a person under the custody of, any person referred to in “a)” above; </w:t>
            </w:r>
          </w:p>
        </w:tc>
      </w:tr>
    </w:tbl>
    <w:p>
      <w:pPr>
        <w:pStyle w:val="TextBody"/>
        <w:spacing w:before="0" w:after="0"/>
        <w:ind w:left="0" w:right="0" w:hanging="0"/>
        <w:jc w:val="left"/>
        <w:rPr>
          <w:spacing w:val="0"/>
          <w:highlight w:val="white"/>
        </w:rPr>
      </w:pPr>
      <w:r>
        <w:rPr>
          <w:spacing w:val="0"/>
          <w:highlight w:val="white"/>
        </w:rPr>
        <w:t> </w:t>
      </w:r>
    </w:p>
    <w:tbl>
      <w:tblPr>
        <w:tblW w:w="7930" w:type="dxa"/>
        <w:jc w:val="left"/>
        <w:tblInd w:w="0" w:type="dxa"/>
        <w:tblCellMar>
          <w:top w:w="0" w:type="dxa"/>
          <w:left w:w="0" w:type="dxa"/>
          <w:bottom w:w="0" w:type="dxa"/>
          <w:right w:w="0" w:type="dxa"/>
        </w:tblCellMar>
      </w:tblPr>
      <w:tblGrid>
        <w:gridCol w:w="75"/>
        <w:gridCol w:w="110"/>
        <w:gridCol w:w="60"/>
        <w:gridCol w:w="7685"/>
      </w:tblGrid>
      <w:tr>
        <w:trPr/>
        <w:tc>
          <w:tcPr>
            <w:tcW w:w="75" w:type="dxa"/>
            <w:tcBorders/>
            <w:shd w:fill="auto" w:val="clear"/>
            <w:vAlign w:val="center"/>
          </w:tcPr>
          <w:p>
            <w:pPr>
              <w:pStyle w:val="TableContents"/>
              <w:spacing w:before="0" w:after="0"/>
              <w:rPr/>
            </w:pPr>
            <w:r>
              <w:rPr/>
              <w:t> </w:t>
            </w:r>
          </w:p>
        </w:tc>
        <w:tc>
          <w:tcPr>
            <w:tcW w:w="110" w:type="dxa"/>
            <w:tcBorders/>
            <w:shd w:fill="auto" w:val="clear"/>
            <w:vAlign w:val="center"/>
          </w:tcPr>
          <w:p>
            <w:pPr>
              <w:pStyle w:val="TableContents"/>
              <w:spacing w:before="0" w:after="0"/>
              <w:jc w:val="left"/>
              <w:rPr/>
            </w:pPr>
            <w:r>
              <w:rPr/>
              <w:t>•</w:t>
            </w:r>
          </w:p>
        </w:tc>
        <w:tc>
          <w:tcPr>
            <w:tcW w:w="60" w:type="dxa"/>
            <w:tcBorders/>
            <w:shd w:fill="auto" w:val="clear"/>
            <w:vAlign w:val="center"/>
          </w:tcPr>
          <w:p>
            <w:pPr>
              <w:pStyle w:val="TableContents"/>
              <w:spacing w:before="0" w:after="0"/>
              <w:rPr/>
            </w:pPr>
            <w:r>
              <w:rPr/>
              <w:t> </w:t>
            </w:r>
          </w:p>
        </w:tc>
        <w:tc>
          <w:tcPr>
            <w:tcW w:w="76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legal entities controlled by any person, alone or jointly, referred to under “a)” and “b)” above; </w:t>
            </w:r>
          </w:p>
        </w:tc>
      </w:tr>
    </w:tbl>
    <w:p>
      <w:pPr>
        <w:pStyle w:val="TextBody"/>
        <w:spacing w:before="0" w:after="0"/>
        <w:ind w:left="0" w:right="0" w:hanging="0"/>
        <w:jc w:val="left"/>
        <w:rPr>
          <w:spacing w:val="0"/>
          <w:highlight w:val="white"/>
        </w:rPr>
      </w:pPr>
      <w:r>
        <w:rPr>
          <w:spacing w:val="0"/>
          <w:highlight w:val="white"/>
        </w:rPr>
        <w:t> </w:t>
      </w:r>
    </w:p>
    <w:tbl>
      <w:tblPr>
        <w:tblW w:w="8980" w:type="dxa"/>
        <w:jc w:val="left"/>
        <w:tblInd w:w="0" w:type="dxa"/>
        <w:tblCellMar>
          <w:top w:w="0" w:type="dxa"/>
          <w:left w:w="0" w:type="dxa"/>
          <w:bottom w:w="0" w:type="dxa"/>
          <w:right w:w="0" w:type="dxa"/>
        </w:tblCellMar>
      </w:tblPr>
      <w:tblGrid>
        <w:gridCol w:w="75"/>
        <w:gridCol w:w="110"/>
        <w:gridCol w:w="60"/>
        <w:gridCol w:w="8735"/>
      </w:tblGrid>
      <w:tr>
        <w:trPr/>
        <w:tc>
          <w:tcPr>
            <w:tcW w:w="75" w:type="dxa"/>
            <w:tcBorders/>
            <w:shd w:fill="auto" w:val="clear"/>
            <w:vAlign w:val="center"/>
          </w:tcPr>
          <w:p>
            <w:pPr>
              <w:pStyle w:val="TableContents"/>
              <w:spacing w:before="0" w:after="0"/>
              <w:rPr/>
            </w:pPr>
            <w:r>
              <w:rPr/>
              <w:t> </w:t>
            </w:r>
          </w:p>
        </w:tc>
        <w:tc>
          <w:tcPr>
            <w:tcW w:w="110" w:type="dxa"/>
            <w:tcBorders/>
            <w:shd w:fill="auto" w:val="clear"/>
            <w:vAlign w:val="center"/>
          </w:tcPr>
          <w:p>
            <w:pPr>
              <w:pStyle w:val="TableContents"/>
              <w:spacing w:before="0" w:after="0"/>
              <w:jc w:val="left"/>
              <w:rPr/>
            </w:pPr>
            <w:r>
              <w:rPr/>
              <w:t>•</w:t>
            </w:r>
          </w:p>
        </w:tc>
        <w:tc>
          <w:tcPr>
            <w:tcW w:w="60" w:type="dxa"/>
            <w:tcBorders/>
            <w:shd w:fill="auto" w:val="clear"/>
            <w:vAlign w:val="center"/>
          </w:tcPr>
          <w:p>
            <w:pPr>
              <w:pStyle w:val="TableContents"/>
              <w:spacing w:before="0" w:after="0"/>
              <w:rPr/>
            </w:pPr>
            <w:r>
              <w:rPr/>
              <w:t> </w:t>
            </w:r>
          </w:p>
        </w:tc>
        <w:tc>
          <w:tcPr>
            <w:tcW w:w="87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legal entity that is a parent company, subsidiary, joint venture, or associate within Geely and Volvo Cars;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F-66 </w:t>
      </w:r>
    </w:p>
    <w:p>
      <w:pPr>
        <w:pStyle w:val="HorizontalLine"/>
        <w:rPr/>
      </w:pPr>
      <w:r>
        <w:rPr/>
      </w:r>
    </w:p>
    <w:p>
      <w:pPr>
        <w:pStyle w:val="TextBody"/>
        <w:spacing w:before="0" w:after="0"/>
        <w:rPr/>
      </w:pPr>
      <w:hyperlink w:anchor="toc">
        <w:r>
          <w:rPr>
            <w:rStyle w:val="InternetLink"/>
            <w:highlight w:val="white"/>
          </w:rPr>
          <w:t>Table of Contents</w:t>
        </w:r>
      </w:hyperlink>
    </w:p>
    <w:tbl>
      <w:tblPr>
        <w:tblW w:w="8230" w:type="dxa"/>
        <w:jc w:val="left"/>
        <w:tblInd w:w="0" w:type="dxa"/>
        <w:tblCellMar>
          <w:top w:w="0" w:type="dxa"/>
          <w:left w:w="0" w:type="dxa"/>
          <w:bottom w:w="0" w:type="dxa"/>
          <w:right w:w="0" w:type="dxa"/>
        </w:tblCellMar>
      </w:tblPr>
      <w:tblGrid>
        <w:gridCol w:w="75"/>
        <w:gridCol w:w="110"/>
        <w:gridCol w:w="60"/>
        <w:gridCol w:w="7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legal entity in which a company within the Polestar Group holds, or otherwise controls, between </w:t>
            </w:r>
          </w:p>
          <w:p>
            <w:pPr>
              <w:pStyle w:val="TableContents"/>
              <w:spacing w:before="0" w:after="0"/>
              <w:jc w:val="left"/>
              <w:rPr>
                <w:rFonts w:ascii="Times New Roman" w:hAnsi="Times New Roman"/>
                <w:spacing w:val="0"/>
                <w:sz w:val="20"/>
              </w:rPr>
            </w:pPr>
            <w:r>
              <w:rPr>
                <w:rFonts w:ascii="Times New Roman" w:hAnsi="Times New Roman"/>
                <w:spacing w:val="0"/>
                <w:sz w:val="20"/>
              </w:rPr>
              <w:t>20-50%</w:t>
            </w:r>
          </w:p>
          <w:p>
            <w:pPr>
              <w:pStyle w:val="TableContents"/>
              <w:spacing w:before="0" w:after="0"/>
              <w:jc w:val="left"/>
              <w:rPr>
                <w:rFonts w:ascii="Times New Roman" w:hAnsi="Times New Roman"/>
                <w:sz w:val="20"/>
              </w:rPr>
            </w:pPr>
            <w:r>
              <w:rPr>
                <w:rFonts w:ascii="Times New Roman" w:hAnsi="Times New Roman"/>
                <w:sz w:val="20"/>
              </w:rPr>
              <w:t xml:space="preserve">(i.e., an associate or joint venture of any company within the Polestar Group); or </w:t>
            </w:r>
          </w:p>
        </w:tc>
      </w:tr>
    </w:tbl>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person, or a close family member of such person, that has direct or indirect control or joint control of a Polestar entity, has significant influence over a Polestar entity or is a member of the key management of Polestar Group. </w:t>
            </w:r>
          </w:p>
        </w:tc>
      </w:tr>
    </w:tbl>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Prior to the merger with GGI,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All agreements with related parties are on an arm’s length basis.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As of December 31, 2022, the Group has related party agreements in the following functions: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Product development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agreements in place to support the Group’s product development include licenses and intellectual property, patents, R&amp;D services, design, and technology agreements with Volvo Cars and Geely. The Group owns its developed Polestar Unique technology, which was created using purchased R&amp;D, design services, and licenses to critical common technology from Volvo Cars and Geely. Polestar also benefits from related parties as subcontractors in certain internal technology development programs of the Group.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commercialization.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Procurement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Group has entered into Service Agreements with Volvo Cars regarding the procurement of direct (production related) materials, whereas the joint sourcing of direct material for the Group and Volvo Cars has allowed both companies to leverage economies of scale.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Manufacturing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Group purchases contract manufacturing services, manufacturing and logistics engineering services, and has entered into tool sharing agreements with related parties.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Polestar also entered into a unique vendor tooling agreement and a unique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in-house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tooling and equipment agreement for the PS4. These agreements were entered into as part of Polestar’s and Geely’s intent to enter into a more detailed agreement related to manufacturing original equipment manufacturer (“OEM”) services for the PS4 prior to the commencement of production. Refer to Note 27 - Commitments and contingencies for further details regarding the unique vendor tooling agreement. </w:t>
      </w:r>
    </w:p>
    <w:p>
      <w:pPr>
        <w:pStyle w:val="TextBody"/>
        <w:spacing w:before="0" w:after="0"/>
        <w:jc w:val="left"/>
        <w:rPr>
          <w:sz w:val="12"/>
        </w:rPr>
      </w:pPr>
      <w:r>
        <w:rPr>
          <w:sz w:val="12"/>
        </w:rPr>
      </w:r>
    </w:p>
    <w:p>
      <w:pPr>
        <w:pStyle w:val="TextBody"/>
        <w:spacing w:before="0" w:after="0"/>
        <w:jc w:val="center"/>
        <w:rPr>
          <w:rFonts w:ascii="Times New Roman" w:hAnsi="Times New Roman"/>
          <w:sz w:val="20"/>
          <w:highlight w:val="white"/>
        </w:rPr>
      </w:pPr>
      <w:r>
        <w:rPr>
          <w:rFonts w:ascii="Times New Roman" w:hAnsi="Times New Roman"/>
          <w:sz w:val="20"/>
          <w:highlight w:val="white"/>
        </w:rPr>
        <w:t>F-67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In 2020, production of the PS2 was commenced at the Geely owned Luqiao plant through contract manufacturing agreements. In the second half of 2021, ownership transferred to Volvo Cars and the plant was renamed to Taizhou.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Manufacturing engineering includes activities related to the development of the production process (i.e., deciding which manufacturing equipment should be utilized and where equipment should be situated to ensure an efficient production process), rather than development of the vehicle itself. The Group outsourced the manufacturing engineering for the production process of the PS1, PS2, and PS3 to Volvo Cars.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Activities related to logistics engineering (i.e., activities related to the determination of how different components are delivered to the production sites) were outsourced to Volvo Cars for the PS1, PS2, and PS3.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Tool sharing occurs when the Group purchases production tools, together with Volvo Cars, to obtain synergies from utilizing the same tools.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Polestar enters into machinery and equipment lease arrangements as well as certain building lease agreements with Geely and Volvo Cars. Refer to Note 10 - Leases for more information on Polestar’s leasing arrangements.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Sales and distribution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Prior to entering the commercial space in the third quarter of 2020, the Group’s principal operations were related to the sale of R&amp;D services to Volvo Cars and Geely, and the sale of software and performance engineering kits to Volvo Cars. In addition to these sales agreements, in 2020, the Group had agreements in place to begin selling vehicles, prototype engines and carbon credits to Geely and Volvo Cars, respectively. The Group leverages Volvo Cars sales and services network for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go-to-market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strategies and dealer support to assist with tasks, which include agreements related to distribution and outbound logistics, delivery of vehicles and other products and global customer service.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Polestar Group sells vehicles to related parties, Volvo Cars and Volvofinans Bank AB (“Volvofinans Bank”). Volvofinans Bank sells these vehicles to end customers when the end customers choose to finance the vehicles via Volvofinans Bank.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Polestar Group and Volvo Car Financial Services US LLC, doing business as Polestar Financial Services (“PFS”), entered into residual value guarantee agreements with Bank of America, National Association (“BANA”), a third party, in the US. BANA sought to obtain economic protection against degradation in the residual value of leased vehicles it funds, and Polestar USA agreed to provide such protection as a service for a fee.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Information technology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While the Group has its own information technology (“IT”) department, Polestar operates in a shared IT environment with Volvo Cars and has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Other support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Group has various other related party agreements in place with Volvo Cars. These are primarily service agreements that relate to support for corporate or back-office functions, including human resources (“HR”), legal, accounting, and other functions.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F-68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HR support services relate to activities associated with payroll administration, training and workforce administration.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Legal support services include routine work associated with patent and brand registrations and competition law.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Accounting and finance support services include finance administration, local legal entity accounting and financial reporting.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Financing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May 2021, the Group entered into a working capital credit facility with Volvo Cars. As of December 31, 2022 and 2021, $16,690 and $13,789 of this financing arrangement remained outstanding, respectively, which is included in Interest-bearing current liabilities - related parties on the Consolidated Statement of Financial Position.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Working capital loans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2022, 2021, and 2020, interest expense for these loans was nil, nil, and $8,684, respectively. </w:t>
      </w:r>
    </w:p>
    <w:p>
      <w:pPr>
        <w:pStyle w:val="TextBody"/>
        <w:spacing w:before="36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Convertible instruments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November 3, 2022 the Group entered into a credit facility agreement with Volvo Cars for $800,000, terminating in May 2024. The credit facility can be drawn upon once a month and is utilizable for general corporate purposes. Interest will be calculated at the floating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six-month</w:t>
      </w:r>
    </w:p>
    <w:p>
      <w:pPr>
        <w:pStyle w:val="TextBody"/>
        <w:spacing w:before="120" w:after="0"/>
        <w:jc w:val="left"/>
        <w:rPr>
          <w:rFonts w:ascii="Times New Roman" w:hAnsi="Times New Roman"/>
          <w:sz w:val="20"/>
          <w:highlight w:val="white"/>
        </w:rPr>
      </w:pPr>
      <w:r>
        <w:rPr>
          <w:rFonts w:ascii="Times New Roman" w:hAnsi="Times New Roman"/>
          <w:sz w:val="20"/>
          <w:highlight w:val="white"/>
        </w:rPr>
        <w:t>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December 31, 2022, the Group had not yet drawn down on the facility and the fair value of the financial liability related to Volvo Cars’ conversion right was nil.</w:t>
      </w:r>
    </w:p>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F-69</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Of the $35,231 in Convertible Notes issued on July 28, 2021, $9,531 was related to Geely. As of December 31, 2021, all $9,531 of the Convertible Notes were outstanding. Upon the Closing of the merger with GGI, the Convertible Notes were converted into 4,306,466 Class A Shares, of which 1,165,041 Class A Shares were attributable to Geely (inclusive of affiliated entities). Refer to Note 1 - Significant accounting policies and judgements and Note 20 - Equity for further details.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Sale of goods, services and other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Related party revenue transactions relate to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recognized from each related party is shown in the table below: </w:t>
      </w:r>
    </w:p>
    <w:p>
      <w:pPr>
        <w:pStyle w:val="TextBody"/>
        <w:spacing w:before="0" w:after="0"/>
        <w:jc w:val="left"/>
        <w:rPr>
          <w:highlight w:val="white"/>
        </w:rPr>
      </w:pPr>
      <w:r>
        <w:rPr>
          <w:highlight w:val="white"/>
        </w:rPr>
        <w:t> </w:t>
      </w:r>
    </w:p>
    <w:tbl>
      <w:tblPr>
        <w:tblW w:w="5434" w:type="dxa"/>
        <w:jc w:val="left"/>
        <w:tblInd w:w="0" w:type="dxa"/>
        <w:tblCellMar>
          <w:top w:w="0" w:type="dxa"/>
          <w:left w:w="0" w:type="dxa"/>
          <w:bottom w:w="0" w:type="dxa"/>
          <w:right w:w="0" w:type="dxa"/>
        </w:tblCellMar>
      </w:tblPr>
      <w:tblGrid>
        <w:gridCol w:w="1835"/>
        <w:gridCol w:w="120"/>
        <w:gridCol w:w="69"/>
        <w:gridCol w:w="927"/>
        <w:gridCol w:w="69"/>
        <w:gridCol w:w="139"/>
        <w:gridCol w:w="69"/>
        <w:gridCol w:w="927"/>
        <w:gridCol w:w="69"/>
        <w:gridCol w:w="139"/>
        <w:gridCol w:w="69"/>
        <w:gridCol w:w="927"/>
        <w:gridCol w:w="75"/>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4"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 Cars</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71,191</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73,660</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107,948</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Volvofinans Bank AB</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68,391</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52,973</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7" w:type="dxa"/>
            <w:tcBorders/>
            <w:shd w:fill="auto" w:val="clear"/>
            <w:vAlign w:val="center"/>
          </w:tcPr>
          <w:p>
            <w:pPr>
              <w:pStyle w:val="TableContents"/>
              <w:spacing w:before="0" w:after="283"/>
              <w:jc w:val="right"/>
              <w:rPr/>
            </w:pPr>
            <w:r>
              <w:rPr/>
              <w:t>30,167</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Geely</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  </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2,347</w:t>
            </w:r>
          </w:p>
        </w:tc>
        <w:tc>
          <w:tcPr>
            <w:tcW w:w="69"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7" w:type="dxa"/>
            <w:tcBorders/>
            <w:shd w:fill="CCEEFF" w:val="clear"/>
            <w:vAlign w:val="center"/>
          </w:tcPr>
          <w:p>
            <w:pPr>
              <w:pStyle w:val="TableContents"/>
              <w:spacing w:before="0" w:after="283"/>
              <w:jc w:val="right"/>
              <w:rPr/>
            </w:pPr>
            <w:r>
              <w:rPr/>
              <w:t>9,340</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927"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927"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927"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spacing w:val="0"/>
              </w:rPr>
            </w:pPr>
            <w:r>
              <w:rPr>
                <w:spacing w:val="0"/>
              </w:rPr>
              <w:t> </w:t>
            </w:r>
          </w:p>
        </w:tc>
        <w:tc>
          <w:tcPr>
            <w:tcW w:w="927" w:type="dxa"/>
            <w:tcBorders/>
            <w:shd w:fill="auto" w:val="clear"/>
            <w:vAlign w:val="center"/>
          </w:tcPr>
          <w:p>
            <w:pPr>
              <w:pStyle w:val="TableContents"/>
              <w:spacing w:before="0" w:after="0"/>
              <w:jc w:val="right"/>
              <w:rPr>
                <w:b/>
                <w:spacing w:val="0"/>
              </w:rPr>
            </w:pPr>
            <w:r>
              <w:rPr>
                <w:b/>
                <w:spacing w:val="0"/>
              </w:rPr>
              <w:t>139,582</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spacing w:val="0"/>
              </w:rPr>
            </w:pPr>
            <w:r>
              <w:rPr>
                <w:spacing w:val="0"/>
              </w:rPr>
              <w:t> </w:t>
            </w:r>
          </w:p>
        </w:tc>
        <w:tc>
          <w:tcPr>
            <w:tcW w:w="927" w:type="dxa"/>
            <w:tcBorders/>
            <w:shd w:fill="auto" w:val="clear"/>
            <w:vAlign w:val="center"/>
          </w:tcPr>
          <w:p>
            <w:pPr>
              <w:pStyle w:val="TableContents"/>
              <w:spacing w:before="0" w:after="0"/>
              <w:jc w:val="right"/>
              <w:rPr>
                <w:b/>
                <w:spacing w:val="0"/>
              </w:rPr>
            </w:pPr>
            <w:r>
              <w:rPr>
                <w:b/>
                <w:spacing w:val="0"/>
              </w:rPr>
              <w:t>128,980</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spacing w:val="0"/>
              </w:rPr>
            </w:pPr>
            <w:r>
              <w:rPr>
                <w:spacing w:val="0"/>
              </w:rPr>
              <w:t> </w:t>
            </w:r>
          </w:p>
        </w:tc>
        <w:tc>
          <w:tcPr>
            <w:tcW w:w="927" w:type="dxa"/>
            <w:tcBorders/>
            <w:shd w:fill="auto" w:val="clear"/>
            <w:vAlign w:val="center"/>
          </w:tcPr>
          <w:p>
            <w:pPr>
              <w:pStyle w:val="TableContents"/>
              <w:spacing w:before="0" w:after="0"/>
              <w:jc w:val="right"/>
              <w:rPr>
                <w:b/>
                <w:spacing w:val="0"/>
              </w:rPr>
            </w:pPr>
            <w:r>
              <w:rPr>
                <w:b/>
                <w:spacing w:val="0"/>
              </w:rPr>
              <w:t>147,455</w:t>
            </w:r>
          </w:p>
        </w:tc>
        <w:tc>
          <w:tcPr>
            <w:tcW w:w="7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927"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927" w:type="dxa"/>
            <w:tcBorders/>
            <w:shd w:fill="auto" w:val="clear"/>
            <w:vAlign w:val="center"/>
          </w:tcPr>
          <w:p>
            <w:pPr>
              <w:pStyle w:val="TableContents"/>
              <w:spacing w:before="0" w:after="0"/>
              <w:rPr>
                <w:bdr w:val="single" w:sz="2" w:space="1" w:color="000000"/>
              </w:rPr>
            </w:pPr>
            <w:r>
              <w:rPr>
                <w:bdr w:val="single" w:sz="2" w:space="1" w:color="000000"/>
              </w:rPr>
              <w:t> </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0"/>
              <w:rPr>
                <w:bdr w:val="single" w:sz="2" w:space="1" w:color="000000"/>
              </w:rPr>
            </w:pPr>
            <w:r>
              <w:rPr>
                <w:bdr w:val="single" w:sz="2" w:space="1" w:color="000000"/>
              </w:rPr>
              <w:t> </w:t>
            </w:r>
          </w:p>
        </w:tc>
        <w:tc>
          <w:tcPr>
            <w:tcW w:w="927"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 ended December 31, 2022, revenue from related parties amounted to $139,582 (5.67%) of total revenue. For the year ended December 31, 2021, revenue from related parties amounted to $128,980 (9.65%) of total revenue. For the year ended December 31, 2020, revenue from related parties was $147,455 (24.16%) of total revenue.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Purchases of goods, services and other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Purchases from related parties include agreements related to product development, procurement, manufacturing, IT, and other support (specifically, inbound and outbound logistics) agreements discussed above. These agreements include work in progress and finished goods, including Polestar 2 vehicles purchased from Volvo Car’s factory in Taizhou, China. Purchases of PS2 vehicles were from Geely until the change in plant ownership in November 2021; purchases and their related payables were from Volvo Cars subsequent to this event. Inventory cost of the Group is comprised of all costs of purchase, production charges and other expenditures incurred in bringing the inventory to its present location and condition.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Additionally, purchases from related parties include administrative costs associated with service agreements with Volvo Cars that relate to corporate or back-office functions. IT service and software related agreements are also included in administrative costs.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total purchases of goods, services and other for each related party is shown in the table below: </w:t>
      </w:r>
    </w:p>
    <w:p>
      <w:pPr>
        <w:pStyle w:val="TextBody"/>
        <w:spacing w:before="0" w:after="0"/>
        <w:jc w:val="left"/>
        <w:rPr>
          <w:highlight w:val="white"/>
        </w:rPr>
      </w:pPr>
      <w:r>
        <w:rPr>
          <w:highlight w:val="white"/>
        </w:rPr>
        <w:t> </w:t>
      </w:r>
    </w:p>
    <w:tbl>
      <w:tblPr>
        <w:tblW w:w="5510" w:type="dxa"/>
        <w:jc w:val="left"/>
        <w:tblInd w:w="0" w:type="dxa"/>
        <w:tblCellMar>
          <w:top w:w="0" w:type="dxa"/>
          <w:left w:w="0" w:type="dxa"/>
          <w:bottom w:w="0" w:type="dxa"/>
          <w:right w:w="0" w:type="dxa"/>
        </w:tblCellMar>
      </w:tblPr>
      <w:tblGrid>
        <w:gridCol w:w="1835"/>
        <w:gridCol w:w="120"/>
        <w:gridCol w:w="60"/>
        <w:gridCol w:w="980"/>
        <w:gridCol w:w="60"/>
        <w:gridCol w:w="120"/>
        <w:gridCol w:w="60"/>
        <w:gridCol w:w="980"/>
        <w:gridCol w:w="60"/>
        <w:gridCol w:w="120"/>
        <w:gridCol w:w="60"/>
        <w:gridCol w:w="980"/>
        <w:gridCol w:w="75"/>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80"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 Cars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2,217,094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570,429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276,849</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Geely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249,204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1,200,295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782,864</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Volvofinans Bank AB</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5,748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2,467,301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1,776,472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1,059,713</w:t>
            </w:r>
          </w:p>
        </w:tc>
        <w:tc>
          <w:tcPr>
            <w:tcW w:w="75" w:type="dxa"/>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z w:val="16"/>
        </w:rPr>
      </w:pPr>
      <w:r>
        <w:rPr>
          <w:sz w:val="16"/>
        </w:rPr>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F-70</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Cost of R&amp;D and intellectual property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Polestar Group entered into agreements with Volvo Cars and Geely regarding the development of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recognized asset reflects the relevant proportion of Polestar Group’s interest. The recognized asset associated with these agreements as of December 31, 2022 was $1,144,240, of which acquisitions attributable to 2022 were $218,031. As of December 31, 2021, the recognized asset associated with these agreements was $1,175,218, of which acquisitions attributable to 2021 were $349,876.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Amounts due to related parties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Amounts due to related parties include transactions from agreements associated with purchases of intangible assets, sales and distribution, procurement, manufacturing and other support with Volvo Cars and Geely. </w:t>
      </w:r>
    </w:p>
    <w:p>
      <w:pPr>
        <w:pStyle w:val="TextBody"/>
        <w:spacing w:before="0" w:after="0"/>
        <w:jc w:val="left"/>
        <w:rPr>
          <w:highlight w:val="white"/>
        </w:rPr>
      </w:pPr>
      <w:r>
        <w:rPr>
          <w:highlight w:val="white"/>
        </w:rPr>
        <w:t> </w:t>
      </w:r>
    </w:p>
    <w:tbl>
      <w:tblPr>
        <w:tblW w:w="7695" w:type="dxa"/>
        <w:jc w:val="left"/>
        <w:tblInd w:w="0" w:type="dxa"/>
        <w:tblCellMar>
          <w:top w:w="0" w:type="dxa"/>
          <w:left w:w="0" w:type="dxa"/>
          <w:bottom w:w="0" w:type="dxa"/>
          <w:right w:w="0" w:type="dxa"/>
        </w:tblCellMar>
      </w:tblPr>
      <w:tblGrid>
        <w:gridCol w:w="5240"/>
        <w:gridCol w:w="120"/>
        <w:gridCol w:w="60"/>
        <w:gridCol w:w="980"/>
        <w:gridCol w:w="60"/>
        <w:gridCol w:w="120"/>
        <w:gridCol w:w="60"/>
        <w:gridCol w:w="980"/>
        <w:gridCol w:w="75"/>
      </w:tblGrid>
      <w:tr>
        <w:trPr/>
        <w:tc>
          <w:tcPr>
            <w:tcW w:w="5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b/>
                <w:spacing w:val="0"/>
              </w:rPr>
            </w:pPr>
            <w:r>
              <w:rPr>
                <w:b/>
                <w:spacing w:val="0"/>
              </w:rPr>
              <w:t>Trade payables – related parties, accrued expenses,</w:t>
              <w:br/>
              <w:t>and other current liabilities to related parties</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 Cars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1,136,746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1,507,308</w:t>
            </w:r>
          </w:p>
        </w:tc>
        <w:tc>
          <w:tcPr>
            <w:tcW w:w="75"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Geely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71,212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235,622</w:t>
            </w:r>
          </w:p>
        </w:tc>
        <w:tc>
          <w:tcPr>
            <w:tcW w:w="75"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Volvofinans Bank AB</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504</w:t>
            </w:r>
          </w:p>
        </w:tc>
        <w:tc>
          <w:tcPr>
            <w:tcW w:w="75" w:type="dxa"/>
            <w:tcBorders/>
            <w:shd w:fill="CCEEFF"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1,209,347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1,743,434</w:t>
            </w:r>
          </w:p>
        </w:tc>
        <w:tc>
          <w:tcPr>
            <w:tcW w:w="75" w:type="dxa"/>
            <w:tcBorders/>
            <w:shd w:fill="auto" w:val="clear"/>
            <w:vAlign w:val="center"/>
          </w:tcPr>
          <w:p>
            <w:pPr>
              <w:pStyle w:val="TableContents"/>
              <w:spacing w:before="0" w:after="0"/>
              <w:rPr>
                <w:spacing w:val="0"/>
              </w:rPr>
            </w:pPr>
            <w:r>
              <w:rPr>
                <w:spacing w:val="0"/>
              </w:rPr>
              <w:t> </w:t>
            </w:r>
          </w:p>
        </w:tc>
      </w:tr>
      <w:tr>
        <w:trPr/>
        <w:tc>
          <w:tcPr>
            <w:tcW w:w="5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addition to current liabilities to related parties, Polestar has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lease liabilities to related parties amounting to $27,123 as of December 31, 2022 and $40,741 as of December 31, 2021 included in Other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interest-bearing liabilities.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Group’s interest expense on related party trade payables for amounts past due is as follows: </w:t>
      </w:r>
    </w:p>
    <w:p>
      <w:pPr>
        <w:pStyle w:val="TextBody"/>
        <w:spacing w:before="0" w:after="0"/>
        <w:jc w:val="left"/>
        <w:rPr>
          <w:highlight w:val="white"/>
        </w:rPr>
      </w:pPr>
      <w:r>
        <w:rPr>
          <w:highlight w:val="white"/>
        </w:rPr>
        <w:t> </w:t>
      </w:r>
    </w:p>
    <w:tbl>
      <w:tblPr>
        <w:tblW w:w="7475" w:type="dxa"/>
        <w:jc w:val="left"/>
        <w:tblInd w:w="0" w:type="dxa"/>
        <w:tblCellMar>
          <w:top w:w="0" w:type="dxa"/>
          <w:left w:w="0" w:type="dxa"/>
          <w:bottom w:w="0" w:type="dxa"/>
          <w:right w:w="0" w:type="dxa"/>
        </w:tblCellMar>
      </w:tblPr>
      <w:tblGrid>
        <w:gridCol w:w="3875"/>
        <w:gridCol w:w="120"/>
        <w:gridCol w:w="79"/>
        <w:gridCol w:w="898"/>
        <w:gridCol w:w="79"/>
        <w:gridCol w:w="158"/>
        <w:gridCol w:w="79"/>
        <w:gridCol w:w="898"/>
        <w:gridCol w:w="79"/>
        <w:gridCol w:w="158"/>
        <w:gridCol w:w="79"/>
        <w:gridCol w:w="898"/>
        <w:gridCol w:w="75"/>
      </w:tblGrid>
      <w:tr>
        <w:trPr/>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For the year ended December 31,</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 on related party trade payables</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37,957</w:t>
            </w:r>
          </w:p>
        </w:tc>
        <w:tc>
          <w:tcPr>
            <w:tcW w:w="79"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30,801</w:t>
            </w:r>
          </w:p>
        </w:tc>
        <w:tc>
          <w:tcPr>
            <w:tcW w:w="79"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11,210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Amounts due from related parties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Amounts due from related parties include transactions related to sales of software and performance engineered-kits and sales and distribution agreements discussed above. </w:t>
      </w:r>
    </w:p>
    <w:p>
      <w:pPr>
        <w:pStyle w:val="TextBody"/>
        <w:spacing w:before="0" w:after="0"/>
        <w:jc w:val="left"/>
        <w:rPr>
          <w:highlight w:val="white"/>
        </w:rPr>
      </w:pPr>
      <w:r>
        <w:rPr>
          <w:highlight w:val="white"/>
        </w:rPr>
        <w:t> </w:t>
      </w:r>
    </w:p>
    <w:tbl>
      <w:tblPr>
        <w:tblW w:w="7042" w:type="dxa"/>
        <w:jc w:val="left"/>
        <w:tblInd w:w="0" w:type="dxa"/>
        <w:tblCellMar>
          <w:top w:w="0" w:type="dxa"/>
          <w:left w:w="0" w:type="dxa"/>
          <w:bottom w:w="0" w:type="dxa"/>
          <w:right w:w="0" w:type="dxa"/>
        </w:tblCellMar>
      </w:tblPr>
      <w:tblGrid>
        <w:gridCol w:w="4850"/>
        <w:gridCol w:w="120"/>
        <w:gridCol w:w="67"/>
        <w:gridCol w:w="898"/>
        <w:gridCol w:w="67"/>
        <w:gridCol w:w="134"/>
        <w:gridCol w:w="67"/>
        <w:gridCol w:w="764"/>
        <w:gridCol w:w="75"/>
      </w:tblGrid>
      <w:tr>
        <w:trPr/>
        <w:tc>
          <w:tcPr>
            <w:tcW w:w="4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0"/>
              <w:rPr>
                <w:b/>
                <w:spacing w:val="0"/>
              </w:rPr>
            </w:pPr>
            <w:r>
              <w:rPr>
                <w:b/>
                <w:spacing w:val="0"/>
              </w:rPr>
              <w:t>Trade receivables – related parties and accrued</w:t>
              <w:br/>
              <w:t>income –related parties</w:t>
            </w:r>
          </w:p>
        </w:tc>
        <w:tc>
          <w:tcPr>
            <w:tcW w:w="12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831"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 Cars</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120,302</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15,457</w:t>
            </w:r>
          </w:p>
        </w:tc>
        <w:tc>
          <w:tcPr>
            <w:tcW w:w="75" w:type="dxa"/>
            <w:tcBorders/>
            <w:shd w:fill="CCEEFF"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Geely</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3,751</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4" w:type="dxa"/>
            <w:tcBorders/>
            <w:shd w:fill="auto" w:val="clear"/>
            <w:vAlign w:val="center"/>
          </w:tcPr>
          <w:p>
            <w:pPr>
              <w:pStyle w:val="TableContents"/>
              <w:spacing w:before="0" w:after="283"/>
              <w:jc w:val="right"/>
              <w:rPr/>
            </w:pPr>
            <w:r>
              <w:rPr/>
              <w:t>4,025</w:t>
            </w:r>
          </w:p>
        </w:tc>
        <w:tc>
          <w:tcPr>
            <w:tcW w:w="75"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Volvofinans Bank AB</w:t>
            </w:r>
          </w:p>
        </w:tc>
        <w:tc>
          <w:tcPr>
            <w:tcW w:w="12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3</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309</w:t>
            </w:r>
          </w:p>
        </w:tc>
        <w:tc>
          <w:tcPr>
            <w:tcW w:w="75" w:type="dxa"/>
            <w:tcBorders/>
            <w:shd w:fill="CCEEFF"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98"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76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spacing w:val="0"/>
              </w:rPr>
            </w:pPr>
            <w:r>
              <w:rPr>
                <w:spacing w:val="0"/>
              </w:rPr>
              <w:t> </w:t>
            </w:r>
          </w:p>
        </w:tc>
        <w:tc>
          <w:tcPr>
            <w:tcW w:w="898" w:type="dxa"/>
            <w:tcBorders/>
            <w:shd w:fill="auto" w:val="clear"/>
            <w:vAlign w:val="center"/>
          </w:tcPr>
          <w:p>
            <w:pPr>
              <w:pStyle w:val="TableContents"/>
              <w:spacing w:before="0" w:after="0"/>
              <w:jc w:val="right"/>
              <w:rPr>
                <w:b/>
                <w:spacing w:val="0"/>
              </w:rPr>
            </w:pPr>
            <w:r>
              <w:rPr>
                <w:b/>
                <w:spacing w:val="0"/>
              </w:rPr>
              <w:t>124,056</w:t>
            </w:r>
          </w:p>
        </w:tc>
        <w:tc>
          <w:tcPr>
            <w:tcW w:w="67" w:type="dxa"/>
            <w:tcBorders/>
            <w:shd w:fill="auto" w:val="clear"/>
            <w:vAlign w:val="center"/>
          </w:tcPr>
          <w:p>
            <w:pPr>
              <w:pStyle w:val="TableContents"/>
              <w:spacing w:before="0" w:after="0"/>
              <w:rPr>
                <w:spacing w:val="0"/>
              </w:rPr>
            </w:pPr>
            <w:r>
              <w:rPr>
                <w:spacing w:val="0"/>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spacing w:val="0"/>
              </w:rPr>
            </w:pPr>
            <w:r>
              <w:rPr>
                <w:spacing w:val="0"/>
              </w:rPr>
              <w:t> </w:t>
            </w:r>
          </w:p>
        </w:tc>
        <w:tc>
          <w:tcPr>
            <w:tcW w:w="764" w:type="dxa"/>
            <w:tcBorders/>
            <w:shd w:fill="auto" w:val="clear"/>
            <w:vAlign w:val="center"/>
          </w:tcPr>
          <w:p>
            <w:pPr>
              <w:pStyle w:val="TableContents"/>
              <w:spacing w:before="0" w:after="0"/>
              <w:jc w:val="right"/>
              <w:rPr>
                <w:b/>
                <w:spacing w:val="0"/>
              </w:rPr>
            </w:pPr>
            <w:r>
              <w:rPr>
                <w:b/>
                <w:spacing w:val="0"/>
              </w:rPr>
              <w:t>19,791</w:t>
            </w:r>
          </w:p>
        </w:tc>
        <w:tc>
          <w:tcPr>
            <w:tcW w:w="75" w:type="dxa"/>
            <w:tcBorders/>
            <w:shd w:fill="auto" w:val="clear"/>
            <w:vAlign w:val="center"/>
          </w:tcPr>
          <w:p>
            <w:pPr>
              <w:pStyle w:val="TableContents"/>
              <w:spacing w:before="0" w:after="0"/>
              <w:rPr>
                <w:spacing w:val="0"/>
              </w:rPr>
            </w:pPr>
            <w:r>
              <w:rPr>
                <w:spacing w:val="0"/>
              </w:rPr>
              <w:t> </w:t>
            </w:r>
          </w:p>
        </w:tc>
      </w:tr>
      <w:tr>
        <w:trPr/>
        <w:tc>
          <w:tcPr>
            <w:tcW w:w="4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898" w:type="dxa"/>
            <w:tcBorders/>
            <w:shd w:fill="auto" w:val="clear"/>
            <w:vAlign w:val="center"/>
          </w:tcPr>
          <w:p>
            <w:pPr>
              <w:pStyle w:val="TableContents"/>
              <w:spacing w:before="0" w:after="0"/>
              <w:rPr>
                <w:bdr w:val="single" w:sz="2" w:space="1" w:color="000000"/>
              </w:rPr>
            </w:pPr>
            <w:r>
              <w:rPr>
                <w:bdr w:val="single" w:sz="2" w:space="1" w:color="000000"/>
              </w:rPr>
              <w:t> </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bdr w:val="single" w:sz="2" w:space="1" w:color="000000"/>
              </w:rPr>
            </w:pPr>
            <w:r>
              <w:rPr>
                <w:bdr w:val="single" w:sz="2" w:space="1" w:color="000000"/>
              </w:rPr>
              <w:t> </w:t>
            </w:r>
          </w:p>
        </w:tc>
        <w:tc>
          <w:tcPr>
            <w:tcW w:w="76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Incentives to key management personnel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During the year ended December 31, 2019, Volvo Cars provided an equity based incentive program to certain members of the Group’s management team (the “Polestar Incentive Plan”). The Polestar Incentive Plan was launched to incentivize the retention of key personnel with pivotal roles in the development of the Group into a successful standalone company. Each participant was offered to purchase shares in PSINV AB, a subsidiary of </w:t>
      </w:r>
    </w:p>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F-71</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Volvo Cars which in turn owned shares in Polestar Automotive Holding Ltd and hence the participants were indirectly minority owners of the Group. The investment was made at fair market value in accordance with an external valuation.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In total 38,125 shares were acquired by the participants, which corresponded to an indirect ownership in the Group of 0.16 percent. Management evaluated the Polestar Incentive Plan to determine whether it qualified as an equity-settled share-based payment transaction within the scope of IFRS 2, as the participants receive shares of equity in exchange of their investment and more than one entity was involved in delivering the benefit to the participants. Given that the Group does not receive identifiable or unidentifiable goods or services in exchange for the equity purchase of PINSV AB, the transaction is not within the scope of IFRS 2. Furthermore, the</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Polestar Incentive Plan is in agreement with Volvo Cars and individual members of the Group’s prior EMT, as participants were given the option to purchase equity shares in PSINV AB being an entity outside the Group. Therefore, the Polestar Incentive Plan is not a share-based payment transaction in the scope of IFRS </w:t>
      </w:r>
    </w:p>
    <w:p>
      <w:pPr>
        <w:pStyle w:val="TextBody"/>
        <w:spacing w:before="240" w:after="0"/>
        <w:jc w:val="left"/>
        <w:rPr>
          <w:rFonts w:ascii="Times New Roman" w:hAnsi="Times New Roman"/>
          <w:sz w:val="20"/>
          <w:highlight w:val="white"/>
        </w:rPr>
      </w:pPr>
      <w:r>
        <w:rPr>
          <w:rFonts w:ascii="Times New Roman" w:hAnsi="Times New Roman"/>
          <w:sz w:val="20"/>
          <w:highlight w:val="white"/>
        </w:rPr>
        <w:t>2</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and there is no financial statement impact on the Group.</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a consequence of the listing of Polestar Automotive Holding UK Ltd on the Nasdaq Stock Exchange in June 2022 and in accordance with the terms of the Polestar Incentive Program, Volvo Cars was obliged to repurchase the participants shares in PSINV AB at fair market value. Each participant was thereafter obliged to reinvest the net proceeds received (repurchase amount less an amount corresponding to the effective tax rate on capital gains in the participants jurisdiction) in shares in Polestar Automotive Holding UK Ltd directly on the open market. The purchased shares were subject to a 180 days’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lock-up</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period.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Refer to Note 6 - Employee benefits for details on compensation to the EMT and managing directors at the Group’s sales units.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Share capital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Of the 18,032,787 Class B common shares issued in March 2021 to raise $550,000 in capital, 4,262,295 Class B common shares were issued to Geely, representing $130,000 of the total capital raised.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At the Closing of the merger with GGI, related parties experienced certain share exchanges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4290"/>
        <w:gridCol w:w="120"/>
        <w:gridCol w:w="60"/>
        <w:gridCol w:w="1220"/>
        <w:gridCol w:w="60"/>
        <w:gridCol w:w="120"/>
        <w:gridCol w:w="60"/>
        <w:gridCol w:w="1100"/>
        <w:gridCol w:w="60"/>
        <w:gridCol w:w="120"/>
        <w:gridCol w:w="60"/>
        <w:gridCol w:w="1220"/>
        <w:gridCol w:w="60"/>
        <w:gridCol w:w="120"/>
        <w:gridCol w:w="60"/>
        <w:gridCol w:w="1400"/>
        <w:gridCol w:w="75"/>
      </w:tblGrid>
      <w:tr>
        <w:trPr/>
        <w:tc>
          <w:tcPr>
            <w:tcW w:w="4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2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Pre-closing</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2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Post-closing</w:t>
            </w:r>
          </w:p>
        </w:tc>
        <w:tc>
          <w:tcPr>
            <w:tcW w:w="75"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B</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B</w:t>
            </w:r>
          </w:p>
        </w:tc>
        <w:tc>
          <w:tcPr>
            <w:tcW w:w="75" w:type="dxa"/>
            <w:tcBorders/>
            <w:shd w:fill="auto" w:val="clear"/>
            <w:vAlign w:val="center"/>
          </w:tcPr>
          <w:p>
            <w:pPr>
              <w:pStyle w:val="TableContents"/>
              <w:spacing w:before="0" w:after="283"/>
              <w:rPr/>
            </w:pPr>
            <w:r>
              <w:rPr/>
              <w:t> </w:t>
            </w:r>
          </w:p>
        </w:tc>
      </w:tr>
      <w:tr>
        <w:trPr/>
        <w:tc>
          <w:tcPr>
            <w:tcW w:w="42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Geely (inclusive of affiliated entities)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4,262,295</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36,691,611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Volvo Cars (inclusive of its consolidated subsidiaries)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97,685,904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17,345,079</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204,572,624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814,219,838</w:t>
            </w:r>
          </w:p>
        </w:tc>
        <w:tc>
          <w:tcPr>
            <w:tcW w:w="75" w:type="dxa"/>
            <w:tcBorders/>
            <w:shd w:fill="auto" w:val="clear"/>
            <w:vAlign w:val="center"/>
          </w:tcPr>
          <w:p>
            <w:pPr>
              <w:pStyle w:val="TableContents"/>
              <w:spacing w:before="0" w:after="283"/>
              <w:rPr/>
            </w:pPr>
            <w:r>
              <w:rPr/>
              <w:t> </w:t>
            </w:r>
          </w:p>
        </w:tc>
      </w:tr>
      <w:tr>
        <w:trPr/>
        <w:tc>
          <w:tcPr>
            <w:tcW w:w="42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PSD Investment Limited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99,340,825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828,013,737</w:t>
            </w:r>
          </w:p>
        </w:tc>
        <w:tc>
          <w:tcPr>
            <w:tcW w:w="75" w:type="dxa"/>
            <w:tcBorders/>
            <w:shd w:fill="CCEEFF"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4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220" w:type="dxa"/>
            <w:tcBorders/>
            <w:shd w:fill="auto" w:val="clear"/>
            <w:vAlign w:val="center"/>
          </w:tcPr>
          <w:p>
            <w:pPr>
              <w:pStyle w:val="TableContents"/>
              <w:spacing w:before="0" w:after="0"/>
              <w:jc w:val="right"/>
              <w:rPr>
                <w:b/>
                <w:spacing w:val="0"/>
              </w:rPr>
            </w:pPr>
            <w:r>
              <w:rPr>
                <w:b/>
                <w:spacing w:val="0"/>
              </w:rPr>
              <w:t>197,026,729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b/>
                <w:spacing w:val="0"/>
              </w:rPr>
            </w:pPr>
            <w:r>
              <w:rPr>
                <w:b/>
                <w:spacing w:val="0"/>
              </w:rPr>
              <w:t>21,607,374</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220" w:type="dxa"/>
            <w:tcBorders/>
            <w:shd w:fill="auto" w:val="clear"/>
            <w:vAlign w:val="center"/>
          </w:tcPr>
          <w:p>
            <w:pPr>
              <w:pStyle w:val="TableContents"/>
              <w:spacing w:before="0" w:after="0"/>
              <w:jc w:val="right"/>
              <w:rPr>
                <w:b/>
                <w:spacing w:val="0"/>
              </w:rPr>
            </w:pPr>
            <w:r>
              <w:rPr>
                <w:b/>
                <w:spacing w:val="0"/>
              </w:rPr>
              <w:t>241,264,235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400" w:type="dxa"/>
            <w:tcBorders/>
            <w:shd w:fill="auto" w:val="clear"/>
            <w:vAlign w:val="center"/>
          </w:tcPr>
          <w:p>
            <w:pPr>
              <w:pStyle w:val="TableContents"/>
              <w:spacing w:before="0" w:after="0"/>
              <w:jc w:val="right"/>
              <w:rPr>
                <w:b/>
                <w:spacing w:val="0"/>
              </w:rPr>
            </w:pPr>
            <w:r>
              <w:rPr>
                <w:b/>
                <w:spacing w:val="0"/>
              </w:rPr>
              <w:t>1,642,233,575</w:t>
            </w:r>
          </w:p>
        </w:tc>
        <w:tc>
          <w:tcPr>
            <w:tcW w:w="75"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4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F-72</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Refer to Note 16 - Reverse recapitalization and Note 20 - Equity for further details. Between the Closing of the merger with GGI through December 31, 2022, no shares were issued to related parties. Related party share ownership as of December 31, 2022 and 2021 was as follows: </w:t>
      </w:r>
    </w:p>
    <w:p>
      <w:pPr>
        <w:pStyle w:val="TextBody"/>
        <w:spacing w:before="0" w:after="0"/>
        <w:jc w:val="left"/>
        <w:rPr>
          <w:highlight w:val="white"/>
        </w:rPr>
      </w:pPr>
      <w:r>
        <w:rPr>
          <w:highlight w:val="white"/>
        </w:rPr>
        <w:t> </w:t>
      </w:r>
    </w:p>
    <w:tbl>
      <w:tblPr>
        <w:tblW w:w="6000" w:type="dxa"/>
        <w:jc w:val="left"/>
        <w:tblInd w:w="0" w:type="dxa"/>
        <w:tblCellMar>
          <w:top w:w="0" w:type="dxa"/>
          <w:left w:w="0" w:type="dxa"/>
          <w:bottom w:w="0" w:type="dxa"/>
          <w:right w:w="0" w:type="dxa"/>
        </w:tblCellMar>
      </w:tblPr>
      <w:tblGrid>
        <w:gridCol w:w="3065"/>
        <w:gridCol w:w="120"/>
        <w:gridCol w:w="60"/>
        <w:gridCol w:w="1220"/>
        <w:gridCol w:w="60"/>
        <w:gridCol w:w="120"/>
        <w:gridCol w:w="60"/>
        <w:gridCol w:w="1220"/>
        <w:gridCol w:w="75"/>
      </w:tblGrid>
      <w:tr>
        <w:trPr/>
        <w:tc>
          <w:tcPr>
            <w:tcW w:w="30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0"/>
              <w:rPr>
                <w:b/>
                <w:spacing w:val="0"/>
              </w:rPr>
            </w:pPr>
            <w:r>
              <w:rPr>
                <w:b/>
                <w:spacing w:val="0"/>
              </w:rPr>
              <w:t>Class A Shares</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Snita Holding B.V.</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204,572,624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95,961,904</w:t>
            </w:r>
          </w:p>
        </w:tc>
        <w:tc>
          <w:tcPr>
            <w:tcW w:w="75" w:type="dxa"/>
            <w:tcBorders/>
            <w:shd w:fill="CCEEFF"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PSD Investment Limited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99,340,825</w:t>
            </w:r>
          </w:p>
        </w:tc>
        <w:tc>
          <w:tcPr>
            <w:tcW w:w="75" w:type="dxa"/>
            <w:tcBorders/>
            <w:shd w:fill="auto"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PS Investment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1,724,000</w:t>
            </w:r>
          </w:p>
        </w:tc>
        <w:tc>
          <w:tcPr>
            <w:tcW w:w="75" w:type="dxa"/>
            <w:tcBorders/>
            <w:shd w:fill="CCEEFF"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Geely (inclusive of affiliated entities)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35,526,575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20" w:type="dxa"/>
            <w:tcBorders/>
            <w:shd w:fill="CCEEFF" w:val="clear"/>
            <w:vAlign w:val="center"/>
          </w:tcPr>
          <w:p>
            <w:pPr>
              <w:pStyle w:val="TableContents"/>
              <w:spacing w:before="0" w:after="0"/>
              <w:jc w:val="right"/>
              <w:rPr>
                <w:b/>
                <w:spacing w:val="0"/>
              </w:rPr>
            </w:pPr>
            <w:r>
              <w:rPr>
                <w:b/>
                <w:spacing w:val="0"/>
              </w:rPr>
              <w:t>240,099,199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220" w:type="dxa"/>
            <w:tcBorders/>
            <w:shd w:fill="CCEEFF" w:val="clear"/>
            <w:vAlign w:val="center"/>
          </w:tcPr>
          <w:p>
            <w:pPr>
              <w:pStyle w:val="TableContents"/>
              <w:spacing w:before="0" w:after="0"/>
              <w:jc w:val="right"/>
              <w:rPr>
                <w:b/>
                <w:spacing w:val="0"/>
              </w:rPr>
            </w:pPr>
            <w:r>
              <w:rPr>
                <w:b/>
                <w:spacing w:val="0"/>
              </w:rPr>
              <w:t>197,026,729</w:t>
            </w:r>
          </w:p>
        </w:tc>
        <w:tc>
          <w:tcPr>
            <w:tcW w:w="75" w:type="dxa"/>
            <w:tcBorders/>
            <w:shd w:fill="CCEEFF"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5010" w:type="dxa"/>
        <w:jc w:val="left"/>
        <w:tblInd w:w="0" w:type="dxa"/>
        <w:tblCellMar>
          <w:top w:w="0" w:type="dxa"/>
          <w:left w:w="0" w:type="dxa"/>
          <w:bottom w:w="0" w:type="dxa"/>
          <w:right w:w="0" w:type="dxa"/>
        </w:tblCellMar>
      </w:tblPr>
      <w:tblGrid>
        <w:gridCol w:w="2015"/>
        <w:gridCol w:w="120"/>
        <w:gridCol w:w="60"/>
        <w:gridCol w:w="1400"/>
        <w:gridCol w:w="60"/>
        <w:gridCol w:w="120"/>
        <w:gridCol w:w="60"/>
        <w:gridCol w:w="1100"/>
        <w:gridCol w:w="75"/>
      </w:tblGrid>
      <w:tr>
        <w:trPr/>
        <w:tc>
          <w:tcPr>
            <w:tcW w:w="20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0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As of December 31,</w:t>
            </w:r>
          </w:p>
        </w:tc>
        <w:tc>
          <w:tcPr>
            <w:tcW w:w="75" w:type="dxa"/>
            <w:tcBorders/>
            <w:shd w:fill="auto"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0"/>
              <w:rPr>
                <w:b/>
                <w:spacing w:val="0"/>
              </w:rPr>
            </w:pPr>
            <w:r>
              <w:rPr>
                <w:b/>
                <w:spacing w:val="0"/>
              </w:rPr>
              <w:t>Class B Shares</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20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Snita Holding B.V.</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814,219,838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17,345,079</w:t>
            </w:r>
          </w:p>
        </w:tc>
        <w:tc>
          <w:tcPr>
            <w:tcW w:w="75" w:type="dxa"/>
            <w:tcBorders/>
            <w:shd w:fill="CCEEFF"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PSD Investment Limited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828,013,737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0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Geely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4,262,295</w:t>
            </w:r>
          </w:p>
        </w:tc>
        <w:tc>
          <w:tcPr>
            <w:tcW w:w="75" w:type="dxa"/>
            <w:tcBorders/>
            <w:shd w:fill="CCEEFF"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4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400" w:type="dxa"/>
            <w:tcBorders/>
            <w:shd w:fill="auto" w:val="clear"/>
            <w:vAlign w:val="center"/>
          </w:tcPr>
          <w:p>
            <w:pPr>
              <w:pStyle w:val="TableContents"/>
              <w:spacing w:before="0" w:after="0"/>
              <w:jc w:val="right"/>
              <w:rPr>
                <w:b/>
                <w:spacing w:val="0"/>
              </w:rPr>
            </w:pPr>
            <w:r>
              <w:rPr>
                <w:b/>
                <w:spacing w:val="0"/>
              </w:rPr>
              <w:t>1,642,233,575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b/>
                <w:spacing w:val="0"/>
              </w:rPr>
            </w:pPr>
            <w:r>
              <w:rPr>
                <w:b/>
                <w:spacing w:val="0"/>
              </w:rPr>
              <w:t>21,607,374</w:t>
            </w:r>
          </w:p>
        </w:tc>
        <w:tc>
          <w:tcPr>
            <w:tcW w:w="75" w:type="dxa"/>
            <w:tcBorders/>
            <w:shd w:fill="auto" w:val="clear"/>
            <w:vAlign w:val="center"/>
          </w:tcPr>
          <w:p>
            <w:pPr>
              <w:pStyle w:val="TableContents"/>
              <w:spacing w:before="0" w:after="283"/>
              <w:rPr/>
            </w:pPr>
            <w:r>
              <w:rPr/>
              <w:t> </w:t>
            </w:r>
          </w:p>
        </w:tc>
      </w:tr>
      <w:tr>
        <w:trPr/>
        <w:tc>
          <w:tcPr>
            <w:tcW w:w="20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4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sz w:val="20"/>
          <w:highlight w:val="white"/>
        </w:rPr>
      </w:pPr>
      <w:r>
        <w:rPr>
          <w:rFonts w:ascii="Times New Roman" w:hAnsi="Times New Roman"/>
          <w:b/>
          <w:sz w:val="20"/>
          <w:highlight w:val="white"/>
        </w:rPr>
        <w:t>Note 26 - Assets held for sale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During fourth quarter of 2022, the Group committed to a plan to sell, to a related party, the Chengdu manufacturing plant held by its subsidiary, Polestar New Energy Vehicle Co. Ltd., that was previously used to manufacture the PS1 and special edition PS2 BST 270. Accordingly, the Chengdu plant and certain related assets are presented as a disposal group held for sale. Polestar has initiated selling efforts and expects to close a sale in the first half of 2023. The assets related to the Chengdu Plant that have been classified as held for sale have a net value of $63,224. The cumulative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expense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related to exchange rate differences from translation of the disposal group that are included in other comprehensive income amount to $1,392. Prior to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December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2022, the Group did not hold any assets classified as held for sale.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the disposal group was stated at the Group’s carrying value and was comprised of the following: </w:t>
      </w:r>
    </w:p>
    <w:p>
      <w:pPr>
        <w:pStyle w:val="TextBody"/>
        <w:spacing w:before="0" w:after="0"/>
        <w:jc w:val="left"/>
        <w:rPr>
          <w:highlight w:val="white"/>
        </w:rPr>
      </w:pPr>
      <w:r>
        <w:rPr>
          <w:highlight w:val="white"/>
        </w:rPr>
        <w:t> </w:t>
      </w:r>
    </w:p>
    <w:tbl>
      <w:tblPr>
        <w:tblW w:w="3430" w:type="dxa"/>
        <w:jc w:val="left"/>
        <w:tblInd w:w="0" w:type="dxa"/>
        <w:tblCellMar>
          <w:top w:w="0" w:type="dxa"/>
          <w:left w:w="0" w:type="dxa"/>
          <w:bottom w:w="0" w:type="dxa"/>
          <w:right w:w="0" w:type="dxa"/>
        </w:tblCellMar>
      </w:tblPr>
      <w:tblGrid>
        <w:gridCol w:w="2495"/>
        <w:gridCol w:w="120"/>
        <w:gridCol w:w="60"/>
        <w:gridCol w:w="680"/>
        <w:gridCol w:w="75"/>
      </w:tblGrid>
      <w:tr>
        <w:trPr/>
        <w:tc>
          <w:tcPr>
            <w:tcW w:w="2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57,921</w:t>
            </w:r>
          </w:p>
        </w:tc>
        <w:tc>
          <w:tcPr>
            <w:tcW w:w="75" w:type="dxa"/>
            <w:tcBorders/>
            <w:shd w:fill="CCEEFF"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current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5,303</w:t>
            </w:r>
          </w:p>
        </w:tc>
        <w:tc>
          <w:tcPr>
            <w:tcW w:w="75" w:type="dxa"/>
            <w:tcBorders/>
            <w:shd w:fill="auto"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 held for sale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680" w:type="dxa"/>
            <w:tcBorders/>
            <w:shd w:fill="CCEEFF" w:val="clear"/>
            <w:vAlign w:val="center"/>
          </w:tcPr>
          <w:p>
            <w:pPr>
              <w:pStyle w:val="TableContents"/>
              <w:spacing w:before="0" w:after="0"/>
              <w:jc w:val="right"/>
              <w:rPr>
                <w:b/>
                <w:spacing w:val="0"/>
              </w:rPr>
            </w:pPr>
            <w:r>
              <w:rPr>
                <w:b/>
                <w:spacing w:val="0"/>
              </w:rPr>
              <w:t>63,224</w:t>
            </w:r>
          </w:p>
        </w:tc>
        <w:tc>
          <w:tcPr>
            <w:tcW w:w="75" w:type="dxa"/>
            <w:tcBorders/>
            <w:shd w:fill="CCEEFF"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27 - Commitments and contingencies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Commitments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commitments to acquire PPE and intangible assets were $179,690 and $216,572, respectively. As of December 31, 2021, commitments to acquire PPE and intangible assets were $235,573 and $501,207, respectively. These commitments are contractual obligations to invest in PPE and intangible assets for the production of upcoming vehicle models PS3 and PS4. For the production of PS3 and PS5, contract manufacturing agreements are yet to be signed that define the upcoming investment commitments in Volvo Cars Charleston plant and Geely’s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Chongqing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plant respectively.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December 2021, Polestar entered into a unique vendor tooling agreement and a unique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in-house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tooling and equipment agreement for the PS4. These agreements were entered into as part of Polestar’s and Geely’s intent to enter into a more detailed agreement related to manufacturing OEM services for the PS4 prior to the commencement of production.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F-73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for the use of the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pre-existing</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vehicle platform once the PS4 reaches commercialization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Contingencies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March 2021, a Swedish investment firm specializing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Group did not have any liabilities related to such contingencies as of December 31, 2022 and 2021.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Note 28 - Subsequent events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Management has evaluated events subsequent to December 31, 2022 and through April 14, 2023, the date of these Consolidated Financial Statements were authorized for issuance by the Board of Directors. The following events which occurred subsequent to December 31, 2022 merited disclosure in these Consolidated Financial Statements. Management determined that no adjustments were required to the figures presented as a result of these events.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February 26, 2023, the Group entered into an amended and restated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12-</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month</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green trade revolving credit facility for an aggregate principal amount of EUR 350,000 with Standard Chartered Bank, Nordea Bank ABP, Citibank Europe PLC, and ING Belgium SA. The Group exercised its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12-month</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extension option under the initial facility that was entered into with the same parties on February 28, 2022. Similar to the initial facility, the Group may request a potential accordion increase for an additional principal amount of EUR 250,000, subject to certain terms. This facility carries interest at the relevant interbank offered rate plus 2.3% per annum and has a repayment period of 90 days.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February 27, 2023, the Group drew down $150,000 of the $800,000 aggregate principal available under its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18-month</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credit facility with Volvo Cars that was secured on November 3, 2022. On March 29, 2023, the Group drew down an additional $150,000. Refer to Note 25 - Related party transactions for further details on the facility with Volvo Cars.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March 16, 2023, the Group entered into a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12-month</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working capital loan for $100,000 with China CITIC Bank Corporation Limited - Hangzhou Branch. This loan is unsecured, but includes a subsidiary guarantee from Polestar Shanghai and letters of keep well from Volvo Cars and Geely. Interest is incurred at a fixed rate of 7.35% per annum and due every 3 months. Principal repayment is due on March 15, 2024.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F-74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On March 22, 2023, 4,500,000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were converted into 4,500,000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following the election of beneficial holders of such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to convert their securities. The conversion of the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into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was affected by means of a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re-designation</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of the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as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C-1</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4,500,000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C-2</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Shares remain issued and outstanding as of the date of this annual report.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April 3, 2023, the Group granted 1,607,582 awards under the 2022 Omnibus Incentive Plan, of which 1,202,569 are PSUs and 405,013 are RSUs. The awards are equity-settled with a three-year cliff vesting period. The vesting commencement date was January 1, 2023. </w:t>
      </w:r>
    </w:p>
    <w:p>
      <w:pPr>
        <w:pStyle w:val="TextBody"/>
        <w:spacing w:before="0" w:after="0"/>
        <w:jc w:val="left"/>
        <w:rPr>
          <w:highlight w:val="white"/>
        </w:rPr>
      </w:pPr>
      <w:r>
        <w:rPr>
          <w:highlight w:val="white"/>
        </w:rPr>
        <w:t> </w:t>
      </w:r>
    </w:p>
    <w:p>
      <w:pPr>
        <w:pStyle w:val="TextBody"/>
        <w:jc w:val="center"/>
        <w:rPr>
          <w:rFonts w:ascii="Times New Roman" w:hAnsi="Times New Roman"/>
          <w:sz w:val="20"/>
          <w:highlight w:val="white"/>
        </w:rPr>
      </w:pPr>
      <w:r>
        <w:rPr>
          <w:rFonts w:ascii="Times New Roman" w:hAnsi="Times New Roman"/>
          <w:sz w:val="20"/>
          <w:highlight w:val="white"/>
        </w:rPr>
        <w:t xml:space="preserve">F-75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24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 </w:t>
      </w:r>
    </w:p>
    <w:p>
      <w:pPr>
        <w:pStyle w:val="TextBody"/>
        <w:spacing w:before="240" w:after="0"/>
        <w:jc w:val="left"/>
        <w:rPr>
          <w:rFonts w:ascii="Times New Roman" w:hAnsi="Times New Roman"/>
          <w:sz w:val="20"/>
        </w:rPr>
      </w:pPr>
      <w:r>
        <w:rPr>
          <w:rFonts w:ascii="Times New Roman" w:hAnsi="Times New Roman"/>
          <w:sz w:val="20"/>
        </w:rPr>
        <w:t xml:space="preserve">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 </w:t>
      </w:r>
    </w:p>
    <w:p>
      <w:pPr>
        <w:pStyle w:val="TextBody"/>
        <w:spacing w:before="240" w:after="0"/>
        <w:jc w:val="left"/>
        <w:rPr>
          <w:rFonts w:ascii="Times New Roman" w:hAnsi="Times New Roman"/>
          <w:sz w:val="20"/>
        </w:rPr>
      </w:pPr>
      <w:r>
        <w:rPr>
          <w:rFonts w:ascii="Times New Roman" w:hAnsi="Times New Roman"/>
          <w:sz w:val="20"/>
        </w:rPr>
        <w:t xml:space="preserve">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 (iii) the defence of any criminal proceeding if the member of the registrant’s board of directors is convicted, (iv) the defence of any civil proceeding brought by the registrant or an associated company in which judgement is given against the director and (v) any application for relief under the Companies Act in which the court refuses to grant relief to the director. </w:t>
      </w:r>
    </w:p>
    <w:p>
      <w:pPr>
        <w:pStyle w:val="TextBody"/>
        <w:spacing w:before="240" w:after="0"/>
        <w:jc w:val="left"/>
        <w:rPr>
          <w:rFonts w:ascii="Times New Roman" w:hAnsi="Times New Roman"/>
          <w:sz w:val="20"/>
        </w:rPr>
      </w:pPr>
      <w:r>
        <w:rPr>
          <w:rFonts w:ascii="Times New Roman" w:hAnsi="Times New Roman"/>
          <w:sz w:val="20"/>
        </w:rPr>
        <w:t xml:space="preserve">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 </w:t>
      </w:r>
    </w:p>
    <w:p>
      <w:pPr>
        <w:pStyle w:val="TextBody"/>
        <w:spacing w:before="240" w:after="0"/>
        <w:jc w:val="left"/>
        <w:rPr>
          <w:rFonts w:ascii="Times New Roman" w:hAnsi="Times New Roman"/>
          <w:sz w:val="20"/>
        </w:rPr>
      </w:pPr>
      <w:r>
        <w:rPr>
          <w:rFonts w:ascii="Times New Roman" w:hAnsi="Times New Roman"/>
          <w:sz w:val="20"/>
        </w:rPr>
        <w:t xml:space="preserve">In addition, the registrant entered into deeds of indemnity with its directors, officers and certain members of Polestar Group’s senior management in connection with the Business Combination pursuant to which the registrant agrees to indemnify each such person in connection with threatened, pending or completed actions, suits or proceedings to which such person has been made a party or in which such person becomes involved. </w:t>
      </w:r>
    </w:p>
    <w:p>
      <w:pPr>
        <w:pStyle w:val="TextBody"/>
        <w:spacing w:before="360" w:after="0"/>
        <w:jc w:val="left"/>
        <w:rPr>
          <w:rFonts w:ascii="Times New Roman" w:hAnsi="Times New Roman"/>
          <w:b/>
          <w:sz w:val="20"/>
        </w:rPr>
      </w:pPr>
      <w:r>
        <w:rPr>
          <w:rFonts w:ascii="Times New Roman" w:hAnsi="Times New Roman"/>
          <w:b/>
          <w:sz w:val="20"/>
        </w:rPr>
        <w:t xml:space="preserve">Item 7. Recent Sales of Unregistered Securities </w:t>
      </w:r>
    </w:p>
    <w:p>
      <w:pPr>
        <w:pStyle w:val="TextBody"/>
        <w:spacing w:before="120" w:after="0"/>
        <w:jc w:val="left"/>
        <w:rPr>
          <w:rFonts w:ascii="Times New Roman" w:hAnsi="Times New Roman"/>
          <w:sz w:val="20"/>
        </w:rPr>
      </w:pPr>
      <w:r>
        <w:rPr>
          <w:rFonts w:ascii="Times New Roman" w:hAnsi="Times New Roman"/>
          <w:sz w:val="20"/>
        </w:rPr>
        <w:t xml:space="preserve">In the past three years, we have issued the following securities that were not registered under the Securities Act. Each of these securities were issued in reliance upon the exemptions provided by Section 4(a)(2) and/or Regulation S under the Securities Act. No underwriters were involved in these issuances of securities. </w:t>
      </w:r>
    </w:p>
    <w:p>
      <w:pPr>
        <w:pStyle w:val="TextBody"/>
        <w:spacing w:before="0" w:after="0"/>
        <w:jc w:val="left"/>
        <w:rPr/>
      </w:pPr>
      <w:r>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Business Combination Closing, we issued 294,877,349 Class A ADSs to Former Parent.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Business Combination Closing, we issued an aggregate of 9,000,000 Class C-2 ADSs to the GGI Sponsor. On March 22, 2023, 4,500,000 Class C-2 ADSs initially held by the GGI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Sponsor were converted to 4,500,000 Class C-1 ADSs as per the terms of the Class C-2 ADSs and following the procedures described in the Polestar Articles.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Sponsor Subscription Agreement, the PIPE Subscription Agreements and the Volvo Cars PIPE Subscription Agreement, we issued to the GGI Sponsor, the PIPE Investors and Snita Class A ADSs for an average cash price of $9.42 per Class A ADS, representing an aggregate purchase price of $250,000,001.45. The aggregate number of Class A ADSs issued in connection with the PIPE Subscription Agreements was 26,540,835.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Volvo Cars Preference Subscription Agreement, we issued 58,882,610 mandatory convertible preference shares to Snita for $588,826,100, or a subscription price of $10.00 per share. At the Business Combination Closing, the 58,882,610 Volvo Cars Preference Subscription Shares converted into 58,882,610 Class A ADSs at a $10.00 per share conversion price.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convertible notes issued by Former Parent to certain Former Parent Convertible Notes Holders, 4,306,466 Class A ADSs were issued to the Former Parent Convertible Notes Holders upon conversion of the Former Parent Convertible Notes at the time of the Business Combination at a conversion price of $8.18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performance of marketing consulting services valued at up to $5,000,000, up to 500,000 Class A ADSs will be issued to a service provider. 250,000 shares vested and were issued on the date of the initial effectiveness of this registration statement. 250,000 shares vested or will vest over a 24-month period with one eighth of these shares vesting each quarter, starting on November 1, 2021. None of these vested shares have been issued prior to the date of this registration statement.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Item 8. Exhibits and Financial Statement Schedule </w:t>
      </w:r>
    </w:p>
    <w:p>
      <w:pPr>
        <w:pStyle w:val="TextBody"/>
        <w:spacing w:before="120" w:after="0"/>
        <w:jc w:val="left"/>
        <w:rPr>
          <w:rFonts w:ascii="Times New Roman" w:hAnsi="Times New Roman"/>
          <w:b/>
          <w:sz w:val="20"/>
        </w:rPr>
      </w:pPr>
      <w:r>
        <w:rPr>
          <w:rFonts w:ascii="Times New Roman" w:hAnsi="Times New Roman"/>
          <w:b/>
          <w:sz w:val="20"/>
        </w:rPr>
        <w:t xml:space="preserve">(a) Exhibits </w:t>
      </w:r>
    </w:p>
    <w:p>
      <w:pPr>
        <w:pStyle w:val="TextBody"/>
        <w:spacing w:before="24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98"/>
        <w:gridCol w:w="120"/>
        <w:gridCol w:w="5120"/>
        <w:gridCol w:w="120"/>
        <w:gridCol w:w="115"/>
        <w:gridCol w:w="820"/>
        <w:gridCol w:w="211"/>
        <w:gridCol w:w="60"/>
        <w:gridCol w:w="950"/>
        <w:gridCol w:w="60"/>
        <w:gridCol w:w="60"/>
        <w:gridCol w:w="1895"/>
        <w:gridCol w:w="76"/>
      </w:tblGrid>
      <w:tr>
        <w:trPr/>
        <w:tc>
          <w:tcPr>
            <w:tcW w:w="5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71" w:type="dxa"/>
            <w:gridSpan w:val="8"/>
            <w:tcBorders/>
            <w:shd w:fill="auto" w:val="clear"/>
            <w:vAlign w:val="center"/>
          </w:tcPr>
          <w:p>
            <w:pPr>
              <w:pStyle w:val="TableContents"/>
              <w:spacing w:before="0" w:after="283"/>
              <w:jc w:val="center"/>
              <w:rPr>
                <w:b/>
              </w:rPr>
            </w:pPr>
            <w:r>
              <w:rPr>
                <w:b/>
              </w:rPr>
              <w:t>Incorporated by Reference</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Exhibit</w:t>
            </w:r>
          </w:p>
          <w:p>
            <w:pPr>
              <w:pStyle w:val="TableContents"/>
              <w:spacing w:before="0" w:after="20"/>
              <w:rPr>
                <w:rFonts w:ascii="Times New Roman" w:hAnsi="Times New Roman"/>
                <w:b/>
                <w:sz w:val="16"/>
              </w:rPr>
            </w:pPr>
            <w:r>
              <w:rPr>
                <w:rFonts w:ascii="Times New Roman" w:hAnsi="Times New Roman"/>
                <w:b/>
                <w:sz w:val="16"/>
              </w:rPr>
              <w:t>No.</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b/>
              </w:rPr>
            </w:pPr>
            <w:r>
              <w:rPr>
                <w:b/>
              </w:rPr>
              <w:t>Description</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Schedule</w:t>
              <w:br/>
              <w:t>Form</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b/>
              </w:rPr>
            </w:pPr>
            <w:r>
              <w:rPr>
                <w:b/>
              </w:rPr>
              <w:t>Exhibit</w:t>
            </w:r>
          </w:p>
        </w:tc>
        <w:tc>
          <w:tcPr>
            <w:tcW w:w="60"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283"/>
              <w:jc w:val="center"/>
              <w:rPr>
                <w:b/>
              </w:rPr>
            </w:pPr>
            <w:r>
              <w:rPr>
                <w:b/>
              </w:rPr>
              <w:t>Filing Date</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"http://www.sec.gov/Archives/edgar/data/1884082/000119312522156731/d239003df4a.htm" \l "tx239003_501"</w:instrText>
            </w:r>
            <w:r>
              <w:rPr>
                <w:rStyle w:val="InternetLink"/>
              </w:rPr>
              <w:fldChar w:fldCharType="separate"/>
            </w:r>
            <w:r>
              <w:rPr>
                <w:rStyle w:val="InternetLink"/>
              </w:rPr>
              <w:t>Business Combination Agreement, dated as of September 27, 2021, by and among Gores Guggenheim, Inc., Polestar Automotive Holding Limited, Polestar Automotive (Singapore) Pte. Ltd., Polestar Holding AB, Inc., Polestar Automotive Holding UK Limited and PAH UK Merger Sub Inc. (incorporated by reference to Annex A-1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F-4/A</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2.2##</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4">
              <w:r>
                <w:rPr>
                  <w:rStyle w:val="InternetLink"/>
                </w:rPr>
                <w:t>Amendment No. 1 to the Business Combination Agreement, dated as of December 17, 2021, by and among Gores Guggenheim, Inc., Polestar Automotive Holding Limited, Polestar Automotive (Singapore) Pte. Ltd., Polestar Holding AB, Inc., Polestar Automotive Holding UK Limited and PAH UK Merger Sub Inc.</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8-K</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December 17, 2021</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2.3##</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5">
              <w:r>
                <w:rPr>
                  <w:rStyle w:val="InternetLink"/>
                </w:rPr>
                <w:t>Amendment No. 2 to the Business Combination Agreement, dated as of March 24, 2022, by and among Gores Guggenheim, Inc., Polestar Automotive Holding Limited, Polestar Automotive (Singapore) Pte. Ltd., Polestar Holding AB, Inc., Polestar Automotive Holding UK Limited and PAH UK Merger Sub Inc.</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8-K</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March 25,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2.4</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6">
              <w:r>
                <w:rPr>
                  <w:rStyle w:val="InternetLink"/>
                </w:rPr>
                <w:t>Amendment No. 3 to the Business Combination Agreement, dated as of April 21, 2022, by and among Gores Guggenheim, Inc., Polestar Automotive Holding Limited, Polestar Automotive (Singapore) Pte. Ltd., Polestar Holding AB, Inc., Polestar Automotive Holding UK Limited and PAH UK Merger Sub Inc.</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8-K</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April 21,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3.1</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7">
              <w:r>
                <w:rPr>
                  <w:rStyle w:val="InternetLink"/>
                </w:rPr>
                <w:t>Articles of Association of Polestar Automotive Holding UK PLC, as currently in effect.</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8-K</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4.1,</w:t>
              <w:br/>
              <w:t>Exhibit 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June 27,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8">
              <w:r>
                <w:rPr>
                  <w:rStyle w:val="InternetLink"/>
                </w:rPr>
                <w:t>ADS Deposit Agreement—Class A ADSs.</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F-6EF</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August 26,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4.2</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9">
              <w:r>
                <w:rPr>
                  <w:rStyle w:val="InternetLink"/>
                </w:rPr>
                <w:t>Form of Class A American Depositary Receipt.</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F-4/A</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4.3</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10">
              <w:r>
                <w:rPr>
                  <w:rStyle w:val="InternetLink"/>
                </w:rPr>
                <w:t>ADS Deposit Agreement—Class C-1 ADSs.</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8-K</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4.1,</w:t>
              <w:br/>
              <w:t>Exhibit 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June 27,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4.4</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11">
              <w:r>
                <w:rPr>
                  <w:rStyle w:val="InternetLink"/>
                </w:rPr>
                <w:t>Form of Class C-1 American Depositary Receipt.</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F-4/A</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4.5</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12">
              <w:r>
                <w:rPr>
                  <w:rStyle w:val="InternetLink"/>
                </w:rPr>
                <w:t>ADS Deposit Agreement—Class C-2 ADSs.</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8-K</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4.1,</w:t>
              <w:br/>
              <w:t>Exhibit 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June 27, 2022</w:t>
            </w:r>
          </w:p>
        </w:tc>
        <w:tc>
          <w:tcPr>
            <w:tcW w:w="76" w:type="dxa"/>
            <w:tcBorders/>
            <w:shd w:fill="auto" w:val="clear"/>
            <w:vAlign w:val="center"/>
          </w:tcPr>
          <w:p>
            <w:pPr>
              <w:pStyle w:val="TableContents"/>
              <w:spacing w:before="0" w:after="283"/>
              <w:rPr/>
            </w:pPr>
            <w:r>
              <w:rPr/>
              <w:t> </w:t>
            </w:r>
          </w:p>
        </w:tc>
      </w:tr>
      <w:tr>
        <w:trPr/>
        <w:tc>
          <w:tcPr>
            <w:tcW w:w="598" w:type="dxa"/>
            <w:tcBorders/>
            <w:shd w:fill="auto" w:val="clear"/>
            <w:vAlign w:val="center"/>
          </w:tcPr>
          <w:p>
            <w:pPr>
              <w:pStyle w:val="TableContents"/>
              <w:spacing w:before="0" w:after="283"/>
              <w:rPr>
                <w:sz w:val="4"/>
                <w:szCs w:val="4"/>
              </w:rPr>
            </w:pPr>
            <w:r>
              <w:rPr>
                <w:sz w:val="4"/>
                <w:szCs w:val="4"/>
              </w:rPr>
            </w:r>
          </w:p>
        </w:tc>
        <w:tc>
          <w:tcPr>
            <w:tcW w:w="5240" w:type="dxa"/>
            <w:gridSpan w:val="2"/>
            <w:tcBorders/>
            <w:shd w:fill="auto" w:val="clear"/>
            <w:vAlign w:val="center"/>
          </w:tcPr>
          <w:p>
            <w:pPr>
              <w:pStyle w:val="TableContents"/>
              <w:spacing w:before="0" w:after="283"/>
              <w:rPr>
                <w:sz w:val="4"/>
                <w:szCs w:val="4"/>
              </w:rPr>
            </w:pPr>
            <w:r>
              <w:rPr>
                <w:sz w:val="4"/>
                <w:szCs w:val="4"/>
              </w:rPr>
            </w:r>
          </w:p>
        </w:tc>
        <w:tc>
          <w:tcPr>
            <w:tcW w:w="1266" w:type="dxa"/>
            <w:gridSpan w:val="4"/>
            <w:tcBorders/>
            <w:shd w:fill="auto" w:val="clear"/>
            <w:vAlign w:val="center"/>
          </w:tcPr>
          <w:p>
            <w:pPr>
              <w:pStyle w:val="TableContents"/>
              <w:spacing w:before="0" w:after="283"/>
              <w:rPr>
                <w:sz w:val="4"/>
                <w:szCs w:val="4"/>
              </w:rPr>
            </w:pPr>
            <w:r>
              <w:rPr>
                <w:sz w:val="4"/>
                <w:szCs w:val="4"/>
              </w:rPr>
            </w:r>
          </w:p>
        </w:tc>
        <w:tc>
          <w:tcPr>
            <w:tcW w:w="1010" w:type="dxa"/>
            <w:gridSpan w:val="2"/>
            <w:tcBorders/>
            <w:shd w:fill="auto" w:val="clear"/>
            <w:vAlign w:val="center"/>
          </w:tcPr>
          <w:p>
            <w:pPr>
              <w:pStyle w:val="TableContents"/>
              <w:spacing w:before="0" w:after="283"/>
              <w:rPr>
                <w:sz w:val="4"/>
                <w:szCs w:val="4"/>
              </w:rPr>
            </w:pPr>
            <w:r>
              <w:rPr>
                <w:sz w:val="4"/>
                <w:szCs w:val="4"/>
              </w:rPr>
            </w:r>
          </w:p>
        </w:tc>
        <w:tc>
          <w:tcPr>
            <w:tcW w:w="2091" w:type="dxa"/>
            <w:gridSpan w:val="4"/>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vAlign w:val="center"/>
          </w:tcPr>
          <w:p>
            <w:pPr>
              <w:pStyle w:val="TableContents"/>
              <w:spacing w:before="0" w:after="283"/>
              <w:rPr/>
            </w:pPr>
            <w:r>
              <w:rPr/>
              <w:t>    </w:t>
            </w:r>
            <w:r>
              <w:rPr/>
              <w:t>4.6</w:t>
            </w:r>
          </w:p>
        </w:tc>
        <w:tc>
          <w:tcPr>
            <w:tcW w:w="12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283"/>
              <w:rPr/>
            </w:pPr>
            <w:hyperlink r:id="rId13">
              <w:r>
                <w:rPr>
                  <w:rStyle w:val="InternetLink"/>
                </w:rPr>
                <w:t>Form of Class C-2 American Depositary Receipt.</w:t>
              </w:r>
            </w:hyperlink>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jc w:val="right"/>
              <w:rPr/>
            </w:pPr>
            <w:r>
              <w:rPr/>
              <w:t>F-4/A</w:t>
            </w:r>
          </w:p>
        </w:tc>
        <w:tc>
          <w:tcPr>
            <w:tcW w:w="2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696"/>
        <w:gridCol w:w="120"/>
        <w:gridCol w:w="6697"/>
        <w:gridCol w:w="120"/>
        <w:gridCol w:w="60"/>
        <w:gridCol w:w="277"/>
        <w:gridCol w:w="215"/>
        <w:gridCol w:w="60"/>
        <w:gridCol w:w="60"/>
        <w:gridCol w:w="440"/>
        <w:gridCol w:w="60"/>
        <w:gridCol w:w="120"/>
        <w:gridCol w:w="60"/>
        <w:gridCol w:w="1141"/>
        <w:gridCol w:w="79"/>
      </w:tblGrid>
      <w:tr>
        <w:trPr/>
        <w:tc>
          <w:tcPr>
            <w:tcW w:w="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4.7</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"http://www.sec.gov/Archives/edgar/data/1884082/000119312522156731/d239003df4a.htm" \l "tx239003_503"</w:instrText>
            </w:r>
            <w:r>
              <w:rPr>
                <w:rStyle w:val="InternetLink"/>
              </w:rPr>
              <w:fldChar w:fldCharType="separate"/>
            </w:r>
            <w:r>
              <w:rPr>
                <w:rStyle w:val="InternetLink"/>
              </w:rPr>
              <w:t>Warrant Agreement, dated March 22, 2021, by and between Gores Guggenheim, Inc., Computershare Inc. and Computershare Trust Company, N.A. (incorporated by reference to Annex C-1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4.8</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"http://www.sec.gov/Archives/edgar/data/1884082/000119312522156731/d239003df4a.htm" \l "tx239003_503a"</w:instrText>
            </w:r>
            <w:r>
              <w:rPr>
                <w:rStyle w:val="InternetLink"/>
              </w:rPr>
              <w:fldChar w:fldCharType="separate"/>
            </w:r>
            <w:r>
              <w:rPr>
                <w:rStyle w:val="InternetLink"/>
              </w:rPr>
              <w:t>Amendment to Warrant Agreement, dated April 7, 2022, by and between Gores Guggenheim, Inc., Computershare Inc. and Computershare Trust Company, N.A. (incorporated by reference to Annex C-2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4.10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4.9</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"http://www.sec.gov/Archives/edgar/data/1884082/000119312522156731/d239003df4a.htm" \l "tx239003_503"</w:instrText>
            </w:r>
            <w:r>
              <w:rPr>
                <w:rStyle w:val="InternetLink"/>
              </w:rPr>
              <w:fldChar w:fldCharType="separate"/>
            </w:r>
            <w:r>
              <w:rPr>
                <w:rStyle w:val="InternetLink"/>
              </w:rPr>
              <w:t>Specimen Warrant Certificate (included as Exhibit A to Annex C-1 to the proxy statement/prospectus) (incorporated by reference to Annex C-1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4.11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4.10</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hyperlink r:id="rId14">
              <w:r>
                <w:rPr>
                  <w:rStyle w:val="InternetLink"/>
                </w:rPr>
                <w:t>Class C Warrant Amendment, dated June 23, 2022, by and between Gores Guggenheim, Inc., Computershare Inc. and Computershare Trust Company, N.A.</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8-K</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June 27,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5.1</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hyperlink r:id="rId15">
              <w:r>
                <w:rPr>
                  <w:rStyle w:val="InternetLink"/>
                </w:rPr>
                <w:t>Opinion of Kirkland &amp; Ellis International LLP.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July 12,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10.1</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"http://www.sec.gov/Archives/edgar/data/1884082/000119312522156731/d239003df4a.htm" \l "tx239003_506"</w:instrText>
            </w:r>
            <w:r>
              <w:rPr>
                <w:rStyle w:val="InternetLink"/>
              </w:rPr>
              <w:fldChar w:fldCharType="separate"/>
            </w:r>
            <w:r>
              <w:rPr>
                <w:rStyle w:val="InternetLink"/>
              </w:rPr>
              <w:t>Form of Subscription Agreement (incorporated by reference to Annex F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10.1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10.2</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"http://www.sec.gov/Archives/edgar/data/1884082/000119312522156731/d239003df4a.htm" \l "tx239003_507"</w:instrText>
            </w:r>
            <w:r>
              <w:rPr>
                <w:rStyle w:val="InternetLink"/>
              </w:rPr>
              <w:fldChar w:fldCharType="separate"/>
            </w:r>
            <w:r>
              <w:rPr>
                <w:rStyle w:val="InternetLink"/>
              </w:rPr>
              <w:t>Registration Rights Agreement, dated as of September 27, 2021, by and among Polestar Automotive Holding UK Limited, Gores Guggenheim Sponsor LLC, Randall Bort, Elizabeth Marcellino and Nancy Tellem, Polestar Automotive Holding Limited and certain of its shareholders (incorporated by reference to Annex G-1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center"/>
              <w:rPr/>
            </w:pPr>
            <w:r>
              <w:rPr/>
              <w:t>10.4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10.3+</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hyperlink r:id="rId16">
              <w:r>
                <w:rPr>
                  <w:rStyle w:val="InternetLink"/>
                </w:rPr>
                <w:t>Form of Director &amp; Officer Indemnity Agreement.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10.5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10.4+</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hyperlink r:id="rId17">
              <w:r>
                <w:rPr>
                  <w:rStyle w:val="InternetLink"/>
                </w:rPr>
                <w:t>Polestar Automotive Holding UK PLC 2022 Omnibus Incentive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S-8</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99.1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August 29,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10.5+</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hyperlink r:id="rId18">
              <w:r>
                <w:rPr>
                  <w:rStyle w:val="InternetLink"/>
                </w:rPr>
                <w:t>Polestar Automotive Holding UK PLC 2022 Employee Stock Purchase Plan.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S-8</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99.2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August 29, 2022</w:t>
            </w:r>
          </w:p>
        </w:tc>
        <w:tc>
          <w:tcPr>
            <w:tcW w:w="79" w:type="dxa"/>
            <w:tcBorders/>
            <w:shd w:fill="auto" w:val="clear"/>
            <w:vAlign w:val="center"/>
          </w:tcPr>
          <w:p>
            <w:pPr>
              <w:pStyle w:val="TableContents"/>
              <w:spacing w:before="0" w:after="283"/>
              <w:rPr/>
            </w:pPr>
            <w:r>
              <w:rPr/>
              <w:t> </w:t>
            </w:r>
          </w:p>
        </w:tc>
      </w:tr>
      <w:tr>
        <w:trPr/>
        <w:tc>
          <w:tcPr>
            <w:tcW w:w="696" w:type="dxa"/>
            <w:tcBorders/>
            <w:shd w:fill="auto" w:val="clear"/>
            <w:vAlign w:val="center"/>
          </w:tcPr>
          <w:p>
            <w:pPr>
              <w:pStyle w:val="TableContents"/>
              <w:spacing w:before="0" w:after="283"/>
              <w:rPr>
                <w:sz w:val="4"/>
                <w:szCs w:val="4"/>
              </w:rPr>
            </w:pPr>
            <w:r>
              <w:rPr>
                <w:sz w:val="4"/>
                <w:szCs w:val="4"/>
              </w:rPr>
            </w:r>
          </w:p>
        </w:tc>
        <w:tc>
          <w:tcPr>
            <w:tcW w:w="6817" w:type="dxa"/>
            <w:gridSpan w:val="2"/>
            <w:tcBorders/>
            <w:shd w:fill="auto" w:val="clear"/>
            <w:vAlign w:val="center"/>
          </w:tcPr>
          <w:p>
            <w:pPr>
              <w:pStyle w:val="TableContents"/>
              <w:spacing w:before="0" w:after="283"/>
              <w:rPr>
                <w:sz w:val="4"/>
                <w:szCs w:val="4"/>
              </w:rPr>
            </w:pPr>
            <w:r>
              <w:rPr>
                <w:sz w:val="4"/>
                <w:szCs w:val="4"/>
              </w:rPr>
            </w:r>
          </w:p>
        </w:tc>
        <w:tc>
          <w:tcPr>
            <w:tcW w:w="672" w:type="dxa"/>
            <w:gridSpan w:val="4"/>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696" w:type="dxa"/>
            <w:tcBorders/>
            <w:shd w:fill="auto" w:val="clear"/>
            <w:vAlign w:val="center"/>
          </w:tcPr>
          <w:p>
            <w:pPr>
              <w:pStyle w:val="TableContents"/>
              <w:spacing w:before="0" w:after="283"/>
              <w:rPr/>
            </w:pPr>
            <w:r>
              <w:rPr/>
              <w:t>  </w:t>
            </w:r>
            <w:r>
              <w:rPr/>
              <w:t>10.6</w:t>
            </w:r>
          </w:p>
        </w:tc>
        <w:tc>
          <w:tcPr>
            <w:tcW w:w="120" w:type="dxa"/>
            <w:tcBorders/>
            <w:shd w:fill="auto" w:val="clear"/>
            <w:vAlign w:val="center"/>
          </w:tcPr>
          <w:p>
            <w:pPr>
              <w:pStyle w:val="TableContents"/>
              <w:spacing w:before="0" w:after="283"/>
              <w:rPr/>
            </w:pPr>
            <w:r>
              <w:rPr/>
              <w:t>  </w:t>
            </w:r>
          </w:p>
        </w:tc>
        <w:tc>
          <w:tcPr>
            <w:tcW w:w="6697" w:type="dxa"/>
            <w:tcBorders/>
            <w:shd w:fill="auto" w:val="clear"/>
            <w:vAlign w:val="center"/>
          </w:tcPr>
          <w:p>
            <w:pPr>
              <w:pStyle w:val="TableContents"/>
              <w:spacing w:before="0" w:after="283"/>
              <w:rPr/>
            </w:pPr>
            <w:hyperlink r:id="rId19">
              <w:r>
                <w:rPr>
                  <w:rStyle w:val="InternetLink"/>
                </w:rPr>
                <w:t>Framework Assignment and License Agreement, dated as of October 31, 2018,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jc w:val="right"/>
              <w:rPr/>
            </w:pPr>
            <w:r>
              <w:rPr/>
              <w:t>F-4/A</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10.8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02"/>
        <w:gridCol w:w="120"/>
        <w:gridCol w:w="6984"/>
        <w:gridCol w:w="120"/>
        <w:gridCol w:w="60"/>
        <w:gridCol w:w="253"/>
        <w:gridCol w:w="60"/>
        <w:gridCol w:w="120"/>
        <w:gridCol w:w="60"/>
        <w:gridCol w:w="560"/>
        <w:gridCol w:w="60"/>
        <w:gridCol w:w="120"/>
        <w:gridCol w:w="60"/>
        <w:gridCol w:w="849"/>
        <w:gridCol w:w="77"/>
      </w:tblGrid>
      <w:tr>
        <w:trPr/>
        <w:tc>
          <w:tcPr>
            <w:tcW w:w="7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10.7†</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0">
              <w:r>
                <w:rPr>
                  <w:rStyle w:val="InternetLink"/>
                </w:rPr>
                <w:t>Car Model Assignment and License Agreement, dated as of October 31, 2018, between Volvo Car Corporation and Polestar Performance AB, as supplemented by the Side Letter, dated as of October 31, 2018, between Volvo Car Corporation, Polestar Performance AB and Polestar New Energy Vehicle Co. Ltd., as amended by the Amendment Agreement to the Car Model Assignment and License Agreement, dated as of May 5, 2021,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02" w:type="dxa"/>
            <w:tcBorders/>
            <w:shd w:fill="auto" w:val="clear"/>
            <w:vAlign w:val="center"/>
          </w:tcPr>
          <w:p>
            <w:pPr>
              <w:pStyle w:val="TableContents"/>
              <w:spacing w:before="0" w:after="283"/>
              <w:rPr>
                <w:sz w:val="4"/>
                <w:szCs w:val="4"/>
              </w:rPr>
            </w:pPr>
            <w:r>
              <w:rPr>
                <w:sz w:val="4"/>
                <w:szCs w:val="4"/>
              </w:rPr>
            </w:r>
          </w:p>
        </w:tc>
        <w:tc>
          <w:tcPr>
            <w:tcW w:w="7104" w:type="dxa"/>
            <w:gridSpan w:val="2"/>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6"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10.8†</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1">
              <w:r>
                <w:rPr>
                  <w:rStyle w:val="InternetLink"/>
                </w:rPr>
                <w:t>Settlement Agreement, dated as of December 23,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02" w:type="dxa"/>
            <w:tcBorders/>
            <w:shd w:fill="auto" w:val="clear"/>
            <w:vAlign w:val="center"/>
          </w:tcPr>
          <w:p>
            <w:pPr>
              <w:pStyle w:val="TableContents"/>
              <w:spacing w:before="0" w:after="283"/>
              <w:rPr>
                <w:sz w:val="4"/>
                <w:szCs w:val="4"/>
              </w:rPr>
            </w:pPr>
            <w:r>
              <w:rPr>
                <w:sz w:val="4"/>
                <w:szCs w:val="4"/>
              </w:rPr>
            </w:r>
          </w:p>
        </w:tc>
        <w:tc>
          <w:tcPr>
            <w:tcW w:w="7104" w:type="dxa"/>
            <w:gridSpan w:val="2"/>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6"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10.9</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2">
              <w:r>
                <w:rPr>
                  <w:rStyle w:val="InternetLink"/>
                </w:rPr>
                <w:t>Framework Assignment and License Agreement, dated as of October 31, 2018, between Volvo Car Corporation and Polestar New Energy Vehicle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02" w:type="dxa"/>
            <w:tcBorders/>
            <w:shd w:fill="auto" w:val="clear"/>
            <w:vAlign w:val="center"/>
          </w:tcPr>
          <w:p>
            <w:pPr>
              <w:pStyle w:val="TableContents"/>
              <w:spacing w:before="0" w:after="283"/>
              <w:rPr>
                <w:sz w:val="4"/>
                <w:szCs w:val="4"/>
              </w:rPr>
            </w:pPr>
            <w:r>
              <w:rPr>
                <w:sz w:val="4"/>
                <w:szCs w:val="4"/>
              </w:rPr>
            </w:r>
          </w:p>
        </w:tc>
        <w:tc>
          <w:tcPr>
            <w:tcW w:w="7104" w:type="dxa"/>
            <w:gridSpan w:val="2"/>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6"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10.10†</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3">
              <w:r>
                <w:rPr>
                  <w:rStyle w:val="InternetLink"/>
                </w:rPr>
                <w:t>Car Model Assignment and License Agreement, dated as of October 31, 2018, between Volvo Car Corporation and Polestar New Energy Vehicle Co. Ltd, as supplemented by the Side Letter, dated as of October 31, 2018, between Volvo Car Corporation, Polestar Performance AB and Polestar New Energy Vehicle Co. Ltd., as supplemented by the Supplement to Car Model Assignment and License Agreement, dated as of September 23, 2019, between Volvo Car Corporation and Polestar New Energy Vehicle Co. Ltd., as amended by the Amendment Agreement to the Car Model Assignment and License Agreement, dated as of June 2020,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02" w:type="dxa"/>
            <w:tcBorders/>
            <w:shd w:fill="auto" w:val="clear"/>
            <w:vAlign w:val="center"/>
          </w:tcPr>
          <w:p>
            <w:pPr>
              <w:pStyle w:val="TableContents"/>
              <w:spacing w:before="0" w:after="283"/>
              <w:rPr>
                <w:sz w:val="4"/>
                <w:szCs w:val="4"/>
              </w:rPr>
            </w:pPr>
            <w:r>
              <w:rPr>
                <w:sz w:val="4"/>
                <w:szCs w:val="4"/>
              </w:rPr>
            </w:r>
          </w:p>
        </w:tc>
        <w:tc>
          <w:tcPr>
            <w:tcW w:w="7104" w:type="dxa"/>
            <w:gridSpan w:val="2"/>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6"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10.11†</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4">
              <w:r>
                <w:rPr>
                  <w:rStyle w:val="InternetLink"/>
                </w:rPr>
                <w:t>Settlement Agreement, dated as of December 23, 2020, between Volvo Car Corporation and Polestar New Energy Vehicle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02" w:type="dxa"/>
            <w:tcBorders/>
            <w:shd w:fill="auto" w:val="clear"/>
            <w:vAlign w:val="center"/>
          </w:tcPr>
          <w:p>
            <w:pPr>
              <w:pStyle w:val="TableContents"/>
              <w:spacing w:before="0" w:after="283"/>
              <w:rPr>
                <w:sz w:val="4"/>
                <w:szCs w:val="4"/>
              </w:rPr>
            </w:pPr>
            <w:r>
              <w:rPr>
                <w:sz w:val="4"/>
                <w:szCs w:val="4"/>
              </w:rPr>
            </w:r>
          </w:p>
        </w:tc>
        <w:tc>
          <w:tcPr>
            <w:tcW w:w="7104" w:type="dxa"/>
            <w:gridSpan w:val="2"/>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6"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10.12†</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5">
              <w:r>
                <w:rPr>
                  <w:rStyle w:val="InternetLink"/>
                </w:rPr>
                <w:t>PHEV IP Sub-License Agreement, dated as of September 4, 2018,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02" w:type="dxa"/>
            <w:tcBorders/>
            <w:shd w:fill="auto" w:val="clear"/>
            <w:vAlign w:val="center"/>
          </w:tcPr>
          <w:p>
            <w:pPr>
              <w:pStyle w:val="TableContents"/>
              <w:spacing w:before="0" w:after="283"/>
              <w:rPr>
                <w:sz w:val="4"/>
                <w:szCs w:val="4"/>
              </w:rPr>
            </w:pPr>
            <w:r>
              <w:rPr>
                <w:sz w:val="4"/>
                <w:szCs w:val="4"/>
              </w:rPr>
            </w:r>
          </w:p>
        </w:tc>
        <w:tc>
          <w:tcPr>
            <w:tcW w:w="7104" w:type="dxa"/>
            <w:gridSpan w:val="2"/>
            <w:tcBorders/>
            <w:shd w:fill="auto" w:val="clear"/>
            <w:vAlign w:val="center"/>
          </w:tcPr>
          <w:p>
            <w:pPr>
              <w:pStyle w:val="TableContents"/>
              <w:spacing w:before="0" w:after="283"/>
              <w:rPr>
                <w:sz w:val="4"/>
                <w:szCs w:val="4"/>
              </w:rPr>
            </w:pPr>
            <w:r>
              <w:rPr>
                <w:sz w:val="4"/>
                <w:szCs w:val="4"/>
              </w:rPr>
            </w:r>
          </w:p>
        </w:tc>
        <w:tc>
          <w:tcPr>
            <w:tcW w:w="4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6"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vAlign w:val="center"/>
          </w:tcPr>
          <w:p>
            <w:pPr>
              <w:pStyle w:val="TableContents"/>
              <w:spacing w:before="0" w:after="283"/>
              <w:rPr/>
            </w:pPr>
            <w:r>
              <w:rPr/>
              <w:t>  </w:t>
            </w:r>
            <w:r>
              <w:rPr/>
              <w:t>10.13†</w:t>
            </w:r>
          </w:p>
        </w:tc>
        <w:tc>
          <w:tcPr>
            <w:tcW w:w="120" w:type="dxa"/>
            <w:tcBorders/>
            <w:shd w:fill="auto" w:val="clear"/>
            <w:vAlign w:val="center"/>
          </w:tcPr>
          <w:p>
            <w:pPr>
              <w:pStyle w:val="TableContents"/>
              <w:spacing w:before="0" w:after="283"/>
              <w:rPr/>
            </w:pPr>
            <w:r>
              <w:rPr/>
              <w:t>  </w:t>
            </w:r>
          </w:p>
        </w:tc>
        <w:tc>
          <w:tcPr>
            <w:tcW w:w="6984" w:type="dxa"/>
            <w:tcBorders/>
            <w:shd w:fill="auto" w:val="clear"/>
            <w:vAlign w:val="center"/>
          </w:tcPr>
          <w:p>
            <w:pPr>
              <w:pStyle w:val="TableContents"/>
              <w:spacing w:before="0" w:after="283"/>
              <w:rPr/>
            </w:pPr>
            <w:hyperlink r:id="rId26">
              <w:r>
                <w:rPr>
                  <w:rStyle w:val="InternetLink"/>
                </w:rPr>
                <w:t>PHEV IP Sub-License Agreement, dated as of September 7,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13"/>
        <w:gridCol w:w="120"/>
        <w:gridCol w:w="6895"/>
        <w:gridCol w:w="120"/>
        <w:gridCol w:w="60"/>
        <w:gridCol w:w="284"/>
        <w:gridCol w:w="60"/>
        <w:gridCol w:w="120"/>
        <w:gridCol w:w="60"/>
        <w:gridCol w:w="560"/>
        <w:gridCol w:w="60"/>
        <w:gridCol w:w="120"/>
        <w:gridCol w:w="60"/>
        <w:gridCol w:w="896"/>
        <w:gridCol w:w="77"/>
      </w:tblGrid>
      <w:tr>
        <w:trPr/>
        <w:tc>
          <w:tcPr>
            <w:tcW w:w="7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10.14†</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27">
              <w:r>
                <w:rPr>
                  <w:rStyle w:val="InternetLink"/>
                </w:rPr>
                <w:t>Change Management Agreement, dated as of June 12,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10.15†</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28">
              <w:r>
                <w:rPr>
                  <w:rStyle w:val="InternetLink"/>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10.16†</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29">
              <w:r>
                <w:rPr>
                  <w:rStyle w:val="InternetLink"/>
                </w:rPr>
                <w:t>Service Agreement, dated as of November 17, 2020, between Volvo Cars Technology (Shanghai) Co., Ltd. and Polestar New Energy Vehicle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10.17†</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30">
              <w:r>
                <w:rPr>
                  <w:rStyle w:val="InternetLink"/>
                </w:rPr>
                <w:t>Service Agreement, dated as of November 13, 2020, between Volvo Car Corporation and Polestar New Energy Vehicle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10.18†</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31">
              <w:r>
                <w:rPr>
                  <w:rStyle w:val="InternetLink"/>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10.19†</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32">
              <w:r>
                <w:rPr>
                  <w:rStyle w:val="InternetLink"/>
                </w:rPr>
                <w:t>Service Agreement, dated as of December 21, 2018, between Daqing Volvo Car Manufacturing Co. Ltd. and Polestar New Energy Vehicle Co. Ltd., as amended by the Novation Agreement, dated as of December 8, 2020, by and among Polestar New Energy Vehicle Co., Ltd., Polestar Automotive China Distribution Co., Ltd. and Daqing Volvo Car Manufacturing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10.20†</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33">
              <w:r>
                <w:rPr>
                  <w:rStyle w:val="InternetLink"/>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7015" w:type="dxa"/>
            <w:gridSpan w:val="2"/>
            <w:tcBorders/>
            <w:shd w:fill="auto" w:val="clear"/>
            <w:vAlign w:val="center"/>
          </w:tcPr>
          <w:p>
            <w:pPr>
              <w:pStyle w:val="TableContents"/>
              <w:spacing w:before="0" w:after="283"/>
              <w:rPr>
                <w:sz w:val="4"/>
                <w:szCs w:val="4"/>
              </w:rPr>
            </w:pPr>
            <w:r>
              <w:rPr>
                <w:sz w:val="4"/>
                <w:szCs w:val="4"/>
              </w:rPr>
            </w:r>
          </w:p>
        </w:tc>
        <w:tc>
          <w:tcPr>
            <w:tcW w:w="52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10.21†</w:t>
            </w:r>
          </w:p>
        </w:tc>
        <w:tc>
          <w:tcPr>
            <w:tcW w:w="120" w:type="dxa"/>
            <w:tcBorders/>
            <w:shd w:fill="auto" w:val="clear"/>
            <w:vAlign w:val="center"/>
          </w:tcPr>
          <w:p>
            <w:pPr>
              <w:pStyle w:val="TableContents"/>
              <w:spacing w:before="0" w:after="283"/>
              <w:rPr/>
            </w:pPr>
            <w:r>
              <w:rPr/>
              <w:t>  </w:t>
            </w:r>
          </w:p>
        </w:tc>
        <w:tc>
          <w:tcPr>
            <w:tcW w:w="6895" w:type="dxa"/>
            <w:tcBorders/>
            <w:shd w:fill="auto" w:val="clear"/>
            <w:vAlign w:val="center"/>
          </w:tcPr>
          <w:p>
            <w:pPr>
              <w:pStyle w:val="TableContents"/>
              <w:spacing w:before="0" w:after="283"/>
              <w:rPr/>
            </w:pPr>
            <w:hyperlink r:id="rId34">
              <w:r>
                <w:rPr>
                  <w:rStyle w:val="InternetLink"/>
                </w:rPr>
                <w:t>Service Agreement, dated as of December 21, 2018, between Volvo Car (Asia Pacific) Investment Holding Co. Ltd. and Polestar New Energy Vehicle Co. Ltd., as amended by the Novation Agreement, dated as of December 8, 2020, by and among Polestar New Energy Vehicle Co., Ltd., Polestar Automotive China Distribution Co., Ltd and Volvo Car (Asia Pacific) Investment Holding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07"/>
        <w:gridCol w:w="120"/>
        <w:gridCol w:w="6942"/>
        <w:gridCol w:w="120"/>
        <w:gridCol w:w="60"/>
        <w:gridCol w:w="267"/>
        <w:gridCol w:w="60"/>
        <w:gridCol w:w="120"/>
        <w:gridCol w:w="60"/>
        <w:gridCol w:w="560"/>
        <w:gridCol w:w="60"/>
        <w:gridCol w:w="120"/>
        <w:gridCol w:w="60"/>
        <w:gridCol w:w="871"/>
        <w:gridCol w:w="78"/>
      </w:tblGrid>
      <w:tr>
        <w:trPr/>
        <w:tc>
          <w:tcPr>
            <w:tcW w:w="7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10.22†</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35">
              <w:r>
                <w:rPr>
                  <w:rStyle w:val="InternetLink"/>
                </w:rPr>
                <w:t>Service Agreement, dated as of August 9, 2018, between Zhongjia Automobile Manufacturing (Chengdu) Co. Ltd. and Polestar New Energy Vehicle Co. Ltd., as amended by the Amendment Agreement to the Service Agreement, dated as of August 26, 2020, between Zhongjia Automobile Manufacturing (Chengdu) Co., Ltd. and Polestar New Energy Vehicle Co., Ltd.,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10.23†</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36">
              <w:r>
                <w:rPr>
                  <w:rStyle w:val="InternetLink"/>
                </w:rPr>
                <w:t>Service Agreement, dated as of December 17, 2019, between Volvo Car Belgium NV, Ltd. and Polestar Performance AB, as amended by the Amendment to the Service Agreement, dated as of March 4, 2020, between Volvo Car Belgium NV, Ltd.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10.24†</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37">
              <w:r>
                <w:rPr>
                  <w:rStyle w:val="InternetLink"/>
                </w:rPr>
                <w:t>Component Supply Agreement, dated as of 2018, between Polestar New Energy Vehicle Co., Ltd. and Zhejiang Haoqing Automobile Manufacturing Co., Ltd. Chengdu Branch.</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10.25†</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38">
              <w:r>
                <w:rPr>
                  <w:rStyle w:val="InternetLink"/>
                </w:rPr>
                <w:t>General Distributor Agreement, effective as of January 1, 2020, between Zhejiang Haoqing Automobile Manufacturing Co., Ltd. Chengdu Branch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10.26†</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39">
              <w:r>
                <w:rPr>
                  <w:rStyle w:val="InternetLink"/>
                </w:rPr>
                <w:t>License, License Assignment and Service Agreement, dated as of February 15, 2021,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10.27†</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40">
              <w:r>
                <w:rPr>
                  <w:rStyle w:val="InternetLink"/>
                </w:rPr>
                <w:t>License and License Assignment Agreement, dated as of February 15, 2021, between Volvo Car Corporation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10.28†</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41">
              <w:r>
                <w:rPr>
                  <w:rStyle w:val="InternetLink"/>
                </w:rPr>
                <w:t>Unique Vendor Tooling Agreement, dated as of December 23, 2021, by and among Polestar Automotive China Distribution Co., Ltd. and Ningbo Geely Automobile Research &amp; Development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r>
        <w:trPr/>
        <w:tc>
          <w:tcPr>
            <w:tcW w:w="707" w:type="dxa"/>
            <w:tcBorders/>
            <w:shd w:fill="auto" w:val="clear"/>
            <w:vAlign w:val="center"/>
          </w:tcPr>
          <w:p>
            <w:pPr>
              <w:pStyle w:val="TableContents"/>
              <w:spacing w:before="0" w:after="283"/>
              <w:rPr>
                <w:sz w:val="4"/>
                <w:szCs w:val="4"/>
              </w:rPr>
            </w:pPr>
            <w:r>
              <w:rPr>
                <w:sz w:val="4"/>
                <w:szCs w:val="4"/>
              </w:rPr>
            </w:r>
          </w:p>
        </w:tc>
        <w:tc>
          <w:tcPr>
            <w:tcW w:w="7062" w:type="dxa"/>
            <w:gridSpan w:val="2"/>
            <w:tcBorders/>
            <w:shd w:fill="auto" w:val="clear"/>
            <w:vAlign w:val="center"/>
          </w:tcPr>
          <w:p>
            <w:pPr>
              <w:pStyle w:val="TableContents"/>
              <w:spacing w:before="0" w:after="283"/>
              <w:rPr>
                <w:sz w:val="4"/>
                <w:szCs w:val="4"/>
              </w:rPr>
            </w:pPr>
            <w:r>
              <w:rPr>
                <w:sz w:val="4"/>
                <w:szCs w:val="4"/>
              </w:rPr>
            </w:r>
          </w:p>
        </w:tc>
        <w:tc>
          <w:tcPr>
            <w:tcW w:w="507"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7" w:type="dxa"/>
            <w:tcBorders/>
            <w:shd w:fill="auto" w:val="clear"/>
            <w:vAlign w:val="center"/>
          </w:tcPr>
          <w:p>
            <w:pPr>
              <w:pStyle w:val="TableContents"/>
              <w:spacing w:before="0" w:after="283"/>
              <w:rPr/>
            </w:pPr>
            <w:r>
              <w:rPr/>
              <w:t>  </w:t>
            </w:r>
            <w:r>
              <w:rPr/>
              <w:t>10.29†</w:t>
            </w:r>
          </w:p>
        </w:tc>
        <w:tc>
          <w:tcPr>
            <w:tcW w:w="120" w:type="dxa"/>
            <w:tcBorders/>
            <w:shd w:fill="auto" w:val="clear"/>
            <w:vAlign w:val="center"/>
          </w:tcPr>
          <w:p>
            <w:pPr>
              <w:pStyle w:val="TableContents"/>
              <w:spacing w:before="0" w:after="283"/>
              <w:rPr/>
            </w:pPr>
            <w:r>
              <w:rPr/>
              <w:t>  </w:t>
            </w:r>
          </w:p>
        </w:tc>
        <w:tc>
          <w:tcPr>
            <w:tcW w:w="6942" w:type="dxa"/>
            <w:tcBorders/>
            <w:shd w:fill="auto" w:val="clear"/>
            <w:vAlign w:val="center"/>
          </w:tcPr>
          <w:p>
            <w:pPr>
              <w:pStyle w:val="TableContents"/>
              <w:spacing w:before="0" w:after="283"/>
              <w:rPr/>
            </w:pPr>
            <w:hyperlink r:id="rId42">
              <w:r>
                <w:rPr>
                  <w:rStyle w:val="InternetLink"/>
                </w:rPr>
                <w:t>Car Model Manufacturing Agreement, dated as of November 28, 2018, between First Automobile Branch of Zhejiang Haoqing Automobile Manufacturing Co., Ltd. and Polestar New Energy Vehicle Co. Ltd., as amended by the Novation Agreement, dated as of July 7, 2021, between Polestar New Energy Vehicle Co., Ltd., Polestar Automotive China Distribution (Taizhou) Co., Ltd. and First Automobile Branch of Zhejiang Haoqing Automobile Manufacturing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 w:type="dxa"/>
            <w:tcBorders/>
            <w:shd w:fill="auto" w:val="clear"/>
            <w:vAlign w:val="center"/>
          </w:tcPr>
          <w:p>
            <w:pPr>
              <w:pStyle w:val="TableContents"/>
              <w:spacing w:before="0" w:after="283"/>
              <w:jc w:val="right"/>
              <w:rPr/>
            </w:pPr>
            <w:r>
              <w:rPr/>
              <w:t>May 23, 2022</w:t>
            </w:r>
          </w:p>
        </w:tc>
        <w:tc>
          <w:tcPr>
            <w:tcW w:w="7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08"/>
        <w:gridCol w:w="120"/>
        <w:gridCol w:w="6939"/>
        <w:gridCol w:w="120"/>
        <w:gridCol w:w="60"/>
        <w:gridCol w:w="269"/>
        <w:gridCol w:w="60"/>
        <w:gridCol w:w="120"/>
        <w:gridCol w:w="60"/>
        <w:gridCol w:w="560"/>
        <w:gridCol w:w="60"/>
        <w:gridCol w:w="120"/>
        <w:gridCol w:w="60"/>
        <w:gridCol w:w="873"/>
        <w:gridCol w:w="76"/>
      </w:tblGrid>
      <w:tr>
        <w:trPr/>
        <w:tc>
          <w:tcPr>
            <w:tcW w:w="7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08" w:type="dxa"/>
            <w:tcBorders/>
            <w:shd w:fill="auto" w:val="clear"/>
            <w:vAlign w:val="center"/>
          </w:tcPr>
          <w:p>
            <w:pPr>
              <w:pStyle w:val="TableContents"/>
              <w:spacing w:before="0" w:after="283"/>
              <w:rPr/>
            </w:pPr>
            <w:r>
              <w:rPr/>
              <w:t>  </w:t>
            </w:r>
            <w:r>
              <w:rPr/>
              <w:t>10.30†</w:t>
            </w:r>
          </w:p>
        </w:tc>
        <w:tc>
          <w:tcPr>
            <w:tcW w:w="120" w:type="dxa"/>
            <w:tcBorders/>
            <w:shd w:fill="auto" w:val="clear"/>
            <w:vAlign w:val="center"/>
          </w:tcPr>
          <w:p>
            <w:pPr>
              <w:pStyle w:val="TableContents"/>
              <w:spacing w:before="0" w:after="283"/>
              <w:rPr/>
            </w:pPr>
            <w:r>
              <w:rPr/>
              <w:t>  </w:t>
            </w:r>
          </w:p>
        </w:tc>
        <w:tc>
          <w:tcPr>
            <w:tcW w:w="6939" w:type="dxa"/>
            <w:tcBorders/>
            <w:shd w:fill="auto" w:val="clear"/>
            <w:vAlign w:val="center"/>
          </w:tcPr>
          <w:p>
            <w:pPr>
              <w:pStyle w:val="TableContents"/>
              <w:spacing w:before="0" w:after="283"/>
              <w:rPr/>
            </w:pPr>
            <w:hyperlink r:id="rId43">
              <w:r>
                <w:rPr>
                  <w:rStyle w:val="InternetLink"/>
                </w:rPr>
                <w:t>Car Model Manufacturing Agreement, dated as of November 26, 2018, between Asia Euro Automobile Manufacturing (Taizhou) Co., Ltd. and Polestar Performance AB., as supplemented by the Supplement Car Manufacturing Agreement, dated as of May 2021, between Polestar Performance AB and Asia Euro Manufacturing (Taizhou) Co. Ltd., as amended by the Amendment Car Model Manufacturing Agreement, dated as of July 7, 2021, between Polestar Performance AB and Asia Euro Automobile Manufacturing (Taizhou)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8" w:type="dxa"/>
            <w:tcBorders/>
            <w:shd w:fill="auto" w:val="clear"/>
            <w:vAlign w:val="center"/>
          </w:tcPr>
          <w:p>
            <w:pPr>
              <w:pStyle w:val="TableContents"/>
              <w:spacing w:before="0" w:after="283"/>
              <w:rPr>
                <w:sz w:val="4"/>
                <w:szCs w:val="4"/>
              </w:rPr>
            </w:pPr>
            <w:r>
              <w:rPr>
                <w:sz w:val="4"/>
                <w:szCs w:val="4"/>
              </w:rPr>
            </w:r>
          </w:p>
        </w:tc>
        <w:tc>
          <w:tcPr>
            <w:tcW w:w="7059" w:type="dxa"/>
            <w:gridSpan w:val="2"/>
            <w:tcBorders/>
            <w:shd w:fill="auto" w:val="clear"/>
            <w:vAlign w:val="center"/>
          </w:tcPr>
          <w:p>
            <w:pPr>
              <w:pStyle w:val="TableContents"/>
              <w:spacing w:before="0" w:after="283"/>
              <w:rPr>
                <w:sz w:val="4"/>
                <w:szCs w:val="4"/>
              </w:rPr>
            </w:pPr>
            <w:r>
              <w:rPr>
                <w:sz w:val="4"/>
                <w:szCs w:val="4"/>
              </w:rPr>
            </w:r>
          </w:p>
        </w:tc>
        <w:tc>
          <w:tcPr>
            <w:tcW w:w="50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8" w:type="dxa"/>
            <w:tcBorders/>
            <w:shd w:fill="auto" w:val="clear"/>
            <w:vAlign w:val="center"/>
          </w:tcPr>
          <w:p>
            <w:pPr>
              <w:pStyle w:val="TableContents"/>
              <w:spacing w:before="0" w:after="283"/>
              <w:rPr/>
            </w:pPr>
            <w:r>
              <w:rPr/>
              <w:t>  </w:t>
            </w:r>
            <w:r>
              <w:rPr/>
              <w:t>10.31†</w:t>
            </w:r>
          </w:p>
        </w:tc>
        <w:tc>
          <w:tcPr>
            <w:tcW w:w="120" w:type="dxa"/>
            <w:tcBorders/>
            <w:shd w:fill="auto" w:val="clear"/>
            <w:vAlign w:val="center"/>
          </w:tcPr>
          <w:p>
            <w:pPr>
              <w:pStyle w:val="TableContents"/>
              <w:spacing w:before="0" w:after="283"/>
              <w:rPr/>
            </w:pPr>
            <w:r>
              <w:rPr/>
              <w:t>  </w:t>
            </w:r>
          </w:p>
        </w:tc>
        <w:tc>
          <w:tcPr>
            <w:tcW w:w="6939" w:type="dxa"/>
            <w:tcBorders/>
            <w:shd w:fill="auto" w:val="clear"/>
            <w:vAlign w:val="center"/>
          </w:tcPr>
          <w:p>
            <w:pPr>
              <w:pStyle w:val="TableContents"/>
              <w:spacing w:before="0" w:after="283"/>
              <w:rPr/>
            </w:pPr>
            <w:hyperlink r:id="rId44">
              <w:r>
                <w:rPr>
                  <w:rStyle w:val="InternetLink"/>
                </w:rPr>
                <w:t>License, License Assignment and Service Agreement, dated as of June 30, 2019, between Volvo Car Corporation and Polestar Performance AB, as supplemented by Side Letter, dated as of June 30, 2019, between Volvo Car Corporation, Volvo Cars (China) Investment Co., Ltd., Polestar Performance AB and Polestar New Energy Vehicle Co. Ltd., as amended by the Amendment Agreement to the License, License Assignment and Service Agreement, dated as of December 19, 2019,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8" w:type="dxa"/>
            <w:tcBorders/>
            <w:shd w:fill="auto" w:val="clear"/>
            <w:vAlign w:val="center"/>
          </w:tcPr>
          <w:p>
            <w:pPr>
              <w:pStyle w:val="TableContents"/>
              <w:spacing w:before="0" w:after="283"/>
              <w:rPr>
                <w:sz w:val="4"/>
                <w:szCs w:val="4"/>
              </w:rPr>
            </w:pPr>
            <w:r>
              <w:rPr>
                <w:sz w:val="4"/>
                <w:szCs w:val="4"/>
              </w:rPr>
            </w:r>
          </w:p>
        </w:tc>
        <w:tc>
          <w:tcPr>
            <w:tcW w:w="7059" w:type="dxa"/>
            <w:gridSpan w:val="2"/>
            <w:tcBorders/>
            <w:shd w:fill="auto" w:val="clear"/>
            <w:vAlign w:val="center"/>
          </w:tcPr>
          <w:p>
            <w:pPr>
              <w:pStyle w:val="TableContents"/>
              <w:spacing w:before="0" w:after="283"/>
              <w:rPr>
                <w:sz w:val="4"/>
                <w:szCs w:val="4"/>
              </w:rPr>
            </w:pPr>
            <w:r>
              <w:rPr>
                <w:sz w:val="4"/>
                <w:szCs w:val="4"/>
              </w:rPr>
            </w:r>
          </w:p>
        </w:tc>
        <w:tc>
          <w:tcPr>
            <w:tcW w:w="50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8" w:type="dxa"/>
            <w:tcBorders/>
            <w:shd w:fill="auto" w:val="clear"/>
            <w:vAlign w:val="center"/>
          </w:tcPr>
          <w:p>
            <w:pPr>
              <w:pStyle w:val="TableContents"/>
              <w:spacing w:before="0" w:after="283"/>
              <w:rPr/>
            </w:pPr>
            <w:r>
              <w:rPr/>
              <w:t>  </w:t>
            </w:r>
            <w:r>
              <w:rPr/>
              <w:t>10.32†</w:t>
            </w:r>
          </w:p>
        </w:tc>
        <w:tc>
          <w:tcPr>
            <w:tcW w:w="120" w:type="dxa"/>
            <w:tcBorders/>
            <w:shd w:fill="auto" w:val="clear"/>
            <w:vAlign w:val="center"/>
          </w:tcPr>
          <w:p>
            <w:pPr>
              <w:pStyle w:val="TableContents"/>
              <w:spacing w:before="0" w:after="283"/>
              <w:rPr/>
            </w:pPr>
            <w:r>
              <w:rPr/>
              <w:t>  </w:t>
            </w:r>
          </w:p>
        </w:tc>
        <w:tc>
          <w:tcPr>
            <w:tcW w:w="6939" w:type="dxa"/>
            <w:tcBorders/>
            <w:shd w:fill="auto" w:val="clear"/>
            <w:vAlign w:val="center"/>
          </w:tcPr>
          <w:p>
            <w:pPr>
              <w:pStyle w:val="TableContents"/>
              <w:spacing w:before="0" w:after="283"/>
              <w:rPr/>
            </w:pPr>
            <w:hyperlink r:id="rId45">
              <w:r>
                <w:rPr>
                  <w:rStyle w:val="InternetLink"/>
                </w:rPr>
                <w:t>License Agreement, dated as of June 30, 2019, between Volvo Car Corporation and Polestar New Energy Vehicle Co. Ltd., as supplemented by the Side Letter, dated as of June 30, 2019, between Polestar Performance AB, Polestar New Energy Vehicle Co., Ltd., Volvo Car Corporation and Volvo Cars (China) Investment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8" w:type="dxa"/>
            <w:tcBorders/>
            <w:shd w:fill="auto" w:val="clear"/>
            <w:vAlign w:val="center"/>
          </w:tcPr>
          <w:p>
            <w:pPr>
              <w:pStyle w:val="TableContents"/>
              <w:spacing w:before="0" w:after="283"/>
              <w:rPr>
                <w:sz w:val="4"/>
                <w:szCs w:val="4"/>
              </w:rPr>
            </w:pPr>
            <w:r>
              <w:rPr>
                <w:sz w:val="4"/>
                <w:szCs w:val="4"/>
              </w:rPr>
            </w:r>
          </w:p>
        </w:tc>
        <w:tc>
          <w:tcPr>
            <w:tcW w:w="7059" w:type="dxa"/>
            <w:gridSpan w:val="2"/>
            <w:tcBorders/>
            <w:shd w:fill="auto" w:val="clear"/>
            <w:vAlign w:val="center"/>
          </w:tcPr>
          <w:p>
            <w:pPr>
              <w:pStyle w:val="TableContents"/>
              <w:spacing w:before="0" w:after="283"/>
              <w:rPr>
                <w:sz w:val="4"/>
                <w:szCs w:val="4"/>
              </w:rPr>
            </w:pPr>
            <w:r>
              <w:rPr>
                <w:sz w:val="4"/>
                <w:szCs w:val="4"/>
              </w:rPr>
            </w:r>
          </w:p>
        </w:tc>
        <w:tc>
          <w:tcPr>
            <w:tcW w:w="50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708" w:type="dxa"/>
            <w:tcBorders/>
            <w:shd w:fill="auto" w:val="clear"/>
            <w:vAlign w:val="center"/>
          </w:tcPr>
          <w:p>
            <w:pPr>
              <w:pStyle w:val="TableContents"/>
              <w:spacing w:before="0" w:after="283"/>
              <w:rPr/>
            </w:pPr>
            <w:r>
              <w:rPr/>
              <w:t>  </w:t>
            </w:r>
            <w:r>
              <w:rPr/>
              <w:t>10.33†</w:t>
            </w:r>
          </w:p>
        </w:tc>
        <w:tc>
          <w:tcPr>
            <w:tcW w:w="120" w:type="dxa"/>
            <w:tcBorders/>
            <w:shd w:fill="auto" w:val="clear"/>
            <w:vAlign w:val="center"/>
          </w:tcPr>
          <w:p>
            <w:pPr>
              <w:pStyle w:val="TableContents"/>
              <w:spacing w:before="0" w:after="283"/>
              <w:rPr/>
            </w:pPr>
            <w:r>
              <w:rPr/>
              <w:t>  </w:t>
            </w:r>
          </w:p>
        </w:tc>
        <w:tc>
          <w:tcPr>
            <w:tcW w:w="6939" w:type="dxa"/>
            <w:tcBorders/>
            <w:shd w:fill="auto" w:val="clear"/>
            <w:vAlign w:val="center"/>
          </w:tcPr>
          <w:p>
            <w:pPr>
              <w:pStyle w:val="TableContents"/>
              <w:spacing w:before="0" w:after="283"/>
              <w:rPr/>
            </w:pPr>
            <w:hyperlink r:id="rId46">
              <w:r>
                <w:rPr>
                  <w:rStyle w:val="InternetLink"/>
                </w:rPr>
                <w:t>Service Agreement, dated as of June 30, 2019, between Volvo Car Corporation and Polestar New Energy Vehicle Co. Ltd., as supplemented by Side Letter, dated as of June 30, 2019, between Volvo Car Corporation, Volvo Cars (China) Investment Co., Ltd., Polestar Performance AB and Polestar New Energy Vehicle Co. Ltd., as amended by the Novation Agreement, dated as of December 8, 2020, by and among Polestar New Energy Vehicle Co., Ltd., Polestar Automotive China Distribution Co., Ltd.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04"/>
        <w:gridCol w:w="120"/>
        <w:gridCol w:w="6970"/>
        <w:gridCol w:w="120"/>
        <w:gridCol w:w="60"/>
        <w:gridCol w:w="258"/>
        <w:gridCol w:w="60"/>
        <w:gridCol w:w="120"/>
        <w:gridCol w:w="60"/>
        <w:gridCol w:w="560"/>
        <w:gridCol w:w="60"/>
        <w:gridCol w:w="120"/>
        <w:gridCol w:w="60"/>
        <w:gridCol w:w="857"/>
        <w:gridCol w:w="76"/>
      </w:tblGrid>
      <w:tr>
        <w:trPr/>
        <w:tc>
          <w:tcPr>
            <w:tcW w:w="7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10.34†</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47">
              <w:r>
                <w:rPr>
                  <w:rStyle w:val="InternetLink"/>
                </w:rPr>
                <w:t>Service Agreement, dated as of June 30, 2019, between Volvo Cars (China) Investment Co., Ltd. and Polestar New Energy Vehicle Co. Ltd., as supplemented by Side Letter, dated as of June 30, 2019, between Volvo Car Corporation, Volvo Cars (China) Investment Co., Ltd., Polestar Performance AB and Polestar New Energy Vehicle Co. Ltd., as amended by the Amendment Agreement to the Service Agreement, dated as of November 28, 2019, between Volvo Cars (China) Investment Co. Ltd. and Polestar New Energy Vehicle Co. Ltd., as amended by the Novation Agreement, dated as of December 8, 2020, by and among Polestar New Energy Vehicle Co., Ltd., Polestar Automotive China Distribution Co., Ltd. and Volvo Cars (China) Investment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10.35†</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48">
              <w:r>
                <w:rPr>
                  <w:rStyle w:val="InternetLink"/>
                </w:rPr>
                <w:t>Service Agreement, dated as of August 31, 2020, between Volvo Cars Technology (Shanghai) Co., Ltd.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10.36†</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49">
              <w:r>
                <w:rPr>
                  <w:rStyle w:val="InternetLink"/>
                </w:rPr>
                <w:t>Service Agreement, dated as of September 1, 2020, between Volvo Car Corporation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10.37†</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0">
              <w:r>
                <w:rPr>
                  <w:rStyle w:val="InternetLink"/>
                </w:rPr>
                <w:t>Financial Undertaking Agreement—Investments for Vehicle Assembly, dated as of February 27, 2020, between Zhongjia Automobile Manufacturing (Chengdu) Co., Ltd.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10.38†</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1">
              <w:r>
                <w:rPr>
                  <w:rStyle w:val="InternetLink"/>
                </w:rPr>
                <w:t xml:space="preserve">Service Agreement, dated as of February 2021, between Zhongjia Automobile Manufacturing (Chengdu) Co., Ltd. and Polestar Automotive China Distribution Co. Ltd.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10.39†</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2">
              <w:r>
                <w:rPr>
                  <w:rStyle w:val="InternetLink"/>
                </w:rPr>
                <w:t>Service Agreement, dated as of April 28, 2021, between Volvo Car Corporation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10.40†</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3">
              <w:r>
                <w:rPr>
                  <w:rStyle w:val="InternetLink"/>
                </w:rPr>
                <w:t>License Agreement, dated as of December 23, 2020, between Polestar Performance AB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10.41†</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4">
              <w:r>
                <w:rPr>
                  <w:rStyle w:val="InternetLink"/>
                </w:rPr>
                <w:t>Performance Software Agreement, dated as of January 1, 2020, by and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10.42†</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5">
              <w:r>
                <w:rPr>
                  <w:rStyle w:val="InternetLink"/>
                </w:rPr>
                <w:t>Financial Undertaking Agreement—Investments for Vehicle Assembly, dated as of March 17, 2021,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04" w:type="dxa"/>
            <w:tcBorders/>
            <w:shd w:fill="auto" w:val="clear"/>
            <w:vAlign w:val="center"/>
          </w:tcPr>
          <w:p>
            <w:pPr>
              <w:pStyle w:val="TableContents"/>
              <w:spacing w:before="0" w:after="283"/>
              <w:rPr>
                <w:sz w:val="4"/>
                <w:szCs w:val="4"/>
              </w:rPr>
            </w:pPr>
            <w:r>
              <w:rPr>
                <w:sz w:val="4"/>
                <w:szCs w:val="4"/>
              </w:rPr>
            </w:r>
          </w:p>
        </w:tc>
        <w:tc>
          <w:tcPr>
            <w:tcW w:w="7090" w:type="dxa"/>
            <w:gridSpan w:val="2"/>
            <w:tcBorders/>
            <w:shd w:fill="auto" w:val="clear"/>
            <w:vAlign w:val="center"/>
          </w:tcPr>
          <w:p>
            <w:pPr>
              <w:pStyle w:val="TableContents"/>
              <w:spacing w:before="0" w:after="283"/>
              <w:rPr>
                <w:sz w:val="4"/>
                <w:szCs w:val="4"/>
              </w:rPr>
            </w:pPr>
            <w:r>
              <w:rPr>
                <w:sz w:val="4"/>
                <w:szCs w:val="4"/>
              </w:rPr>
            </w:r>
          </w:p>
        </w:tc>
        <w:tc>
          <w:tcPr>
            <w:tcW w:w="498"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r>
      <w:tr>
        <w:trPr/>
        <w:tc>
          <w:tcPr>
            <w:tcW w:w="704" w:type="dxa"/>
            <w:tcBorders/>
            <w:shd w:fill="auto" w:val="clear"/>
            <w:vAlign w:val="center"/>
          </w:tcPr>
          <w:p>
            <w:pPr>
              <w:pStyle w:val="TableContents"/>
              <w:spacing w:before="0" w:after="283"/>
              <w:rPr/>
            </w:pPr>
            <w:r>
              <w:rPr/>
              <w:t>  </w:t>
            </w:r>
            <w:r>
              <w:rPr/>
              <w:t>10.43†</w:t>
            </w:r>
          </w:p>
        </w:tc>
        <w:tc>
          <w:tcPr>
            <w:tcW w:w="120" w:type="dxa"/>
            <w:tcBorders/>
            <w:shd w:fill="auto" w:val="clear"/>
            <w:vAlign w:val="center"/>
          </w:tcPr>
          <w:p>
            <w:pPr>
              <w:pStyle w:val="TableContents"/>
              <w:spacing w:before="0" w:after="283"/>
              <w:rPr/>
            </w:pPr>
            <w:r>
              <w:rPr/>
              <w:t>  </w:t>
            </w:r>
          </w:p>
        </w:tc>
        <w:tc>
          <w:tcPr>
            <w:tcW w:w="6970" w:type="dxa"/>
            <w:tcBorders/>
            <w:shd w:fill="auto" w:val="clear"/>
            <w:vAlign w:val="center"/>
          </w:tcPr>
          <w:p>
            <w:pPr>
              <w:pStyle w:val="TableContents"/>
              <w:spacing w:before="0" w:after="283"/>
              <w:rPr/>
            </w:pPr>
            <w:hyperlink r:id="rId56">
              <w:r>
                <w:rPr>
                  <w:rStyle w:val="InternetLink"/>
                </w:rPr>
                <w:t>Financial Undertaking Agreement—Investments for Vehicle Assembly, dated as of March 23, 2021,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7"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19"/>
        <w:gridCol w:w="120"/>
        <w:gridCol w:w="6840"/>
        <w:gridCol w:w="120"/>
        <w:gridCol w:w="60"/>
        <w:gridCol w:w="304"/>
        <w:gridCol w:w="60"/>
        <w:gridCol w:w="120"/>
        <w:gridCol w:w="60"/>
        <w:gridCol w:w="560"/>
        <w:gridCol w:w="60"/>
        <w:gridCol w:w="120"/>
        <w:gridCol w:w="60"/>
        <w:gridCol w:w="926"/>
        <w:gridCol w:w="76"/>
      </w:tblGrid>
      <w:tr>
        <w:trPr/>
        <w:tc>
          <w:tcPr>
            <w:tcW w:w="7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10.44†</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57">
              <w:r>
                <w:rPr>
                  <w:rStyle w:val="InternetLink"/>
                </w:rPr>
                <w:t>Service Agreement, dated as of March 24,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10.45†</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58">
              <w:r>
                <w:rPr>
                  <w:rStyle w:val="InternetLink"/>
                </w:rPr>
                <w:t>Service Agreement, dated as of November 27,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10.46†</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59">
              <w:r>
                <w:rPr>
                  <w:rStyle w:val="InternetLink"/>
                </w:rPr>
                <w:t>Service Agreement, dated as of January 18, 2021, between Ningbo Geely Automobile Research &amp; Development Co., Ltd.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10.47†</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0">
              <w:r>
                <w:rPr>
                  <w:rStyle w:val="InternetLink"/>
                </w:rPr>
                <w:t>Service Agreement, dated as of January 28,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10.48†</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1">
              <w:r>
                <w:rPr>
                  <w:rStyle w:val="InternetLink"/>
                </w:rPr>
                <w:t>Service Agreement, dated as of September 4,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10.49†</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2">
              <w:r>
                <w:rPr>
                  <w:rStyle w:val="InternetLink"/>
                </w:rPr>
                <w:t>Service Agreement, dated as of September 4, 2020, between Polestar Performance AB and Volvo Bil i Göteborg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10.50†</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3">
              <w:r>
                <w:rPr>
                  <w:rStyle w:val="InternetLink"/>
                </w:rPr>
                <w:t>License Agreement, dated as of December 6, 2020, between Volvo Car Corporation and Polestar Performance AB, as amended by the Amendment Agreement, dated as of June 30, 2021,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10.51†</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4">
              <w:r>
                <w:rPr>
                  <w:rStyle w:val="InternetLink"/>
                </w:rPr>
                <w:t>Service Agreement, dated as of December 6,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10.52†</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5">
              <w:r>
                <w:rPr>
                  <w:rStyle w:val="InternetLink"/>
                </w:rPr>
                <w:t>Service Agreement, dated as of March 24,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10.53†</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6">
              <w:r>
                <w:rPr>
                  <w:rStyle w:val="InternetLink"/>
                </w:rPr>
                <w:t>Service Agreement, dated as of January 19, 2021, between Volvo Car UK Limited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10.54†</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7">
              <w:r>
                <w:rPr>
                  <w:rStyle w:val="InternetLink"/>
                </w:rPr>
                <w:t>European CO2 Emission Credits 2020 Payment Agreement, dated as of November 27, 2020,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10.55†</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8">
              <w:r>
                <w:rPr>
                  <w:rStyle w:val="InternetLink"/>
                </w:rPr>
                <w:t>Parts Supply and License Agreement Polestar Aftermarket Parts and Accessories (CHINA), dated as of November 22, 2021, between Polestar Automotive China Distribution Co., Ltd and Volvo Car Distribution (Shanghai)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r>
        <w:trPr/>
        <w:tc>
          <w:tcPr>
            <w:tcW w:w="719" w:type="dxa"/>
            <w:tcBorders/>
            <w:shd w:fill="auto" w:val="clear"/>
            <w:vAlign w:val="center"/>
          </w:tcPr>
          <w:p>
            <w:pPr>
              <w:pStyle w:val="TableContents"/>
              <w:spacing w:before="0" w:after="283"/>
              <w:rPr>
                <w:sz w:val="4"/>
                <w:szCs w:val="4"/>
              </w:rPr>
            </w:pPr>
            <w:r>
              <w:rPr>
                <w:sz w:val="4"/>
                <w:szCs w:val="4"/>
              </w:rPr>
            </w:r>
          </w:p>
        </w:tc>
        <w:tc>
          <w:tcPr>
            <w:tcW w:w="6960" w:type="dxa"/>
            <w:gridSpan w:val="2"/>
            <w:tcBorders/>
            <w:shd w:fill="auto" w:val="clear"/>
            <w:vAlign w:val="center"/>
          </w:tcPr>
          <w:p>
            <w:pPr>
              <w:pStyle w:val="TableContents"/>
              <w:spacing w:before="0" w:after="283"/>
              <w:rPr>
                <w:sz w:val="4"/>
                <w:szCs w:val="4"/>
              </w:rPr>
            </w:pPr>
            <w:r>
              <w:rPr>
                <w:sz w:val="4"/>
                <w:szCs w:val="4"/>
              </w:rPr>
            </w:r>
          </w:p>
        </w:tc>
        <w:tc>
          <w:tcPr>
            <w:tcW w:w="544"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82" w:type="dxa"/>
            <w:gridSpan w:val="4"/>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vAlign w:val="center"/>
          </w:tcPr>
          <w:p>
            <w:pPr>
              <w:pStyle w:val="TableContents"/>
              <w:spacing w:before="0" w:after="283"/>
              <w:rPr/>
            </w:pPr>
            <w:r>
              <w:rPr/>
              <w:t>  </w:t>
            </w:r>
            <w:r>
              <w:rPr/>
              <w:t>10.56†</w:t>
            </w:r>
          </w:p>
        </w:tc>
        <w:tc>
          <w:tcPr>
            <w:tcW w:w="120" w:type="dxa"/>
            <w:tcBorders/>
            <w:shd w:fill="auto" w:val="clear"/>
            <w:vAlign w:val="center"/>
          </w:tcPr>
          <w:p>
            <w:pPr>
              <w:pStyle w:val="TableContents"/>
              <w:spacing w:before="0" w:after="283"/>
              <w:rPr/>
            </w:pPr>
            <w:r>
              <w:rPr/>
              <w:t>  </w:t>
            </w:r>
          </w:p>
        </w:tc>
        <w:tc>
          <w:tcPr>
            <w:tcW w:w="6840" w:type="dxa"/>
            <w:tcBorders/>
            <w:shd w:fill="auto" w:val="clear"/>
            <w:vAlign w:val="center"/>
          </w:tcPr>
          <w:p>
            <w:pPr>
              <w:pStyle w:val="TableContents"/>
              <w:spacing w:before="0" w:after="283"/>
              <w:rPr/>
            </w:pPr>
            <w:hyperlink r:id="rId69">
              <w:r>
                <w:rPr>
                  <w:rStyle w:val="InternetLink"/>
                </w:rPr>
                <w:t>Service Agreement, dated as of June 23, 2021, between Volvo Car Corporation and Polestar Automotive China Distribution.,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May 23, 2022</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62"/>
        <w:gridCol w:w="120"/>
        <w:gridCol w:w="6743"/>
        <w:gridCol w:w="120"/>
        <w:gridCol w:w="60"/>
        <w:gridCol w:w="325"/>
        <w:gridCol w:w="60"/>
        <w:gridCol w:w="120"/>
        <w:gridCol w:w="60"/>
        <w:gridCol w:w="560"/>
        <w:gridCol w:w="60"/>
        <w:gridCol w:w="120"/>
        <w:gridCol w:w="60"/>
        <w:gridCol w:w="958"/>
        <w:gridCol w:w="77"/>
      </w:tblGrid>
      <w:tr>
        <w:trPr/>
        <w:tc>
          <w:tcPr>
            <w:tcW w:w="7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10.57†</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0">
              <w:r>
                <w:rPr>
                  <w:rStyle w:val="InternetLink"/>
                </w:rPr>
                <w:t>Service Agreement, dated as of December 7, 2021, between Volvo Cars Technology (Shanghai) Co., Ltd.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10.58†</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1">
              <w:r>
                <w:rPr>
                  <w:rStyle w:val="InternetLink"/>
                </w:rPr>
                <w:t>Service Agreement, effective as of July 1, 2021, between Volvo Car Corporation and Polestar Automotive China Distribution.,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10.59†</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2">
              <w:r>
                <w:rPr>
                  <w:rStyle w:val="InternetLink"/>
                </w:rPr>
                <w:t>Service Agreement, dated as of December 7, 2021, between Volvo Cars Technology (Shanghai) Co., Ltd.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10.60†</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3">
              <w:r>
                <w:rPr>
                  <w:rStyle w:val="InternetLink"/>
                </w:rPr>
                <w:t>Service Agreement, dated as of June 23, 2021, between Volvo Car Corporation and Polestar New Energy Vehicle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10.61†</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4">
              <w:r>
                <w:rPr>
                  <w:rStyle w:val="InternetLink"/>
                </w:rPr>
                <w:t>Service Agreement, dated as of December 7, 2021, between Volvo Cars Technology (Shanghai) Co., Ltd.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10.62†</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5">
              <w:r>
                <w:rPr>
                  <w:rStyle w:val="InternetLink"/>
                </w:rPr>
                <w:t>Technology License Agreement, dated as of December 30, 2021, between Zhejiang Zeekr Automobile Research and Development Co., Ltd.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10.63†</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6">
              <w:r>
                <w:rPr>
                  <w:rStyle w:val="InternetLink"/>
                </w:rPr>
                <w:t>Service Agreement, dated as of December 28, 2021, between Ningbo Geely Automobile Research &amp; Development Co., Ltd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10.64†</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7">
              <w:r>
                <w:rPr>
                  <w:rStyle w:val="InternetLink"/>
                </w:rPr>
                <w:t>Tooling and Equipment Agreement, dated as of December 10, 2021, by and among Polestar Automotive China Distribution Co., Ltd. and Ningbo Hangzhou Bay Geely Automotive Parts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10.65†</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8">
              <w:r>
                <w:rPr>
                  <w:rStyle w:val="InternetLink"/>
                </w:rPr>
                <w:t>Technology License Agreement, effective as of March 4, 2022, between Zhejiang Liankong Technologies Co., Ltd and Polestar Automotive Distribution China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10.66†</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79">
              <w:r>
                <w:rPr>
                  <w:rStyle w:val="InternetLink"/>
                </w:rPr>
                <w:t>Technology License Agreement, dated as of December 10, 2021, between Zhejiang Zeekr Automobile Research and Development Co., Ltd and Polestar Automotive Distribution China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10.67†</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80">
              <w:r>
                <w:rPr>
                  <w:rStyle w:val="InternetLink"/>
                </w:rPr>
                <w:t>Technology License Agreement, effective as of March 4, 2022, between Zhejiang Liankong Technologies Co., Ltd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10.68+†</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81">
              <w:r>
                <w:rPr>
                  <w:rStyle w:val="InternetLink"/>
                </w:rPr>
                <w:t>Employment Agreement, effective as of July 1, 2017, by and between Polestar Performance AB and Thomas Ingenlath.</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62" w:type="dxa"/>
            <w:tcBorders/>
            <w:shd w:fill="auto" w:val="clear"/>
            <w:vAlign w:val="center"/>
          </w:tcPr>
          <w:p>
            <w:pPr>
              <w:pStyle w:val="TableContents"/>
              <w:spacing w:before="0" w:after="283"/>
              <w:rPr>
                <w:sz w:val="4"/>
                <w:szCs w:val="4"/>
              </w:rPr>
            </w:pPr>
            <w:r>
              <w:rPr>
                <w:sz w:val="4"/>
                <w:szCs w:val="4"/>
              </w:rPr>
            </w:r>
          </w:p>
        </w:tc>
        <w:tc>
          <w:tcPr>
            <w:tcW w:w="6863" w:type="dxa"/>
            <w:gridSpan w:val="2"/>
            <w:tcBorders/>
            <w:shd w:fill="auto" w:val="clear"/>
            <w:vAlign w:val="center"/>
          </w:tcPr>
          <w:p>
            <w:pPr>
              <w:pStyle w:val="TableContents"/>
              <w:spacing w:before="0" w:after="283"/>
              <w:rPr>
                <w:sz w:val="4"/>
                <w:szCs w:val="4"/>
              </w:rPr>
            </w:pPr>
            <w:r>
              <w:rPr>
                <w:sz w:val="4"/>
                <w:szCs w:val="4"/>
              </w:rPr>
            </w:r>
          </w:p>
        </w:tc>
        <w:tc>
          <w:tcPr>
            <w:tcW w:w="5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1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pPr>
            <w:r>
              <w:rPr/>
              <w:t>  </w:t>
            </w:r>
            <w:r>
              <w:rPr/>
              <w:t>10.69+†</w:t>
            </w:r>
          </w:p>
        </w:tc>
        <w:tc>
          <w:tcPr>
            <w:tcW w:w="120" w:type="dxa"/>
            <w:tcBorders/>
            <w:shd w:fill="auto" w:val="clear"/>
            <w:vAlign w:val="center"/>
          </w:tcPr>
          <w:p>
            <w:pPr>
              <w:pStyle w:val="TableContents"/>
              <w:spacing w:before="0" w:after="283"/>
              <w:rPr/>
            </w:pPr>
            <w:r>
              <w:rPr/>
              <w:t>  </w:t>
            </w:r>
          </w:p>
        </w:tc>
        <w:tc>
          <w:tcPr>
            <w:tcW w:w="6743" w:type="dxa"/>
            <w:tcBorders/>
            <w:shd w:fill="auto" w:val="clear"/>
            <w:vAlign w:val="center"/>
          </w:tcPr>
          <w:p>
            <w:pPr>
              <w:pStyle w:val="TableContents"/>
              <w:spacing w:before="0" w:after="283"/>
              <w:rPr/>
            </w:pPr>
            <w:hyperlink r:id="rId82">
              <w:r>
                <w:rPr>
                  <w:rStyle w:val="InternetLink"/>
                </w:rPr>
                <w:t>Employment Agreement, dated as of September 17, 2021, by and between Polestar Performance AB and Johan Malmqvist.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16"/>
        <w:gridCol w:w="120"/>
        <w:gridCol w:w="6414"/>
        <w:gridCol w:w="120"/>
        <w:gridCol w:w="60"/>
        <w:gridCol w:w="259"/>
        <w:gridCol w:w="60"/>
        <w:gridCol w:w="120"/>
        <w:gridCol w:w="60"/>
        <w:gridCol w:w="560"/>
        <w:gridCol w:w="60"/>
        <w:gridCol w:w="120"/>
        <w:gridCol w:w="60"/>
        <w:gridCol w:w="1399"/>
        <w:gridCol w:w="77"/>
      </w:tblGrid>
      <w:tr>
        <w:trPr/>
        <w:tc>
          <w:tcPr>
            <w:tcW w:w="7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10.70+†</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hyperlink r:id="rId83">
              <w:r>
                <w:rPr>
                  <w:rStyle w:val="InternetLink"/>
                </w:rPr>
                <w:t>Employment Agreement, dated as of July 13, 2020, by and between Polestar Performance AB and Dennis Nobelius.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34" w:type="dxa"/>
            <w:gridSpan w:val="2"/>
            <w:tcBorders/>
            <w:shd w:fill="auto" w:val="clear"/>
            <w:vAlign w:val="center"/>
          </w:tcPr>
          <w:p>
            <w:pPr>
              <w:pStyle w:val="TableContents"/>
              <w:spacing w:before="0" w:after="283"/>
              <w:rPr>
                <w:sz w:val="4"/>
                <w:szCs w:val="4"/>
              </w:rPr>
            </w:pPr>
            <w:r>
              <w:rPr>
                <w:sz w:val="4"/>
                <w:szCs w:val="4"/>
              </w:rPr>
            </w:r>
          </w:p>
        </w:tc>
        <w:tc>
          <w:tcPr>
            <w:tcW w:w="49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10.71</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"http://www.sec.gov/Archives/edgar/data/1884082/000119312522066540/d239003df4a.htm" \l "ii239003_2202"</w:instrText>
            </w:r>
            <w:r>
              <w:rPr>
                <w:rStyle w:val="InternetLink"/>
              </w:rPr>
              <w:fldChar w:fldCharType="separate"/>
            </w:r>
            <w:r>
              <w:rPr>
                <w:rStyle w:val="InternetLink"/>
              </w:rPr>
              <w:t xml:space="preserve">Registration Rights Agreement Amendment No. 1, dated December 17, 2021, by and among Polestar Automotive Holding UK Limited, Gores Guggenheim Sponsor LLC, Randall Bort, Elizabeth Marcellino and Nancy Tellem, Polestar Automotive Holding Limited and certain of its shareholders (incorporated by reference to Annex G-2 to the proxy statement/prospectus used in connection with the Business Combination). </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December 17, 2021</w:t>
            </w:r>
          </w:p>
        </w:tc>
        <w:tc>
          <w:tcPr>
            <w:tcW w:w="77"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34" w:type="dxa"/>
            <w:gridSpan w:val="2"/>
            <w:tcBorders/>
            <w:shd w:fill="auto" w:val="clear"/>
            <w:vAlign w:val="center"/>
          </w:tcPr>
          <w:p>
            <w:pPr>
              <w:pStyle w:val="TableContents"/>
              <w:spacing w:before="0" w:after="283"/>
              <w:rPr>
                <w:sz w:val="4"/>
                <w:szCs w:val="4"/>
              </w:rPr>
            </w:pPr>
            <w:r>
              <w:rPr>
                <w:sz w:val="4"/>
                <w:szCs w:val="4"/>
              </w:rPr>
            </w:r>
          </w:p>
        </w:tc>
        <w:tc>
          <w:tcPr>
            <w:tcW w:w="49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10.72†</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hyperlink r:id="rId84">
              <w:r>
                <w:rPr>
                  <w:rStyle w:val="InternetLink"/>
                </w:rPr>
                <w:t>Parts Supply and License Agreement, effective as of January 1, 2020, by and between Polestar Performance AB and Volvo Car Corporation.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34" w:type="dxa"/>
            <w:gridSpan w:val="2"/>
            <w:tcBorders/>
            <w:shd w:fill="auto" w:val="clear"/>
            <w:vAlign w:val="center"/>
          </w:tcPr>
          <w:p>
            <w:pPr>
              <w:pStyle w:val="TableContents"/>
              <w:spacing w:before="0" w:after="283"/>
              <w:rPr>
                <w:sz w:val="4"/>
                <w:szCs w:val="4"/>
              </w:rPr>
            </w:pPr>
            <w:r>
              <w:rPr>
                <w:sz w:val="4"/>
                <w:szCs w:val="4"/>
              </w:rPr>
            </w:r>
          </w:p>
        </w:tc>
        <w:tc>
          <w:tcPr>
            <w:tcW w:w="49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10.73</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"http://www.sec.gov/Archives/edgar/data/1884082/000119312522066540/d239003df4a.htm" \l "tx239003_511"</w:instrText>
            </w:r>
            <w:r>
              <w:rPr>
                <w:rStyle w:val="InternetLink"/>
              </w:rPr>
              <w:fldChar w:fldCharType="separate"/>
            </w:r>
            <w:r>
              <w:rPr>
                <w:rStyle w:val="InternetLink"/>
              </w:rPr>
              <w:t>Acknowledgement Agreement to the Shareholders Agreement, dated September 27, 2021, by and among Volvo Car Corporation, Snita Holding B.V.,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M-1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34" w:type="dxa"/>
            <w:gridSpan w:val="2"/>
            <w:tcBorders/>
            <w:shd w:fill="auto" w:val="clear"/>
            <w:vAlign w:val="center"/>
          </w:tcPr>
          <w:p>
            <w:pPr>
              <w:pStyle w:val="TableContents"/>
              <w:spacing w:before="0" w:after="283"/>
              <w:rPr>
                <w:sz w:val="4"/>
                <w:szCs w:val="4"/>
              </w:rPr>
            </w:pPr>
            <w:r>
              <w:rPr>
                <w:sz w:val="4"/>
                <w:szCs w:val="4"/>
              </w:rPr>
            </w:r>
          </w:p>
        </w:tc>
        <w:tc>
          <w:tcPr>
            <w:tcW w:w="49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10.74</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r>
              <w:fldChar w:fldCharType="begin"/>
            </w:r>
            <w:r>
              <w:rPr>
                <w:rStyle w:val="InternetLink"/>
              </w:rPr>
              <w:instrText> HYPERLINK "http://www.sec.gov/Archives/edgar/data/1884082/000119312522066540/d239003df4a.htm" \l "anxm2"</w:instrText>
            </w:r>
            <w:r>
              <w:rPr>
                <w:rStyle w:val="InternetLink"/>
              </w:rPr>
              <w:fldChar w:fldCharType="separate"/>
            </w:r>
            <w:r>
              <w:rPr>
                <w:rStyle w:val="InternetLink"/>
              </w:rPr>
              <w:t>Form of Amendment to Acknowledgement Agreement to the Shareholders Agreement, by and among Volvo Car Corporation, Snita Holding B.V., Zhejiang Geely Holding Group Co., Ltd.,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M-2 to the proxy statement/prospectus used in connection with the Business Combination).</w:t>
            </w:r>
            <w:r>
              <w:rPr>
                <w:rStyle w:val="InternetLink"/>
              </w:rPr>
              <w:fldChar w:fldCharType="end"/>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34" w:type="dxa"/>
            <w:gridSpan w:val="2"/>
            <w:tcBorders/>
            <w:shd w:fill="auto" w:val="clear"/>
            <w:vAlign w:val="center"/>
          </w:tcPr>
          <w:p>
            <w:pPr>
              <w:pStyle w:val="TableContents"/>
              <w:spacing w:before="0" w:after="283"/>
              <w:rPr>
                <w:sz w:val="4"/>
                <w:szCs w:val="4"/>
              </w:rPr>
            </w:pPr>
            <w:r>
              <w:rPr>
                <w:sz w:val="4"/>
                <w:szCs w:val="4"/>
              </w:rPr>
            </w:r>
          </w:p>
        </w:tc>
        <w:tc>
          <w:tcPr>
            <w:tcW w:w="49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10.75†</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hyperlink r:id="rId85">
              <w:r>
                <w:rPr>
                  <w:rStyle w:val="InternetLink"/>
                </w:rPr>
                <w:t>New, Used and Demonstrator Funding Agreement, dated June 14, 2021, by and among Volvo Car Financial Services UK Limited and Polestar Automotive UK Limited.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34" w:type="dxa"/>
            <w:gridSpan w:val="2"/>
            <w:tcBorders/>
            <w:shd w:fill="auto" w:val="clear"/>
            <w:vAlign w:val="center"/>
          </w:tcPr>
          <w:p>
            <w:pPr>
              <w:pStyle w:val="TableContents"/>
              <w:spacing w:before="0" w:after="283"/>
              <w:rPr>
                <w:sz w:val="4"/>
                <w:szCs w:val="4"/>
              </w:rPr>
            </w:pPr>
            <w:r>
              <w:rPr>
                <w:sz w:val="4"/>
                <w:szCs w:val="4"/>
              </w:rPr>
            </w:r>
          </w:p>
        </w:tc>
        <w:tc>
          <w:tcPr>
            <w:tcW w:w="499"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10.76†</w:t>
            </w:r>
          </w:p>
        </w:tc>
        <w:tc>
          <w:tcPr>
            <w:tcW w:w="120" w:type="dxa"/>
            <w:tcBorders/>
            <w:shd w:fill="auto" w:val="clear"/>
            <w:vAlign w:val="center"/>
          </w:tcPr>
          <w:p>
            <w:pPr>
              <w:pStyle w:val="TableContents"/>
              <w:spacing w:before="0" w:after="283"/>
              <w:rPr/>
            </w:pPr>
            <w:r>
              <w:rPr/>
              <w:t>  </w:t>
            </w:r>
          </w:p>
        </w:tc>
        <w:tc>
          <w:tcPr>
            <w:tcW w:w="6414" w:type="dxa"/>
            <w:tcBorders/>
            <w:shd w:fill="auto" w:val="clear"/>
            <w:vAlign w:val="center"/>
          </w:tcPr>
          <w:p>
            <w:pPr>
              <w:pStyle w:val="TableContents"/>
              <w:spacing w:before="0" w:after="283"/>
              <w:rPr/>
            </w:pPr>
            <w:hyperlink r:id="rId86">
              <w:r>
                <w:rPr>
                  <w:rStyle w:val="InternetLink"/>
                </w:rPr>
                <w:t>Service Agreement, effective as of January 28, 2022, by and between Volvo Cars USA LLC and Polestar Automotive USA Inc.</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16"/>
        <w:gridCol w:w="120"/>
        <w:gridCol w:w="6420"/>
        <w:gridCol w:w="120"/>
        <w:gridCol w:w="60"/>
        <w:gridCol w:w="381"/>
        <w:gridCol w:w="221"/>
        <w:gridCol w:w="60"/>
        <w:gridCol w:w="60"/>
        <w:gridCol w:w="560"/>
        <w:gridCol w:w="60"/>
        <w:gridCol w:w="120"/>
        <w:gridCol w:w="60"/>
        <w:gridCol w:w="1168"/>
        <w:gridCol w:w="79"/>
      </w:tblGrid>
      <w:tr>
        <w:trPr/>
        <w:tc>
          <w:tcPr>
            <w:tcW w:w="7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10.77†</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87">
              <w:r>
                <w:rPr>
                  <w:rStyle w:val="InternetLink"/>
                </w:rPr>
                <w:t>Finance Cooperation Agreement, dated May 28, 2021, by and between Volvo Car Financial Services UK Limited and Polestar Automotive UK Limited.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F-4/A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10.78†</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88">
              <w:r>
                <w:rPr>
                  <w:rStyle w:val="InternetLink"/>
                </w:rPr>
                <w:t>Corporate Guarantee and Indemnity Relating to Polestar Automotive UK Limited, dated June 14, 2021, by and between Polestar Performance AB and Volvo Car Financial Services UK Limited.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F-4/A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10.79</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89">
              <w:r>
                <w:rPr>
                  <w:rStyle w:val="InternetLink"/>
                </w:rPr>
                <w:t>Amendment No. 2 to Registration Rights Agreement, dated March 24, 2022, by and among Polestar Automotive Holding UK Limited, Gores Guggenheim Sponsor LLC, Randall Bort, Elizabeth Marcellino and Nancy Tellem, Polestar Automotive Holding Limited and certain of its shareholders.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8-K</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March 25,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10.80†</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0">
              <w:r>
                <w:rPr>
                  <w:rStyle w:val="InternetLink"/>
                </w:rPr>
                <w:t>Cooperation Agreement, dated April 1, 2020, by and between Polestar Automotive China Distribution Co., Ltd. and Hangzhou Easybao Technology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F-4/A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10.81†</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1">
              <w:r>
                <w:rPr>
                  <w:rStyle w:val="InternetLink"/>
                </w:rPr>
                <w:t>Finance Cooperation Agreement, dated as of June 1, 2021, between Polestar Automotive China Distribution Co., Ltd and Genius Auto Finance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F-4/A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May 23,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10.82†</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2">
              <w:r>
                <w:rPr>
                  <w:rStyle w:val="InternetLink"/>
                </w:rPr>
                <w:t>Framework Agreement on Import &amp; Export Polestar Vehicles, dated as of June 21, 2022, by and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20-F</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June 29,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10.83†</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3">
              <w:r>
                <w:rPr>
                  <w:rStyle w:val="InternetLink"/>
                </w:rPr>
                <w:t>Sale &amp; Purchase Agreement, dated as of June 21, 2022, by and between Volvo Car USA LLC and Polestar Automotive USA Inc.</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20-F</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June 29,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10.84†</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4">
              <w:r>
                <w:rPr>
                  <w:rStyle w:val="InternetLink"/>
                </w:rPr>
                <w:t>Importer Agreement, dated as of June 21, 2022, by and between Polestar Performance AB and Volvo Car USA LLC.</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20-F</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June 29,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10.85†</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5">
              <w:r>
                <w:rPr>
                  <w:rStyle w:val="InternetLink"/>
                </w:rPr>
                <w:t>Form of Letter of Appointment as Non-Executive Director of Polestar Automotive Holding UK PLC.</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20-F</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June 29,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10.86†</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6">
              <w:r>
                <w:rPr>
                  <w:rStyle w:val="InternetLink"/>
                </w:rPr>
                <w:t>Research and Development Frame Agreement, dated as of July 5, 2022, by and between Polestar Performance AB and China Euro Vehicle Technology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F-1/A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August 18,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10.87†</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7">
              <w:r>
                <w:rPr>
                  <w:rStyle w:val="InternetLink"/>
                </w:rPr>
                <w:t xml:space="preserve">Service Agreement, dated as of July 4, 2022, between Zhongjia Automobile Manufacturing (Chengdu) and Polestar Automotive China Distribution Co. Ltd.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F-1/A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August 18,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10.88†</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8">
              <w:r>
                <w:rPr>
                  <w:rStyle w:val="InternetLink"/>
                </w:rPr>
                <w:t>Prototype Supply Agreement, dated as of July 26, 2022, between Asia Europe New Energy Vehicle Manufacturing (Chongqing) Co., Ltd., Polestar Performance AB and Polestar Automotive (Chongqing)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F-1/A</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August 18, 2022</w:t>
            </w:r>
          </w:p>
        </w:tc>
        <w:tc>
          <w:tcPr>
            <w:tcW w:w="7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sz w:val="4"/>
                <w:szCs w:val="4"/>
              </w:rPr>
            </w:pPr>
            <w:r>
              <w:rPr>
                <w:sz w:val="4"/>
                <w:szCs w:val="4"/>
              </w:rPr>
            </w:r>
          </w:p>
        </w:tc>
        <w:tc>
          <w:tcPr>
            <w:tcW w:w="6540" w:type="dxa"/>
            <w:gridSpan w:val="2"/>
            <w:tcBorders/>
            <w:shd w:fill="auto" w:val="clear"/>
            <w:vAlign w:val="center"/>
          </w:tcPr>
          <w:p>
            <w:pPr>
              <w:pStyle w:val="TableContents"/>
              <w:spacing w:before="0" w:after="283"/>
              <w:rPr>
                <w:sz w:val="4"/>
                <w:szCs w:val="4"/>
              </w:rPr>
            </w:pPr>
            <w:r>
              <w:rPr>
                <w:sz w:val="4"/>
                <w:szCs w:val="4"/>
              </w:rPr>
            </w:r>
          </w:p>
        </w:tc>
        <w:tc>
          <w:tcPr>
            <w:tcW w:w="782" w:type="dxa"/>
            <w:gridSpan w:val="4"/>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427" w:type="dxa"/>
            <w:gridSpan w:val="4"/>
            <w:tcBorders/>
            <w:shd w:fill="auto" w:val="clear"/>
            <w:vAlign w:val="center"/>
          </w:tcPr>
          <w:p>
            <w:pPr>
              <w:pStyle w:val="TableContents"/>
              <w:spacing w:before="0" w:after="283"/>
              <w:rPr>
                <w:sz w:val="4"/>
                <w:szCs w:val="4"/>
              </w:rPr>
            </w:pPr>
            <w:r>
              <w:rPr>
                <w:sz w:val="4"/>
                <w:szCs w:val="4"/>
              </w:rPr>
            </w:r>
          </w:p>
        </w:tc>
      </w:tr>
      <w:tr>
        <w:trPr/>
        <w:tc>
          <w:tcPr>
            <w:tcW w:w="716" w:type="dxa"/>
            <w:tcBorders/>
            <w:shd w:fill="auto" w:val="clear"/>
            <w:vAlign w:val="center"/>
          </w:tcPr>
          <w:p>
            <w:pPr>
              <w:pStyle w:val="TableContents"/>
              <w:spacing w:before="0" w:after="283"/>
              <w:rPr/>
            </w:pPr>
            <w:r>
              <w:rPr/>
              <w:t>  </w:t>
            </w:r>
            <w:r>
              <w:rPr/>
              <w:t>10.89†</w:t>
            </w:r>
          </w:p>
        </w:tc>
        <w:tc>
          <w:tcPr>
            <w:tcW w:w="120" w:type="dxa"/>
            <w:tcBorders/>
            <w:shd w:fill="auto" w:val="clear"/>
            <w:vAlign w:val="center"/>
          </w:tcPr>
          <w:p>
            <w:pPr>
              <w:pStyle w:val="TableContents"/>
              <w:spacing w:before="0" w:after="283"/>
              <w:rPr/>
            </w:pPr>
            <w:r>
              <w:rPr/>
              <w:t>  </w:t>
            </w:r>
          </w:p>
        </w:tc>
        <w:tc>
          <w:tcPr>
            <w:tcW w:w="6420" w:type="dxa"/>
            <w:tcBorders/>
            <w:shd w:fill="auto" w:val="clear"/>
            <w:vAlign w:val="center"/>
          </w:tcPr>
          <w:p>
            <w:pPr>
              <w:pStyle w:val="TableContents"/>
              <w:spacing w:before="0" w:after="283"/>
              <w:rPr/>
            </w:pPr>
            <w:hyperlink r:id="rId99">
              <w:r>
                <w:rPr>
                  <w:rStyle w:val="InternetLink"/>
                </w:rPr>
                <w:t>Service Agreement, executed as of September 27, 2022,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 w:type="dxa"/>
            <w:tcBorders/>
            <w:shd w:fill="auto" w:val="clear"/>
            <w:vAlign w:val="center"/>
          </w:tcPr>
          <w:p>
            <w:pPr>
              <w:pStyle w:val="TableContents"/>
              <w:spacing w:before="0" w:after="283"/>
              <w:jc w:val="right"/>
              <w:rPr/>
            </w:pPr>
            <w:r>
              <w:rPr/>
              <w:t>20-F</w:t>
            </w:r>
          </w:p>
        </w:tc>
        <w:tc>
          <w:tcPr>
            <w:tcW w:w="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8" w:type="dxa"/>
            <w:tcBorders/>
            <w:shd w:fill="auto" w:val="clear"/>
            <w:vAlign w:val="center"/>
          </w:tcPr>
          <w:p>
            <w:pPr>
              <w:pStyle w:val="TableContents"/>
              <w:spacing w:before="0" w:after="283"/>
              <w:jc w:val="right"/>
              <w:rPr/>
            </w:pPr>
            <w:r>
              <w:rPr/>
              <w:t>April 14, 2023</w:t>
            </w:r>
          </w:p>
        </w:tc>
        <w:tc>
          <w:tcPr>
            <w:tcW w:w="7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13"/>
        <w:gridCol w:w="120"/>
        <w:gridCol w:w="6374"/>
        <w:gridCol w:w="120"/>
        <w:gridCol w:w="60"/>
        <w:gridCol w:w="355"/>
        <w:gridCol w:w="60"/>
        <w:gridCol w:w="120"/>
        <w:gridCol w:w="60"/>
        <w:gridCol w:w="560"/>
        <w:gridCol w:w="60"/>
        <w:gridCol w:w="120"/>
        <w:gridCol w:w="60"/>
        <w:gridCol w:w="1346"/>
        <w:gridCol w:w="77"/>
      </w:tblGrid>
      <w:tr>
        <w:trPr/>
        <w:tc>
          <w:tcPr>
            <w:tcW w:w="7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10.90†</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0">
              <w:r>
                <w:rPr>
                  <w:rStyle w:val="InternetLink"/>
                </w:rPr>
                <w:t>Amendment Agreement 1 to Prototype Supply Agreement, dated as of February 3, 2023, between Asia Europe New Energy Vehicle Manufacturing (Chongqing) Co., Ltd., Polestar Performance AB and Polestar Automotive (Chongqing)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10.91†</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1">
              <w:r>
                <w:rPr>
                  <w:rStyle w:val="InternetLink"/>
                </w:rPr>
                <w:t>Framework Service Agreement, dated as of December 23, 2022,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10.92†</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2">
              <w:r>
                <w:rPr>
                  <w:rStyle w:val="InternetLink"/>
                </w:rPr>
                <w:t>Amendment Agreement No. 1 to the Polestar 2 Model Year Program License, License Assignment and Service Agreement, dated as of December 13, 2022, between Volvo Car Corporation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10.93†</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3">
              <w:r>
                <w:rPr>
                  <w:rStyle w:val="InternetLink"/>
                </w:rPr>
                <w:t>Change Management Agreement, dated as of December 31, 2022,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10.94†</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4">
              <w:r>
                <w:rPr>
                  <w:rStyle w:val="InternetLink"/>
                </w:rPr>
                <w:t>Service Agreement, dated as of July 7, 2022, between Volvo Car Corporation and Polestar Automotive China Distribution Co. Ltd., as amended by Amendment Agreement No. 1, dated as of March 22, 2023, between Volvo Car Corporation and Polestar Automotive China Distribution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10.95</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5">
              <w:r>
                <w:rPr>
                  <w:rStyle w:val="InternetLink"/>
                </w:rPr>
                <w:t>Term Loan Facility, dated November 3, 2022, by and between Polestar Automotive Holding UK PLC, as borrower, and Snita Holding B.V., as original lender and agent.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6-K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November 3, 2022</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10.96†</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6">
              <w:r>
                <w:rPr>
                  <w:rStyle w:val="InternetLink"/>
                </w:rPr>
                <w:t>Amendment and Restatement Agreement to Trade Finance Facility Agreement, dated February 26, 2023, between Polestar Performance AB, as Borrower and Obligors’ Agent, Standard Charter Bank, as Agent, and Standard Chartered Bank, as Security Agent.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10.97†</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7">
              <w:r>
                <w:rPr>
                  <w:rStyle w:val="InternetLink"/>
                </w:rPr>
                <w:t>Amendment Agreement No. 1, dated September 22, 2022, between Volvo Car Corporation and Polestar Performance AB.</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4.101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10.98†</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8">
              <w:r>
                <w:rPr>
                  <w:rStyle w:val="InternetLink"/>
                </w:rPr>
                <w:t>Service Agreement, dated November 22, 2022, between Zhongjia Automobile Manufacturing (Chengdu) Co., Ltd. and Polestar Automotive China Distribution Co. Ltd., as amended by Amendment Agreement No. 1, dated March 22, 2023, between Zhongjia Automobile Manufacturing (Chengdu) Co., Ltd. and Polestar Automotive China Distrbution Co.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4.102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r>
        <w:trPr/>
        <w:tc>
          <w:tcPr>
            <w:tcW w:w="713" w:type="dxa"/>
            <w:tcBorders/>
            <w:shd w:fill="auto" w:val="clear"/>
            <w:vAlign w:val="center"/>
          </w:tcPr>
          <w:p>
            <w:pPr>
              <w:pStyle w:val="TableContents"/>
              <w:spacing w:before="0" w:after="283"/>
              <w:rPr>
                <w:sz w:val="4"/>
                <w:szCs w:val="4"/>
              </w:rPr>
            </w:pPr>
            <w:r>
              <w:rPr>
                <w:sz w:val="4"/>
                <w:szCs w:val="4"/>
              </w:rPr>
            </w:r>
          </w:p>
        </w:tc>
        <w:tc>
          <w:tcPr>
            <w:tcW w:w="6494"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603" w:type="dxa"/>
            <w:gridSpan w:val="4"/>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283"/>
              <w:rPr/>
            </w:pPr>
            <w:r>
              <w:rPr/>
              <w:t>  </w:t>
            </w:r>
            <w:r>
              <w:rPr/>
              <w:t>21.1</w:t>
            </w:r>
          </w:p>
        </w:tc>
        <w:tc>
          <w:tcPr>
            <w:tcW w:w="120" w:type="dxa"/>
            <w:tcBorders/>
            <w:shd w:fill="auto" w:val="clear"/>
            <w:vAlign w:val="center"/>
          </w:tcPr>
          <w:p>
            <w:pPr>
              <w:pStyle w:val="TableContents"/>
              <w:spacing w:before="0" w:after="283"/>
              <w:rPr/>
            </w:pPr>
            <w:r>
              <w:rPr/>
              <w:t>  </w:t>
            </w:r>
          </w:p>
        </w:tc>
        <w:tc>
          <w:tcPr>
            <w:tcW w:w="6374" w:type="dxa"/>
            <w:tcBorders/>
            <w:shd w:fill="auto" w:val="clear"/>
            <w:vAlign w:val="center"/>
          </w:tcPr>
          <w:p>
            <w:pPr>
              <w:pStyle w:val="TableContents"/>
              <w:spacing w:before="0" w:after="283"/>
              <w:rPr/>
            </w:pPr>
            <w:hyperlink r:id="rId109">
              <w:r>
                <w:rPr>
                  <w:rStyle w:val="InternetLink"/>
                </w:rPr>
                <w:t>Subsidiaries of Polestar Automotive UK PLC.</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jc w:val="right"/>
              <w:rPr/>
            </w:pPr>
            <w:r>
              <w:rPr/>
              <w:t>20-F</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jc w:val="right"/>
              <w:rPr/>
            </w:pPr>
            <w:r>
              <w:rPr/>
              <w:t>April 14, 2023</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15"/>
        <w:gridCol w:w="120"/>
        <w:gridCol w:w="6620"/>
        <w:gridCol w:w="120"/>
        <w:gridCol w:w="60"/>
        <w:gridCol w:w="353"/>
        <w:gridCol w:w="60"/>
        <w:gridCol w:w="120"/>
        <w:gridCol w:w="60"/>
        <w:gridCol w:w="560"/>
        <w:gridCol w:w="60"/>
        <w:gridCol w:w="120"/>
        <w:gridCol w:w="60"/>
        <w:gridCol w:w="1000"/>
        <w:gridCol w:w="77"/>
      </w:tblGrid>
      <w:tr>
        <w:trPr/>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23.1*</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hyperlink w:anchor="d472016dex231.htm">
              <w:r>
                <w:rPr>
                  <w:rStyle w:val="InternetLink"/>
                </w:rPr>
                <w:t xml:space="preserve">Consent of Deloitte AB, independent registered accounting firm to Polestar Automotive Holding UK PLC (formerly known as Polestar Automotive Holding UK Limited).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23.2</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hyperlink r:id="rId110">
              <w:r>
                <w:rPr>
                  <w:rStyle w:val="InternetLink"/>
                </w:rPr>
                <w:t>Consent of Kirkland &amp; Ellis International LLP (included in Exhibit 5.1).</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right"/>
              <w:rPr/>
            </w:pPr>
            <w:r>
              <w:rPr/>
              <w:t>F-1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jc w:val="right"/>
              <w:rPr/>
            </w:pPr>
            <w:r>
              <w:rPr/>
              <w:t>July 12, 2022</w:t>
            </w:r>
          </w:p>
        </w:tc>
        <w:tc>
          <w:tcPr>
            <w:tcW w:w="77"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24.1</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hyperlink w:anchor="sig">
              <w:r>
                <w:rPr>
                  <w:rStyle w:val="InternetLink"/>
                </w:rPr>
                <w:t xml:space="preserve">Power of Attorney (included on the signature page to the initial filing of this registration statement).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99.1</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hyperlink r:id="rId111">
              <w:r>
                <w:rPr>
                  <w:rStyle w:val="InternetLink"/>
                </w:rPr>
                <w:t>Declaration of Intent, dated March 3, 2022, by Snita Holding B.V.</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99.12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99.2</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hyperlink r:id="rId112">
              <w:r>
                <w:rPr>
                  <w:rStyle w:val="InternetLink"/>
                </w:rPr>
                <w:t>Declaration of Intent, dated March 3, 2022, by PSD Investment Ltd.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right"/>
              <w:rPr/>
            </w:pPr>
            <w:r>
              <w:rPr/>
              <w:t>F-4/A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99.13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jc w:val="right"/>
              <w:rPr/>
            </w:pPr>
            <w:r>
              <w:rPr/>
              <w:t>May 23, 2022</w:t>
            </w:r>
          </w:p>
        </w:tc>
        <w:tc>
          <w:tcPr>
            <w:tcW w:w="77"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101. INS*</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Inline XBRL Instance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101. SCH*</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Inline XBRL Taxonomy Extension Schema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101. CAL*</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Inline XBRL Taxonomy Extension Calculation Linkbase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101. DEF*</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Inline XBRL Taxonomy Extension Definition Linkbase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101. LAB*</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Inline XBRL Taxonomy Extension Label Linkbase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101. PRE*</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Inline XBRL Taxonomy Extension Presentation Linkbase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r>
              <w:rPr/>
              <w:t>Cover Page Interactive Data Filed (embedded within the Inline XBRL document).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sz w:val="4"/>
                <w:szCs w:val="4"/>
              </w:rPr>
            </w:pPr>
            <w:r>
              <w:rPr>
                <w:sz w:val="4"/>
                <w:szCs w:val="4"/>
              </w:rPr>
            </w:r>
          </w:p>
        </w:tc>
        <w:tc>
          <w:tcPr>
            <w:tcW w:w="6740" w:type="dxa"/>
            <w:gridSpan w:val="2"/>
            <w:tcBorders/>
            <w:shd w:fill="auto" w:val="clear"/>
            <w:vAlign w:val="center"/>
          </w:tcPr>
          <w:p>
            <w:pPr>
              <w:pStyle w:val="TableContents"/>
              <w:spacing w:before="0" w:after="283"/>
              <w:rPr>
                <w:sz w:val="4"/>
                <w:szCs w:val="4"/>
              </w:rPr>
            </w:pPr>
            <w:r>
              <w:rPr>
                <w:sz w:val="4"/>
                <w:szCs w:val="4"/>
              </w:rPr>
            </w:r>
          </w:p>
        </w:tc>
        <w:tc>
          <w:tcPr>
            <w:tcW w:w="593"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107</w:t>
            </w:r>
          </w:p>
        </w:tc>
        <w:tc>
          <w:tcPr>
            <w:tcW w:w="12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283"/>
              <w:rPr/>
            </w:pPr>
            <w:hyperlink r:id="rId113">
              <w:r>
                <w:rPr>
                  <w:rStyle w:val="InternetLink"/>
                </w:rPr>
                <w:t>Filing Fee Table</w:t>
              </w:r>
            </w:hyperlink>
            <w:r>
              <w:rPr/>
              <w: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right"/>
              <w:rPr/>
            </w:pPr>
            <w:r>
              <w:rPr/>
              <w:t>F-1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jc w:val="right"/>
              <w:rPr/>
            </w:pPr>
            <w:r>
              <w:rPr/>
              <w:t>July 12, 2022</w:t>
            </w:r>
          </w:p>
        </w:tc>
        <w:tc>
          <w:tcPr>
            <w:tcW w:w="77"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450" w:type="dxa"/>
        <w:jc w:val="left"/>
        <w:tblInd w:w="0" w:type="dxa"/>
        <w:tblCellMar>
          <w:top w:w="0" w:type="dxa"/>
          <w:left w:w="0" w:type="dxa"/>
          <w:bottom w:w="0" w:type="dxa"/>
          <w:right w:w="0" w:type="dxa"/>
        </w:tblCellMar>
      </w:tblPr>
      <w:tblGrid>
        <w:gridCol w:w="155"/>
        <w:gridCol w:w="1295"/>
      </w:tblGrid>
      <w:tr>
        <w:trPr/>
        <w:tc>
          <w:tcPr>
            <w:tcW w:w="155" w:type="dxa"/>
            <w:tcBorders/>
            <w:shd w:fill="auto" w:val="clear"/>
            <w:vAlign w:val="center"/>
          </w:tcPr>
          <w:p>
            <w:pPr>
              <w:pStyle w:val="TableContents"/>
              <w:spacing w:before="0" w:after="283"/>
              <w:jc w:val="left"/>
              <w:rPr/>
            </w:pPr>
            <w:r>
              <w:rPr/>
              <w:t>*</w:t>
            </w:r>
          </w:p>
        </w:tc>
        <w:tc>
          <w:tcPr>
            <w:tcW w:w="1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Filed herewith. </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w:t>
            </w:r>
          </w:p>
        </w:tc>
        <w:tc>
          <w:tcPr>
            <w:tcW w:w="9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Form 8-K was originally filed by Gores Guggenheim, Inc., which became a subsidiary of Polestar in connection with the Business Combination. </w:t>
            </w:r>
          </w:p>
        </w:tc>
      </w:tr>
    </w:tbl>
    <w:tbl>
      <w:tblPr>
        <w:tblW w:w="4615" w:type="dxa"/>
        <w:jc w:val="left"/>
        <w:tblInd w:w="0" w:type="dxa"/>
        <w:tblCellMar>
          <w:top w:w="0" w:type="dxa"/>
          <w:left w:w="0" w:type="dxa"/>
          <w:bottom w:w="0" w:type="dxa"/>
          <w:right w:w="0" w:type="dxa"/>
        </w:tblCellMar>
      </w:tblPr>
      <w:tblGrid>
        <w:gridCol w:w="170"/>
        <w:gridCol w:w="4445"/>
      </w:tblGrid>
      <w:tr>
        <w:trPr/>
        <w:tc>
          <w:tcPr>
            <w:tcW w:w="170" w:type="dxa"/>
            <w:tcBorders/>
            <w:shd w:fill="auto" w:val="clear"/>
            <w:vAlign w:val="center"/>
          </w:tcPr>
          <w:p>
            <w:pPr>
              <w:pStyle w:val="TableContents"/>
              <w:spacing w:before="0" w:after="283"/>
              <w:jc w:val="left"/>
              <w:rPr/>
            </w:pPr>
            <w:r>
              <w:rPr/>
              <w:t>+</w:t>
            </w:r>
          </w:p>
        </w:tc>
        <w:tc>
          <w:tcPr>
            <w:tcW w:w="4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confidential information (indicated by brackets and asterisks) has been omitted from this exhibit because it is both (i) not material and (ii) the type of information that the registrant treats as private or confidential. </w:t>
            </w:r>
          </w:p>
        </w:tc>
      </w:tr>
    </w:tbl>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schedules and similar attachments to the exhibit have been omitted in accordance with Regulation S-K Item 601(a)(5). </w:t>
            </w:r>
          </w:p>
        </w:tc>
      </w:tr>
    </w:tbl>
    <w:p>
      <w:pPr>
        <w:pStyle w:val="TextBody"/>
        <w:spacing w:before="360" w:after="0"/>
        <w:jc w:val="left"/>
        <w:rPr>
          <w:rFonts w:ascii="Times New Roman" w:hAnsi="Times New Roman"/>
          <w:b/>
          <w:sz w:val="20"/>
        </w:rPr>
      </w:pPr>
      <w:r>
        <w:rPr>
          <w:rFonts w:ascii="Times New Roman" w:hAnsi="Times New Roman"/>
          <w:b/>
          <w:sz w:val="20"/>
        </w:rPr>
        <w:t xml:space="preserve">(b) Financial Statement Schedules </w:t>
      </w:r>
    </w:p>
    <w:p>
      <w:pPr>
        <w:pStyle w:val="TextBody"/>
        <w:spacing w:before="120" w:after="0"/>
        <w:jc w:val="left"/>
        <w:rPr>
          <w:rFonts w:ascii="Times New Roman" w:hAnsi="Times New Roman"/>
          <w:sz w:val="20"/>
        </w:rPr>
      </w:pPr>
      <w:r>
        <w:rPr>
          <w:rFonts w:ascii="Times New Roman" w:hAnsi="Times New Roman"/>
          <w:sz w:val="20"/>
        </w:rPr>
        <w:t xml:space="preserve">All financial statement schedules have been omitted since they are not required or are not applicable or the required information is shown in the consolidated financial statements or notes thereto. </w:t>
      </w:r>
    </w:p>
    <w:p>
      <w:pPr>
        <w:pStyle w:val="TextBody"/>
        <w:spacing w:before="360" w:after="0"/>
        <w:jc w:val="left"/>
        <w:rPr>
          <w:rFonts w:ascii="Times New Roman" w:hAnsi="Times New Roman"/>
          <w:b/>
          <w:sz w:val="20"/>
        </w:rPr>
      </w:pPr>
      <w:r>
        <w:rPr>
          <w:rFonts w:ascii="Times New Roman" w:hAnsi="Times New Roman"/>
          <w:b/>
          <w:sz w:val="20"/>
        </w:rPr>
        <w:t xml:space="preserve">(c) Filing Fee Table </w:t>
      </w:r>
    </w:p>
    <w:p>
      <w:pPr>
        <w:pStyle w:val="TextBody"/>
        <w:spacing w:before="120" w:after="0"/>
        <w:jc w:val="left"/>
        <w:rPr>
          <w:rFonts w:ascii="Times New Roman" w:hAnsi="Times New Roman"/>
          <w:sz w:val="20"/>
        </w:rPr>
      </w:pPr>
      <w:r>
        <w:rPr>
          <w:rFonts w:ascii="Times New Roman" w:hAnsi="Times New Roman"/>
          <w:sz w:val="20"/>
        </w:rPr>
        <w:t xml:space="preserve">The information has been filed as Exhibit 107 to this registration statement. </w:t>
      </w:r>
    </w:p>
    <w:p>
      <w:pPr>
        <w:pStyle w:val="TextBody"/>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To include any prospectus required by Section 10(a)(3) of the Securities Act; </w:t>
      </w:r>
    </w:p>
    <w:p>
      <w:pPr>
        <w:pStyle w:val="TextBody"/>
        <w:spacing w:before="24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p>
      <w:pPr>
        <w:pStyle w:val="TextBody"/>
        <w:spacing w:before="24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w:t>
      </w:r>
    </w:p>
    <w:p>
      <w:pPr>
        <w:pStyle w:val="TextBody"/>
        <w:spacing w:before="24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if the registrant is relying on Rule 430B; </w:t>
      </w:r>
    </w:p>
    <w:p>
      <w:pPr>
        <w:pStyle w:val="TextBody"/>
        <w:spacing w:before="24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spacing w:before="24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24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p>
      <w:pPr>
        <w:pStyle w:val="TextBody"/>
        <w:spacing w:before="24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p>
      <w:pPr>
        <w:pStyle w:val="TextBody"/>
        <w:spacing w:before="24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p>
      <w:pPr>
        <w:pStyle w:val="TextBody"/>
        <w:spacing w:before="24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240" w:after="0"/>
        <w:jc w:val="left"/>
        <w:rPr>
          <w:rFonts w:ascii="Times New Roman" w:hAnsi="Times New Roman"/>
          <w:sz w:val="20"/>
        </w:rPr>
      </w:pPr>
      <w:r>
        <w:rPr>
          <w:rFonts w:ascii="Times New Roman" w:hAnsi="Times New Roman"/>
          <w:sz w:val="20"/>
        </w:rPr>
        <w:t xml:space="preserve">The undersigned Registrant hereby undertakes that: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TextBody"/>
        <w:spacing w:before="24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sig"/>
      <w:bookmarkEnd w:id="33"/>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post-effective amendment no. 2 to the registration statement to be signed on its behalf by the undersigned, thereunto duly authorized, in the City of Gothenburg, Sweden, on April 21, 2023. </w:t>
      </w:r>
    </w:p>
    <w:p>
      <w:pPr>
        <w:pStyle w:val="TextBody"/>
        <w:spacing w:before="0" w:after="0"/>
        <w:jc w:val="left"/>
        <w:rPr/>
      </w:pPr>
      <w:r>
        <w:rPr/>
        <w:t> </w:t>
      </w:r>
    </w:p>
    <w:tbl>
      <w:tblPr>
        <w:tblW w:w="5329" w:type="dxa"/>
        <w:jc w:val="left"/>
        <w:tblInd w:w="0" w:type="dxa"/>
        <w:tblCellMar>
          <w:top w:w="0" w:type="dxa"/>
          <w:left w:w="0" w:type="dxa"/>
          <w:bottom w:w="0" w:type="dxa"/>
          <w:right w:w="0" w:type="dxa"/>
        </w:tblCellMar>
      </w:tblPr>
      <w:tblGrid>
        <w:gridCol w:w="825"/>
        <w:gridCol w:w="130"/>
        <w:gridCol w:w="4374"/>
      </w:tblGrid>
      <w:tr>
        <w:trPr/>
        <w:tc>
          <w:tcPr>
            <w:tcW w:w="82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4374" w:type="dxa"/>
            <w:tcBorders/>
            <w:shd w:fill="auto" w:val="clear"/>
            <w:vAlign w:val="center"/>
          </w:tcPr>
          <w:p>
            <w:pPr>
              <w:pStyle w:val="TableContents"/>
              <w:spacing w:before="0" w:after="283"/>
              <w:rPr>
                <w:sz w:val="4"/>
                <w:szCs w:val="4"/>
              </w:rPr>
            </w:pPr>
            <w:r>
              <w:rPr>
                <w:sz w:val="4"/>
                <w:szCs w:val="4"/>
              </w:rPr>
            </w:r>
          </w:p>
        </w:tc>
      </w:tr>
      <w:tr>
        <w:trPr/>
        <w:tc>
          <w:tcPr>
            <w:tcW w:w="5329" w:type="dxa"/>
            <w:gridSpan w:val="3"/>
            <w:tcBorders/>
            <w:shd w:fill="auto" w:val="clear"/>
            <w:vAlign w:val="center"/>
          </w:tcPr>
          <w:p>
            <w:pPr>
              <w:pStyle w:val="TableContents"/>
              <w:spacing w:before="0" w:after="283"/>
              <w:rPr>
                <w:b/>
              </w:rPr>
            </w:pPr>
            <w:r>
              <w:rPr>
                <w:b/>
              </w:rPr>
              <w:t>POLESTAR AUTOMOTIVE HOLDING UK PLC</w:t>
            </w:r>
          </w:p>
        </w:tc>
      </w:tr>
      <w:tr>
        <w:trPr/>
        <w:tc>
          <w:tcPr>
            <w:tcW w:w="825" w:type="dxa"/>
            <w:tcBorders/>
            <w:shd w:fill="auto" w:val="clear"/>
            <w:vAlign w:val="center"/>
          </w:tcPr>
          <w:p>
            <w:pPr>
              <w:pStyle w:val="TableContents"/>
              <w:spacing w:before="0" w:after="283"/>
              <w:rPr>
                <w:sz w:val="4"/>
                <w:szCs w:val="4"/>
              </w:rPr>
            </w:pPr>
            <w:r>
              <w:rPr>
                <w:sz w:val="4"/>
                <w:szCs w:val="4"/>
              </w:rPr>
            </w:r>
          </w:p>
        </w:tc>
        <w:tc>
          <w:tcPr>
            <w:tcW w:w="4504" w:type="dxa"/>
            <w:gridSpan w:val="2"/>
            <w:tcBorders/>
            <w:shd w:fill="auto" w:val="clear"/>
            <w:vAlign w:val="center"/>
          </w:tcPr>
          <w:p>
            <w:pPr>
              <w:pStyle w:val="TableContents"/>
              <w:spacing w:before="0" w:after="283"/>
              <w:rPr>
                <w:sz w:val="4"/>
                <w:szCs w:val="4"/>
              </w:rPr>
            </w:pPr>
            <w:r>
              <w:rPr>
                <w:sz w:val="4"/>
                <w:szCs w:val="4"/>
              </w:rPr>
            </w:r>
          </w:p>
        </w:tc>
      </w:tr>
      <w:tr>
        <w:trPr/>
        <w:tc>
          <w:tcPr>
            <w:tcW w:w="825" w:type="dxa"/>
            <w:tcBorders/>
            <w:shd w:fill="auto" w:val="clear"/>
            <w:vAlign w:val="center"/>
          </w:tcPr>
          <w:p>
            <w:pPr>
              <w:pStyle w:val="TableContents"/>
              <w:spacing w:before="0" w:after="283"/>
              <w:rPr/>
            </w:pPr>
            <w:r>
              <w:rPr/>
              <w:t>By:</w:t>
            </w:r>
          </w:p>
        </w:tc>
        <w:tc>
          <w:tcPr>
            <w:tcW w:w="130" w:type="dxa"/>
            <w:tcBorders>
              <w:bottom w:val="single" w:sz="6" w:space="0" w:color="000000"/>
            </w:tcBorders>
            <w:shd w:fill="auto" w:val="clear"/>
            <w:tcMar>
              <w:bottom w:w="28" w:type="dxa"/>
            </w:tcMar>
            <w:vAlign w:val="center"/>
          </w:tcPr>
          <w:p>
            <w:pPr>
              <w:pStyle w:val="TableContents"/>
              <w:spacing w:before="0" w:after="283"/>
              <w:rPr/>
            </w:pPr>
            <w:r>
              <w:rPr/>
              <w:t> </w:t>
            </w:r>
          </w:p>
        </w:tc>
        <w:tc>
          <w:tcPr>
            <w:tcW w:w="4374" w:type="dxa"/>
            <w:tcBorders>
              <w:bottom w:val="single" w:sz="6" w:space="0" w:color="000000"/>
            </w:tcBorders>
            <w:shd w:fill="auto" w:val="clear"/>
            <w:tcMar>
              <w:bottom w:w="28" w:type="dxa"/>
            </w:tcMar>
            <w:vAlign w:val="center"/>
          </w:tcPr>
          <w:p>
            <w:pPr>
              <w:pStyle w:val="TableContents"/>
              <w:spacing w:before="0" w:after="283"/>
              <w:rPr/>
            </w:pPr>
            <w:r>
              <w:rPr/>
              <w:t>/s/ Thomas Ingenlath</w:t>
            </w:r>
          </w:p>
        </w:tc>
      </w:tr>
    </w:tbl>
    <w:tbl>
      <w:tblPr>
        <w:tblW w:w="2575" w:type="dxa"/>
        <w:jc w:val="left"/>
        <w:tblInd w:w="0" w:type="dxa"/>
        <w:tblCellMar>
          <w:top w:w="0" w:type="dxa"/>
          <w:left w:w="0" w:type="dxa"/>
          <w:bottom w:w="0" w:type="dxa"/>
          <w:right w:w="0" w:type="dxa"/>
        </w:tblCellMar>
      </w:tblPr>
      <w:tblGrid>
        <w:gridCol w:w="560"/>
        <w:gridCol w:w="60"/>
        <w:gridCol w:w="1955"/>
      </w:tblGrid>
      <w:tr>
        <w:trPr/>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Name:</w:t>
            </w:r>
          </w:p>
        </w:tc>
        <w:tc>
          <w:tcPr>
            <w:tcW w:w="6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Ingenlath</w:t>
            </w:r>
          </w:p>
        </w:tc>
      </w:tr>
      <w:tr>
        <w:trPr/>
        <w:tc>
          <w:tcPr>
            <w:tcW w:w="5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this post-effective amendment no. 2 to the registration statement has been signed by the following persons in the capacities and on the dates indicated. </w:t>
      </w:r>
    </w:p>
    <w:p>
      <w:pPr>
        <w:pStyle w:val="TextBody"/>
        <w:spacing w:before="0" w:after="0"/>
        <w:jc w:val="left"/>
        <w:rPr/>
      </w:pPr>
      <w:r>
        <w:rPr/>
        <w:t> </w:t>
      </w:r>
    </w:p>
    <w:tbl>
      <w:tblPr>
        <w:tblW w:w="7695" w:type="dxa"/>
        <w:jc w:val="left"/>
        <w:tblInd w:w="0" w:type="dxa"/>
        <w:tblCellMar>
          <w:top w:w="0" w:type="dxa"/>
          <w:left w:w="0" w:type="dxa"/>
          <w:bottom w:w="0" w:type="dxa"/>
          <w:right w:w="0" w:type="dxa"/>
        </w:tblCellMar>
      </w:tblPr>
      <w:tblGrid>
        <w:gridCol w:w="2195"/>
        <w:gridCol w:w="120"/>
        <w:gridCol w:w="3890"/>
        <w:gridCol w:w="60"/>
        <w:gridCol w:w="1430"/>
      </w:tblGrid>
      <w:tr>
        <w:trPr/>
        <w:tc>
          <w:tcPr>
            <w:tcW w:w="21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pPr>
            <w:r>
              <w:rPr/>
              <w:t>NAME</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DATE</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Thomas Ingenlath</w:t>
            </w:r>
          </w:p>
          <w:p>
            <w:pPr>
              <w:pStyle w:val="TableContents"/>
              <w:spacing w:before="0" w:after="20"/>
              <w:rPr>
                <w:rFonts w:ascii="Times New Roman" w:hAnsi="Times New Roman"/>
                <w:sz w:val="20"/>
              </w:rPr>
            </w:pPr>
            <w:r>
              <w:rPr>
                <w:rFonts w:ascii="Times New Roman" w:hAnsi="Times New Roman"/>
                <w:sz w:val="20"/>
              </w:rPr>
              <w:t>Thomas Ingenlath</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Executive Officer and Director</w:t>
            </w:r>
          </w:p>
          <w:p>
            <w:pPr>
              <w:pStyle w:val="TableContents"/>
              <w:spacing w:before="0" w:after="20"/>
              <w:rPr>
                <w:rFonts w:ascii="Times New Roman" w:hAnsi="Times New Roman"/>
                <w:i/>
                <w:sz w:val="20"/>
              </w:rPr>
            </w:pPr>
            <w:r>
              <w:rPr>
                <w:rFonts w:ascii="Times New Roman" w:hAnsi="Times New Roman"/>
                <w:i/>
                <w:sz w:val="20"/>
              </w:rPr>
              <w:t>(Principal Executive Officer)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Johan Malmqvist</w:t>
            </w:r>
          </w:p>
          <w:p>
            <w:pPr>
              <w:pStyle w:val="TableContents"/>
              <w:spacing w:before="0" w:after="20"/>
              <w:rPr>
                <w:rFonts w:ascii="Times New Roman" w:hAnsi="Times New Roman"/>
                <w:sz w:val="20"/>
              </w:rPr>
            </w:pPr>
            <w:r>
              <w:rPr>
                <w:rFonts w:ascii="Times New Roman" w:hAnsi="Times New Roman"/>
                <w:sz w:val="20"/>
              </w:rPr>
              <w:t>Johan Malmqvist</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Roger Molin</w:t>
            </w:r>
          </w:p>
          <w:p>
            <w:pPr>
              <w:pStyle w:val="TableContents"/>
              <w:spacing w:before="0" w:after="20"/>
              <w:rPr>
                <w:rFonts w:ascii="Times New Roman" w:hAnsi="Times New Roman"/>
                <w:sz w:val="20"/>
              </w:rPr>
            </w:pPr>
            <w:r>
              <w:rPr>
                <w:rFonts w:ascii="Times New Roman" w:hAnsi="Times New Roman"/>
                <w:sz w:val="20"/>
              </w:rPr>
              <w:t>Roger Molin</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Head of Group Financial Accounting &amp; Control</w:t>
            </w:r>
          </w:p>
          <w:p>
            <w:pPr>
              <w:pStyle w:val="TableContents"/>
              <w:spacing w:before="0" w:after="20"/>
              <w:rPr>
                <w:rFonts w:ascii="Times New Roman" w:hAnsi="Times New Roman"/>
                <w:i/>
                <w:sz w:val="20"/>
              </w:rPr>
            </w:pPr>
            <w:r>
              <w:rPr>
                <w:rFonts w:ascii="Times New Roman" w:hAnsi="Times New Roman"/>
                <w:i/>
                <w:sz w:val="20"/>
              </w:rPr>
              <w:t>(Principal Accounting Officer)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Håkan Samuelsson</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Carla De Geyseleer</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Karen C. Francis</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Donghui (Daniel) Li</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Dr. Karl-Thomas Neumann</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David Richter</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James Rowan</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149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Zhe (David) Wei</w:t>
            </w:r>
          </w:p>
        </w:tc>
        <w:tc>
          <w:tcPr>
            <w:tcW w:w="12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April 21, 2023</w:t>
            </w:r>
          </w:p>
        </w:tc>
      </w:tr>
    </w:tbl>
    <w:p>
      <w:pPr>
        <w:pStyle w:val="TextBody"/>
        <w:spacing w:before="0" w:after="0"/>
        <w:jc w:val="left"/>
        <w:rPr/>
      </w:pPr>
      <w:r>
        <w:rPr/>
        <w:t> </w:t>
      </w:r>
    </w:p>
    <w:tbl>
      <w:tblPr>
        <w:tblW w:w="2245" w:type="dxa"/>
        <w:jc w:val="left"/>
        <w:tblInd w:w="0" w:type="dxa"/>
        <w:tblCellMar>
          <w:top w:w="0" w:type="dxa"/>
          <w:left w:w="0" w:type="dxa"/>
          <w:bottom w:w="0" w:type="dxa"/>
          <w:right w:w="0" w:type="dxa"/>
        </w:tblCellMar>
      </w:tblPr>
      <w:tblGrid>
        <w:gridCol w:w="440"/>
        <w:gridCol w:w="60"/>
        <w:gridCol w:w="1745"/>
      </w:tblGrid>
      <w:tr>
        <w:trPr/>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*By:</w:t>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Thomas Ingenlath</w:t>
            </w:r>
          </w:p>
        </w:tc>
      </w:tr>
      <w:tr>
        <w:trPr/>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Ingenlath</w:t>
            </w:r>
          </w:p>
        </w:tc>
      </w:tr>
      <w:tr>
        <w:trPr/>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Attorney-in-fact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 OF AUTHORIZED REPRESENTATIVE OF THE REGISTRANT </w:t>
      </w:r>
    </w:p>
    <w:p>
      <w:pPr>
        <w:pStyle w:val="TextBody"/>
        <w:spacing w:before="240" w:after="0"/>
        <w:jc w:val="left"/>
        <w:rPr>
          <w:rFonts w:ascii="Times New Roman" w:hAnsi="Times New Roman"/>
          <w:sz w:val="20"/>
        </w:rPr>
      </w:pPr>
      <w:r>
        <w:rPr>
          <w:rFonts w:ascii="Times New Roman" w:hAnsi="Times New Roman"/>
          <w:sz w:val="20"/>
        </w:rPr>
        <w:t xml:space="preserve">Pursuant to the Securities Act of 1933, as amended, the undersigned, a duly authorized representative of Polestar Automotive Holding UK PLC in the United States, has signed this post-effective amendment no. 2 to the registration statement on April 21, 2023. </w:t>
      </w:r>
    </w:p>
    <w:p>
      <w:pPr>
        <w:pStyle w:val="TextBody"/>
        <w:spacing w:before="0" w:after="0"/>
        <w:jc w:val="left"/>
        <w:rPr/>
      </w:pPr>
      <w:r>
        <w:rPr/>
        <w:t> </w:t>
      </w:r>
    </w:p>
    <w:tbl>
      <w:tblPr>
        <w:tblW w:w="8809" w:type="dxa"/>
        <w:jc w:val="left"/>
        <w:tblInd w:w="0" w:type="dxa"/>
        <w:tblCellMar>
          <w:top w:w="0" w:type="dxa"/>
          <w:left w:w="0" w:type="dxa"/>
          <w:bottom w:w="0" w:type="dxa"/>
          <w:right w:w="0" w:type="dxa"/>
        </w:tblCellMar>
      </w:tblPr>
      <w:tblGrid>
        <w:gridCol w:w="1716"/>
        <w:gridCol w:w="183"/>
        <w:gridCol w:w="6910"/>
      </w:tblGrid>
      <w:tr>
        <w:trPr/>
        <w:tc>
          <w:tcPr>
            <w:tcW w:w="171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6910" w:type="dxa"/>
            <w:tcBorders/>
            <w:shd w:fill="auto" w:val="clear"/>
            <w:vAlign w:val="center"/>
          </w:tcPr>
          <w:p>
            <w:pPr>
              <w:pStyle w:val="TableContents"/>
              <w:spacing w:before="0" w:after="283"/>
              <w:rPr>
                <w:sz w:val="4"/>
                <w:szCs w:val="4"/>
              </w:rPr>
            </w:pPr>
            <w:r>
              <w:rPr>
                <w:sz w:val="4"/>
                <w:szCs w:val="4"/>
              </w:rPr>
            </w:r>
          </w:p>
        </w:tc>
      </w:tr>
      <w:tr>
        <w:trPr/>
        <w:tc>
          <w:tcPr>
            <w:tcW w:w="8809" w:type="dxa"/>
            <w:gridSpan w:val="3"/>
            <w:tcBorders/>
            <w:shd w:fill="auto" w:val="clear"/>
            <w:vAlign w:val="center"/>
          </w:tcPr>
          <w:p>
            <w:pPr>
              <w:pStyle w:val="TableContents"/>
              <w:spacing w:before="0" w:after="283"/>
              <w:rPr/>
            </w:pPr>
            <w:r>
              <w:rPr>
                <w:b/>
              </w:rPr>
              <w:t xml:space="preserve">POLESTAR AUTOMOTIVE USA INC., </w:t>
            </w:r>
            <w:r>
              <w:rPr/>
              <w:t>Authorized Representative in the United States</w:t>
            </w:r>
          </w:p>
        </w:tc>
      </w:tr>
      <w:tr>
        <w:trPr/>
        <w:tc>
          <w:tcPr>
            <w:tcW w:w="1716" w:type="dxa"/>
            <w:tcBorders/>
            <w:shd w:fill="auto" w:val="clear"/>
            <w:vAlign w:val="center"/>
          </w:tcPr>
          <w:p>
            <w:pPr>
              <w:pStyle w:val="TableContents"/>
              <w:spacing w:before="0" w:after="283"/>
              <w:rPr>
                <w:sz w:val="4"/>
                <w:szCs w:val="4"/>
              </w:rPr>
            </w:pPr>
            <w:r>
              <w:rPr>
                <w:sz w:val="4"/>
                <w:szCs w:val="4"/>
              </w:rPr>
            </w:r>
          </w:p>
        </w:tc>
        <w:tc>
          <w:tcPr>
            <w:tcW w:w="7093" w:type="dxa"/>
            <w:gridSpan w:val="2"/>
            <w:tcBorders/>
            <w:shd w:fill="auto" w:val="clear"/>
            <w:vAlign w:val="center"/>
          </w:tcPr>
          <w:p>
            <w:pPr>
              <w:pStyle w:val="TableContents"/>
              <w:spacing w:before="0" w:after="283"/>
              <w:rPr>
                <w:sz w:val="4"/>
                <w:szCs w:val="4"/>
              </w:rPr>
            </w:pPr>
            <w:r>
              <w:rPr>
                <w:sz w:val="4"/>
                <w:szCs w:val="4"/>
              </w:rPr>
            </w:r>
          </w:p>
        </w:tc>
      </w:tr>
      <w:tr>
        <w:trPr/>
        <w:tc>
          <w:tcPr>
            <w:tcW w:w="1716" w:type="dxa"/>
            <w:tcBorders/>
            <w:shd w:fill="auto" w:val="clear"/>
            <w:vAlign w:val="center"/>
          </w:tcPr>
          <w:p>
            <w:pPr>
              <w:pStyle w:val="TableContents"/>
              <w:spacing w:before="0" w:after="283"/>
              <w:rPr/>
            </w:pPr>
            <w:r>
              <w:rPr/>
              <w:t>By:</w:t>
            </w:r>
          </w:p>
        </w:tc>
        <w:tc>
          <w:tcPr>
            <w:tcW w:w="183" w:type="dxa"/>
            <w:tcBorders>
              <w:bottom w:val="single" w:sz="6" w:space="0" w:color="000000"/>
            </w:tcBorders>
            <w:shd w:fill="auto" w:val="clear"/>
            <w:tcMar>
              <w:bottom w:w="28" w:type="dxa"/>
            </w:tcMar>
            <w:vAlign w:val="center"/>
          </w:tcPr>
          <w:p>
            <w:pPr>
              <w:pStyle w:val="TableContents"/>
              <w:spacing w:before="0" w:after="283"/>
              <w:rPr/>
            </w:pPr>
            <w:r>
              <w:rPr/>
              <w:t> </w:t>
            </w:r>
          </w:p>
        </w:tc>
        <w:tc>
          <w:tcPr>
            <w:tcW w:w="6910" w:type="dxa"/>
            <w:tcBorders>
              <w:bottom w:val="single" w:sz="6" w:space="0" w:color="000000"/>
            </w:tcBorders>
            <w:shd w:fill="auto" w:val="clear"/>
            <w:tcMar>
              <w:bottom w:w="28" w:type="dxa"/>
            </w:tcMar>
            <w:vAlign w:val="center"/>
          </w:tcPr>
          <w:p>
            <w:pPr>
              <w:pStyle w:val="TableContents"/>
              <w:spacing w:before="0" w:after="283"/>
              <w:rPr/>
            </w:pPr>
            <w:r>
              <w:rPr/>
              <w:t>/s/ Michael Whittington</w:t>
            </w:r>
          </w:p>
        </w:tc>
      </w:tr>
      <w:tr>
        <w:trPr/>
        <w:tc>
          <w:tcPr>
            <w:tcW w:w="171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Name:</w:t>
            </w:r>
          </w:p>
        </w:tc>
        <w:tc>
          <w:tcPr>
            <w:tcW w:w="183" w:type="dxa"/>
            <w:tcBorders/>
            <w:shd w:fill="auto" w:val="clear"/>
            <w:vAlign w:val="center"/>
          </w:tcPr>
          <w:p>
            <w:pPr>
              <w:pStyle w:val="TableContents"/>
              <w:spacing w:before="0" w:after="283"/>
              <w:rPr/>
            </w:pPr>
            <w:r>
              <w:rPr/>
              <w:t> </w:t>
            </w:r>
          </w:p>
        </w:tc>
        <w:tc>
          <w:tcPr>
            <w:tcW w:w="6910"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Michael Whittington</w:t>
            </w:r>
          </w:p>
        </w:tc>
      </w:tr>
      <w:tr>
        <w:trPr/>
        <w:tc>
          <w:tcPr>
            <w:tcW w:w="171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Title:</w:t>
            </w:r>
          </w:p>
        </w:tc>
        <w:tc>
          <w:tcPr>
            <w:tcW w:w="183" w:type="dxa"/>
            <w:tcBorders/>
            <w:shd w:fill="auto" w:val="clear"/>
            <w:vAlign w:val="center"/>
          </w:tcPr>
          <w:p>
            <w:pPr>
              <w:pStyle w:val="TableContents"/>
              <w:spacing w:before="0" w:after="283"/>
              <w:rPr/>
            </w:pPr>
            <w:r>
              <w:rPr/>
              <w:t> </w:t>
            </w:r>
          </w:p>
        </w:tc>
        <w:tc>
          <w:tcPr>
            <w:tcW w:w="69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II-19 </w:t>
      </w:r>
      <w:r>
        <w:br w:type="page"/>
      </w:r>
    </w:p>
    <w:p>
      <w:pPr>
        <w:pStyle w:val="TextBody"/>
        <w:spacing w:before="0" w:after="0"/>
        <w:jc w:val="right"/>
        <w:rPr>
          <w:rFonts w:ascii="Times New Roman" w:hAnsi="Times New Roman"/>
          <w:b/>
          <w:sz w:val="20"/>
        </w:rPr>
      </w:pPr>
      <w:bookmarkStart w:id="34" w:name="d472016dex231.htm"/>
      <w:bookmarkStart w:id="35" w:name="ksd472016dex231"/>
      <w:bookmarkEnd w:id="34"/>
      <w:bookmarkEnd w:id="35"/>
      <w:r>
        <w:rPr>
          <w:rFonts w:ascii="Times New Roman" w:hAnsi="Times New Roman"/>
          <w:b/>
          <w:sz w:val="20"/>
        </w:rPr>
        <w:t xml:space="preserve">Exhibit 23.1 </w:t>
      </w:r>
    </w:p>
    <w:p>
      <w:pPr>
        <w:pStyle w:val="TextBody"/>
        <w:spacing w:before="36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We consent to the use in this Registration Statement No. 333-266101 on Form F-1 of our report dated April 14, 2023, relating to the financial statements of Polestar Automotive Holding UK PLC (formerly known as Polestar Automotive Holding UK Limited). We also consent to the reference to us under the heading Experts in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/s/Deloitte AB </w:t>
      </w:r>
    </w:p>
    <w:p>
      <w:pPr>
        <w:pStyle w:val="TextBody"/>
        <w:spacing w:before="240" w:after="0"/>
        <w:jc w:val="left"/>
        <w:rPr>
          <w:rFonts w:ascii="Times New Roman" w:hAnsi="Times New Roman"/>
          <w:sz w:val="20"/>
        </w:rPr>
      </w:pPr>
      <w:r>
        <w:rPr>
          <w:rFonts w:ascii="Times New Roman" w:hAnsi="Times New Roman"/>
          <w:sz w:val="20"/>
        </w:rPr>
        <w:t xml:space="preserve">Gothenburg, Sweden </w:t>
      </w:r>
    </w:p>
    <w:p>
      <w:pPr>
        <w:pStyle w:val="TextBody"/>
        <w:spacing w:before="0" w:after="0"/>
        <w:jc w:val="left"/>
        <w:rPr>
          <w:rFonts w:ascii="Times New Roman" w:hAnsi="Times New Roman"/>
          <w:sz w:val="20"/>
        </w:rPr>
      </w:pPr>
      <w:r>
        <w:rPr>
          <w:rFonts w:ascii="Times New Roman" w:hAnsi="Times New Roman"/>
          <w:sz w:val="20"/>
        </w:rPr>
        <w:t xml:space="preserve">April 21, 2023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 w:name="pmingliu">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847127/000119312521361166/d268059dex21.htm" TargetMode="External"/><Relationship Id="rId5" Type="http://schemas.openxmlformats.org/officeDocument/2006/relationships/hyperlink" Target="http://www.sec.gov/Archives/edgar/data/1847127/000119312522085125/d327984dex21.htm" TargetMode="External"/><Relationship Id="rId6" Type="http://schemas.openxmlformats.org/officeDocument/2006/relationships/hyperlink" Target="http://www.sec.gov/Archives/edgar/data/1847127/000119312522112981/d340863dex21.htm" TargetMode="External"/><Relationship Id="rId7" Type="http://schemas.openxmlformats.org/officeDocument/2006/relationships/hyperlink" Target="http://www.sec.gov/Archives/edgar/data/1847127/000119312522182018/d371785dex41.htm" TargetMode="External"/><Relationship Id="rId8" Type="http://schemas.openxmlformats.org/officeDocument/2006/relationships/hyperlink" Target="http://www.sec.gov/Archives/edgar/data/1472033/000119380522001222/e621791_ex99-a.htm" TargetMode="External"/><Relationship Id="rId9" Type="http://schemas.openxmlformats.org/officeDocument/2006/relationships/hyperlink" Target="http://www.sec.gov/Archives/edgar/data/1884082/000119312522085479/d239003dex42.htm" TargetMode="External"/><Relationship Id="rId10" Type="http://schemas.openxmlformats.org/officeDocument/2006/relationships/hyperlink" Target="http://www.sec.gov/Archives/edgar/data/1847127/000119312522182018/d371785dex41.htm" TargetMode="External"/><Relationship Id="rId11" Type="http://schemas.openxmlformats.org/officeDocument/2006/relationships/hyperlink" Target="http://www.sec.gov/Archives/edgar/data/1884082/000119312522085479/d239003dex44.htm" TargetMode="External"/><Relationship Id="rId12" Type="http://schemas.openxmlformats.org/officeDocument/2006/relationships/hyperlink" Target="http://www.sec.gov/Archives/edgar/data/1847127/000119312522182018/d371785dex41.htm" TargetMode="External"/><Relationship Id="rId13" Type="http://schemas.openxmlformats.org/officeDocument/2006/relationships/hyperlink" Target="http://www.sec.gov/Archives/edgar/data/1884082/000119312522085479/d239003dex46.htm" TargetMode="External"/><Relationship Id="rId14" Type="http://schemas.openxmlformats.org/officeDocument/2006/relationships/hyperlink" Target="http://www.sec.gov/Archives/edgar/data/1847127/000119312522182018/d371785dex41.htm" TargetMode="External"/><Relationship Id="rId15" Type="http://schemas.openxmlformats.org/officeDocument/2006/relationships/hyperlink" Target="http://www.sec.gov/Archives/edgar/data/1884082/000119312522191881/d349361dex51.htm" TargetMode="External"/><Relationship Id="rId16" Type="http://schemas.openxmlformats.org/officeDocument/2006/relationships/hyperlink" Target="http://www.sec.gov/Archives/edgar/data/1884082/000119312522023680/d239003dex105.htm" TargetMode="External"/><Relationship Id="rId17" Type="http://schemas.openxmlformats.org/officeDocument/2006/relationships/hyperlink" Target="http://www.sec.gov/Archives/edgar/data/1884082/000119312522232925/d359855dex991.htm" TargetMode="External"/><Relationship Id="rId18" Type="http://schemas.openxmlformats.org/officeDocument/2006/relationships/hyperlink" Target="http://www.sec.gov/Archives/edgar/data/1884082/000119312522232925/d359855dex992.htm" TargetMode="External"/><Relationship Id="rId19" Type="http://schemas.openxmlformats.org/officeDocument/2006/relationships/hyperlink" Target="http://www.sec.gov/Archives/edgar/data/1884082/000119312522023680/d239003dex108.htm" TargetMode="External"/><Relationship Id="rId20" Type="http://schemas.openxmlformats.org/officeDocument/2006/relationships/hyperlink" Target="http://www.sec.gov/Archives/edgar/data/1884082/000119312522023680/d239003dex109.htm" TargetMode="External"/><Relationship Id="rId21" Type="http://schemas.openxmlformats.org/officeDocument/2006/relationships/hyperlink" Target="http://www.sec.gov/Archives/edgar/data/1884082/000119312522066540/d239003dex1010.htm" TargetMode="External"/><Relationship Id="rId22" Type="http://schemas.openxmlformats.org/officeDocument/2006/relationships/hyperlink" Target="http://www.sec.gov/Archives/edgar/data/1884082/000119312522023680/d239003dex1011.htm" TargetMode="External"/><Relationship Id="rId23" Type="http://schemas.openxmlformats.org/officeDocument/2006/relationships/hyperlink" Target="http://www.sec.gov/Archives/edgar/data/1884082/000119312522023680/d239003dex1012.htm" TargetMode="External"/><Relationship Id="rId24" Type="http://schemas.openxmlformats.org/officeDocument/2006/relationships/hyperlink" Target="http://www.sec.gov/Archives/edgar/data/1884082/000119312522023680/d239003dex1013.htm" TargetMode="External"/><Relationship Id="rId25" Type="http://schemas.openxmlformats.org/officeDocument/2006/relationships/hyperlink" Target="http://www.sec.gov/Archives/edgar/data/1884082/000119312522023680/d239003dex1014.htm" TargetMode="External"/><Relationship Id="rId26" Type="http://schemas.openxmlformats.org/officeDocument/2006/relationships/hyperlink" Target="http://www.sec.gov/Archives/edgar/data/1884082/000119312522023680/d239003dex1015.htm" TargetMode="External"/><Relationship Id="rId27" Type="http://schemas.openxmlformats.org/officeDocument/2006/relationships/hyperlink" Target="http://www.sec.gov/Archives/edgar/data/1884082/000119312522023680/d239003dex1016.htm" TargetMode="External"/><Relationship Id="rId28" Type="http://schemas.openxmlformats.org/officeDocument/2006/relationships/hyperlink" Target="http://www.sec.gov/Archives/edgar/data/1884082/000119312522066540/d239003dex1017.htm" TargetMode="External"/><Relationship Id="rId29" Type="http://schemas.openxmlformats.org/officeDocument/2006/relationships/hyperlink" Target="http://www.sec.gov/Archives/edgar/data/1884082/000119312522023680/d239003dex1018.htm" TargetMode="External"/><Relationship Id="rId30" Type="http://schemas.openxmlformats.org/officeDocument/2006/relationships/hyperlink" Target="http://www.sec.gov/Archives/edgar/data/1884082/000119312522023680/d239003dex1019.htm" TargetMode="External"/><Relationship Id="rId31" Type="http://schemas.openxmlformats.org/officeDocument/2006/relationships/hyperlink" Target="http://www.sec.gov/Archives/edgar/data/1884082/000119312522023680/d239003dex1020.htm" TargetMode="External"/><Relationship Id="rId32" Type="http://schemas.openxmlformats.org/officeDocument/2006/relationships/hyperlink" Target="http://www.sec.gov/Archives/edgar/data/1884082/000119312522023680/d239003dex1021.htm" TargetMode="External"/><Relationship Id="rId33" Type="http://schemas.openxmlformats.org/officeDocument/2006/relationships/hyperlink" Target="http://www.sec.gov/Archives/edgar/data/1884082/000119312522023680/d239003dex1022.htm" TargetMode="External"/><Relationship Id="rId34" Type="http://schemas.openxmlformats.org/officeDocument/2006/relationships/hyperlink" Target="http://www.sec.gov/Archives/edgar/data/1884082/000119312522023680/d239003dex1023.htm" TargetMode="External"/><Relationship Id="rId35" Type="http://schemas.openxmlformats.org/officeDocument/2006/relationships/hyperlink" Target="http://www.sec.gov/Archives/edgar/data/1884082/000119312522066540/d239003dex1024.htm" TargetMode="External"/><Relationship Id="rId36" Type="http://schemas.openxmlformats.org/officeDocument/2006/relationships/hyperlink" Target="http://www.sec.gov/Archives/edgar/data/1884082/000119312522023680/d239003dex1025.htm" TargetMode="External"/><Relationship Id="rId37" Type="http://schemas.openxmlformats.org/officeDocument/2006/relationships/hyperlink" Target="http://www.sec.gov/Archives/edgar/data/1884082/000119312522023680/d239003dex1026.htm" TargetMode="External"/><Relationship Id="rId38" Type="http://schemas.openxmlformats.org/officeDocument/2006/relationships/hyperlink" Target="http://www.sec.gov/Archives/edgar/data/1884082/000119312522023680/d239003dex1027.htm" TargetMode="External"/><Relationship Id="rId39" Type="http://schemas.openxmlformats.org/officeDocument/2006/relationships/hyperlink" Target="http://www.sec.gov/Archives/edgar/data/1884082/000119312522023680/d239003dex1028.htm" TargetMode="External"/><Relationship Id="rId40" Type="http://schemas.openxmlformats.org/officeDocument/2006/relationships/hyperlink" Target="http://www.sec.gov/Archives/edgar/data/1884082/000119312522066540/d239003dex1029.htm" TargetMode="External"/><Relationship Id="rId41" Type="http://schemas.openxmlformats.org/officeDocument/2006/relationships/hyperlink" Target="http://www.sec.gov/Archives/edgar/data/1884082/000119312522066540/d239003dex1030.htm" TargetMode="External"/><Relationship Id="rId42" Type="http://schemas.openxmlformats.org/officeDocument/2006/relationships/hyperlink" Target="http://www.sec.gov/Archives/edgar/data/1884082/000119312522023680/d239003dex1031.htm" TargetMode="External"/><Relationship Id="rId43" Type="http://schemas.openxmlformats.org/officeDocument/2006/relationships/hyperlink" Target="http://www.sec.gov/Archives/edgar/data/1884082/000119312522023680/d239003dex1032.htm" TargetMode="External"/><Relationship Id="rId44" Type="http://schemas.openxmlformats.org/officeDocument/2006/relationships/hyperlink" Target="http://www.sec.gov/Archives/edgar/data/1884082/000119312522023680/d239003dex1033.htm" TargetMode="External"/><Relationship Id="rId45" Type="http://schemas.openxmlformats.org/officeDocument/2006/relationships/hyperlink" Target="http://www.sec.gov/Archives/edgar/data/1884082/000119312522023680/d239003dex1034.htm" TargetMode="External"/><Relationship Id="rId46" Type="http://schemas.openxmlformats.org/officeDocument/2006/relationships/hyperlink" Target="http://www.sec.gov/Archives/edgar/data/1884082/000119312522023680/d239003dex1035.htm" TargetMode="External"/><Relationship Id="rId47" Type="http://schemas.openxmlformats.org/officeDocument/2006/relationships/hyperlink" Target="http://www.sec.gov/Archives/edgar/data/1884082/000119312522023680/d239003dex1036.htm" TargetMode="External"/><Relationship Id="rId48" Type="http://schemas.openxmlformats.org/officeDocument/2006/relationships/hyperlink" Target="http://www.sec.gov/Archives/edgar/data/1884082/000119312522023680/d239003dex1037.htm" TargetMode="External"/><Relationship Id="rId49" Type="http://schemas.openxmlformats.org/officeDocument/2006/relationships/hyperlink" Target="http://www.sec.gov/Archives/edgar/data/1884082/000119312522023680/d239003dex1038.htm" TargetMode="External"/><Relationship Id="rId50" Type="http://schemas.openxmlformats.org/officeDocument/2006/relationships/hyperlink" Target="http://www.sec.gov/Archives/edgar/data/1884082/000119312522023680/d239003dex1039.htm" TargetMode="External"/><Relationship Id="rId51" Type="http://schemas.openxmlformats.org/officeDocument/2006/relationships/hyperlink" Target="http://www.sec.gov/Archives/edgar/data/1884082/000119312522023680/d239003dex1040.htm" TargetMode="External"/><Relationship Id="rId52" Type="http://schemas.openxmlformats.org/officeDocument/2006/relationships/hyperlink" Target="http://www.sec.gov/Archives/edgar/data/1884082/000119312522023680/d239003dex1041.htm" TargetMode="External"/><Relationship Id="rId53" Type="http://schemas.openxmlformats.org/officeDocument/2006/relationships/hyperlink" Target="http://www.sec.gov/Archives/edgar/data/1884082/000119312522023680/d239003dex1042.htm" TargetMode="External"/><Relationship Id="rId54" Type="http://schemas.openxmlformats.org/officeDocument/2006/relationships/hyperlink" Target="http://www.sec.gov/Archives/edgar/data/1884082/000119312522023680/d239003dex1043.htm" TargetMode="External"/><Relationship Id="rId55" Type="http://schemas.openxmlformats.org/officeDocument/2006/relationships/hyperlink" Target="http://www.sec.gov/Archives/edgar/data/1884082/000119312522023680/d239003dex1044.htm" TargetMode="External"/><Relationship Id="rId56" Type="http://schemas.openxmlformats.org/officeDocument/2006/relationships/hyperlink" Target="http://www.sec.gov/Archives/edgar/data/1884082/000119312522023680/d239003dex1045.htm" TargetMode="External"/><Relationship Id="rId57" Type="http://schemas.openxmlformats.org/officeDocument/2006/relationships/hyperlink" Target="http://www.sec.gov/Archives/edgar/data/1884082/000119312522023680/d239003dex1046.htm" TargetMode="External"/><Relationship Id="rId58" Type="http://schemas.openxmlformats.org/officeDocument/2006/relationships/hyperlink" Target="http://www.sec.gov/Archives/edgar/data/1884082/000119312522023680/d239003dex1047.htm" TargetMode="External"/><Relationship Id="rId59" Type="http://schemas.openxmlformats.org/officeDocument/2006/relationships/hyperlink" Target="http://www.sec.gov/Archives/edgar/data/1884082/000119312522023680/d239003dex1048.htm" TargetMode="External"/><Relationship Id="rId60" Type="http://schemas.openxmlformats.org/officeDocument/2006/relationships/hyperlink" Target="http://www.sec.gov/Archives/edgar/data/1884082/000119312522023680/d239003dex1049.htm" TargetMode="External"/><Relationship Id="rId61" Type="http://schemas.openxmlformats.org/officeDocument/2006/relationships/hyperlink" Target="http://www.sec.gov/Archives/edgar/data/1884082/000119312522023680/d239003dex1050.htm" TargetMode="External"/><Relationship Id="rId62" Type="http://schemas.openxmlformats.org/officeDocument/2006/relationships/hyperlink" Target="http://www.sec.gov/Archives/edgar/data/1884082/000119312522023680/d239003dex1052.htm" TargetMode="External"/><Relationship Id="rId63" Type="http://schemas.openxmlformats.org/officeDocument/2006/relationships/hyperlink" Target="http://www.sec.gov/Archives/edgar/data/1884082/000119312522023680/d239003dex1053.htm" TargetMode="External"/><Relationship Id="rId64" Type="http://schemas.openxmlformats.org/officeDocument/2006/relationships/hyperlink" Target="http://www.sec.gov/Archives/edgar/data/1884082/000119312522023680/d239003dex1054.htm" TargetMode="External"/><Relationship Id="rId65" Type="http://schemas.openxmlformats.org/officeDocument/2006/relationships/hyperlink" Target="http://www.sec.gov/Archives/edgar/data/1884082/000119312522023680/d239003dex1055.htm" TargetMode="External"/><Relationship Id="rId66" Type="http://schemas.openxmlformats.org/officeDocument/2006/relationships/hyperlink" Target="http://www.sec.gov/Archives/edgar/data/1884082/000119312522023680/d239003dex1056.htm" TargetMode="External"/><Relationship Id="rId67" Type="http://schemas.openxmlformats.org/officeDocument/2006/relationships/hyperlink" Target="http://www.sec.gov/Archives/edgar/data/1884082/000119312522023680/d239003dex1057.htm" TargetMode="External"/><Relationship Id="rId68" Type="http://schemas.openxmlformats.org/officeDocument/2006/relationships/hyperlink" Target="http://www.sec.gov/Archives/edgar/data/1884082/000119312522023680/d239003dex1058.htm" TargetMode="External"/><Relationship Id="rId69" Type="http://schemas.openxmlformats.org/officeDocument/2006/relationships/hyperlink" Target="http://www.sec.gov/Archives/edgar/data/1884082/000119312522023680/d239003dex1059.htm" TargetMode="External"/><Relationship Id="rId70" Type="http://schemas.openxmlformats.org/officeDocument/2006/relationships/hyperlink" Target="http://www.sec.gov/Archives/edgar/data/1884082/000119312522023680/d239003dex1060.htm" TargetMode="External"/><Relationship Id="rId71" Type="http://schemas.openxmlformats.org/officeDocument/2006/relationships/hyperlink" Target="http://www.sec.gov/Archives/edgar/data/1884082/000119312522023680/d239003dex1061.htm" TargetMode="External"/><Relationship Id="rId72" Type="http://schemas.openxmlformats.org/officeDocument/2006/relationships/hyperlink" Target="http://www.sec.gov/Archives/edgar/data/1884082/000119312522023680/d239003dex1062.htm" TargetMode="External"/><Relationship Id="rId73" Type="http://schemas.openxmlformats.org/officeDocument/2006/relationships/hyperlink" Target="http://www.sec.gov/Archives/edgar/data/1884082/000119312522023680/d239003dex1063.htm" TargetMode="External"/><Relationship Id="rId74" Type="http://schemas.openxmlformats.org/officeDocument/2006/relationships/hyperlink" Target="http://www.sec.gov/Archives/edgar/data/1884082/000119312522023680/d239003dex1064.htm" TargetMode="External"/><Relationship Id="rId75" Type="http://schemas.openxmlformats.org/officeDocument/2006/relationships/hyperlink" Target="http://www.sec.gov/Archives/edgar/data/1884082/000119312522023680/d239003dex1065.htm" TargetMode="External"/><Relationship Id="rId76" Type="http://schemas.openxmlformats.org/officeDocument/2006/relationships/hyperlink" Target="http://www.sec.gov/Archives/edgar/data/1884082/000119312522066540/d239003dex1066.htm" TargetMode="External"/><Relationship Id="rId77" Type="http://schemas.openxmlformats.org/officeDocument/2006/relationships/hyperlink" Target="http://www.sec.gov/Archives/edgar/data/1884082/000119312522023680/d239003dex1067.htm" TargetMode="External"/><Relationship Id="rId78" Type="http://schemas.openxmlformats.org/officeDocument/2006/relationships/hyperlink" Target="http://www.sec.gov/Archives/edgar/data/1884082/000119312522066540/d239003dex1068.htm" TargetMode="External"/><Relationship Id="rId79" Type="http://schemas.openxmlformats.org/officeDocument/2006/relationships/hyperlink" Target="http://www.sec.gov/Archives/edgar/data/1884082/000119312522023680/d239003dex1069.htm" TargetMode="External"/><Relationship Id="rId80" Type="http://schemas.openxmlformats.org/officeDocument/2006/relationships/hyperlink" Target="http://www.sec.gov/Archives/edgar/data/1884082/000119312522066540/d239003dex1070.htm" TargetMode="External"/><Relationship Id="rId81" Type="http://schemas.openxmlformats.org/officeDocument/2006/relationships/hyperlink" Target="http://www.sec.gov/Archives/edgar/data/1884082/000119312522066540/d239003dex1071.htm" TargetMode="External"/><Relationship Id="rId82" Type="http://schemas.openxmlformats.org/officeDocument/2006/relationships/hyperlink" Target="http://www.sec.gov/Archives/edgar/data/1884082/000119312522023680/d239003dex1072.htm" TargetMode="External"/><Relationship Id="rId83" Type="http://schemas.openxmlformats.org/officeDocument/2006/relationships/hyperlink" Target="http://www.sec.gov/Archives/edgar/data/1884082/000119312522066540/d239003dex1073.htm" TargetMode="External"/><Relationship Id="rId84" Type="http://schemas.openxmlformats.org/officeDocument/2006/relationships/hyperlink" Target="http://www.sec.gov/Archives/edgar/data/1884082/000119312522066540/d239003dex1076.htm" TargetMode="External"/><Relationship Id="rId85" Type="http://schemas.openxmlformats.org/officeDocument/2006/relationships/hyperlink" Target="http://www.sec.gov/Archives/edgar/data/1884082/000119312522066540/d239003dex1079.htm" TargetMode="External"/><Relationship Id="rId86" Type="http://schemas.openxmlformats.org/officeDocument/2006/relationships/hyperlink" Target="http://www.sec.gov/Archives/edgar/data/1884082/000119312522066540/d239003dex1080.htm" TargetMode="External"/><Relationship Id="rId87" Type="http://schemas.openxmlformats.org/officeDocument/2006/relationships/hyperlink" Target="http://www.sec.gov/Archives/edgar/data/1884082/000119312522066540/d239003dex1081.htm" TargetMode="External"/><Relationship Id="rId88" Type="http://schemas.openxmlformats.org/officeDocument/2006/relationships/hyperlink" Target="http://www.sec.gov/Archives/edgar/data/1884082/000119312522066540/d239003dex1082.htm" TargetMode="External"/><Relationship Id="rId89" Type="http://schemas.openxmlformats.org/officeDocument/2006/relationships/hyperlink" Target="http://www.sec.gov/Archives/edgar/data/1847127/000119312522085125/d327984dex21.htm" TargetMode="External"/><Relationship Id="rId90" Type="http://schemas.openxmlformats.org/officeDocument/2006/relationships/hyperlink" Target="http://www.sec.gov/Archives/edgar/data/1884082/000119312522085479/d239003dex1085.htm" TargetMode="External"/><Relationship Id="rId91" Type="http://schemas.openxmlformats.org/officeDocument/2006/relationships/hyperlink" Target="http://www.sec.gov/Archives/edgar/data/1884082/000119312522085479/d239003dex1086.htm" TargetMode="External"/><Relationship Id="rId92" Type="http://schemas.openxmlformats.org/officeDocument/2006/relationships/hyperlink" Target="http://www.sec.gov/Archives/edgar/data/1884082/000119312522185122/d305041dex491.htm" TargetMode="External"/><Relationship Id="rId93" Type="http://schemas.openxmlformats.org/officeDocument/2006/relationships/hyperlink" Target="http://www.sec.gov/Archives/edgar/data/1884082/000119312522185122/d305041dex492.htm" TargetMode="External"/><Relationship Id="rId94" Type="http://schemas.openxmlformats.org/officeDocument/2006/relationships/hyperlink" Target="http://www.sec.gov/Archives/edgar/data/1884082/000119312522185122/d305041dex493.htm" TargetMode="External"/><Relationship Id="rId95" Type="http://schemas.openxmlformats.org/officeDocument/2006/relationships/hyperlink" Target="http://www.sec.gov/Archives/edgar/data/1884082/000119312522185122/d305041dex494.htm" TargetMode="External"/><Relationship Id="rId96" Type="http://schemas.openxmlformats.org/officeDocument/2006/relationships/hyperlink" Target="http://www.sec.gov/Archives/edgar/data/1884082/000119312522191881/d349361dex1091.htm" TargetMode="External"/><Relationship Id="rId97" Type="http://schemas.openxmlformats.org/officeDocument/2006/relationships/hyperlink" Target="http://www.sec.gov/Archives/edgar/data/1884082/000119312522191881/d349361dex1092.htm" TargetMode="External"/><Relationship Id="rId98" Type="http://schemas.openxmlformats.org/officeDocument/2006/relationships/hyperlink" Target="http://www.sec.gov/Archives/edgar/data/1884082/000119312522223477/d349361dex1095.htm" TargetMode="External"/><Relationship Id="rId99" Type="http://schemas.openxmlformats.org/officeDocument/2006/relationships/hyperlink" Target="http://www.sec.gov/Archives/edgar/data/1884082/000188408223000008/ex493redacted-ps21x004sa.htm" TargetMode="External"/><Relationship Id="rId100" Type="http://schemas.openxmlformats.org/officeDocument/2006/relationships/hyperlink" Target="http://www.sec.gov/Archives/edgar/data/1884082/000188408223000008/ex494redactedv2-gee22x007f.htm" TargetMode="External"/><Relationship Id="rId101" Type="http://schemas.openxmlformats.org/officeDocument/2006/relationships/hyperlink" Target="http://www.sec.gov/Archives/edgar/data/1884082/000188408223000008/ex495redacted-ps20x066fs.htm" TargetMode="External"/><Relationship Id="rId102" Type="http://schemas.openxmlformats.org/officeDocument/2006/relationships/hyperlink" Target="http://www.sec.gov/Archives/edgar/data/1884082/000188408223000008/ex496redactedv2-ps22x013.htm" TargetMode="External"/><Relationship Id="rId103" Type="http://schemas.openxmlformats.org/officeDocument/2006/relationships/hyperlink" Target="http://www.sec.gov/Archives/edgar/data/1884082/000188408223000008/ex497v2-ps22x016redacted.htm" TargetMode="External"/><Relationship Id="rId104" Type="http://schemas.openxmlformats.org/officeDocument/2006/relationships/hyperlink" Target="http://www.sec.gov/Archives/edgar/data/1884082/000188408223000008/ex498redacted-ps20x071ps.htm" TargetMode="External"/><Relationship Id="rId105" Type="http://schemas.openxmlformats.org/officeDocument/2006/relationships/hyperlink" Target="http://www.sec.gov/Archives/edgar/data/1884082/000119312522276986/d377976dex101.htm" TargetMode="External"/><Relationship Id="rId106" Type="http://schemas.openxmlformats.org/officeDocument/2006/relationships/hyperlink" Target="http://www.sec.gov/Archives/edgar/data/1884082/000188408223000008/ex-4x100redactedv2xamend.htm" TargetMode="External"/><Relationship Id="rId107" Type="http://schemas.openxmlformats.org/officeDocument/2006/relationships/hyperlink" Target="http://www.sec.gov/Archives/edgar/data/1884082/000188408223000008/ex4101redacted-ps22x012a.htm" TargetMode="External"/><Relationship Id="rId108" Type="http://schemas.openxmlformats.org/officeDocument/2006/relationships/hyperlink" Target="http://www.sec.gov/Archives/edgar/data/1884082/000188408223000008/ex4102redacted-ps20x072a.htm" TargetMode="External"/><Relationship Id="rId109" Type="http://schemas.openxmlformats.org/officeDocument/2006/relationships/hyperlink" Target="http://www.sec.gov/Archives/edgar/data/1884082/000188408223000008/polestar-fy202220xfxex81ke.htm" TargetMode="External"/><Relationship Id="rId110" Type="http://schemas.openxmlformats.org/officeDocument/2006/relationships/hyperlink" Target="http://www.sec.gov/Archives/edgar/data/1884082/000119312522191881/d349361dex51.htm" TargetMode="External"/><Relationship Id="rId111" Type="http://schemas.openxmlformats.org/officeDocument/2006/relationships/hyperlink" Target="http://www.sec.gov/Archives/edgar/data/1884082/000119312522066540/d239003dex9913.htm" TargetMode="External"/><Relationship Id="rId112" Type="http://schemas.openxmlformats.org/officeDocument/2006/relationships/hyperlink" Target="http://www.sec.gov/Archives/edgar/data/1884082/000119312522066540/d239003dex9914.htm" TargetMode="External"/><Relationship Id="rId113" Type="http://schemas.openxmlformats.org/officeDocument/2006/relationships/hyperlink" Target="http://www.sec.gov/Archives/edgar/data/1884082/000119312522191881/d349361dexfilingfees.htm" TargetMode="External"/><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284</Pages>
  <Words>200536</Words>
  <CharactersWithSpaces>1309205</CharactersWithSpaces>
  <Paragraphs>27648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