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Filed pursuant to Rule 424(b)(3)</w:t>
      </w:r>
    </w:p>
    <w:p>
      <w:pPr>
        <w:spacing w:after="0" w:line="21" w:lineRule="exact"/>
        <w:rPr>
          <w:sz w:val="24"/>
          <w:szCs w:val="24"/>
          <w:color w:val="auto"/>
        </w:rPr>
      </w:pPr>
    </w:p>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Registration No. 333-266101</w:t>
      </w:r>
    </w:p>
    <w:p>
      <w:pPr>
        <w:spacing w:after="0" w:line="135"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PROSPECTUS SUPPLEMENT NO. 9</w:t>
      </w:r>
    </w:p>
    <w:p>
      <w:pPr>
        <w:spacing w:after="0" w:line="2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(to the Prospectus dated September 22, 2022)</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Polestar Automotive Holding UK PLC</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2,203,977,609 CLASS A ADSs,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24,999,965 CLASS A ADSs ISSUABLE UPON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CONVERSION OF CLASS C ADSs AND</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5" w:lineRule="exact"/>
        <w:rPr>
          <w:sz w:val="24"/>
          <w:szCs w:val="24"/>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This prospectus supplement is being filed to update and supplement the information contained in the prospectus dated September 22, 2022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U.S. Securities and Exchange Commission (the “SEC”) on March 2, 2023.</w:t>
      </w:r>
    </w:p>
    <w:p>
      <w:pPr>
        <w:spacing w:after="0" w:line="125"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Capitalized terms used but not defined herein have the meanings ascribed to them in the Prospectus.</w:t>
      </w:r>
    </w:p>
    <w:p>
      <w:pPr>
        <w:spacing w:after="0" w:line="150" w:lineRule="exact"/>
        <w:rPr>
          <w:sz w:val="24"/>
          <w:szCs w:val="24"/>
          <w:color w:val="auto"/>
        </w:rPr>
      </w:pPr>
    </w:p>
    <w:p>
      <w:pPr>
        <w:ind w:left="840" w:right="939"/>
        <w:spacing w:after="0" w:line="279" w:lineRule="auto"/>
        <w:rPr>
          <w:sz w:val="20"/>
          <w:szCs w:val="20"/>
          <w:color w:val="auto"/>
        </w:rPr>
      </w:pPr>
      <w:r>
        <w:rPr>
          <w:rFonts w:ascii="Times New Roman" w:cs="Times New Roman" w:eastAsia="Times New Roman" w:hAnsi="Times New Roman"/>
          <w:sz w:val="12"/>
          <w:szCs w:val="12"/>
          <w:color w:val="auto"/>
        </w:rPr>
        <w:t>This prospectus supplement is not complete without, and may not be utilized except in connection with, the Prospectus, including any supplements and amendments thereto.</w:t>
      </w:r>
    </w:p>
    <w:p>
      <w:pPr>
        <w:spacing w:after="0" w:line="111" w:lineRule="exact"/>
        <w:rPr>
          <w:sz w:val="24"/>
          <w:szCs w:val="24"/>
          <w:color w:val="auto"/>
        </w:rPr>
      </w:pPr>
    </w:p>
    <w:p>
      <w:pPr>
        <w:ind w:left="840" w:right="1219"/>
        <w:spacing w:after="0" w:line="265" w:lineRule="auto"/>
        <w:rPr>
          <w:sz w:val="20"/>
          <w:szCs w:val="20"/>
          <w:color w:val="auto"/>
        </w:rPr>
      </w:pPr>
      <w:r>
        <w:rPr>
          <w:rFonts w:ascii="Times New Roman" w:cs="Times New Roman" w:eastAsia="Times New Roman" w:hAnsi="Times New Roman"/>
          <w:sz w:val="12"/>
          <w:szCs w:val="12"/>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19" w:lineRule="exact"/>
        <w:rPr>
          <w:sz w:val="24"/>
          <w:szCs w:val="24"/>
          <w:color w:val="auto"/>
        </w:rPr>
      </w:pPr>
    </w:p>
    <w:p>
      <w:pPr>
        <w:ind w:left="840" w:right="1039"/>
        <w:spacing w:after="0" w:line="265" w:lineRule="auto"/>
        <w:rPr>
          <w:sz w:val="20"/>
          <w:szCs w:val="20"/>
          <w:color w:val="auto"/>
        </w:rPr>
      </w:pPr>
      <w:r>
        <w:rPr>
          <w:rFonts w:ascii="Times New Roman" w:cs="Times New Roman" w:eastAsia="Times New Roman" w:hAnsi="Times New Roman"/>
          <w:sz w:val="12"/>
          <w:szCs w:val="12"/>
          <w:color w:val="auto"/>
        </w:rPr>
        <w:t>Our Class A ADSs and Class C-1 ADSs are listed on the Nasdaq Stock Market LLC (“Nasdaq”), under the trading symbols “PSNY” and “PSNYW,” respectively. On March 1, 2023, the closing price for our Class A ADSs on Nasdaq was $5.05. On March 1, 2023, the closing price for our Class C-1 ADSs on Nasdaq was $0.95.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145415</wp:posOffset>
            </wp:positionV>
            <wp:extent cx="9829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1" w:lineRule="exact"/>
        <w:rPr>
          <w:sz w:val="24"/>
          <w:szCs w:val="24"/>
          <w:color w:val="auto"/>
        </w:rPr>
      </w:pPr>
    </w:p>
    <w:p>
      <w:pPr>
        <w:ind w:left="840" w:right="939"/>
        <w:spacing w:after="0" w:line="263"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06" w:lineRule="exact"/>
        <w:rPr>
          <w:sz w:val="24"/>
          <w:szCs w:val="24"/>
          <w:color w:val="auto"/>
        </w:rPr>
      </w:pPr>
    </w:p>
    <w:p>
      <w:pPr>
        <w:ind w:left="840" w:right="859"/>
        <w:spacing w:after="0" w:line="286" w:lineRule="auto"/>
        <w:rPr>
          <w:sz w:val="20"/>
          <w:szCs w:val="20"/>
          <w:color w:val="auto"/>
        </w:rPr>
      </w:pPr>
      <w:r>
        <w:rPr>
          <w:rFonts w:ascii="Times New Roman" w:cs="Times New Roman" w:eastAsia="Times New Roman" w:hAnsi="Times New Roman"/>
          <w:sz w:val="12"/>
          <w:szCs w:val="12"/>
          <w:b w:val="1"/>
          <w:bCs w:val="1"/>
          <w:color w:val="auto"/>
        </w:rPr>
        <w:t>Neither the SEC nor any state or foreign securities commission has approved or disapproved of these securities or determined if this prospectus supplement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132080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This prospectus supplement is dated March 2, 2023</w:t>
      </w:r>
    </w:p>
    <w:p>
      <w:pPr>
        <w:sectPr>
          <w:pgSz w:w="11900" w:h="16838" w:orient="portrait"/>
          <w:cols w:equalWidth="0" w:num="1">
            <w:col w:w="9019"/>
          </w:cols>
          <w:pgMar w:left="1440" w:top="19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157480</wp:posOffset>
            </wp:positionV>
            <wp:extent cx="4663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186055</wp:posOffset>
            </wp:positionV>
            <wp:extent cx="4663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13a-16 OR 15d-16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month of March 2023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169545</wp:posOffset>
            </wp:positionV>
            <wp:extent cx="9829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Assar Gabrielssons Väg 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405 31 Göteborg, Sweden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152400</wp:posOffset>
            </wp:positionV>
            <wp:extent cx="9829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0" w:lineRule="exact"/>
        <w:rPr>
          <w:sz w:val="20"/>
          <w:szCs w:val="20"/>
          <w:color w:val="auto"/>
        </w:rPr>
      </w:pPr>
    </w:p>
    <w:p>
      <w:pPr>
        <w:jc w:val="center"/>
        <w:ind w:right="19"/>
        <w:spacing w:after="0" w:line="138" w:lineRule="exact"/>
        <w:tabs>
          <w:tab w:leader="none" w:pos="34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50" w:lineRule="exact"/>
        <w:rPr>
          <w:sz w:val="20"/>
          <w:szCs w:val="20"/>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0"/>
          <w:szCs w:val="20"/>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126365</wp:posOffset>
            </wp:positionV>
            <wp:extent cx="46634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154940</wp:posOffset>
            </wp:positionV>
            <wp:extent cx="46634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INFORMATION CONTAINED IN THIS REPORT ON FORM 6-K</w:t>
      </w:r>
    </w:p>
    <w:p>
      <w:pPr>
        <w:spacing w:after="0" w:line="154" w:lineRule="exact"/>
        <w:rPr>
          <w:sz w:val="20"/>
          <w:szCs w:val="20"/>
          <w:color w:val="auto"/>
        </w:rPr>
      </w:pPr>
    </w:p>
    <w:p>
      <w:pPr>
        <w:ind w:left="840" w:right="879" w:firstLine="294"/>
        <w:spacing w:after="0" w:line="253" w:lineRule="auto"/>
        <w:rPr>
          <w:sz w:val="20"/>
          <w:szCs w:val="20"/>
          <w:color w:val="auto"/>
        </w:rPr>
      </w:pPr>
      <w:r>
        <w:rPr>
          <w:rFonts w:ascii="Times New Roman" w:cs="Times New Roman" w:eastAsia="Times New Roman" w:hAnsi="Times New Roman"/>
          <w:sz w:val="12"/>
          <w:szCs w:val="12"/>
          <w:color w:val="auto"/>
        </w:rPr>
        <w:t>On March 2, 2023, Polestar Automotive Holding UK PLC (“Polestar”) announced its preliminary estimated unaudited operational and financial results for the year and quarter ended December 31, 2022. These unaudited preliminary estimates are based on Polestar management’s current best estimates and are subject to risks, uncertainties and potential adjustments that may be identified in connection with Polestar’s year-end audit. Polestar’s independent registered public accounting firm, Deloitte AB (“Deloitte”), has not completed its audit, review or other procedures with respect to any of the preliminary estimated unaudited information published by Polestar in connection with this announcement. Accordingly, Deloitte does not express an opinion or any other form of assurance with respect thereto. Polestar’s audited financial statements for the year ended December 31, 2022 will be included in the Annual Report on Form 20-F to be filed with SEC by the end of April 2023 (the “20-F”) and the preliminary estimated unaudited information should not be considered a substitute to the 20-F that Polestar will be filing. You are hereby advised not to place undue reliance on the unaudited preliminary estimates announced on March 2, 2023 by Polestar. A copy of the press release is attached hereto as Exhibit 99.1, and a copy of the investor update presentation that was posted on the investor relations website of Polestar in connection with the announcement is attached hereto as Exhibit 99.2, and the foregoing is qualified in its entirety by reference thereto.</w:t>
      </w:r>
    </w:p>
    <w:p>
      <w:pPr>
        <w:spacing w:after="0" w:line="128"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Exhibits 99.1 and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4" w:right="1440" w:bottom="1440" w:gutter="0" w:footer="0" w:header="0"/>
        </w:sectPr>
      </w:pPr>
    </w:p>
    <w:bookmarkStart w:id="3" w:name="page4"/>
    <w:bookmarkEnd w:id="3"/>
    <w:tbl>
      <w:tblPr>
        <w:tblLayout w:type="fixed"/>
        <w:tblInd w:w="840" w:type="dxa"/>
        <w:tblCellMar>
          <w:top w:w="0" w:type="dxa"/>
          <w:left w:w="0" w:type="dxa"/>
          <w:bottom w:w="0" w:type="dxa"/>
          <w:right w:w="0" w:type="dxa"/>
        </w:tblCellMar>
      </w:tblPr>
      <w:tr>
        <w:trPr>
          <w:trHeight w:val="159"/>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380" w:type="dxa"/>
            <w:vAlign w:val="bottom"/>
          </w:tcPr>
          <w:p>
            <w:pPr>
              <w:ind w:left="22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70"/>
        </w:trPr>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Exhibit No.</w:t>
            </w:r>
          </w:p>
        </w:tc>
        <w:tc>
          <w:tcPr>
            <w:tcW w:w="6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r>
      <w:tr>
        <w:trPr>
          <w:trHeight w:val="185"/>
        </w:trPr>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500" w:type="dxa"/>
            <w:vAlign w:val="bottom"/>
          </w:tcPr>
          <w:p>
            <w:pPr>
              <w:spacing w:after="0"/>
              <w:rPr>
                <w:sz w:val="16"/>
                <w:szCs w:val="16"/>
                <w:color w:val="auto"/>
              </w:rPr>
            </w:pPr>
          </w:p>
        </w:tc>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Press Release of Polestar Automotive Holding UK PLC, dated March 2, 2023, titled “Polestar releases fourth quarter and full year</w:t>
            </w:r>
          </w:p>
        </w:tc>
      </w:tr>
      <w:tr>
        <w:trPr>
          <w:trHeight w:val="155"/>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2"/>
                <w:szCs w:val="12"/>
                <w:color w:val="auto"/>
              </w:rPr>
              <w:t>2022 financial results.”</w:t>
            </w:r>
          </w:p>
        </w:tc>
      </w:tr>
      <w:tr>
        <w:trPr>
          <w:trHeight w:val="216"/>
        </w:trPr>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5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2"/>
                <w:szCs w:val="12"/>
                <w:color w:val="auto"/>
              </w:rPr>
              <w:t>Investor Update, dated March 2, 2023.</w:t>
            </w:r>
          </w:p>
        </w:tc>
      </w:tr>
      <w:tr>
        <w:trPr>
          <w:trHeight w:val="243"/>
        </w:trPr>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380" w:type="dxa"/>
            <w:vAlign w:val="bottom"/>
          </w:tcPr>
          <w:p>
            <w:pPr>
              <w:ind w:left="2680"/>
              <w:spacing w:after="0"/>
              <w:rPr>
                <w:sz w:val="20"/>
                <w:szCs w:val="20"/>
                <w:color w:val="auto"/>
              </w:rPr>
            </w:pPr>
            <w:r>
              <w:rPr>
                <w:rFonts w:ascii="Times New Roman" w:cs="Times New Roman" w:eastAsia="Times New Roman" w:hAnsi="Times New Roman"/>
                <w:sz w:val="12"/>
                <w:szCs w:val="12"/>
                <w:color w:val="auto"/>
              </w:rPr>
              <w:t>3</w:t>
            </w:r>
          </w:p>
        </w:tc>
      </w:tr>
    </w:tbl>
    <w:p>
      <w:pPr>
        <w:ind w:left="2680"/>
        <w:spacing w:after="0"/>
        <w:rPr>
          <w:sz w:val="20"/>
          <w:szCs w:val="20"/>
          <w:color w:val="auto"/>
        </w:rPr>
        <w:sectPr>
          <w:pgSz w:w="11900" w:h="16838" w:orient="portrait"/>
          <w:cols w:equalWidth="0" w:num="1">
            <w:col w:w="9019"/>
          </w:cols>
          <w:pgMar w:left="1440" w:top="224"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840" w:type="dxa"/>
        <w:tblCellMar>
          <w:top w:w="0" w:type="dxa"/>
          <w:left w:w="0" w:type="dxa"/>
          <w:bottom w:w="0" w:type="dxa"/>
          <w:right w:w="0" w:type="dxa"/>
        </w:tblCellMar>
      </w:tblPr>
      <w:tr>
        <w:trPr>
          <w:trHeight w:val="159"/>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Date: March 2, 2023</w:t>
            </w:r>
          </w:p>
        </w:tc>
        <w:tc>
          <w:tcPr>
            <w:tcW w:w="5040" w:type="dxa"/>
            <w:vAlign w:val="bottom"/>
            <w:gridSpan w:val="2"/>
          </w:tcPr>
          <w:p>
            <w:pPr>
              <w:ind w:left="1380"/>
              <w:spacing w:after="0"/>
              <w:rPr>
                <w:sz w:val="20"/>
                <w:szCs w:val="20"/>
                <w:color w:val="auto"/>
              </w:rPr>
            </w:pPr>
            <w:r>
              <w:rPr>
                <w:rFonts w:ascii="Times New Roman" w:cs="Times New Roman" w:eastAsia="Times New Roman" w:hAnsi="Times New Roman"/>
                <w:sz w:val="12"/>
                <w:szCs w:val="12"/>
                <w:b w:val="1"/>
                <w:bCs w:val="1"/>
                <w:color w:val="auto"/>
              </w:rPr>
              <w:t>POLESTAR AUTOMOTIVE HOLDING UK PLC</w:t>
            </w:r>
          </w:p>
        </w:tc>
      </w:tr>
      <w:tr>
        <w:trPr>
          <w:trHeight w:val="288"/>
        </w:trPr>
        <w:tc>
          <w:tcPr>
            <w:tcW w:w="2300" w:type="dxa"/>
            <w:vAlign w:val="bottom"/>
          </w:tcPr>
          <w:p>
            <w:pPr>
              <w:spacing w:after="0"/>
              <w:rPr>
                <w:sz w:val="24"/>
                <w:szCs w:val="24"/>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By:</w:t>
            </w:r>
          </w:p>
        </w:tc>
        <w:tc>
          <w:tcPr>
            <w:tcW w:w="3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 Thomas Ingenlath</w:t>
            </w:r>
          </w:p>
        </w:tc>
      </w:tr>
      <w:tr>
        <w:trPr>
          <w:trHeight w:val="122"/>
        </w:trPr>
        <w:tc>
          <w:tcPr>
            <w:tcW w:w="2300" w:type="dxa"/>
            <w:vAlign w:val="bottom"/>
          </w:tcPr>
          <w:p>
            <w:pPr>
              <w:spacing w:after="0"/>
              <w:rPr>
                <w:sz w:val="10"/>
                <w:szCs w:val="10"/>
                <w:color w:val="auto"/>
              </w:rPr>
            </w:pPr>
          </w:p>
        </w:tc>
        <w:tc>
          <w:tcPr>
            <w:tcW w:w="1740" w:type="dxa"/>
            <w:vAlign w:val="bottom"/>
          </w:tcPr>
          <w:p>
            <w:pPr>
              <w:ind w:left="13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30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Thomas Ingenlath</w:t>
            </w:r>
          </w:p>
        </w:tc>
      </w:tr>
      <w:tr>
        <w:trPr>
          <w:trHeight w:val="155"/>
        </w:trPr>
        <w:tc>
          <w:tcPr>
            <w:tcW w:w="2300" w:type="dxa"/>
            <w:vAlign w:val="bottom"/>
          </w:tcPr>
          <w:p>
            <w:pPr>
              <w:spacing w:after="0"/>
              <w:rPr>
                <w:sz w:val="13"/>
                <w:szCs w:val="13"/>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Title:</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2300" w:type="dxa"/>
            <w:vAlign w:val="bottom"/>
          </w:tcPr>
          <w:p>
            <w:pPr>
              <w:spacing w:after="0"/>
              <w:rPr>
                <w:sz w:val="24"/>
                <w:szCs w:val="24"/>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By:</w:t>
            </w:r>
          </w:p>
        </w:tc>
        <w:tc>
          <w:tcPr>
            <w:tcW w:w="3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 Johan Malmqvist</w:t>
            </w:r>
          </w:p>
        </w:tc>
      </w:tr>
      <w:tr>
        <w:trPr>
          <w:trHeight w:val="122"/>
        </w:trPr>
        <w:tc>
          <w:tcPr>
            <w:tcW w:w="2300" w:type="dxa"/>
            <w:vAlign w:val="bottom"/>
          </w:tcPr>
          <w:p>
            <w:pPr>
              <w:spacing w:after="0"/>
              <w:rPr>
                <w:sz w:val="10"/>
                <w:szCs w:val="10"/>
                <w:color w:val="auto"/>
              </w:rPr>
            </w:pPr>
          </w:p>
        </w:tc>
        <w:tc>
          <w:tcPr>
            <w:tcW w:w="1740" w:type="dxa"/>
            <w:vAlign w:val="bottom"/>
          </w:tcPr>
          <w:p>
            <w:pPr>
              <w:ind w:left="13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30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Johan Malmqvist</w:t>
            </w:r>
          </w:p>
        </w:tc>
      </w:tr>
      <w:tr>
        <w:trPr>
          <w:trHeight w:val="155"/>
        </w:trPr>
        <w:tc>
          <w:tcPr>
            <w:tcW w:w="2300" w:type="dxa"/>
            <w:vAlign w:val="bottom"/>
          </w:tcPr>
          <w:p>
            <w:pPr>
              <w:spacing w:after="0"/>
              <w:rPr>
                <w:sz w:val="13"/>
                <w:szCs w:val="13"/>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Title:</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243"/>
        </w:trPr>
        <w:tc>
          <w:tcPr>
            <w:tcW w:w="2300" w:type="dxa"/>
            <w:vAlign w:val="bottom"/>
          </w:tcPr>
          <w:p>
            <w:pPr>
              <w:spacing w:after="0"/>
              <w:rPr>
                <w:sz w:val="21"/>
                <w:szCs w:val="21"/>
                <w:color w:val="auto"/>
              </w:rPr>
            </w:pPr>
          </w:p>
        </w:tc>
        <w:tc>
          <w:tcPr>
            <w:tcW w:w="17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4</w:t>
            </w:r>
          </w:p>
        </w:tc>
        <w:tc>
          <w:tcPr>
            <w:tcW w:w="3300" w:type="dxa"/>
            <w:vAlign w:val="bottom"/>
          </w:tcPr>
          <w:p>
            <w:pPr>
              <w:spacing w:after="0"/>
              <w:rPr>
                <w:sz w:val="21"/>
                <w:szCs w:val="21"/>
                <w:color w:val="auto"/>
              </w:rPr>
            </w:pPr>
          </w:p>
        </w:tc>
      </w:tr>
    </w:tbl>
    <w:p>
      <w:pPr>
        <w:sectPr>
          <w:pgSz w:w="11900" w:h="16838" w:orient="portrait"/>
          <w:cols w:equalWidth="0" w:num="1">
            <w:col w:w="9019"/>
          </w:cols>
          <w:pgMar w:left="1440" w:top="224" w:right="1440" w:bottom="1440" w:gutter="0" w:footer="0" w:header="0"/>
        </w:sectPr>
      </w:pPr>
    </w:p>
    <w:bookmarkStart w:id="5" w:name="page6"/>
    <w:bookmarkEnd w:id="5"/>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116205</wp:posOffset>
            </wp:positionV>
            <wp:extent cx="41148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480" cy="10287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Polestar releases fourth quarter and full year 2022 financial results</w:t>
      </w:r>
    </w:p>
    <w:p>
      <w:pPr>
        <w:spacing w:after="0" w:line="91" w:lineRule="exact"/>
        <w:rPr>
          <w:sz w:val="20"/>
          <w:szCs w:val="20"/>
          <w:color w:val="auto"/>
        </w:rPr>
      </w:pPr>
    </w:p>
    <w:p>
      <w:pPr>
        <w:ind w:left="1480" w:hanging="288"/>
        <w:spacing w:after="0"/>
        <w:tabs>
          <w:tab w:leader="none" w:pos="14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revenue of USD 2.5 billion in 2022, an increase of 84% year on year</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51,491 cars delivered in 2022, compared to 28,677 in 2021, an increase of 80%</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and cash equivalents of USD 974 million as of December 31, 2022</w:t>
      </w:r>
    </w:p>
    <w:p>
      <w:pPr>
        <w:spacing w:after="0" w:line="146" w:lineRule="exact"/>
        <w:rPr>
          <w:sz w:val="20"/>
          <w:szCs w:val="20"/>
          <w:color w:val="auto"/>
        </w:rPr>
      </w:pPr>
    </w:p>
    <w:p>
      <w:pPr>
        <w:ind w:left="840" w:right="103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GOTHENBURG, SWEDEN – 2 March 2023. </w:t>
      </w:r>
      <w:r>
        <w:rPr>
          <w:rFonts w:ascii="Times New Roman" w:cs="Times New Roman" w:eastAsia="Times New Roman" w:hAnsi="Times New Roman"/>
          <w:sz w:val="12"/>
          <w:szCs w:val="12"/>
          <w:color w:val="auto"/>
        </w:rPr>
        <w:t>Polestar Automotive Holding UK PLC (“Polestar” or the “Company,” Nasdaq: PSNY), the Swedish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electric performance car brand, reports its preliminary unaudited financial and operational results for the year ended December 31, 2022.</w:t>
      </w:r>
    </w:p>
    <w:p>
      <w:pPr>
        <w:spacing w:after="0" w:line="107"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Thomas Ingenlath, Polestar CEO, comments: “We left 2022 having exceeded our 50,000 delivery target, grown revenue over 80 percent and with strengthened liquidity. We are focused on business execution and have had a busy start to this year with a major update to Polestar 2, excellent reception for Polestar 3, and welcomed additional sustainability partners for our ambitious Polestar 0 project. Our business will continue to gain momentum through the year as we start producing Polestar 3—and with Polestar 4 in the starting blocks.”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Key financial highlights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key financial results for the year ended December 31, 2022.</w:t>
      </w:r>
    </w:p>
    <w:p>
      <w:pPr>
        <w:spacing w:after="0" w:line="154"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45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 31,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 31,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r>
      <w:tr>
        <w:trPr>
          <w:trHeight w:val="117"/>
        </w:trPr>
        <w:tc>
          <w:tcPr>
            <w:tcW w:w="45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10"/>
                <w:szCs w:val="10"/>
                <w:color w:val="auto"/>
              </w:rPr>
            </w:pP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Change</w:t>
            </w:r>
          </w:p>
        </w:tc>
      </w:tr>
      <w:tr>
        <w:trPr>
          <w:trHeight w:val="133"/>
        </w:trPr>
        <w:tc>
          <w:tcPr>
            <w:tcW w:w="4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2,461.9</w:t>
            </w: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1,337.2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(2,342.5)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(1,336.3)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Pr>
          <w:p>
            <w:pPr>
              <w:spacing w:after="0"/>
              <w:rPr>
                <w:sz w:val="12"/>
                <w:szCs w:val="12"/>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r>
      <w:tr>
        <w:trPr>
          <w:trHeight w:val="144"/>
        </w:trPr>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Gross margin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4.9</w:t>
            </w: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n/m</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(864.6)</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(714.7)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2"/>
                <w:szCs w:val="12"/>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(171.0)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(232.9)</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 and income, net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(48.1)</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w:t>
            </w:r>
          </w:p>
        </w:tc>
      </w:tr>
      <w:tr>
        <w:trPr>
          <w:trHeight w:val="144"/>
        </w:trPr>
        <w:tc>
          <w:tcPr>
            <w:tcW w:w="45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Listing expense</w:t>
            </w:r>
            <w:r>
              <w:rPr>
                <w:rFonts w:ascii="Times New Roman" w:cs="Times New Roman" w:eastAsia="Times New Roman" w:hAnsi="Times New Roman"/>
                <w:sz w:val="16"/>
                <w:szCs w:val="16"/>
                <w:color w:val="auto"/>
                <w:vertAlign w:val="superscript"/>
              </w:rPr>
              <w:t>(1)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(372.3)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2"/>
                <w:szCs w:val="12"/>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(1,286.3)</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(994.8)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2"/>
                <w:szCs w:val="12"/>
                <w:color w:val="auto"/>
              </w:rPr>
            </w:pP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Adjusted operating loss</w:t>
            </w:r>
            <w:r>
              <w:rPr>
                <w:rFonts w:ascii="Times New Roman" w:cs="Times New Roman" w:eastAsia="Times New Roman" w:hAnsi="Times New Roman"/>
                <w:sz w:val="17"/>
                <w:szCs w:val="17"/>
                <w:color w:val="auto"/>
                <w:vertAlign w:val="superscript"/>
              </w:rPr>
              <w:t>(2)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(914.0)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(994.8)</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w:t>
            </w:r>
          </w:p>
        </w:tc>
      </w:tr>
    </w:tbl>
    <w:p>
      <w:pPr>
        <w:spacing w:after="0" w:line="59" w:lineRule="exact"/>
        <w:rPr>
          <w:sz w:val="20"/>
          <w:szCs w:val="20"/>
          <w:color w:val="auto"/>
        </w:rPr>
      </w:pPr>
    </w:p>
    <w:p>
      <w:pPr>
        <w:ind w:left="1120" w:right="1019" w:hanging="288"/>
        <w:spacing w:after="0" w:line="259" w:lineRule="auto"/>
        <w:tabs>
          <w:tab w:leader="none" w:pos="11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listing expense represents a non-recurring, non-cash, share-based listing charge, incurred in connection with the business combination with Gores Guggenheim, Inc (GGI). on June 23, 2022.</w:t>
      </w:r>
    </w:p>
    <w:p>
      <w:pPr>
        <w:spacing w:after="0" w:line="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measure. See Appendix B for details and a reconciliation of adjusted metrics to the nearest GAAP measure.</w:t>
      </w:r>
    </w:p>
    <w:p>
      <w:pPr>
        <w:sectPr>
          <w:pgSz w:w="11900" w:h="16838" w:orient="portrait"/>
          <w:cols w:equalWidth="0" w:num="1">
            <w:col w:w="9019"/>
          </w:cols>
          <w:pgMar w:left="1440" w:top="224" w:right="1440" w:bottom="1440" w:gutter="0" w:footer="0" w:header="0"/>
        </w:sectPr>
      </w:pPr>
    </w:p>
    <w:bookmarkStart w:id="6" w:name="page7"/>
    <w:bookmarkEnd w:id="6"/>
    <w:p>
      <w:pPr>
        <w:ind w:left="1480" w:right="97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Revenue increased USD 1,124.7 million, or 84%, mainly driven by higher Polestar 2 vehicle sales with continued commercial expansion across markets.</w:t>
      </w:r>
    </w:p>
    <w:p>
      <w:pPr>
        <w:spacing w:after="0" w:line="48" w:lineRule="exact"/>
        <w:rPr>
          <w:rFonts w:ascii="Times New Roman" w:cs="Times New Roman" w:eastAsia="Times New Roman" w:hAnsi="Times New Roman"/>
          <w:sz w:val="12"/>
          <w:szCs w:val="12"/>
          <w:color w:val="auto"/>
        </w:rPr>
      </w:pPr>
    </w:p>
    <w:p>
      <w:pPr>
        <w:ind w:left="1480" w:right="101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profit increased USD 118.5 million, as the result of higher Polestar 2 sales and lower fixed manufacturing costs. This growth was partially offset by foreign exchange rates which led to higher cost of sales, and product and market mix.</w:t>
      </w:r>
    </w:p>
    <w:p>
      <w:pPr>
        <w:spacing w:after="0" w:line="48" w:lineRule="exact"/>
        <w:rPr>
          <w:rFonts w:ascii="Times New Roman" w:cs="Times New Roman" w:eastAsia="Times New Roman" w:hAnsi="Times New Roman"/>
          <w:sz w:val="12"/>
          <w:szCs w:val="12"/>
          <w:color w:val="auto"/>
        </w:rPr>
      </w:pPr>
    </w:p>
    <w:p>
      <w:pPr>
        <w:ind w:left="1480" w:right="87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general and administrative expenses increased USD 149.9 million, or 21%. This increase primarily reflects Polestar’s international business expansion partially offset by active cost management.</w:t>
      </w:r>
    </w:p>
    <w:p>
      <w:pPr>
        <w:spacing w:after="0" w:line="48" w:lineRule="exact"/>
        <w:rPr>
          <w:rFonts w:ascii="Times New Roman" w:cs="Times New Roman" w:eastAsia="Times New Roman" w:hAnsi="Times New Roman"/>
          <w:sz w:val="12"/>
          <w:szCs w:val="12"/>
          <w:color w:val="auto"/>
        </w:rPr>
      </w:pPr>
    </w:p>
    <w:p>
      <w:pPr>
        <w:ind w:left="1480" w:right="87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expenses decreased USD 62.0 million, or 27% due to the absence of Polestar 1 amortisation. This decrease was partially offset by continued investments in future vehicles and technologies.</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loss increased USD 291.5 million, or 29%, impacted by a Q2 2022 one-time share-based listing charge of USD 372.3 million.</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operating loss decreased USD 80.8 million, or 8%, benefiting from higher gross profit and active cost management.</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key financial results for the quarter ended December 31, 2022.</w:t>
      </w:r>
    </w:p>
    <w:p>
      <w:pPr>
        <w:spacing w:after="0" w:line="154"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47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r>
      <w:tr>
        <w:trPr>
          <w:trHeight w:val="117"/>
        </w:trPr>
        <w:tc>
          <w:tcPr>
            <w:tcW w:w="47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360" w:type="dxa"/>
            <w:vAlign w:val="bottom"/>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360" w:type="dxa"/>
            <w:vAlign w:val="bottom"/>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Change</w:t>
            </w:r>
          </w:p>
        </w:tc>
      </w:tr>
      <w:tr>
        <w:trPr>
          <w:trHeight w:val="133"/>
        </w:trPr>
        <w:tc>
          <w:tcPr>
            <w:tcW w:w="47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985.2</w:t>
            </w: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i w:val="1"/>
                <w:iCs w:val="1"/>
                <w:color w:val="auto"/>
              </w:rPr>
              <w:t>67</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(923.2)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(589.7)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i w:val="1"/>
                <w:iCs w:val="1"/>
                <w:color w:val="auto"/>
              </w:rPr>
              <w:t>57</w:t>
            </w:r>
          </w:p>
        </w:tc>
        <w:tc>
          <w:tcPr>
            <w:tcW w:w="80" w:type="dxa"/>
            <w:vAlign w:val="bottom"/>
          </w:tcPr>
          <w:p>
            <w:pPr>
              <w:spacing w:after="0"/>
              <w:rPr>
                <w:sz w:val="12"/>
                <w:szCs w:val="12"/>
                <w:color w:val="auto"/>
              </w:rPr>
            </w:pP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n/m</w:t>
            </w:r>
          </w:p>
        </w:tc>
      </w:tr>
      <w:tr>
        <w:trPr>
          <w:trHeight w:val="144"/>
        </w:trPr>
        <w:tc>
          <w:tcPr>
            <w:tcW w:w="470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Gross margin (%)</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6.3</w:t>
            </w:r>
          </w:p>
        </w:tc>
        <w:tc>
          <w:tcPr>
            <w:tcW w:w="1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n/m</w:t>
            </w: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(239.2)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(236.6)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w:t>
            </w:r>
          </w:p>
        </w:tc>
        <w:tc>
          <w:tcPr>
            <w:tcW w:w="80" w:type="dxa"/>
            <w:vAlign w:val="bottom"/>
            <w:shd w:val="clear" w:color="auto" w:fill="CCEEFF"/>
          </w:tcPr>
          <w:p>
            <w:pPr>
              <w:spacing w:after="0"/>
              <w:rPr>
                <w:sz w:val="12"/>
                <w:szCs w:val="12"/>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(47.6)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(75.5)</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(37)</w:t>
            </w: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 and income, net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(25.0)</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(181)</w:t>
            </w: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(204.7)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(337.3)</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(39)</w:t>
            </w:r>
          </w:p>
        </w:tc>
      </w:tr>
    </w:tbl>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Variances for Q4 2022 versus Q4 2021 largely followed the trends outlined for 2022 versus 2021, with the following notable exceptions:</w:t>
      </w:r>
    </w:p>
    <w:p>
      <w:pPr>
        <w:spacing w:after="0" w:line="87" w:lineRule="exact"/>
        <w:rPr>
          <w:sz w:val="20"/>
          <w:szCs w:val="20"/>
          <w:color w:val="auto"/>
        </w:rPr>
      </w:pPr>
    </w:p>
    <w:p>
      <w:pPr>
        <w:ind w:left="1480" w:hanging="288"/>
        <w:spacing w:after="0"/>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general and administrative expenses were kept flat due to active cost management.</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loss decreased USD 132.6 million, or 39%, benefiting from higher gross profit and active cost management.</w:t>
      </w:r>
    </w:p>
    <w:p>
      <w:pPr>
        <w:sectPr>
          <w:pgSz w:w="11900" w:h="16838" w:orient="portrait"/>
          <w:cols w:equalWidth="0" w:num="1">
            <w:col w:w="9019"/>
          </w:cols>
          <w:pgMar w:left="1440" w:top="228" w:right="1440" w:bottom="1440" w:gutter="0" w:footer="0" w:header="0"/>
        </w:sectPr>
      </w:pPr>
    </w:p>
    <w:bookmarkStart w:id="7" w:name="page8"/>
    <w:bookmarkEnd w:id="7"/>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Cash flow highlights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cash flow for the year ended December 31, 2022.</w:t>
      </w:r>
    </w:p>
    <w:p>
      <w:pPr>
        <w:spacing w:after="0" w:line="15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0"/>
          <w:szCs w:val="10"/>
          <w:i w:val="1"/>
          <w:iCs w:val="1"/>
          <w:color w:val="auto"/>
        </w:rPr>
        <w:t>(in millions of U.S. dollars)</w:t>
      </w:r>
    </w:p>
    <w:p>
      <w:pPr>
        <w:ind w:left="2020"/>
        <w:spacing w:after="0" w:line="234" w:lineRule="auto"/>
        <w:rPr>
          <w:sz w:val="20"/>
          <w:szCs w:val="20"/>
          <w:color w:val="auto"/>
        </w:rPr>
      </w:pPr>
      <w:r>
        <w:rPr>
          <w:rFonts w:ascii="Times New Roman" w:cs="Times New Roman" w:eastAsia="Times New Roman" w:hAnsi="Times New Roman"/>
          <w:sz w:val="10"/>
          <w:szCs w:val="10"/>
          <w:i w:val="1"/>
          <w:iCs w:val="1"/>
          <w:color w:val="auto"/>
        </w:rPr>
        <w:t>(unaudited)</w:t>
      </w:r>
    </w:p>
    <w:p>
      <w:pPr>
        <w:spacing w:after="0" w:line="6" w:lineRule="exact"/>
        <w:rPr>
          <w:sz w:val="20"/>
          <w:szCs w:val="20"/>
          <w:color w:val="auto"/>
        </w:rPr>
      </w:pPr>
    </w:p>
    <w:tbl>
      <w:tblPr>
        <w:tblLayout w:type="fixed"/>
        <w:tblInd w:w="2020" w:type="dxa"/>
        <w:tblCellMar>
          <w:top w:w="0" w:type="dxa"/>
          <w:left w:w="0" w:type="dxa"/>
          <w:bottom w:w="0" w:type="dxa"/>
          <w:right w:w="0" w:type="dxa"/>
        </w:tblCellMar>
      </w:tblPr>
      <w:tr>
        <w:trPr>
          <w:trHeight w:val="13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 31, 2021</w:t>
            </w:r>
          </w:p>
        </w:tc>
        <w:tc>
          <w:tcPr>
            <w:tcW w:w="1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756.7</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Operating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(1,088.3)</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(716.0)</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Financing</w:t>
            </w: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2,087.7</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effect on cash and cash equivalents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w:t>
            </w:r>
          </w:p>
        </w:tc>
      </w:tr>
      <w:tr>
        <w:trPr>
          <w:trHeight w:val="159"/>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 31, 2022</w:t>
            </w: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973.9</w:t>
            </w:r>
          </w:p>
        </w:tc>
      </w:tr>
    </w:tbl>
    <w:p>
      <w:pPr>
        <w:spacing w:after="0" w:line="136" w:lineRule="exact"/>
        <w:rPr>
          <w:sz w:val="20"/>
          <w:szCs w:val="20"/>
          <w:color w:val="auto"/>
        </w:rPr>
      </w:pPr>
    </w:p>
    <w:p>
      <w:pPr>
        <w:ind w:left="1480" w:right="1279" w:hanging="288"/>
        <w:spacing w:after="0" w:line="279"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cash outflow of USD 1,088.3 million, mainly driven by operating loss, working capital increase in inventories and trade receivables as a result of higher production and sales, and interest expenses due to increased financial debt during 2022.</w:t>
      </w:r>
    </w:p>
    <w:p>
      <w:pPr>
        <w:spacing w:after="0" w:line="48" w:lineRule="exact"/>
        <w:rPr>
          <w:rFonts w:ascii="Times New Roman" w:cs="Times New Roman" w:eastAsia="Times New Roman" w:hAnsi="Times New Roman"/>
          <w:sz w:val="12"/>
          <w:szCs w:val="12"/>
          <w:color w:val="auto"/>
        </w:rPr>
      </w:pPr>
    </w:p>
    <w:p>
      <w:pPr>
        <w:ind w:left="1480" w:right="1099" w:hanging="288"/>
        <w:spacing w:after="0" w:line="279"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Investing cash outflow of USD 716.0 million, predominantly driven by intellectual property investments for Polestar 2, Polestar 3 and Polestar 4.</w:t>
      </w:r>
    </w:p>
    <w:p>
      <w:pPr>
        <w:spacing w:after="0" w:line="48" w:lineRule="exact"/>
        <w:rPr>
          <w:rFonts w:ascii="Times New Roman" w:cs="Times New Roman" w:eastAsia="Times New Roman" w:hAnsi="Times New Roman"/>
          <w:sz w:val="12"/>
          <w:szCs w:val="12"/>
          <w:color w:val="auto"/>
        </w:rPr>
      </w:pPr>
    </w:p>
    <w:p>
      <w:pPr>
        <w:ind w:left="1480" w:right="1099" w:hanging="288"/>
        <w:spacing w:after="0" w:line="279"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Financing cash inflow mainly comprised of equity proceeds of USD 1,418.0 million from the merger with GGI in June 2022 and a net increase in short-term borrowings of USD 723.5 million to support the continued growth of the company.</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Key operational highlights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key preliminary operational results as of and for the year ended December 31, 2022.</w:t>
      </w:r>
    </w:p>
    <w:p>
      <w:pPr>
        <w:spacing w:after="0" w:line="146"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47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480" w:type="dxa"/>
            <w:vAlign w:val="bottom"/>
            <w:gridSpan w:val="2"/>
          </w:tcPr>
          <w:p>
            <w:pPr>
              <w:jc w:val="center"/>
              <w:ind w:left="87"/>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80" w:type="dxa"/>
            <w:vAlign w:val="bottom"/>
            <w:vMerge w:val="continue"/>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6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520" w:type="dxa"/>
            <w:vAlign w:val="bottom"/>
            <w:gridSpan w:val="3"/>
          </w:tcPr>
          <w:p>
            <w:pPr>
              <w:jc w:val="center"/>
              <w:ind w:left="67"/>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133"/>
        </w:trPr>
        <w:tc>
          <w:tcPr>
            <w:tcW w:w="4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 xml:space="preserve">Global volumes </w:t>
            </w:r>
            <w:r>
              <w:rPr>
                <w:rFonts w:ascii="Times New Roman" w:cs="Times New Roman" w:eastAsia="Times New Roman" w:hAnsi="Times New Roman"/>
                <w:sz w:val="15"/>
                <w:szCs w:val="15"/>
                <w:color w:val="auto"/>
                <w:vertAlign w:val="superscript"/>
              </w:rPr>
              <w:t>(1)</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51,491</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28,677</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including external vehicles with repurchase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1,296</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including internal vehicles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1,664</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2,081</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780" w:type="dxa"/>
            <w:vAlign w:val="bottom"/>
          </w:tcPr>
          <w:p>
            <w:pPr>
              <w:spacing w:after="0"/>
              <w:rPr>
                <w:sz w:val="19"/>
                <w:szCs w:val="19"/>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520" w:type="dxa"/>
            <w:vAlign w:val="bottom"/>
            <w:gridSpan w:val="3"/>
            <w:vMerge w:val="restart"/>
          </w:tcPr>
          <w:p>
            <w:pPr>
              <w:jc w:val="center"/>
              <w:ind w:left="67"/>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115"/>
        </w:trPr>
        <w:tc>
          <w:tcPr>
            <w:tcW w:w="478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6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5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 xml:space="preserve">Markets </w:t>
            </w:r>
            <w:r>
              <w:rPr>
                <w:rFonts w:ascii="Times New Roman" w:cs="Times New Roman" w:eastAsia="Times New Roman" w:hAnsi="Times New Roman"/>
                <w:sz w:val="15"/>
                <w:szCs w:val="15"/>
                <w:color w:val="auto"/>
                <w:vertAlign w:val="superscript"/>
              </w:rPr>
              <w:t>(2)</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Locations </w:t>
            </w:r>
            <w:r>
              <w:rPr>
                <w:rFonts w:ascii="Times New Roman" w:cs="Times New Roman" w:eastAsia="Times New Roman" w:hAnsi="Times New Roman"/>
                <w:sz w:val="16"/>
                <w:szCs w:val="16"/>
                <w:color w:val="auto"/>
                <w:vertAlign w:val="superscript"/>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Service points </w:t>
            </w:r>
            <w:r>
              <w:rPr>
                <w:rFonts w:ascii="Times New Roman" w:cs="Times New Roman" w:eastAsia="Times New Roman" w:hAnsi="Times New Roman"/>
                <w:sz w:val="16"/>
                <w:szCs w:val="16"/>
                <w:color w:val="auto"/>
                <w:vertAlign w:val="superscript"/>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1,116</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4" w:right="1440" w:bottom="1440" w:gutter="0" w:footer="0" w:header="0"/>
        </w:sectPr>
      </w:pPr>
    </w:p>
    <w:bookmarkStart w:id="8" w:name="page9"/>
    <w:bookmarkEnd w:id="8"/>
    <w:p>
      <w:pPr>
        <w:ind w:left="1120" w:right="859" w:hanging="288"/>
        <w:spacing w:after="0" w:line="255"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ind w:left="1120" w:hanging="288"/>
        <w:spacing w:after="0"/>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markets in which Polestar operates.</w:t>
      </w:r>
    </w:p>
    <w:p>
      <w:pPr>
        <w:spacing w:after="0" w:line="6"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Polestar retail and handover locations, including Polestar Spaces, Polestar Destinations and Polestar Test Drive Centers.</w:t>
      </w:r>
    </w:p>
    <w:p>
      <w:pPr>
        <w:spacing w:after="0" w:line="6" w:lineRule="exact"/>
        <w:rPr>
          <w:rFonts w:ascii="Times New Roman" w:cs="Times New Roman" w:eastAsia="Times New Roman" w:hAnsi="Times New Roman"/>
          <w:sz w:val="12"/>
          <w:szCs w:val="12"/>
          <w:color w:val="auto"/>
        </w:rPr>
      </w:pPr>
    </w:p>
    <w:p>
      <w:pPr>
        <w:ind w:left="1120" w:right="1359" w:hanging="288"/>
        <w:spacing w:after="0" w:line="260"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Volvo Cars service centres which provide customers access to service points worldwide in support of Polestar’s international expansion.</w:t>
      </w:r>
    </w:p>
    <w:p>
      <w:pPr>
        <w:spacing w:after="0" w:line="59"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volumes increased 22,814 to 51,491 cars in 2022, an increase of 80% year on year.</w:t>
      </w:r>
    </w:p>
    <w:p>
      <w:pPr>
        <w:spacing w:after="0" w:line="87" w:lineRule="exact"/>
        <w:rPr>
          <w:rFonts w:ascii="Times New Roman" w:cs="Times New Roman" w:eastAsia="Times New Roman" w:hAnsi="Times New Roman"/>
          <w:sz w:val="12"/>
          <w:szCs w:val="12"/>
          <w:color w:val="auto"/>
        </w:rPr>
      </w:pPr>
    </w:p>
    <w:p>
      <w:pPr>
        <w:ind w:left="1480" w:right="959" w:hanging="288"/>
        <w:spacing w:after="0" w:line="279" w:lineRule="auto"/>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 has added eight new markets since the start of 2022: United Arab Emirates, Kuwait, Hong Kong, Ireland, Israel, Italy, Spain and Portugal.</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 has 158 retail locations and 1,116 service points across its markets, up 55 and 305 respectively, since the end of 2021.</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2023 outlook</w:t>
      </w:r>
    </w:p>
    <w:p>
      <w:pPr>
        <w:spacing w:after="0" w:line="91" w:lineRule="exact"/>
        <w:rPr>
          <w:sz w:val="20"/>
          <w:szCs w:val="20"/>
          <w:color w:val="auto"/>
        </w:rPr>
      </w:pPr>
    </w:p>
    <w:p>
      <w:pPr>
        <w:ind w:left="1480" w:right="1099" w:hanging="288"/>
        <w:spacing w:after="0" w:line="279"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previously announced, Polestar anticipates global volumes to increase by nearly 60% to approximately 80,000 cars, predominantly driven by Polestar 2 sales.</w:t>
      </w:r>
    </w:p>
    <w:p>
      <w:pPr>
        <w:spacing w:after="0" w:line="48" w:lineRule="exact"/>
        <w:rPr>
          <w:rFonts w:ascii="Times New Roman" w:cs="Times New Roman" w:eastAsia="Times New Roman" w:hAnsi="Times New Roman"/>
          <w:sz w:val="12"/>
          <w:szCs w:val="12"/>
          <w:color w:val="auto"/>
        </w:rPr>
      </w:pPr>
    </w:p>
    <w:p>
      <w:pPr>
        <w:ind w:left="1480" w:right="1139" w:hanging="288"/>
        <w:spacing w:after="0" w:line="279"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year as a whole, the Company expects gross margin to be broadly in line with 2022, with volume and product mix supporting margin progression later in the year.</w:t>
      </w:r>
    </w:p>
    <w:p>
      <w:pPr>
        <w:spacing w:after="0" w:line="48" w:lineRule="exact"/>
        <w:rPr>
          <w:rFonts w:ascii="Times New Roman" w:cs="Times New Roman" w:eastAsia="Times New Roman" w:hAnsi="Times New Roman"/>
          <w:sz w:val="12"/>
          <w:szCs w:val="12"/>
          <w:color w:val="auto"/>
        </w:rPr>
      </w:pPr>
    </w:p>
    <w:p>
      <w:pPr>
        <w:ind w:left="1480" w:right="1259" w:hanging="288"/>
        <w:spacing w:after="0" w:line="279"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While liquidity has strengthened, including a cash balance of approximately USD 1 billion as of December 31, 2022, the Company continues to explore potential equity or debt offerings to raise additional capital to fund operations and business growth.</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Recent developments – design, innovation, sustainability</w:t>
      </w:r>
    </w:p>
    <w:p>
      <w:pPr>
        <w:spacing w:after="0" w:line="91" w:lineRule="exact"/>
        <w:rPr>
          <w:sz w:val="20"/>
          <w:szCs w:val="20"/>
          <w:color w:val="auto"/>
        </w:rPr>
      </w:pPr>
    </w:p>
    <w:p>
      <w:pPr>
        <w:ind w:left="1480" w:right="919" w:hanging="288"/>
        <w:spacing w:after="0" w:line="260"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early January, Polestar announced that its vehicles will benefit from the latest enhancements and developments by Google. Developments include Google’s new HD map that will debut in Polestar 3, and the roll-out of remote actions for Polestar 2. The company also showcased Polestar 3 for the first time in the US at CES 2023 in Las Vegas, together with Smart Eye, supplier of premium driver monitoring technology which is included as standard.</w:t>
      </w:r>
    </w:p>
    <w:p>
      <w:pPr>
        <w:sectPr>
          <w:pgSz w:w="11900" w:h="16838" w:orient="portrait"/>
          <w:cols w:equalWidth="0" w:num="1">
            <w:col w:w="9019"/>
          </w:cols>
          <w:pgMar w:left="1440" w:top="228" w:right="1440" w:bottom="1440" w:gutter="0" w:footer="0" w:header="0"/>
        </w:sectPr>
      </w:pPr>
    </w:p>
    <w:bookmarkStart w:id="9" w:name="page10"/>
    <w:bookmarkEnd w:id="9"/>
    <w:p>
      <w:pPr>
        <w:ind w:left="1480" w:right="859" w:hanging="288"/>
        <w:spacing w:after="0" w:line="265" w:lineRule="auto"/>
        <w:tabs>
          <w:tab w:leader="none" w:pos="1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late January, Polestar announced a major update to Polestar 2. The 2024 model year will feature a new high-tech front end that reflects the design language premiered by Polestar 3, substantial performance increases with all-new electric motors, even more powerful batteries, longer range, sustainability improvements and, for the first time in a Polestar, rear-wheel drive.</w:t>
      </w:r>
    </w:p>
    <w:p>
      <w:pPr>
        <w:spacing w:after="0" w:line="55" w:lineRule="exact"/>
        <w:rPr>
          <w:rFonts w:ascii="Times New Roman" w:cs="Times New Roman" w:eastAsia="Times New Roman" w:hAnsi="Times New Roman"/>
          <w:sz w:val="12"/>
          <w:szCs w:val="12"/>
          <w:color w:val="auto"/>
        </w:rPr>
      </w:pPr>
    </w:p>
    <w:p>
      <w:pPr>
        <w:ind w:left="1480" w:right="879" w:hanging="288"/>
        <w:spacing w:after="0" w:line="260" w:lineRule="auto"/>
        <w:tabs>
          <w:tab w:leader="none" w:pos="1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Polestar signed up eight additional sustainability partners to the ambitious Polestar 0 project – to create a truly climate-neutral car by 2030 – bringing the total to 24, as well as initiated a collaboration with Rivian on the Pathway Report in response to the climate crisis. The Company also announced Polestar 3 with Luminar LiDAR is available to order, and an expanded partnership with Luminar to work on the integration of LiDAR in Polestar 5.</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Upcoming reporting and other events</w:t>
      </w:r>
    </w:p>
    <w:p>
      <w:pPr>
        <w:spacing w:after="0" w:line="91" w:lineRule="exact"/>
        <w:rPr>
          <w:sz w:val="20"/>
          <w:szCs w:val="20"/>
          <w:color w:val="auto"/>
        </w:rPr>
      </w:pPr>
    </w:p>
    <w:p>
      <w:pPr>
        <w:ind w:left="1480" w:right="1279" w:hanging="288"/>
        <w:spacing w:after="0" w:line="279" w:lineRule="auto"/>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Polestar’s Annual Report on Form 20-F is expected to be filed with the U.S. Securities and Exchange Commission (the “SEC”) on March 30, 2023.</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Polestar’s 2022 Sustainability Report is expected to be published in April 2023.</w:t>
      </w:r>
    </w:p>
    <w:p>
      <w:pPr>
        <w:spacing w:after="0" w:line="87" w:lineRule="exact"/>
        <w:rPr>
          <w:rFonts w:ascii="Times New Roman" w:cs="Times New Roman" w:eastAsia="Times New Roman" w:hAnsi="Times New Roman"/>
          <w:sz w:val="12"/>
          <w:szCs w:val="12"/>
          <w:color w:val="auto"/>
        </w:rPr>
      </w:pPr>
    </w:p>
    <w:p>
      <w:pPr>
        <w:ind w:left="1480" w:right="1059" w:hanging="288"/>
        <w:spacing w:after="0" w:line="279" w:lineRule="auto"/>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 expects to post its unaudited financial results for the quarter ended March 31, 2023 on Thursday, May 11, 2023, before market opening in the USA.</w:t>
      </w:r>
    </w:p>
    <w:p>
      <w:pPr>
        <w:spacing w:after="0" w:line="111"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 xml:space="preserve">Polestar management will hold a live audio webcast today, March 2, 2023 at 08:00 ET (14:00 CET) to discuss the Company’s results and outlook. The live webcast will be available at </w:t>
      </w:r>
      <w:r>
        <w:rPr>
          <w:rFonts w:ascii="Times New Roman" w:cs="Times New Roman" w:eastAsia="Times New Roman" w:hAnsi="Times New Roman"/>
          <w:sz w:val="12"/>
          <w:szCs w:val="12"/>
          <w:u w:val="single" w:color="auto"/>
          <w:color w:val="auto"/>
        </w:rPr>
        <w:t>https://edge.media-server.com/mmc/p/gp4rk9mk</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Following the completion of the call, a replay will be available shortly at </w:t>
      </w:r>
      <w:r>
        <w:rPr>
          <w:rFonts w:ascii="Times New Roman" w:cs="Times New Roman" w:eastAsia="Times New Roman" w:hAnsi="Times New Roman"/>
          <w:sz w:val="12"/>
          <w:szCs w:val="12"/>
          <w:u w:val="single" w:color="auto"/>
          <w:color w:val="auto"/>
        </w:rPr>
        <w:t>https://investors.polestar.com/</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Ends.</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Bojana Flint</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bojana.flint@polestar.com</w:t>
      </w:r>
    </w:p>
    <w:p>
      <w:pPr>
        <w:sectPr>
          <w:pgSz w:w="11900" w:h="16838" w:orient="portrait"/>
          <w:cols w:equalWidth="0" w:num="1">
            <w:col w:w="9019"/>
          </w:cols>
          <w:pgMar w:left="1440" w:top="228" w:right="1440" w:bottom="1440" w:gutter="0" w:footer="0" w:header="0"/>
        </w:sectPr>
      </w:pPr>
    </w:p>
    <w:bookmarkStart w:id="10" w:name="page11"/>
    <w:bookmarkEnd w:id="10"/>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Tanya Ridd</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Global Head of Communications &amp; PR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tanya.ridd@polestar.com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Statement Regarding Preliminary Unaudited Financial and Operational Results</w:t>
      </w:r>
    </w:p>
    <w:p>
      <w:pPr>
        <w:spacing w:after="0" w:line="80" w:lineRule="exact"/>
        <w:rPr>
          <w:sz w:val="20"/>
          <w:szCs w:val="20"/>
          <w:color w:val="auto"/>
        </w:rPr>
      </w:pPr>
    </w:p>
    <w:p>
      <w:pPr>
        <w:ind w:left="840" w:right="939"/>
        <w:spacing w:after="0" w:line="258" w:lineRule="auto"/>
        <w:rPr>
          <w:sz w:val="20"/>
          <w:szCs w:val="20"/>
          <w:color w:val="auto"/>
        </w:rPr>
      </w:pPr>
      <w:r>
        <w:rPr>
          <w:rFonts w:ascii="Times New Roman" w:cs="Times New Roman" w:eastAsia="Times New Roman" w:hAnsi="Times New Roman"/>
          <w:sz w:val="12"/>
          <w:szCs w:val="12"/>
          <w:i w:val="1"/>
          <w:iCs w:val="1"/>
          <w:color w:val="auto"/>
        </w:rPr>
        <w:t>The unaudited financial and operational information published in this press release is preliminary and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preliminary unaudited operational and financial information published in this press release should not be considered a substitute for the financial information to be filed with the SEC in Polestar’s Annual Report on Form 20-F for the year ended December 31, 2022.</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About Polestar</w:t>
      </w:r>
    </w:p>
    <w:p>
      <w:pPr>
        <w:spacing w:after="0" w:line="80" w:lineRule="exact"/>
        <w:rPr>
          <w:sz w:val="20"/>
          <w:szCs w:val="20"/>
          <w:color w:val="auto"/>
        </w:rPr>
      </w:pPr>
    </w:p>
    <w:p>
      <w:pPr>
        <w:ind w:left="840" w:right="859"/>
        <w:spacing w:after="0" w:line="266" w:lineRule="auto"/>
        <w:rPr>
          <w:sz w:val="20"/>
          <w:szCs w:val="20"/>
          <w:color w:val="auto"/>
        </w:rPr>
      </w:pPr>
      <w:r>
        <w:rPr>
          <w:rFonts w:ascii="Times New Roman" w:cs="Times New Roman" w:eastAsia="Times New Roman" w:hAnsi="Times New Roman"/>
          <w:sz w:val="12"/>
          <w:szCs w:val="12"/>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w:t>
      </w:r>
    </w:p>
    <w:p>
      <w:pPr>
        <w:spacing w:after="0" w:line="117" w:lineRule="exact"/>
        <w:rPr>
          <w:sz w:val="20"/>
          <w:szCs w:val="20"/>
          <w:color w:val="auto"/>
        </w:rPr>
      </w:pPr>
    </w:p>
    <w:p>
      <w:pPr>
        <w:ind w:left="840" w:right="959"/>
        <w:spacing w:after="0" w:line="266" w:lineRule="auto"/>
        <w:rPr>
          <w:sz w:val="20"/>
          <w:szCs w:val="20"/>
          <w:color w:val="auto"/>
        </w:rPr>
      </w:pPr>
      <w:r>
        <w:rPr>
          <w:rFonts w:ascii="Times New Roman" w:cs="Times New Roman" w:eastAsia="Times New Roman" w:hAnsi="Times New Roman"/>
          <w:sz w:val="12"/>
          <w:szCs w:val="12"/>
          <w:i w:val="1"/>
          <w:iCs w:val="1"/>
          <w:color w:val="auto"/>
        </w:rPr>
        <w:t>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plans to release three more electric performance vehicles through to 2026.</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80"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Guidance on revenue, volumes, gross margin and other financial or operating metrics, such as the ones included in the 2023 outlook described in this press release, are forward-looking statements. In some cases, you can identify forward-looking statements by terminology such as “may”, “should”, “expect”, “intend”, “will”, “estimate”, “anticipate”, “believe”, “predict”, “potential”, “forecast”, “outlook,” “guidance”,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23" w:lineRule="exact"/>
        <w:rPr>
          <w:sz w:val="20"/>
          <w:szCs w:val="20"/>
          <w:color w:val="auto"/>
        </w:rPr>
      </w:pPr>
    </w:p>
    <w:p>
      <w:pPr>
        <w:ind w:left="840" w:right="919"/>
        <w:spacing w:after="0" w:line="255" w:lineRule="auto"/>
        <w:rPr>
          <w:sz w:val="20"/>
          <w:szCs w:val="20"/>
          <w:color w:val="auto"/>
        </w:rPr>
      </w:pPr>
      <w:r>
        <w:rPr>
          <w:rFonts w:ascii="Times New Roman" w:cs="Times New Roman" w:eastAsia="Times New Roman" w:hAnsi="Times New Roman"/>
          <w:sz w:val="12"/>
          <w:szCs w:val="12"/>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w:t>
      </w:r>
    </w:p>
    <w:p>
      <w:pPr>
        <w:sectPr>
          <w:pgSz w:w="11900" w:h="16838" w:orient="portrait"/>
          <w:cols w:equalWidth="0" w:num="1">
            <w:col w:w="9019"/>
          </w:cols>
          <w:pgMar w:left="1440" w:top="228" w:right="1440" w:bottom="1440" w:gutter="0" w:footer="0" w:header="0"/>
        </w:sectPr>
      </w:pPr>
    </w:p>
    <w:bookmarkStart w:id="11" w:name="page12"/>
    <w:bookmarkEnd w:id="11"/>
    <w:p>
      <w:pPr>
        <w:ind w:left="840" w:right="839"/>
        <w:spacing w:after="0" w:line="252"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28" w:lineRule="exact"/>
        <w:rPr>
          <w:sz w:val="20"/>
          <w:szCs w:val="20"/>
          <w:color w:val="auto"/>
        </w:rPr>
      </w:pPr>
    </w:p>
    <w:p>
      <w:pPr>
        <w:ind w:left="840" w:right="859"/>
        <w:spacing w:after="0" w:line="261" w:lineRule="auto"/>
        <w:rPr>
          <w:sz w:val="20"/>
          <w:szCs w:val="20"/>
          <w:color w:val="auto"/>
        </w:rPr>
      </w:pPr>
      <w:r>
        <w:rPr>
          <w:rFonts w:ascii="Times New Roman" w:cs="Times New Roman" w:eastAsia="Times New Roman" w:hAnsi="Times New Roman"/>
          <w:sz w:val="12"/>
          <w:szCs w:val="12"/>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ectPr>
          <w:pgSz w:w="11900" w:h="16838" w:orient="portrait"/>
          <w:cols w:equalWidth="0" w:num="1">
            <w:col w:w="9019"/>
          </w:cols>
          <w:pgMar w:left="1440" w:top="226" w:right="1440" w:bottom="1440" w:gutter="0" w:footer="0" w:header="0"/>
        </w:sectPr>
      </w:pPr>
    </w:p>
    <w:bookmarkStart w:id="12" w:name="page13"/>
    <w:bookmarkEnd w:id="1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Appendix A</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Polestar Automotive Holding UK PLC</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Preliminary Unaudited Condensed Consolidated Statement of Loss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thousands of U.S. dollars unless otherwise stated)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w:t>
            </w: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For the year ended</w:t>
            </w:r>
          </w:p>
        </w:tc>
      </w:tr>
      <w:tr>
        <w:trPr>
          <w:trHeight w:val="115"/>
        </w:trPr>
        <w:tc>
          <w:tcPr>
            <w:tcW w:w="4680" w:type="dxa"/>
            <w:vAlign w:val="bottom"/>
          </w:tcPr>
          <w:p>
            <w:pPr>
              <w:spacing w:after="0"/>
              <w:rPr>
                <w:sz w:val="10"/>
                <w:szCs w:val="10"/>
                <w:color w:val="auto"/>
              </w:rPr>
            </w:pPr>
          </w:p>
        </w:tc>
        <w:tc>
          <w:tcPr>
            <w:tcW w:w="1320" w:type="dxa"/>
            <w:vAlign w:val="bottom"/>
            <w:gridSpan w:val="4"/>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340" w:type="dxa"/>
            <w:vAlign w:val="bottom"/>
            <w:gridSpan w:val="4"/>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88"/>
        </w:trPr>
        <w:tc>
          <w:tcPr>
            <w:tcW w:w="4680" w:type="dxa"/>
            <w:vAlign w:val="bottom"/>
            <w:tcBorders>
              <w:bottom w:val="single" w:sz="8" w:color="CCEEFF"/>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7"/>
                <w:szCs w:val="7"/>
                <w:color w:val="auto"/>
              </w:rPr>
            </w:pPr>
          </w:p>
        </w:tc>
      </w:tr>
      <w:tr>
        <w:trPr>
          <w:trHeight w:val="133"/>
        </w:trPr>
        <w:tc>
          <w:tcPr>
            <w:tcW w:w="4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985,151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589,507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2,461,897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1,337,181</w:t>
            </w:r>
          </w:p>
        </w:tc>
        <w:tc>
          <w:tcPr>
            <w:tcW w:w="80" w:type="dxa"/>
            <w:vAlign w:val="bottom"/>
            <w:shd w:val="clear" w:color="auto" w:fill="CCEEFF"/>
          </w:tcPr>
          <w:p>
            <w:pPr>
              <w:spacing w:after="0"/>
              <w:rPr>
                <w:sz w:val="11"/>
                <w:szCs w:val="11"/>
                <w:color w:val="auto"/>
              </w:rPr>
            </w:pP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(923,183)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(589,707)</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(2,342,454)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(1,336,321)</w:t>
            </w:r>
          </w:p>
        </w:tc>
      </w:tr>
      <w:tr>
        <w:trPr>
          <w:trHeight w:val="20"/>
        </w:trPr>
        <w:tc>
          <w:tcPr>
            <w:tcW w:w="4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 (loss)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61,968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(200)</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119,443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860</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(239,174)</w:t>
            </w: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(236,580)</w:t>
            </w: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(864,598)</w:t>
            </w: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(714,724)</w:t>
            </w:r>
          </w:p>
        </w:tc>
        <w:tc>
          <w:tcPr>
            <w:tcW w:w="80" w:type="dxa"/>
            <w:vAlign w:val="bottom"/>
          </w:tcPr>
          <w:p>
            <w:pPr>
              <w:spacing w:after="0"/>
              <w:rPr>
                <w:sz w:val="12"/>
                <w:szCs w:val="12"/>
                <w:color w:val="auto"/>
              </w:rPr>
            </w:pPr>
          </w:p>
        </w:tc>
      </w:tr>
      <w:tr>
        <w:trPr>
          <w:trHeight w:val="14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(47,634)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(75,522)</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(170,987)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(232,922)</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income (expense), net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20,143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(24,993)</w:t>
            </w: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2,182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(48,053)</w:t>
            </w:r>
          </w:p>
        </w:tc>
      </w:tr>
      <w:tr>
        <w:trPr>
          <w:trHeight w:val="14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(372,318)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(204,697)</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(337,295)</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(1,286,278</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(994,839)</w:t>
            </w:r>
          </w:p>
        </w:tc>
        <w:tc>
          <w:tcPr>
            <w:tcW w:w="80" w:type="dxa"/>
            <w:vAlign w:val="bottom"/>
          </w:tcPr>
          <w:p>
            <w:pPr>
              <w:spacing w:after="0"/>
              <w:rPr>
                <w:sz w:val="12"/>
                <w:szCs w:val="12"/>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7,066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8,169</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8,551</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32,970</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3,531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(16,738)</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(108,435)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(45,249)</w:t>
            </w:r>
          </w:p>
        </w:tc>
      </w:tr>
      <w:tr>
        <w:trPr>
          <w:trHeight w:val="14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 – Earn-out rights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(63,600)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902,068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 - Class C Shares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35,090</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before income taxes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(258,200)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(345,864)</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(449,005)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(1,007,118)</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(4,240)</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9,078</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(16,783)</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80" w:type="dxa"/>
            <w:vAlign w:val="bottom"/>
          </w:tcPr>
          <w:p>
            <w:pPr>
              <w:spacing w:after="0"/>
              <w:rPr>
                <w:sz w:val="12"/>
                <w:szCs w:val="12"/>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(262,440)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(336,786)</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(465,789)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(1,007,454)</w:t>
            </w:r>
          </w:p>
        </w:tc>
      </w:tr>
      <w:tr>
        <w:trPr>
          <w:trHeight w:val="20"/>
        </w:trPr>
        <w:tc>
          <w:tcPr>
            <w:tcW w:w="4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Automotive Holding UK PLC</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Preliminary Unaudited Condensed Consolidated Statement of Financial Position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thousands of U.S. dollars unless otherwise stated)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r>
      <w:tr>
        <w:trPr>
          <w:trHeight w:val="115"/>
        </w:trPr>
        <w:tc>
          <w:tcPr>
            <w:tcW w:w="60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5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Non-current assets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 and goodwill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1,391,828</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1,368,356</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262,593</w:t>
            </w:r>
          </w:p>
        </w:tc>
        <w:tc>
          <w:tcPr>
            <w:tcW w:w="140" w:type="dxa"/>
            <w:vAlign w:val="bottom"/>
          </w:tcPr>
          <w:p>
            <w:pPr>
              <w:spacing w:after="0"/>
              <w:rPr>
                <w:sz w:val="12"/>
                <w:szCs w:val="12"/>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208,193</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Vehicles held under operating lease</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92,198</w:t>
            </w: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120,626</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assets</w:t>
            </w: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15,395</w:t>
            </w: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5,532</w:t>
            </w:r>
          </w:p>
        </w:tc>
      </w:tr>
      <w:tr>
        <w:trPr>
          <w:trHeight w:val="20"/>
        </w:trPr>
        <w:tc>
          <w:tcPr>
            <w:tcW w:w="6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1,762,014</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1,702,707</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973,877</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756,677</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Marketable securities</w:t>
            </w:r>
          </w:p>
        </w:tc>
        <w:tc>
          <w:tcPr>
            <w:tcW w:w="7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1,258</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 receivables external and trade receivables and accrued income – related parties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370,164</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177,544</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Inventories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657,882</w:t>
            </w:r>
          </w:p>
        </w:tc>
        <w:tc>
          <w:tcPr>
            <w:tcW w:w="140" w:type="dxa"/>
            <w:vAlign w:val="bottom"/>
          </w:tcPr>
          <w:p>
            <w:pPr>
              <w:spacing w:after="0"/>
              <w:rPr>
                <w:sz w:val="12"/>
                <w:szCs w:val="12"/>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545,743</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178,516</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125,764</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2,180,439</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1,606,986</w:t>
            </w:r>
          </w:p>
        </w:tc>
        <w:tc>
          <w:tcPr>
            <w:tcW w:w="8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3,942,453</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3,309,693</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capital</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(21,156)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(1,865,909)</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contributed capital</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(3,582,589)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(35,231)</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 &amp; Foreign currency translation reserve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3,737,089</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1,778,644</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133,344</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(122,496)</w:t>
            </w:r>
          </w:p>
        </w:tc>
        <w:tc>
          <w:tcPr>
            <w:tcW w:w="8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5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provisions and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(139,428)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(79,906)</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Earn-out liability</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(598,570)</w:t>
            </w: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interest-bearing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(85,556)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(66,575)</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(823,554)</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(146,481)</w:t>
            </w:r>
          </w:p>
        </w:tc>
        <w:tc>
          <w:tcPr>
            <w:tcW w:w="8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5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Trade payables external and trade payables and accrued expenses - related parties</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(1,184,142)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(1,857,730)</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Advance payments from customers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(40,868)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(36,415)</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Liabilities to credit institutions</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(1,328,752)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(642,338)</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Interest-bearing current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(38,235)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(24,072)</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Class C Shares liability</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(28,000)</w:t>
            </w: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provisions and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(632,246)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(480,161)</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(3,252,243)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(3,040,716)</w:t>
            </w:r>
          </w:p>
        </w:tc>
      </w:tr>
      <w:tr>
        <w:trPr>
          <w:trHeight w:val="20"/>
        </w:trPr>
        <w:tc>
          <w:tcPr>
            <w:tcW w:w="6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(4,075,797)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(3,187,197)</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 and liabilities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(3,942,453</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(3,309,693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6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14" w:name="page15"/>
    <w:bookmarkEnd w:id="14"/>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Automotive Holding UK PLC</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Preliminary Unaudited Condensed Consolidated Statement of Cash Flows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thousands of U.S. dollars unless otherwise stated)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1480" w:type="dxa"/>
            <w:vAlign w:val="bottom"/>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5"/>
              </w:rPr>
              <w:t>For the year ended December 31,</w:t>
            </w:r>
          </w:p>
        </w:tc>
      </w:tr>
      <w:tr>
        <w:trPr>
          <w:trHeight w:val="115"/>
        </w:trPr>
        <w:tc>
          <w:tcPr>
            <w:tcW w:w="58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(465,789)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(1,007,454)</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flows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185,057</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239,164</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Finance income and expense</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99,884</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12,280</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Listing expense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372,318</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expense</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16,783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336</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non-cash expense and income</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(839,595)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106,658</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(378,526)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357,505</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Interest net paid &amp; tax paid</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(78,481)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(20,645)</w:t>
            </w:r>
          </w:p>
        </w:tc>
      </w:tr>
      <w:tr>
        <w:trPr>
          <w:trHeight w:val="20"/>
        </w:trPr>
        <w:tc>
          <w:tcPr>
            <w:tcW w:w="5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used for operating activities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(1,088,349)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(312,156)</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(32,269)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(24,701)</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Additions to intangible assets</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(681,204)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(104,971)</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(2,500)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used for investing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(715,973)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(129,672)</w:t>
            </w:r>
          </w:p>
        </w:tc>
        <w:tc>
          <w:tcPr>
            <w:tcW w:w="8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Change in restricted cash</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48,830</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short-term borrowings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2,146,396</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698,882</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Principal repayments of short-term borrowings</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(1,422,862)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(411,950)</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Principal repayments of lease liabilities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(14,905)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(8,578)</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the issuance of share capital and other contributed capital</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1,417,973</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582,388</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costs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(38,903)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provided by financing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2,087,699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909,572</w:t>
            </w:r>
          </w:p>
        </w:tc>
        <w:tc>
          <w:tcPr>
            <w:tcW w:w="8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foreign exchange rate changes on cash and cash equivalents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(66,177)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(27,491)</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in cash and cash equivalents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217,200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440,253</w:t>
            </w:r>
          </w:p>
        </w:tc>
        <w:tc>
          <w:tcPr>
            <w:tcW w:w="80" w:type="dxa"/>
            <w:vAlign w:val="bottom"/>
          </w:tcPr>
          <w:p>
            <w:pPr>
              <w:spacing w:after="0"/>
              <w:rPr>
                <w:sz w:val="12"/>
                <w:szCs w:val="12"/>
                <w:color w:val="auto"/>
              </w:rPr>
            </w:pPr>
          </w:p>
        </w:tc>
      </w:tr>
      <w:tr>
        <w:trPr>
          <w:trHeight w:val="142"/>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b w:val="1"/>
                <w:bCs w:val="1"/>
                <w:color w:val="auto"/>
              </w:rPr>
              <w:t>Cash and cash equivalents at beginning of period</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756,677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316,424</w:t>
            </w:r>
          </w:p>
        </w:tc>
      </w:tr>
      <w:tr>
        <w:trPr>
          <w:trHeight w:val="142"/>
        </w:trPr>
        <w:tc>
          <w:tcPr>
            <w:tcW w:w="586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973,877</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756,677</w:t>
            </w:r>
          </w:p>
        </w:tc>
        <w:tc>
          <w:tcPr>
            <w:tcW w:w="80" w:type="dxa"/>
            <w:vAlign w:val="bottom"/>
          </w:tcPr>
          <w:p>
            <w:pPr>
              <w:spacing w:after="0"/>
              <w:rPr>
                <w:sz w:val="12"/>
                <w:szCs w:val="12"/>
                <w:color w:val="auto"/>
              </w:rPr>
            </w:pPr>
          </w:p>
        </w:tc>
      </w:tr>
    </w:tbl>
    <w:p>
      <w:pPr>
        <w:sectPr>
          <w:pgSz w:w="11900" w:h="16838" w:orient="portrait"/>
          <w:cols w:equalWidth="0" w:num="1">
            <w:col w:w="9019"/>
          </w:cols>
          <w:pgMar w:left="1440" w:top="224" w:right="1440" w:bottom="1440" w:gutter="0" w:footer="0" w:header="0"/>
        </w:sectPr>
      </w:pPr>
    </w:p>
    <w:bookmarkStart w:id="15" w:name="page16"/>
    <w:bookmarkEnd w:id="1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Appendix B</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Polestar Automotive Holding UK PLC</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ind w:left="840" w:right="939"/>
        <w:spacing w:after="0" w:line="300" w:lineRule="auto"/>
        <w:rPr>
          <w:sz w:val="20"/>
          <w:szCs w:val="20"/>
          <w:color w:val="auto"/>
        </w:rPr>
      </w:pPr>
      <w:r>
        <w:rPr>
          <w:rFonts w:ascii="Times New Roman" w:cs="Times New Roman" w:eastAsia="Times New Roman" w:hAnsi="Times New Roman"/>
          <w:sz w:val="11"/>
          <w:szCs w:val="11"/>
          <w:color w:val="auto"/>
        </w:rPr>
        <w:t>Polestar uses both generally accepted accounting principles (“GAAP,” i.e., IFRS) and non-GAAP (i.e., non-IFRS) financial measures to evaluate operating performance, for internal comparisons to historical performance, and for financial decision-making purposes. Polestar believes non-GAAP financial measures are helpful to investors as they provide useful perspective on underlying business trends and assist in period on period comparisons.</w:t>
      </w:r>
    </w:p>
    <w:p>
      <w:pPr>
        <w:spacing w:after="0" w:line="102"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19"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Non-GAAP financial measures include adjusted operating loss, adjusted EBITDA, adjusted net loss, and free cash flow.</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Adjusted Operating Loss</w:t>
      </w:r>
    </w:p>
    <w:p>
      <w:pPr>
        <w:spacing w:after="0" w:line="80"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w:t>
      </w:r>
    </w:p>
    <w:p>
      <w:pPr>
        <w:sectPr>
          <w:pgSz w:w="11900" w:h="16838" w:orient="portrait"/>
          <w:cols w:equalWidth="0" w:num="1">
            <w:col w:w="9019"/>
          </w:cols>
          <w:pgMar w:left="1440" w:top="224" w:right="1440" w:bottom="1440" w:gutter="0" w:footer="0" w:header="0"/>
        </w:sectPr>
      </w:pPr>
    </w:p>
    <w:bookmarkStart w:id="16" w:name="page17"/>
    <w:bookmarkEnd w:id="16"/>
    <w:p>
      <w:pPr>
        <w:ind w:left="840"/>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Adjusted EBITDA</w:t>
      </w:r>
    </w:p>
    <w:p>
      <w:pPr>
        <w:spacing w:after="0" w:line="80" w:lineRule="exact"/>
        <w:rPr>
          <w:sz w:val="20"/>
          <w:szCs w:val="20"/>
          <w:color w:val="auto"/>
        </w:rPr>
      </w:pPr>
    </w:p>
    <w:p>
      <w:pPr>
        <w:ind w:left="840" w:right="1059"/>
        <w:spacing w:after="0" w:line="265" w:lineRule="auto"/>
        <w:rPr>
          <w:sz w:val="20"/>
          <w:szCs w:val="20"/>
          <w:color w:val="auto"/>
        </w:rPr>
      </w:pPr>
      <w:r>
        <w:rPr>
          <w:rFonts w:ascii="Times New Roman" w:cs="Times New Roman" w:eastAsia="Times New Roman" w:hAnsi="Times New Roman"/>
          <w:sz w:val="12"/>
          <w:szCs w:val="12"/>
          <w:color w:val="auto"/>
        </w:rPr>
        <w:t>Adjusted EBITDA is calculated as listing expense, fair value change of earn-out rights, fair value change of Class C Shares, interest income, interest expense, income tax expense, depreciation, and amortization, subtracted from net loss. This measure is reviewed by management and is relevant measure for understanding the underlying operating results and trends of the business prior to the impact of any adjusting items.</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Adjusted Net Loss</w:t>
      </w:r>
    </w:p>
    <w:p>
      <w:pPr>
        <w:spacing w:after="0" w:line="80"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Adjusted net loss is calculated as net loss, adjusted to exclude listing expense, fair value change of earn-out rights, and fair value change of Class C Shares. This measure is reviewed by management and is a relevant measure for understanding the underlying performance of Polestar’s recurring core business operations.</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Free Cash Flow</w:t>
      </w:r>
    </w:p>
    <w:p>
      <w:pPr>
        <w:spacing w:after="0" w:line="80"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Free cash flow is calculated by subtracting cash flows used for tangible assets and intangible assets from cash used for operating activities. This measure is reviewed by management and is a relevant measure for understanding cash sourced from operating activities that is available to repay debts, fund capital expenditures, and spend on other strategic initiatives.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Unaudited Reconciliation of GAAP and Non-GAAP Results</w:t>
      </w:r>
    </w:p>
    <w:p>
      <w:pPr>
        <w:spacing w:after="0" w:line="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Adjusted Operating Loss</w:t>
      </w:r>
    </w:p>
    <w:p>
      <w:pPr>
        <w:spacing w:after="0" w:line="148"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35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2640" w:type="dxa"/>
            <w:vAlign w:val="bottom"/>
            <w:gridSpan w:val="2"/>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0" w:type="dxa"/>
            <w:vAlign w:val="bottom"/>
          </w:tcPr>
          <w:p>
            <w:pPr>
              <w:spacing w:after="0"/>
              <w:rPr>
                <w:sz w:val="1"/>
                <w:szCs w:val="1"/>
                <w:color w:val="auto"/>
              </w:rPr>
            </w:pPr>
          </w:p>
        </w:tc>
      </w:tr>
      <w:tr>
        <w:trPr>
          <w:trHeight w:val="99"/>
        </w:trPr>
        <w:tc>
          <w:tcPr>
            <w:tcW w:w="3540" w:type="dxa"/>
            <w:vAlign w:val="bottom"/>
            <w:vMerge w:val="continue"/>
          </w:tcPr>
          <w:p>
            <w:pPr>
              <w:spacing w:after="0"/>
              <w:rPr>
                <w:sz w:val="8"/>
                <w:szCs w:val="8"/>
                <w:color w:val="auto"/>
              </w:rPr>
            </w:pPr>
          </w:p>
        </w:tc>
        <w:tc>
          <w:tcPr>
            <w:tcW w:w="2640" w:type="dxa"/>
            <w:vAlign w:val="bottom"/>
            <w:gridSpan w:val="2"/>
          </w:tcPr>
          <w:p>
            <w:pPr>
              <w:jc w:val="right"/>
              <w:ind w:right="223"/>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3540" w:type="dxa"/>
            <w:vAlign w:val="bottom"/>
          </w:tcPr>
          <w:p>
            <w:pPr>
              <w:spacing w:after="0"/>
              <w:rPr>
                <w:sz w:val="10"/>
                <w:szCs w:val="10"/>
                <w:color w:val="auto"/>
              </w:rPr>
            </w:pPr>
          </w:p>
        </w:tc>
        <w:tc>
          <w:tcPr>
            <w:tcW w:w="218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2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(1,286.3)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(994.8)</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2"/>
                <w:szCs w:val="12"/>
                <w:color w:val="auto"/>
              </w:rPr>
              <w:t>372.3</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operating loss (non-GAAP)</w:t>
            </w:r>
          </w:p>
        </w:tc>
        <w:tc>
          <w:tcPr>
            <w:tcW w:w="2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(914.0)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(994.8)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17" w:name="page18"/>
    <w:bookmarkEnd w:id="17"/>
    <w:p>
      <w:pPr>
        <w:ind w:left="840"/>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Adjusted EBITDA</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220" w:type="dxa"/>
            <w:vAlign w:val="bottom"/>
            <w:gridSpan w:val="2"/>
          </w:tcPr>
          <w:p>
            <w:pPr>
              <w:jc w:val="center"/>
              <w:ind w:left="1024"/>
              <w:spacing w:after="0"/>
              <w:rPr>
                <w:sz w:val="20"/>
                <w:szCs w:val="20"/>
                <w:color w:val="auto"/>
              </w:rPr>
            </w:pPr>
            <w:r>
              <w:rPr>
                <w:rFonts w:ascii="Times New Roman" w:cs="Times New Roman" w:eastAsia="Times New Roman" w:hAnsi="Times New Roman"/>
                <w:sz w:val="10"/>
                <w:szCs w:val="10"/>
                <w:b w:val="1"/>
                <w:bCs w:val="1"/>
                <w:color w:val="auto"/>
                <w:w w:val="96"/>
              </w:rPr>
              <w:t>For the year ended</w:t>
            </w:r>
          </w:p>
        </w:tc>
        <w:tc>
          <w:tcPr>
            <w:tcW w:w="0" w:type="dxa"/>
            <w:vAlign w:val="bottom"/>
          </w:tcPr>
          <w:p>
            <w:pPr>
              <w:spacing w:after="0"/>
              <w:rPr>
                <w:sz w:val="1"/>
                <w:szCs w:val="1"/>
                <w:color w:val="auto"/>
              </w:rPr>
            </w:pPr>
          </w:p>
        </w:tc>
      </w:tr>
      <w:tr>
        <w:trPr>
          <w:trHeight w:val="99"/>
        </w:trPr>
        <w:tc>
          <w:tcPr>
            <w:tcW w:w="880" w:type="dxa"/>
            <w:vAlign w:val="bottom"/>
          </w:tcPr>
          <w:p>
            <w:pPr>
              <w:spacing w:after="0"/>
              <w:rPr>
                <w:sz w:val="8"/>
                <w:szCs w:val="8"/>
                <w:color w:val="auto"/>
              </w:rPr>
            </w:pPr>
          </w:p>
        </w:tc>
        <w:tc>
          <w:tcPr>
            <w:tcW w:w="3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 millions of U.S. dollars)</w:t>
            </w:r>
          </w:p>
        </w:tc>
        <w:tc>
          <w:tcPr>
            <w:tcW w:w="2220" w:type="dxa"/>
            <w:vAlign w:val="bottom"/>
            <w:gridSpan w:val="2"/>
          </w:tcPr>
          <w:p>
            <w:pPr>
              <w:jc w:val="center"/>
              <w:ind w:left="1044"/>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700" w:type="dxa"/>
            <w:vAlign w:val="bottom"/>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(465.8)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(1,007.5)</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372.3</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change—Earn-out rights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(902.1)</w:t>
            </w:r>
          </w:p>
        </w:tc>
        <w:tc>
          <w:tcPr>
            <w:tcW w:w="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change—Class C Shares</w:t>
            </w:r>
          </w:p>
        </w:tc>
        <w:tc>
          <w:tcPr>
            <w:tcW w:w="17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(35.1)</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(7.7)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expenses</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77.5</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44.9</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7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16.8</w:t>
            </w:r>
          </w:p>
        </w:tc>
        <w:tc>
          <w:tcPr>
            <w:tcW w:w="5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185.1</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239.2</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(non-GAAP)</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(759.0)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(724.5)</w:t>
            </w:r>
          </w:p>
        </w:tc>
        <w:tc>
          <w:tcPr>
            <w:tcW w:w="0" w:type="dxa"/>
            <w:vAlign w:val="bottom"/>
          </w:tcPr>
          <w:p>
            <w:pPr>
              <w:spacing w:after="0"/>
              <w:rPr>
                <w:sz w:val="1"/>
                <w:szCs w:val="1"/>
                <w:color w:val="auto"/>
              </w:rPr>
            </w:pPr>
          </w:p>
        </w:tc>
      </w:tr>
      <w:tr>
        <w:trPr>
          <w:trHeight w:val="360"/>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Adjusted Net Loss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33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2220" w:type="dxa"/>
            <w:vAlign w:val="bottom"/>
            <w:gridSpan w:val="2"/>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0" w:type="dxa"/>
            <w:vAlign w:val="bottom"/>
          </w:tcPr>
          <w:p>
            <w:pPr>
              <w:spacing w:after="0"/>
              <w:rPr>
                <w:sz w:val="1"/>
                <w:szCs w:val="1"/>
                <w:color w:val="auto"/>
              </w:rPr>
            </w:pPr>
          </w:p>
        </w:tc>
      </w:tr>
      <w:tr>
        <w:trPr>
          <w:trHeight w:val="99"/>
        </w:trPr>
        <w:tc>
          <w:tcPr>
            <w:tcW w:w="88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2220" w:type="dxa"/>
            <w:vAlign w:val="bottom"/>
            <w:gridSpan w:val="2"/>
          </w:tcPr>
          <w:p>
            <w:pPr>
              <w:jc w:val="right"/>
              <w:ind w:right="282"/>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700" w:type="dxa"/>
            <w:vAlign w:val="bottom"/>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(465.8)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(1,007.5)</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372.3</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change—Earn-out rights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(902.1)</w:t>
            </w:r>
          </w:p>
        </w:tc>
        <w:tc>
          <w:tcPr>
            <w:tcW w:w="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change—Class C Shares</w:t>
            </w:r>
          </w:p>
        </w:tc>
        <w:tc>
          <w:tcPr>
            <w:tcW w:w="17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(35.1)</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loss (non-GAAP)</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(1,030.7)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(1,007.5)</w:t>
            </w:r>
          </w:p>
        </w:tc>
        <w:tc>
          <w:tcPr>
            <w:tcW w:w="0" w:type="dxa"/>
            <w:vAlign w:val="bottom"/>
          </w:tcPr>
          <w:p>
            <w:pPr>
              <w:spacing w:after="0"/>
              <w:rPr>
                <w:sz w:val="1"/>
                <w:szCs w:val="1"/>
                <w:color w:val="auto"/>
              </w:rPr>
            </w:pPr>
          </w:p>
        </w:tc>
      </w:tr>
      <w:tr>
        <w:trPr>
          <w:trHeight w:val="360"/>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Free Cash Flow</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33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2220" w:type="dxa"/>
            <w:vAlign w:val="bottom"/>
            <w:gridSpan w:val="2"/>
          </w:tcPr>
          <w:p>
            <w:pPr>
              <w:jc w:val="center"/>
              <w:ind w:left="1024"/>
              <w:spacing w:after="0"/>
              <w:rPr>
                <w:sz w:val="20"/>
                <w:szCs w:val="20"/>
                <w:color w:val="auto"/>
              </w:rPr>
            </w:pPr>
            <w:r>
              <w:rPr>
                <w:rFonts w:ascii="Times New Roman" w:cs="Times New Roman" w:eastAsia="Times New Roman" w:hAnsi="Times New Roman"/>
                <w:sz w:val="10"/>
                <w:szCs w:val="10"/>
                <w:b w:val="1"/>
                <w:bCs w:val="1"/>
                <w:color w:val="auto"/>
                <w:w w:val="96"/>
              </w:rPr>
              <w:t>For the year ended</w:t>
            </w:r>
          </w:p>
        </w:tc>
        <w:tc>
          <w:tcPr>
            <w:tcW w:w="0" w:type="dxa"/>
            <w:vAlign w:val="bottom"/>
          </w:tcPr>
          <w:p>
            <w:pPr>
              <w:spacing w:after="0"/>
              <w:rPr>
                <w:sz w:val="1"/>
                <w:szCs w:val="1"/>
                <w:color w:val="auto"/>
              </w:rPr>
            </w:pPr>
          </w:p>
        </w:tc>
      </w:tr>
      <w:tr>
        <w:trPr>
          <w:trHeight w:val="99"/>
        </w:trPr>
        <w:tc>
          <w:tcPr>
            <w:tcW w:w="88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2220" w:type="dxa"/>
            <w:vAlign w:val="bottom"/>
            <w:gridSpan w:val="2"/>
          </w:tcPr>
          <w:p>
            <w:pPr>
              <w:jc w:val="center"/>
              <w:ind w:left="1044"/>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for operating activities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(1,088.3)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Investing cash flows used for tangible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Investing cash flows used for intangible assets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Free cash flow (non-GAAP)</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(1,801.8)</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(441.8)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2023-03-02T06:59:41Z</dcterms:created>
  <dcterms:modified xsi:type="dcterms:W3CDTF">2023-03-02T06:59:41Z</dcterms:modified>
</cp:coreProperties>
</file>