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20"/>
        <w:spacing w:after="0" w:line="207" w:lineRule="exact"/>
        <w:tabs>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1, 2022, Polestar Automotive Holding UK PLC (“Polestar”) issued a press release announcing its financial results for the first six months of 2022. A copy of the press release is attached hereto as Exhibit 99.1. Also attached as exhibits to this Report on Form 6-K are (i) Management’s Discussion and Analysis of Financial Conditions and Results of Operations as of and for the six months ended June 30, 2022 and 2021, which is attached as Exhibit 99.2, and (ii) Polestar’s unaudited condensed consolidated financial statements as of and for the six months ended June 30, 2022 and 2021, which are attached as Exhibit 99.3.</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Exhibit 99.2 and Exhibit 99.3 shall be deemed to be incorporated by reference into Polestar’s registration statement on Form S-8 (File No: 333-267146) and to be a part thereof from the date on which this report is submitted, to the extent not superseded by documents or reports subsequently filed or furnished.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7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Press release, dated September 1, 2022.</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Conditions and Results of Operations as of and for the Six Months Ended June</w:t>
            </w:r>
          </w:p>
        </w:tc>
        <w:tc>
          <w:tcPr>
            <w:tcW w:w="6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30, 2020 and 2021.</w:t>
            </w:r>
          </w:p>
        </w:tc>
        <w:tc>
          <w:tcPr>
            <w:tcW w:w="8180" w:type="dxa"/>
            <w:vAlign w:val="bottom"/>
            <w:gridSpan w:val="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 as of and for the Six Months Ended June 30, 2022 and 2021.</w:t>
            </w: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40" w:type="dxa"/>
            <w:vAlign w:val="bottom"/>
            <w:tcBorders>
              <w:top w:val="single" w:sz="8" w:color="0000EE"/>
            </w:tcBorders>
            <w:gridSpan w:val="3"/>
          </w:tcPr>
          <w:p>
            <w:pPr>
              <w:ind w:left="400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 2022</w:t>
            </w: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620" w:type="dxa"/>
            <w:vAlign w:val="bottom"/>
          </w:tcPr>
          <w:p>
            <w:pPr>
              <w:spacing w:after="0"/>
              <w:rPr>
                <w:sz w:val="17"/>
                <w:szCs w:val="17"/>
                <w:color w:val="auto"/>
              </w:rPr>
            </w:pPr>
          </w:p>
        </w:tc>
        <w:tc>
          <w:tcPr>
            <w:tcW w:w="254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6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Pr>
          <w:p>
            <w:pPr>
              <w:spacing w:after="0"/>
              <w:rPr>
                <w:sz w:val="24"/>
                <w:szCs w:val="24"/>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05"/>
        </w:trPr>
        <w:tc>
          <w:tcPr>
            <w:tcW w:w="3620" w:type="dxa"/>
            <w:vAlign w:val="bottom"/>
          </w:tcPr>
          <w:p>
            <w:pPr>
              <w:spacing w:after="0"/>
              <w:rPr>
                <w:sz w:val="17"/>
                <w:szCs w:val="17"/>
                <w:color w:val="auto"/>
              </w:rPr>
            </w:pPr>
          </w:p>
        </w:tc>
        <w:tc>
          <w:tcPr>
            <w:tcW w:w="2540" w:type="dxa"/>
            <w:vAlign w:val="bottom"/>
          </w:tcPr>
          <w:p>
            <w:pPr>
              <w:ind w:left="19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6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620" w:type="dxa"/>
            <w:vAlign w:val="bottom"/>
          </w:tcPr>
          <w:p>
            <w:pPr>
              <w:spacing w:after="0"/>
              <w:rPr>
                <w:sz w:val="24"/>
                <w:szCs w:val="24"/>
                <w:color w:val="auto"/>
              </w:rPr>
            </w:pPr>
          </w:p>
        </w:tc>
        <w:tc>
          <w:tcPr>
            <w:tcW w:w="25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66865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reports revenue of USD 1.0 billion, up 95%, for first half of 2022</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USD 1,041.3 million in the first six months of 2022, up 95% year-over-year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21,185 cars delivered in the first six months of 2022, compared to 9,510 for the same period in 2021</w:t>
      </w:r>
    </w:p>
    <w:p>
      <w:pPr>
        <w:spacing w:after="0" w:line="130" w:lineRule="exact"/>
        <w:rPr>
          <w:rFonts w:ascii="Times New Roman" w:cs="Times New Roman" w:eastAsia="Times New Roman" w:hAnsi="Times New Roman"/>
          <w:sz w:val="18"/>
          <w:szCs w:val="18"/>
          <w:color w:val="auto"/>
        </w:rPr>
      </w:pPr>
    </w:p>
    <w:p>
      <w:pPr>
        <w:ind w:left="964" w:right="400" w:hanging="424"/>
        <w:spacing w:after="0" w:line="282"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USD 1,381.6 million as of June 30, 2022, up more than 80% since the end of 2021, following successful listing on Nasdaq stock exchange in New York</w:t>
      </w:r>
    </w:p>
    <w:p>
      <w:pPr>
        <w:spacing w:after="0" w:line="158"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 SEPTEMBER 2022.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reports its financial results for the first six months of 2022.</w:t>
      </w:r>
    </w:p>
    <w:p>
      <w:pPr>
        <w:spacing w:after="0" w:line="159"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Thomas Ingenlath, Polestar CEO, comments: “We made important progress in the first half of 2022 as we doubled revenues and volume, and successfully listed on the Nasdaq stock exchange in New York. In addition, we maintained strong momentum in our global order take and expect to deliver 50,000 cars to our customers this year, meeting our 2022 sales guidance. With several ground-breaking cars to come, Polestar is poised for a period of rapid growth.”</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summarises key financial results for the six months ended June 30, 2022 and June 30, 2021.</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73"/>
        </w:trPr>
        <w:tc>
          <w:tcPr>
            <w:tcW w:w="6660" w:type="dxa"/>
            <w:vAlign w:val="bottom"/>
            <w:vMerge w:val="continue"/>
          </w:tcPr>
          <w:p>
            <w:pPr>
              <w:spacing w:after="0"/>
              <w:rPr>
                <w:sz w:val="15"/>
                <w:szCs w:val="15"/>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(987.9)</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(446.8)</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Listing expense</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(372.3)</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(885.2)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non-recurring, non-cash, share-based listing charge, incurred upon the merger with Gores Guggenheim, Inc. on June 23, 2022.</w:t>
      </w:r>
    </w:p>
    <w:p>
      <w:pPr>
        <w:spacing w:after="0" w:line="130" w:lineRule="exact"/>
        <w:rPr>
          <w:rFonts w:ascii="Times New Roman" w:cs="Times New Roman" w:eastAsia="Times New Roman" w:hAnsi="Times New Roman"/>
          <w:sz w:val="18"/>
          <w:szCs w:val="18"/>
          <w:color w:val="auto"/>
        </w:rPr>
      </w:pPr>
    </w:p>
    <w:p>
      <w:pPr>
        <w:ind w:left="964" w:right="58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USD 506.5 million, or 95%, mainly driven by an increase in Polestar 2 vehicle sales with continued commercial expansion across markets.</w:t>
      </w:r>
    </w:p>
    <w:p>
      <w:pPr>
        <w:sectPr>
          <w:pgSz w:w="11900" w:h="16838" w:orient="portrait"/>
          <w:cols w:equalWidth="0" w:num="1">
            <w:col w:w="11024"/>
          </w:cols>
          <w:pgMar w:left="436" w:top="117" w:right="439" w:bottom="1440" w:gutter="0" w:footer="0" w:header="0"/>
        </w:sectPr>
      </w:pPr>
    </w:p>
    <w:bookmarkStart w:id="5" w:name="page6"/>
    <w:bookmarkEnd w:id="5"/>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Gross profit increased USD 17.6 million, or 49%, as the result of higher sales of Polestar 2, partially offset by product and market mix.</w:t>
      </w:r>
    </w:p>
    <w:p>
      <w:pPr>
        <w:spacing w:after="0" w:line="130"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USD 167.9 million, or 60%. This increase is primarily due to rapid commercial expansion, with Polestar increasing its global presence significantly during the period.</w:t>
      </w:r>
    </w:p>
    <w:p>
      <w:pPr>
        <w:spacing w:after="0" w:line="67"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decreased USD 8.1 million, or 8%, due to lower amortisation related to Polestar 1, partially offset by increased spend on future vehicles and battery electric technologies, including the Polestar Precept and the P10 powertrain.</w:t>
      </w:r>
    </w:p>
    <w:p>
      <w:pPr>
        <w:spacing w:after="0" w:line="67"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increased USD 520.5 million, or 143%, reflecting continued investment in the commercial expansion of the business and a one-time share-based listing charge of USD 372.3 million incurred upon the merger with Gores Guggenheim, Inc.</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Key operational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summarises key operational results as of June 30, 2022 and June 30, 2021.</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gridSpan w:val="2"/>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40" w:type="dxa"/>
            <w:vAlign w:val="bottom"/>
            <w:gridSpan w:val="2"/>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gridSpan w:val="3"/>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Global volumes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including external vehicles with repurchase obligations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including internal vehicles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0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860" w:type="dxa"/>
            <w:vAlign w:val="bottom"/>
            <w:gridSpan w:val="3"/>
            <w:vMerge w:val="restart"/>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40" w:type="dxa"/>
            <w:vAlign w:val="bottom"/>
            <w:gridSpan w:val="2"/>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Markets </w:t>
            </w:r>
            <w:r>
              <w:rPr>
                <w:rFonts w:ascii="Times New Roman" w:cs="Times New Roman" w:eastAsia="Times New Roman" w:hAnsi="Times New Roman"/>
                <w:sz w:val="24"/>
                <w:szCs w:val="24"/>
                <w:color w:val="auto"/>
                <w:vertAlign w:val="superscript"/>
              </w:rPr>
              <w:t>(2)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Locations </w:t>
            </w:r>
            <w:r>
              <w:rPr>
                <w:rFonts w:ascii="Times New Roman" w:cs="Times New Roman" w:eastAsia="Times New Roman" w:hAnsi="Times New Roman"/>
                <w:sz w:val="25"/>
                <w:szCs w:val="25"/>
                <w:color w:val="auto"/>
                <w:vertAlign w:val="superscript"/>
              </w:rPr>
              <w:t>(3)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Service points </w:t>
            </w:r>
            <w:r>
              <w:rPr>
                <w:rFonts w:ascii="Times New Roman" w:cs="Times New Roman" w:eastAsia="Times New Roman" w:hAnsi="Times New Roman"/>
                <w:sz w:val="25"/>
                <w:szCs w:val="25"/>
                <w:color w:val="auto"/>
                <w:vertAlign w:val="superscript"/>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Hubs.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centres to provide access to customer service points worldwide in support of Polestar’s international expansion.</w:t>
      </w:r>
    </w:p>
    <w:p>
      <w:pPr>
        <w:sectPr>
          <w:pgSz w:w="11900" w:h="16838" w:orient="portrait"/>
          <w:cols w:equalWidth="0" w:num="1">
            <w:col w:w="10984"/>
          </w:cols>
          <w:pgMar w:left="436" w:top="270" w:right="479" w:bottom="1440" w:gutter="0" w:footer="0" w:header="0"/>
        </w:sectPr>
      </w:pPr>
    </w:p>
    <w:bookmarkStart w:id="6" w:name="page7"/>
    <w:bookmarkEnd w:id="6"/>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volumes increased to 21,185 cars in the first six months of 2022, more than doubling deliveries from 9,510 cars in the same period in 2021, an increase of 123%.</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added six new markets since the start of 2022, including United Arab Emirates, Kuwait, Hong Kong, Ireland, Spain and Portugal.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125 locations and 934 service points across its markets, up 22 and 123 respectively, since the end of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upcoming events</w:t>
      </w:r>
    </w:p>
    <w:p>
      <w:pPr>
        <w:spacing w:after="0" w:line="13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3 electric performance SUV is scheduled for its world premiere in October 2022 in Copenhagen.</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Polestar confirmed plans to put its electric roadster concept into production as Polestar 6, expected to launch in 2026. All 500 build slots of Polestar 6 LA Concept edition were reserved online within a week of the production announcement.</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began delivering Polestar 2 electric cars to Hertz in June 2022 as part of a purchase agreement for 65,000 cars, and Hertz has subsequently added the Polestar 1 electric performance hybrid to its Dream fleet as well.</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Polestar’s working capital needs, over the last three months, Polestar repaid two existing and entered into two new 12-month unsecured working capital loan agreements with two banks in China, totalling approximately USD 200 million. Furthermore, in late August 2022, Polestar entered into an additional credit facility with one of those banks for approximately USD 145 million.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expects to publish its Q3 2022 financial results on November 11,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outlook</w:t>
      </w:r>
    </w:p>
    <w:p>
      <w:pPr>
        <w:spacing w:after="0" w:line="135" w:lineRule="exact"/>
        <w:rPr>
          <w:sz w:val="20"/>
          <w:szCs w:val="20"/>
          <w:color w:val="auto"/>
        </w:rPr>
      </w:pPr>
    </w:p>
    <w:p>
      <w:pPr>
        <w:ind w:left="960" w:right="1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expects to deliver on its full-year target of 50,000 cars. Vehicle deliveries will be weighted towards the fourth quarter, following disruptions from COVID-19 in China.</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expects the effects from product and market mix to continue alongside foreign exchange and input cost inflation. Vehicle price increases and active cost management will help mitigate some of the impact on gross profit.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ectPr>
          <w:pgSz w:w="11900" w:h="16838" w:orient="portrait"/>
          <w:cols w:equalWidth="0" w:num="1">
            <w:col w:w="10920"/>
          </w:cols>
          <w:pgMar w:left="440" w:top="270"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&amp; Communications,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is expected to debut in October 2022. Polestar 4 is expected to follow in 2023, a smaller electric performance SUV coupe.</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the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ectPr>
          <w:pgSz w:w="11900" w:h="16838" w:orient="portrait"/>
          <w:cols w:equalWidth="0" w:num="1">
            <w:col w:w="11000"/>
          </w:cols>
          <w:pgMar w:left="440" w:top="26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w:t>
      </w:r>
    </w:p>
    <w:p>
      <w:pPr>
        <w:sectPr>
          <w:pgSz w:w="11900" w:h="16838" w:orient="portrait"/>
          <w:cols w:equalWidth="0" w:num="1">
            <w:col w:w="11000"/>
          </w:cols>
          <w:pgMar w:left="440" w:top="266" w:right="459" w:bottom="1440" w:gutter="0" w:footer="0" w:header="0"/>
        </w:sectPr>
      </w:pPr>
    </w:p>
    <w:bookmarkStart w:id="9" w:name="page10"/>
    <w:bookmarkEnd w:id="9"/>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ectPr>
          <w:pgSz w:w="11900" w:h="16838" w:orient="portrait"/>
          <w:cols w:equalWidth="0" w:num="1">
            <w:col w:w="10980"/>
          </w:cols>
          <w:pgMar w:left="440" w:top="268"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PLC</w:t>
      </w:r>
    </w:p>
    <w:p>
      <w:pPr>
        <w:spacing w:after="0" w:line="31" w:lineRule="exact"/>
        <w:rPr>
          <w:sz w:val="20"/>
          <w:szCs w:val="20"/>
          <w:color w:val="auto"/>
        </w:rPr>
      </w:pPr>
    </w:p>
    <w:p>
      <w:pPr>
        <w:ind w:right="48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 of Loss and Comprehensive Loss </w:t>
      </w:r>
      <w:r>
        <w:rPr>
          <w:rFonts w:ascii="Times New Roman" w:cs="Times New Roman" w:eastAsia="Times New Roman" w:hAnsi="Times New Roman"/>
          <w:sz w:val="18"/>
          <w:szCs w:val="18"/>
          <w:color w:val="auto"/>
        </w:rPr>
        <w:t>(in thousands of U.S. dollars except per share data and unless otherwise stated)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82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9200" w:type="dxa"/>
            <w:vAlign w:val="bottom"/>
          </w:tcPr>
          <w:p>
            <w:pPr>
              <w:spacing w:after="0"/>
              <w:rPr>
                <w:sz w:val="15"/>
                <w:szCs w:val="15"/>
                <w:color w:val="auto"/>
              </w:rPr>
            </w:pPr>
          </w:p>
        </w:tc>
        <w:tc>
          <w:tcPr>
            <w:tcW w:w="182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9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(498,966)</w:t>
            </w:r>
          </w:p>
        </w:tc>
      </w:tr>
      <w:tr>
        <w:trPr>
          <w:trHeight w:val="27"/>
        </w:trPr>
        <w:tc>
          <w:tcPr>
            <w:tcW w:w="9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35,813</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(278,853)</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(106,871)</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418,707</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21,531</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(361,862)</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Unaudited Condensed Consolidated Statement of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r>
      <w:tr>
        <w:trPr>
          <w:trHeight w:val="20"/>
        </w:trPr>
        <w:tc>
          <w:tcPr>
            <w:tcW w:w="9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1,375,778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1,368,356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267,382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208,193</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102,068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120,626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3,850</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1,753,900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1,702,707</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1,381,637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756,677</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77,071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157,753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16,872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14,688</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10,328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263,020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545,743</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120,202</w:t>
            </w: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1,866,969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1,606,986</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120" w:type="dxa"/>
            <w:vAlign w:val="bottom"/>
          </w:tcPr>
          <w:p>
            <w:pPr>
              <w:spacing w:after="0"/>
              <w:rPr>
                <w:sz w:val="19"/>
                <w:szCs w:val="19"/>
                <w:color w:val="auto"/>
              </w:rPr>
            </w:pPr>
          </w:p>
        </w:tc>
      </w:tr>
      <w:tr>
        <w:trPr>
          <w:trHeight w:val="347"/>
        </w:trPr>
        <w:tc>
          <w:tcPr>
            <w:tcW w:w="90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(21,090)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(1,865,909)</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(3,578,804)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(35,231)</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16,784</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3,763,720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1,761,860</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(36,683)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(28,922)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(61,046)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(38,711)</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(11,764)</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(1,081,931)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266"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(66,575)</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(1,240,500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(77,198)</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(114,296)</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 related parties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(876,384)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(1,427,678)</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(197,579)</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(315,756)</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(36,415)</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(44,042)</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(809,933)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(642,338)</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(13,089)</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(13,789)</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(58,368)</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(41,559)</w:t>
            </w: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(374,610)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(364,662)</w:t>
            </w: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(2,550,320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(3,790,820)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(3,187,197)</w:t>
            </w:r>
          </w:p>
        </w:tc>
      </w:tr>
      <w:tr>
        <w:trPr>
          <w:trHeight w:val="223"/>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17"/>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8760" w:type="dxa"/>
            <w:vAlign w:val="bottom"/>
          </w:tcPr>
          <w:p>
            <w:pPr>
              <w:spacing w:after="0"/>
              <w:rPr>
                <w:sz w:val="24"/>
                <w:szCs w:val="24"/>
                <w:color w:val="auto"/>
              </w:rPr>
            </w:pPr>
          </w:p>
        </w:tc>
        <w:tc>
          <w:tcPr>
            <w:tcW w:w="2260" w:type="dxa"/>
            <w:vAlign w:val="bottom"/>
            <w:gridSpan w:val="7"/>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2"/>
        </w:trPr>
        <w:tc>
          <w:tcPr>
            <w:tcW w:w="87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(502,734)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121,726</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372,318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31,643</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18,558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15,679</w:t>
            </w: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25,698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190,798</w:t>
            </w: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(162,437)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(105,517)</w:t>
            </w:r>
          </w:p>
        </w:tc>
      </w:tr>
    </w:tbl>
    <w:p>
      <w:pPr>
        <w:sectPr>
          <w:pgSz w:w="11900" w:h="16838" w:orient="portrait"/>
          <w:cols w:equalWidth="0" w:num="1">
            <w:col w:w="11020"/>
          </w:cols>
          <w:pgMar w:left="440" w:top="288"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(34,381)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(3,537)</w:t>
            </w:r>
          </w:p>
        </w:tc>
      </w:tr>
      <w:tr>
        <w:trPr>
          <w:trHeight w:val="27"/>
        </w:trPr>
        <w:tc>
          <w:tcPr>
            <w:tcW w:w="9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(401,926)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(112,940)</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(510,301)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(47,364)</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(514,405)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(58,789)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49,652</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414,916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84,868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(211,514)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(353,349)</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1,416,000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(39,000)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1,574,278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328,049</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(32,987)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(6,997)</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624,960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149,323</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316,424</w:t>
            </w: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1,381,637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465,747</w:t>
            </w:r>
          </w:p>
        </w:tc>
        <w:tc>
          <w:tcPr>
            <w:tcW w:w="120" w:type="dxa"/>
            <w:vAlign w:val="bottom"/>
          </w:tcPr>
          <w:p>
            <w:pPr>
              <w:spacing w:after="0"/>
              <w:rPr>
                <w:sz w:val="19"/>
                <w:szCs w:val="19"/>
                <w:color w:val="auto"/>
              </w:rPr>
            </w:pPr>
          </w:p>
        </w:tc>
      </w:tr>
    </w:tbl>
    <w:p>
      <w:pPr>
        <w:sectPr>
          <w:pgSz w:w="11900" w:h="16838" w:orient="portrait"/>
          <w:cols w:equalWidth="0" w:num="1">
            <w:col w:w="11020"/>
          </w:cols>
          <w:pgMar w:left="440" w:top="288"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Conditions and Results of Operations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includes information that is relevant to understanding Polestar’s financial condition and results of operations and should be read together with the Unaudited Condensed Consolidated Financial Statements for the six months ended June 30, 2022 included elsewhere in this report. Refer to the Form 20-F filed with the SEC on June 29, 2022 for information related to the year ended December 31, 2021. All amounts presented in this report are shown in thousands of U.S. dollars, except per share data and unless otherwise stated.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figures</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3000" w:type="dxa"/>
            <w:vAlign w:val="bottom"/>
            <w:gridSpan w:val="4"/>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000" w:type="dxa"/>
            <w:vAlign w:val="bottom"/>
            <w:gridSpan w:val="4"/>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(987,881)</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(498,966)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5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(938,596)</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(400,494)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(995,699)</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5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(7,139)</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0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1,381,637</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465,747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3,620,869</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2,520,746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169,951</w:t>
            </w: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(744,200)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(3,790,820)</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(1,776,546)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(401,926)</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(112,940)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(514,405)</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(58,789)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(1.65)</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 of external vehicles without repurchase obligations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Volume of external vehicles with repurchase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6"/>
                <w:szCs w:val="26"/>
                <w:color w:val="auto"/>
                <w:vertAlign w:val="superscript"/>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0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15" w:name="page16"/>
    <w:bookmarkEnd w:id="15"/>
    <w:p>
      <w:pPr>
        <w:ind w:left="420" w:right="80" w:hanging="431"/>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w:t>
        <w:tab/>
        <w:t>Included in operating expenses for the six months ended June 30, 2022 is a non-recurring as well as non-cash USD 372.3 million charge relating to listing expenses incurred upon the merger with Gores Guggenheim, Inc.(“GGI”) on June 23, 2022. See also section “Reverse recapitalization”.</w:t>
      </w: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 –</w:t>
        <w:tab/>
        <w:t>Represents PSNY share price at June 30, 2022 and prior periods the share price of GGI (share price before merger).</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 –</w:t>
        <w:tab/>
        <w:t>Calculated as total equity divided by total assets. Contributing factor to a negative equity ratio is the earn-out liability which has no cash impact.</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also section “Reverse recapitalization”.</w:t>
      </w:r>
    </w:p>
    <w:p>
      <w:pPr>
        <w:spacing w:after="0" w:line="9" w:lineRule="exact"/>
        <w:rPr>
          <w:sz w:val="20"/>
          <w:szCs w:val="20"/>
          <w:color w:val="auto"/>
        </w:rPr>
      </w:pPr>
    </w:p>
    <w:p>
      <w:pPr>
        <w:ind w:left="420" w:hanging="431"/>
        <w:spacing w:after="0" w:line="250" w:lineRule="auto"/>
        <w:tabs>
          <w:tab w:leader="none" w:pos="400" w:val="left"/>
        </w:tabs>
        <w:rPr>
          <w:sz w:val="20"/>
          <w:szCs w:val="20"/>
          <w:color w:val="auto"/>
        </w:rPr>
      </w:pPr>
      <w:r>
        <w:rPr>
          <w:rFonts w:ascii="Times New Roman" w:cs="Times New Roman" w:eastAsia="Times New Roman" w:hAnsi="Times New Roman"/>
          <w:sz w:val="18"/>
          <w:szCs w:val="18"/>
          <w:color w:val="auto"/>
        </w:rPr>
        <w:t>4 –</w:t>
        <w:tab/>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 –</w:t>
        <w:tab/>
        <w:t>Represents the markets in which Polestar operates.</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6 –</w:t>
        <w:tab/>
        <w:t>Represents Polestar Spaces, Polestar Destinations, and Polestar Test Drive Centers.</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7 –</w:t>
      </w:r>
      <w:r>
        <w:rPr>
          <w:sz w:val="20"/>
          <w:szCs w:val="20"/>
          <w:color w:val="auto"/>
        </w:rPr>
        <w:tab/>
      </w:r>
      <w:r>
        <w:rPr>
          <w:rFonts w:ascii="Times New Roman" w:cs="Times New Roman" w:eastAsia="Times New Roman" w:hAnsi="Times New Roman"/>
          <w:sz w:val="17"/>
          <w:szCs w:val="17"/>
          <w:color w:val="auto"/>
        </w:rPr>
        <w:t>Represents Volvo Cars service centers to provide access to customer service points worldwide in support of Polestar’s international expansion.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performance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Polestar’s continued growth has depended on numerous factors and trends. While these factors and trends provide opportunities for Polestar, they also pose risks and challenges as discussed in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Form 20-F filed with the SEC on June 29, 2022. The following paragraphs explain the key factors that had a notable impact on Polestar during the six months ended June 30,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Partnerships with Volvo Cars and Geely</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Polestar’s relationship with related parties, Volvo Cars and Geely, has provided it with a unique competitive advantage in its ability to rapidly scale commercialisation activities while maintaining an asset light balance sheet. This is achieved primarily through contract manufacturing as well as supply and service agreements with Volvo Cars and Geely. Polestar continues to utilise the established research and development capabilities of Volvo Cars and Geely to accelerate technological advancements in automotive technology. Additionally, selling and administrative expenses have been positively impacted due to service agreements with Volvo Cars that allow Polestar to attain operational efficiencies in the areas of aftermarket services, maintenance, and back-office functions such as information technology, legal, accounting, finance, and human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2022, Polestar entered into the following agreements with Volvo Cars and Geely:</w:t>
      </w:r>
    </w:p>
    <w:p>
      <w:pPr>
        <w:spacing w:after="0" w:line="131" w:lineRule="exact"/>
        <w:rPr>
          <w:sz w:val="20"/>
          <w:szCs w:val="20"/>
          <w:color w:val="auto"/>
        </w:rPr>
      </w:pPr>
    </w:p>
    <w:p>
      <w:pPr>
        <w:ind w:left="960" w:right="4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agreement with Volvo Cars, effective January 28, 2022, that governs Polestar’s outbound logistics through the utilisation of Volvo Cars’ existing vehicle distribution process in the United States.</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with Geely, effective March 4, 2022, that govern Polestar’s acquisition of certain technology from Geely related to the Polestar 4.</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agreements with Volvo Cars, effective June 21, 2022, that govern the import and export of Polestar vehicles into and out of the United States by Volvo Cars.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Refer to Note 9 - Related party transactions in the Unaudited Condensed Consolidated Financial Statements included elsewhere in this report for more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recapitalisation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23, 2022, Polestar consummated a capital reorganisation via the merger with Gores Guggenheim, Inc. (“GGI”), a special purpose acquisition company. Polestar subsequently began trading on the National Association of Securities Dealers Automated Quotations (“Nasdaq”) on June 24, 2022 under the ticker symbol PSNY. In addition to providing Polestar with access to new funding sources in the United States capital markets, the merger, including all related arrangements, raised approximately $1,477,023 in gross cash proceeds, of which approximately $638,197 was assumed from GGI, $250,000 was sourced from a private placement in public equity (“PIPE”), and $588,826 was sourced from a preferential share subscription with Volvo Cars. Polestar paid total transaction costs of $98,050 in connection with the merger, of which $59,050 were attributable to GGI and deducted from the gross cash proceeds raised.</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merger was accounted for as a reverse recapitalisation in accordance with International Financial Reporting Standards (“IFRS”) 2,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under which Polestar obtained a listing service in exchange for the issuance of 5.1% equity ownership. Accordingly, the Group recorded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as well as non-cash share-based listing expense of $372,318 that was calculated based on the excess of the fair value of equity ownership in Polestar issued to GGI and third 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thus reflected in operating loss for the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merger, Polestar exchanged rights and obligations to the public and private warrant instruments of GGI, which maintained fair values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$40,320 and $22,770, respectively, on June 23, 2022. Polestar also issued certain rights to earn-out shares to existing owners with a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$1,500,638 on June 23, 2022. These earn-out rights were granted to existing owners of Polestar as stipulated by the business combination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GGI, dated on September 27, 2021. These instruments are accounted for as derivative liabilities under International Accounting Standards (“IAS”)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and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that are carried at fair value with subsequent changes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recognised in the Unaudited Condensed Consolidated Statement of Loss at each reporting date. On June 23, 2022, the day of the merger, these earn-out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were recorded as a reduction of equity (and a derivative liability) with an amount of $1,500,638, explaining the negative equity ratio on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Refer to Note 1 - Significant accounting policies and judgements and Note 10 - Reverse recapitalisation in the Unaudited Condensed Consolidated Financial Statements included elsewhere in this report for more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Russo-Ukrainian War, and inflation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certain instances, Polestar’s suppliers and business partners have experienced delays or disruptions from COVID-19, resulting in negative impacts to Polestar. Specifically, the prolonged government mandated quarantines and lockdowns in eastern China during the six months ended June 30, 2022 delayed production and delivery of critical components for the Polestar 2. Polestar estimates that it lost approximately eight weeks of production at Volvo Cars’ Luqiao plant during the period.</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8" w:right="53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while Polestar does not directly conduct any business with suppliers in Russia or the Ukraine, there can be no assurance that all parts of the supply chain are devoid of any exposure to disruptions caused by the Russo-Ukrainian War.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Refer to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Form 20-F filed with the SEC on June 29, 2022 for information on risks posed by COVID-19 and the Russo-Ukrainian War.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broader impacts of COVID-19 and the Russo-Ukrainian War include rising inflationary pressures on prices of components, materials, labor, and equipment used in the production of Polestar vehicles. Particularly,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commercial operations in North America, Europe, and Asia. Refer to Note 1 - Significant accounting policies and judgements in the Unaudited Condensed Consolidated Financial Statements included elsewhere in this report for more information on the basis of presentation and segment reporting.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summarises Polestar’s historical Unaudited Condensed Consolidated Statement of Loss and Comprehensive Loss for the six months ended June 30, 2022 and 2021:</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8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8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7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(987,881)</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(498,966)</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(488,915)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17,603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7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(278,853)</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(167,928)</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(98,755)</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(106,871)</w:t>
            </w: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8,116</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(20,742)</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(14,770)</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(5,972)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3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(372,318)</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(372,318)</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7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(520,499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774</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15,194</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(14,420)</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3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(51,427)</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(12,375)</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(39,052)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3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418,707</w:t>
            </w: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418,707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27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21,531</w:t>
            </w: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21,531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(133,733)</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7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7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Polestar’s revenue increased by $506,518 or 95%, from $534,779 for the six months ended June 30, 2021 to $1,041,297 for the six months ended</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June 30, 2022. Revenue from related parties increased by $33,835, or 68%, from $49,732 for the six months ended June 30, 2021 to $83,567 for the six months ended June 30, 2022. The following table summarises the components of revenue and related changes between interim periods: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9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9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1,016,817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517,437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499,380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14,280</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(3,418)</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7,934</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506,518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of vehicles increased by $499,380 or 97%, from $517,437 for the six months ended June 30, 2021 to $1,016,817 for the six months ended June 30, 2022. The increase was driven by the increase in volume of Polestar 2 sales as part of Polestar’s continued commercial expansion across geographic markets such as the United States and Europe. Revenue per car decreased slightly for the six months ended June 30, 2022 compared to the six months ended June 30, 2021 mainly due to product mix (all sales for the six months ended June 30, 2021 were dual motor long range versions of the Polestar 2 which have a higher price point as compared to other versions which were not introduced at that time) as well as market-mix.</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$3,418, or 24%, from $14,280 for the six months ended June 30, 2021 to $10,862 for the six months ended June 30, 2022. The decrease continues as a result of Polestar’s shifting focus to its own vehicles and a decrease in Volvo Cars’ sales of Polestar engineered kits.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Sales of carbon credits increased by 100% from nil for the six months ended June 30, 2021 to $1,313 for the six months ended June 30, 2022. Polestar did not sell carbon credits during the six months ended June 30, 2021, thus the increase between comparative periods.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Vehicle leasing revenue increased by 100% from nil for the six months ended June 30, 2021 to $7,934 for the six months ended June 30, 2022. Polestar began selling vehicles with repurchase obligations at the end of the six months ended June 30, 2021, resulting in deferred leasing revenue.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revenue increased by $1,309, or 43%, from $3,062 for the six months ended June 30, 2021 to $4,371 for the six months ended June 30, 2022. The increase is driven primarily by higher royalties from Volvo Cars’ sales of parts and accessories for Polestar vehicles.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 of sales and gross profit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 of sales increased by $488,915 or 98%, from $498,966 for the six months ended June 30, 2021 to $987,881 for the six months ended June 30, 2022. Gross profit increased by $17,603 or 49%, from a profit of $35,813 for the six months ended June 30, 2021 to a profit of $53,416 for the six months ended June 30, 2022. The increases were driven by expanded production and commercialisation of Polestar 2 vehicles. The reduction of revenue per car that was primarily driven by product mix and market mix for the six months ended June 30, 2022 had a direct impact on gross profit.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$167,928, or 60%, from $278,853 for the six months ended June 30, 2021 to $446,781 for the six months ended June 30, 2022. The increase is primarily due to (1) increased investments in advertising, marketing, and promotional activities as part of Polestar’s commercial expansion across new and existing markets, (2) increased professional service fees related to accounting, finance, and information technology, and (3) higher wages and salaries associated with scaling headcount of Polestar’s sales and administrative personnel to meet the demands of the growing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$8,116, or 8%, from $106,871 for the six months ended June 30, 2021 to $98,755 for the six months ended June 30, 2022. The decrease is the result of lower amortisation of intangible assets related to the Polestar 1, which was fully amortised during the 2021 period. The lower amortisations for Polestar 1 is partially offset by increased research and development activities related to future vehicles and battery electric technologies, including the Polestar Precept and the P10 powertrain.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 net</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operating expenses, net increased by $5,972, or 40%, from $14,770 for the six months ended June 30, 2021 to $20,742 for the six months ended June 30, 2022. The increased expense is mainly driven by negative foreign exchange (“FX”) effects on payables to Volvo Cars for the contract manufacturing of the Polestar 2. The listing expense of $372,318 incurred upon the merger with GGI on June 23, 2022 is non-recurring and presented separately below Other operating expenses, net.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income and Finance expense</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Finance income decreased by $14,420, or 95%, from $15,194 for the six months ended June 30, 2021 to $774 for the six months ended June 30, 2022. The decrease is driven by a negative net FX effect related to financial items for the six month ended June 30, 2022 compared to a positive net FX effect related to financial items for the six month ended June 30, 2021. Finance expense increased by $39,052, or 316%, from $12,375 for the six months ended June 30, 2021 to $51,427 for the six months ended June 30, 2022. The increase is primarily related to higher interest expense associated with partly short-term financing facilities and partly overdue trade payables and also the negative net FX effect on financial items for the six month ended June 30, 2022 compared to a positive net FX effect related to financial items for the six month ended June 30, 2021. The negative FX effect for the first six month ended June 30, 2022 is mainly driven by unrealised FX related to the working capital loan of $400,000 recorded in the subsidiary Polestar Performance AB with functional currency SEK.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Fair value change - Earn out rights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earn-out rights were issued in connection with the capital reorganization that was consummated on June 23, 2022, thus there is no comparison figure for 2021. The $418,707 gain in fair value change of earn-out liability for the six months ended June 30, 2022 is attributable to a decrease in Polestar’s share price from $11.23 on June 23, 2022 (i.e., closing of the merger with GGI and issuance of the earn-out rights) to $8.81 on June 30, 2022. Based on a benchmark of peers and the short time difference, Polestar utilized an asset volatility of 60% in the Monte Carlo simulation at both dates.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change - Class C Shares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part of the capital reorganisation via the merger with GGI on June 23, 2022, Polestar exchanged rights and obligations to the public and private warrant instruments of GGI Fair value gain of these warrants (Class C Shares in Polestar) amounts to $21,531 for the six months ended June 30, 2022. The gain on the Class C Shares liability is primarily attributable to a decrease in the price of the Class C-1 Shares from $2.52 on June 23, 2022 (i.e., closing of the merger with GGI and exchange of the warrants) to $1.66 on June 30, 2022 and a decrease in the estimated value of the Class C-2 Shares from $2.65 to $1.66 over the same period. Polestar utilizes a binomial lattice model to calculate the value of the Class C-2 Shares which factors several inputs, including the changes in Polestar’s share price from $11.23 to $8.81, implied volatility of Class C-1 Shares from 22.5% to 29.5%, and risk-free rate from 3.12% to 2.99% over the same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Polestar continues to finance its operations primarily through the issuance of equity instruments, various short-term credit facilities, including working capital facilities, term loans with related parties, sale leaseback arrangements, and extended trade credit with related parties. The principal uses of liquidity and capital are funding operations, market expansion, and investments in Polestar’s future vehicles and automotive technologies. Substantial doubt about Polestar’s ability to continue as a going concern persist as timely realization of financing endeavours is necessary to cover forecasted operating and investing cash outflow. Refer to Note 1 - Significant accounting policies and judgements, Note 7 - Liabilities to credit institutions, and Note 10 - Reverse recapitalisation in the Unaudited Condensed Consolidated Financial Statements included elsewhere in this report for more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of June 30, 2022, Polestar had cash and cash equivalents of $1,381,637 as compared to $756,677 as of December 31, 2021 and $465,747 as of June 30, 2021. The following table summarises Polestar’s Unaudited Condensed Consolidated Statement of Cash Flows for the six months ended June 30, 2022 and 2021:</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2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(112,940)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(514,405)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(455,616)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28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68"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used for operating activities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used for operating activities increased by $288,986 from $112,940 for the six months ended June 30, 2021 to $401,926 for the six months ended June 30, 2022. The change is primarily attributable to a larger net loss as adjusted for lower depreciation and amortization and other significant non-cash items, including the gain on the fair value change of the earn-out rights, the gain on the fair value change of the Class C shares, and the listing expense. In addition, the change is attributable to changes in operating assets and liabilities.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adjustment for depreciation and amortization decreased by $51,026 from $121,726 for the six months ended June 30, 2021 to $70,700 for the six months ended June 30, 2022, mainly driven by intangible assets for the Polestar 1 which were fully amortized by December 31, 2021. Gains from decreases in the fair values of the earn-out rights and Class C Shares amounted to $418,707 and $21,531, respectively, during the during the six months ended June 30, 2022, offset by the $372,318 listing expense incurred upon the merger with Gores Guggenheim on June 23, 2022, all of them being non-cash items.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Overall, changes in operating assets and liabilities were positive, partly offsetting the negative cash-flow from operating activities as set out above. Cash provided by changes in inventories increased by $169,734 from $31,643 for the six months ended June 30, 2021 to $201,377 for the six months ended June 30, 2022 as demand for the Polestar 2 increased globally and higher volumes were sold as compared to the prior period in combination with lower volumes being produced as of June 30, 2022 as an effect of lost production from the COVID-19 lockdowns in eastern China that occurred during the period. Cash provided by changes in trade receivables, prepaid expenses, and other assets decreased by $165,100 from $190,798 for the six months ended June 30, 2021 to $25,698 for the six months ended June 30, 2022, primarily due to a higher collection of cash tied up in accounts receivable in the first six months of 2021. Cash used from changes in trade payables, accrued expenses, and other liabilities increased by $64,966 from $105,517 for the six months ended June 30, 2021 to $162,437 for the six months ended June 30, 2022 as a result of higher repayments of trade payables and accrued expenses to Volvo Cars.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used for investing activities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increased by $455,616 from $58,789 for the six months ended June 30, 2021 to $514,405 for the six months ended June 30, 2022. The change was primarily the result of cash settlements with Volvo Cars and Geely for prior period investments in intellectual property related to the Polestar 2, Polestar 3. and Polestar 4. Polestar also made an investment of $2,480 in the fast charging battery technology innovator, StoreDot, during the six months ended June 30,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increased by $1,246,229 from $328,049 for the six months ended June 30, 2021 to $1,574,278 for the six months ended June 30, 2022. The change was primarily the result of the merger with GGI and related arrangements that occurred on June 23, 2022, providing Polestar with gross cash proceeds of $1,477,023, less transaction costs of $98,050. Additionally, cash provided by short-term borrowings increased by $330,048 from $84,868 for the six months ended June 30, 2021 to $414,916 for the six months ended June 30, 2022. Cash used for principal repayments of short-term borrowings decreased by $141,835 from $353,349 for the six months ended June 30, 2021 to $211,514 for the six months ended June 30, 2022. These changes also reflect the impact of the new green trade revolving credit facility with a syndicate of European banks and the refinancing of working capital facilities with Chinese banking partners that occurred during the six months ended June 30, 2022. During the six months ended June 30, 2021, several working capital facilities were repaid and replaced with new facilities in the second half of the year.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summarises Polestar’s estimated future cash expenditures related to contractual obligations and commitments as of June 30, 2022:</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After 1</w:t>
            </w: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tc>
        <w:tc>
          <w:tcPr>
            <w:tcW w:w="8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498,170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265,084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1,397,841</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1,072,284</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325,557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paragraphs discuss new accounting estimates applied during the six months ended June 30, 2022 that are critical to the portrayal of our financial condition and results of operations and that require significant, difficult, subjective, or complex judgements.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8" w:right="479" w:bottom="1440" w:gutter="0" w:footer="0" w:header="0"/>
        </w:sectPr>
      </w:pPr>
    </w:p>
    <w:bookmarkStart w:id="23" w:name="page24"/>
    <w:bookmarkEnd w:id="23"/>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value measurement – methodologies for measuring the fair value of the financial liabilities related to the Class C-2 Shares and the contingent earn-out rights</w:t>
      </w:r>
    </w:p>
    <w:p>
      <w:pPr>
        <w:spacing w:after="0" w:line="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financial liability for the earn-out rights is measured using a Monte Carlo simulation. The inputs for this valuation technique include (1) the remaining term of the instrument, (2) the five earn-out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Unaudited Condensed Consolidated Financial Statements for the Six Months Ended</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June 30, 2022 and 2021</w:t>
      </w:r>
    </w:p>
    <w:p>
      <w:pPr>
        <w:spacing w:after="0" w:line="1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20"/>
          </w:cols>
          <w:pgMar w:left="1440" w:top="117" w:right="4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UNAUDITED CONDENSED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307"/>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Loss and Comprehensive Loss for the Six Months Ended June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Financial Position as of June 30, 2022 and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Cash Flows for the Six Months Ended June 30,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Changes in Equity for the Six Months Ended June 30,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364"/>
        </w:trPr>
        <w:tc>
          <w:tcPr>
            <w:tcW w:w="998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both"/>
        <w:ind w:left="2660" w:right="2620" w:hanging="54"/>
        <w:spacing w:after="0" w:line="290" w:lineRule="auto"/>
        <w:rPr>
          <w:sz w:val="20"/>
          <w:szCs w:val="20"/>
          <w:color w:val="auto"/>
        </w:rPr>
      </w:pPr>
      <w:r>
        <w:rPr>
          <w:rFonts w:ascii="Times New Roman" w:cs="Times New Roman" w:eastAsia="Times New Roman" w:hAnsi="Times New Roman"/>
          <w:sz w:val="17"/>
          <w:szCs w:val="17"/>
          <w:color w:val="auto"/>
        </w:rPr>
        <w:t>Unaudited Condensed Consolidated Statement of Loss and Comprehensive Loss (in thousands of U.S. dollars except per share data and unless otherwise stated)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Loss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740" w:type="dxa"/>
            <w:vAlign w:val="bottom"/>
            <w:vMerge w:val="continue"/>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2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7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(498,966)</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(278,853)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418,707</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21,531</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4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1,375,778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267,382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102,068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2,359</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1,753,900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1,381,637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77,071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10,328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263,020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1,866,969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0" w:type="dxa"/>
            <w:vAlign w:val="bottom"/>
          </w:tcPr>
          <w:p>
            <w:pPr>
              <w:spacing w:after="0"/>
              <w:rPr>
                <w:sz w:val="1"/>
                <w:szCs w:val="1"/>
                <w:color w:val="auto"/>
              </w:rPr>
            </w:pPr>
          </w:p>
        </w:tc>
      </w:tr>
      <w:tr>
        <w:trPr>
          <w:trHeight w:val="232"/>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2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(21,090)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(1,865,909)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(3,578,804)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6,125</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3,763,720</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1,761,860</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(36,683)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(61,046)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(1,081,931)</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(60,473)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(1,240,500)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(77,198)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(114,296)</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 - related parties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(876,384)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(1,427,678)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(197,579)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(51,097)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(809,933)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(10,485)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7, 9</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(11,902)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(58,616)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(41,559)</w:t>
            </w:r>
          </w:p>
        </w:tc>
        <w:tc>
          <w:tcPr>
            <w:tcW w:w="9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(374,610)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(2,550,320)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(3,790,820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(3,187,197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2280" w:type="dxa"/>
            <w:vAlign w:val="bottom"/>
            <w:gridSpan w:val="6"/>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87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(502,734)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70,700</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121,726</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51,427</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(418,707)</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(21,531)</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372,318</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7,139</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(17,362)</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201,377</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31,643</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18,558</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8,008</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15,679</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25,698</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190,798</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(162,437)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(105,517)</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(401,926)</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(510,301)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(2,480)</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(514,405)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(58,789)</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49,652</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414,916</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84,868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(353,349)</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1,416,000</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(39,000)</w:t>
            </w: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1,574,278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328,049</w:t>
            </w: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624,960</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149,323</w:t>
            </w: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1,381,637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465,747</w:t>
            </w:r>
          </w:p>
        </w:tc>
      </w:tr>
      <w:tr>
        <w:trPr>
          <w:trHeight w:val="20"/>
        </w:trPr>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Polestar Group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Condensed Consolidated Statement of Changes in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6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60" w:type="dxa"/>
            <w:vAlign w:val="bottom"/>
            <w:gridSpan w:val="2"/>
            <w:vMerge w:val="continue"/>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6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6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1,318,752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(754,406)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(368,219)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(18,292)</w:t>
            </w: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1,868,752</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(1,122,625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1,865,909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35,231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(16,784)</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(1,761,860)</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(502,734)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(502,734)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10,659</w:t>
            </w:r>
          </w:p>
        </w:tc>
        <w:tc>
          <w:tcPr>
            <w:tcW w:w="10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10,659</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with Gores Guggenheim Inc.</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1,677,664</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(1,500,638)</w:t>
            </w: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198,116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1,512</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3,578,804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(6,125)</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(3,763,720)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“Parent” or “ListCo”),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commercialisation of battery electric vehicles, technologies, and services. Polestar Group operates in 25 markets across Europe, North America, and Asia. Global headquarters is located at Assar Gabrielssons väg 9, 418 78 Göteborg, Sweden.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Gores Guggenheim, Inc.</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Gores Guggenheim, Inc. (“GGI”) was a special purpose acquisition company (“SPAC”) formed for the purpose of effecting a merger, capital stock exchange, asset acquisition, stock purchase, reorganisation or a similar business combination. GGI was incorporated in Delaware on December 21, 2021 and completed its initial public offering (“IPO”) on March 25, 2021.</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(“ListCo”), and PAH UK Merger Sub Inc., a Delaware corporate and a direct wholly owned subsidiary of ListCo (“US Merger Sub”).</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23, 2022 (“Closing”), the Former Parent consummated the reverse recapitalisation pursuant to the terms and conditions of the BCA. At the Closing, Polestar Holding AB and its subsidiaries became wholly owned subsidiaries of ListCo. US Merger Sub merged with GGI, pursuant to which the separate corporate existence of US Merger Sub ceased and GGI became a wholly owned subsidiary of ListCo. Simultaneously, the following events occurred:</w:t>
      </w:r>
    </w:p>
    <w:p>
      <w:pPr>
        <w:spacing w:after="0" w:line="85" w:lineRule="exact"/>
        <w:rPr>
          <w:sz w:val="20"/>
          <w:szCs w:val="20"/>
          <w:color w:val="auto"/>
        </w:rPr>
      </w:pPr>
    </w:p>
    <w:p>
      <w:pPr>
        <w:ind w:left="960" w:right="4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of the Former Parent outstanding immediately prior to the Closing were automatically converted into 4,306,466 Class A Shares in ListCo;</w:t>
      </w:r>
    </w:p>
    <w:p>
      <w:pPr>
        <w:spacing w:after="0" w:line="67" w:lineRule="exact"/>
        <w:rPr>
          <w:rFonts w:ascii="Times New Roman" w:cs="Times New Roman" w:eastAsia="Times New Roman" w:hAnsi="Times New Roman"/>
          <w:sz w:val="18"/>
          <w:szCs w:val="18"/>
          <w:color w:val="auto"/>
        </w:rPr>
      </w:pPr>
    </w:p>
    <w:p>
      <w:pPr>
        <w:jc w:val="both"/>
        <w:ind w:left="960" w:right="16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was separated from Polestar Group and issued 294,877,349 Class A Shares in ListCo, 1,642,233,575 Class B Shares in ListCo, and the right to receive an earn out of a variable number of additional Class A Shares and Class B Shares, depending on the daily volume weighted average price of Class A Shares in the future;</w:t>
      </w:r>
    </w:p>
    <w:p>
      <w:pPr>
        <w:spacing w:after="0" w:line="81"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A Common Stock issued and outstanding, other than those held in treasury, were exchanged for 65,389,140 Class A Shares in ListCo;</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F Common Stock issued and outstanding, other than those held in treasury, were exchanged for 18,459,165 Class A Shares in ListCo;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ind w:left="960" w:right="4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Public Warrants issued and outstanding immediately prior to the Closing were exchanged for 15,999,965 Class C-1 Shares in ListCo with effectively the same terms as the GGI Public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Private Warrants issued and outstanding immediately prior to the Closing were exchanged for 9,000,000 Class C-2 Shares in ListCo with effectively the same terms as the GGI Private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960" w:right="140" w:hanging="424"/>
        <w:spacing w:after="0" w:line="31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PIPE Subscription Agreements, third-party investors purchased 25,423,445 Class A Shares in ListCo and Volvo Cars purchased 1,117,390 Class A Shares in ListCo, for a total of 26,540,835 Class A Shares in ListCo for an aggregate total of $250,000; and</w:t>
      </w:r>
    </w:p>
    <w:p>
      <w:pPr>
        <w:spacing w:after="0" w:line="45" w:lineRule="exact"/>
        <w:rPr>
          <w:rFonts w:ascii="Times New Roman" w:cs="Times New Roman" w:eastAsia="Times New Roman" w:hAnsi="Times New Roman"/>
          <w:sz w:val="17"/>
          <w:szCs w:val="17"/>
          <w:color w:val="auto"/>
        </w:rPr>
      </w:pPr>
    </w:p>
    <w:p>
      <w:pPr>
        <w:ind w:left="960" w:right="4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Volvo Cars purchased 58,882,610 Preference Shares in ListCo for an aggregate total of $588,826 which automatically converted to Class A Shares in ListCo thereafter.</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merger with GGI, including all related arrangements, raised approximately $1,477,023 in gross cash proceeds, of which approximately $638,197 was assumed from GGI, $250,000 was sourced from the PIPE Subscription Agreements, and $588,826 was sourced from the Volvo Cars Preference Subscription Agreement. Polestar paid total transaction costs of $98,050 in connection with the merger, of which $59,050 were attributable to GGI and deducted from the gross cash proceeds raised. The merger was accounted for as a reverse recapitalisation, in accordance with the relevant International Financial Reporting Standards (“IFRS”). Refer to Note 10 - Reverse recapitalisation for additional information.</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Immediately following the closing of the transaction, ListCo changed its name to Polestar Automotive Holding UK PLC and began trading on the National Association of Securities Dealers Automated Quotations (“Nasdaq”) under the ticker symbol PSNY.</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June 30, 2022, the Former Parent (including also direct ownership by Volvo Cars) owns 94.7% of the Group. The remaining 5.3% is owned by external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 this interim report of Polestar Group are prepared in accordance with International Accounting Standards (“IAS”) 34 - Interim Financial Reporting (“IAS 34”) as adopted by the International Accounting Standards Board (“IASB”). For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This interim report is prepared in the presentation currency, U.S. Dollar (“USD”). All amounts are stated in thousands of USD (“TUSD”),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Polestar Group’s Unaudited Condensed Consolidated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six months ended June 30, 2022 and 2021 amounted to $502,734 and $368,219 respectively.</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Negative operating and investing cash flows for the six months ended June 30, 2022 and 2021 amounted to $916,331 and $171,729 respectively. Management forecasts that Polestar Group will continue to generate negative operating and investing cash flows in the near-future, until sustainable commercial operations are achieved. Securing financing to support operating and development activities represents an ongoing challenge for Polestar Group.</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and new share issuances. The timely realisation of these financing endeavors is crucial for Polestar Group’s ability to continue as a going concern. If these financing endeavors are not successful or sufficient enough to cover forecasted operating and investing cash flow needs, Polestar Group will need to seek additional funding through other means. Management has no certainty that Polestar Group will be successful in securing the funds necessary to continue operating and development activities as planned.</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concluded the adoption of new and revised accounting pronouncements has not and will not have a material impact on the Group’s Unaudited Condensed Consolidated Financial Statements. The adoptions of accounting pronouncements issued, but not effective, for the six months ended June 30, 2022 will not have a material impact to the Group’s Unaudited Condensed Consolidated Financial Statements. For a detailed assessment of the Group’s adoption of new and revised standards, refer to Note 1 - Significant accounting policies and judgements of the Consolidated Financial Statements for Polestar Automotive Holding Limited, as of, and for the year ended, December 31, 2021 that were included in the Form 20-F filed with the United States Securities and Exchange Commission (“SEC”) on June 29, 2022.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basis of consolidation, segment reporting, and foreign currency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 detailed description of the Group’s presentation, basis of consolidation, segment reporting, and foreign currency, including currency risk, refer to Note 1 - Significant accounting policies and judgements and Note 2 - Financial risk management of the Consolidated Financial Statements for Polestar Automotive Holding Limited, as of, and for the year ended, December 31, 2021 that were included in the Form 20-F filed with the SEC on June 29, 2022. There are no changes for the periods presented in these Unaudited Condensed Consolidated Financial Statements.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the Group’s revenue from external customers and non-current assets (i.e., PPE, intangibles, goodwill and vehicles under operating leases) by geographical location:</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6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214,231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31,586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155,157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93,572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137,218</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90,684</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116,522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136,961</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102,209</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58,840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55,938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46,956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31,643</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16,220</w:t>
            </w:r>
          </w:p>
        </w:tc>
      </w:tr>
      <w:tr>
        <w:trPr>
          <w:trHeight w:val="216"/>
        </w:trPr>
        <w:tc>
          <w:tcPr>
            <w:tcW w:w="6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59,960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40" w:type="dxa"/>
            <w:vAlign w:val="bottom"/>
          </w:tcPr>
          <w:p>
            <w:pPr>
              <w:spacing w:after="0"/>
              <w:rPr>
                <w:sz w:val="19"/>
                <w:szCs w:val="19"/>
                <w:color w:val="auto"/>
              </w:rPr>
            </w:pPr>
          </w:p>
        </w:tc>
      </w:tr>
    </w:tbl>
    <w:p>
      <w:pPr>
        <w:spacing w:after="0" w:line="238" w:lineRule="exact"/>
        <w:rPr>
          <w:sz w:val="20"/>
          <w:szCs w:val="20"/>
          <w:color w:val="auto"/>
        </w:rPr>
      </w:pPr>
    </w:p>
    <w:p>
      <w:pPr>
        <w:ind w:left="340" w:right="680" w:hanging="336"/>
        <w:spacing w:after="0" w:line="282" w:lineRule="auto"/>
        <w:tabs>
          <w:tab w:leader="none" w:pos="320" w:val="left"/>
        </w:tabs>
        <w:rPr>
          <w:sz w:val="20"/>
          <w:szCs w:val="20"/>
          <w:color w:val="auto"/>
        </w:rPr>
      </w:pPr>
      <w:r>
        <w:rPr>
          <w:rFonts w:ascii="Times New Roman" w:cs="Times New Roman" w:eastAsia="Times New Roman" w:hAnsi="Times New Roman"/>
          <w:sz w:val="18"/>
          <w:szCs w:val="18"/>
          <w:color w:val="auto"/>
        </w:rPr>
        <w:t>1 -</w:t>
        <w:tab/>
        <w:t>Revenue: Other regions primarily consist of South Korea, Belgium, and Denmark in 2022. Other regions primarily consist of Belgium and Switzerland in 2021.</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1,113,564</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954,842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524,896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637,900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60,129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64,072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24,587</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2,681</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2,122</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15,106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1,745,228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2 -</w:t>
      </w:r>
      <w:r>
        <w:rPr>
          <w:sz w:val="20"/>
          <w:szCs w:val="20"/>
          <w:color w:val="auto"/>
        </w:rPr>
        <w:tab/>
      </w:r>
      <w:r>
        <w:rPr>
          <w:rFonts w:ascii="Times New Roman" w:cs="Times New Roman" w:eastAsia="Times New Roman" w:hAnsi="Times New Roman"/>
          <w:sz w:val="17"/>
          <w:szCs w:val="17"/>
          <w:color w:val="auto"/>
        </w:rPr>
        <w:t>Non-current assets: Other regions primarily consist of Canada in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Polestar Group continues to apply the same accounting policies and methods as described in Note 1 - Significant accounting policies and judgements of the Consolidated Financial Statements for Polestar Automotive Holding Limited, as of, and for the year ended, December 31, 2021 that were included in the Form 20-F filed with the SEC on June 29, 2022. Additions to these accounting policies and methods due to new events that occurred during the six months ended June 30, 2022 are described below.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5" w:name="page36"/>
    <w:bookmarkEnd w:id="3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new critical estimates and judgements which the Group considers to have a significant impact on these Unaudited Condensed Consolidated Financial Statements are set out below and the corresponding impacts can be seen in the following notes:</w:t>
      </w:r>
    </w:p>
    <w:p>
      <w:pPr>
        <w:spacing w:after="0" w:line="187" w:lineRule="exact"/>
        <w:rPr>
          <w:sz w:val="20"/>
          <w:szCs w:val="20"/>
          <w:color w:val="auto"/>
        </w:rPr>
      </w:pPr>
    </w:p>
    <w:p>
      <w:pPr>
        <w:ind w:left="4" w:right="640" w:hanging="4"/>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Class C-1 Shares and Class C-2 Shares (collectively, “Class C Shares”) - refer to Note 10—Reverse recapitalisation.</w:t>
      </w:r>
    </w:p>
    <w:p>
      <w:pPr>
        <w:spacing w:after="0" w:line="161"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Former Parent’s contingent earn out right - refer to Note 10 - Reverse recapitalisation.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Class C-2 Shares</w:t>
      </w:r>
    </w:p>
    <w:p>
      <w:pPr>
        <w:spacing w:after="0" w:line="119"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Class C-2 Shares represents a derivative financial instrument that is carried at FVTPL by reference to Level 2 measurement inputs because an observable price for the Class C-1 Shares, which are almost identical instruments, is available in the active market.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2022, the fair value of the Class C-2 Shares was determined to equal approximately $14,999 by leveraging the closing price of the Class C-1 Shares on the Nasdaq of $1.66 per share, an implied volatility of 29.5%, a risk-free rate of 2.99%, a dividend yield of nil, and a 1,000 time-steps for the binomial lattice option pricing model. Refer to Note 10 - Reverse recapitalisation for more detail on the Class C-2 Shares.</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Former Parent’s contingent earn out right</w:t>
      </w:r>
    </w:p>
    <w:p>
      <w:pPr>
        <w:spacing w:after="0" w:line="160"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Former Parent’s contingent earn out right represents a derivative financial instrument that is carried at FVTPL by reference to Level 3 measurement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because a quoted or observable price for the instrument or an identical instrument is not available in active markets. The fair value of the earn 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determined using a Monte Carlo simulation that incorporates a term of 5.48 years, the five earn out tranches, and the probability of the Class A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ListCo reaching certain daily volume weighted average prices during the earn out period resulting in the issuance of each tranche of Class A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Class B Shares in ListCo to the Former Parent. As of June 30, 2022, the fair value of the earn out was determined to equal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$1,081,931 by leveraging an implied volatility of 60% and a risk-free rate of 2.99%. The implied volatility represents the most significant unobservable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 utilized in this Level 3 valuation technique. The calculated fair value would increase (decrease) if the implied volatility were higher (lower). Refer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Note 10 - Reverse recapitalisation for more detail on the Former Parent’s earn out.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Basic earnings per share is calculated by dividing the net income or loss for the period by the weighted average number of Class A Shares and Class B Shares in ListCo outstanding during the period. Diluted earnings per share is calculated by dividing net income or loss for the period by the weighted average number of fully diluted Class A Shares and Class B Shares in ListCo outstanding during the period. The weighted average number of fully diluted Class A Shares and Class B Shares factors for the impact of any instruments issued and outstanding that may be converted or exercised in exchange for Class A Shares or Class B Shares in ListCo. In the event of a net loss, dilutive instruments issued and outstanding are not factored in the calculation of diluted weighted average number of ordinary shares because their effect on earnings per share would be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Cash settled share-based payment awards are recognised as a financial liability at their fair value on the date of grant and remeasured at each reporting date until the date of settlement, with changes in fair value recognised in profit and loss. Equity-settled share-based payment awards are recognised in equity at their fair value on the date of grant and not remeasured thereafter. The expense associated with share-based payments is recognised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Unaudited Condensed Consolidated Statement of Loss and Comprehensive Loss that corresponds with the nature of the services provided.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7" w:name="page38"/>
    <w:bookmarkEnd w:id="37"/>
    <w:p>
      <w:pPr>
        <w:jc w:val="center"/>
        <w:ind w:right="-2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Group does not currently offer share-based payments to employees as part of their compensation. However, during the six months ended June 30, 2022, the Group granted an equity settled share-based payment in exchange for marketing services through November 1, 2023 and recognised a corresponding share-based payment expense for the period of $4,342. The Group also granted a non-recurring equity settled share-based payment of $372,318 in exchange for the service of a public listing of the Group on the Nasdaq through the merger with GGI. Refer to Note 10 - Reverse recapitalisation for more detail.</w:t>
      </w:r>
    </w:p>
    <w:p>
      <w:pPr>
        <w:spacing w:after="0" w:line="3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440" w:top="270" w:right="6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6660" w:type="dxa"/>
            <w:vAlign w:val="bottom"/>
          </w:tcPr>
          <w:p>
            <w:pPr>
              <w:spacing w:after="0"/>
              <w:rPr>
                <w:sz w:val="15"/>
                <w:szCs w:val="15"/>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6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517,437</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10,862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14,280</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7,934</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40" w:type="dxa"/>
            <w:vAlign w:val="bottom"/>
          </w:tcPr>
          <w:p>
            <w:pPr>
              <w:spacing w:after="0"/>
              <w:rPr>
                <w:sz w:val="19"/>
                <w:szCs w:val="19"/>
                <w:color w:val="auto"/>
              </w:rPr>
            </w:pPr>
          </w:p>
        </w:tc>
      </w:tr>
    </w:tbl>
    <w:p>
      <w:pPr>
        <w:spacing w:after="0" w:line="238" w:lineRule="exact"/>
        <w:rPr>
          <w:sz w:val="20"/>
          <w:szCs w:val="20"/>
          <w:color w:val="auto"/>
        </w:rPr>
      </w:pPr>
    </w:p>
    <w:p>
      <w:pPr>
        <w:ind w:left="420" w:right="4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1 -</w:t>
        <w:tab/>
        <w:t>Revenues related to sales of vehicles are inclusive of insignificant extended and connected services included in the sale of vehicles and sales-generated obligations such as discounts and rebates offered to fleet customers.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other revenue primarily consisted of license revenue generated from sales-based royalties received from Volvo Cars on sales of parts and accessories for Polestar Vehicles.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leases &amp;</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23,680</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18,593</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period</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35,735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14,715</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65,313</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during the period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(36,277)</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Released during the period</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(1,567)</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23,410</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23,169</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23,410</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14,612</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17,260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58,616</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16,848</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19,835</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36,683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June 30, 2022, contract liabilities amounted to $95,299, of which $23,410 was related to variable consideration payable to fleet customers in the form of volume related bonuses and $71,889 was related to remaining performance obligations associated with sales of vehicles and vehicle leasing revenue.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39" w:name="page40"/>
    <w:bookmarkEnd w:id="39"/>
    <w:p>
      <w:pPr>
        <w:jc w:val="center"/>
        <w:ind w:right="-8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changes in the Group’s right-of-use assets, which are included within Property, plant and equipment:</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7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76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78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50,099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(4,865)</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(2,544)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47,555</w:t>
            </w: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(10,159)</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(5,730)</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(15,228</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(18,635)</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28,920</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related to leases recognised in the Unaudited Condensed Consolidated Statement of Loss and Comprehensive Loss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2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8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14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1,911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14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432"/>
        </w:trPr>
        <w:tc>
          <w:tcPr>
            <w:tcW w:w="734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w w:val="99"/>
              </w:rPr>
              <w:t>The current and non-current portion of the Group’s lease liabilities are as follows: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6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14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22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60,473</w:t>
            </w:r>
          </w:p>
        </w:tc>
        <w:tc>
          <w:tcPr>
            <w:tcW w:w="2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77,836</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0" w:type="dxa"/>
            <w:vAlign w:val="bottom"/>
          </w:tcPr>
          <w:p>
            <w:pPr>
              <w:spacing w:after="0"/>
              <w:rPr>
                <w:sz w:val="1"/>
                <w:szCs w:val="1"/>
                <w:color w:val="auto"/>
              </w:rPr>
            </w:pPr>
          </w:p>
        </w:tc>
      </w:tr>
      <w:tr>
        <w:trPr>
          <w:trHeight w:val="372"/>
        </w:trPr>
        <w:tc>
          <w:tcPr>
            <w:tcW w:w="734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440" w:top="270" w:right="131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18,070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15,632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10,813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6,872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22,079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90,829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and 2021, total cash outflows for leases amounted to $6,124 and $3,122,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$7,934 and $154 for the six months ended June 30, 2022 and June 30, 2021, respectively. For the majority of the Group’s lease contracts, vehicles are paid for upfront at contract inception and repurchased by Polestar at the end of the lease term. Expected future, undiscounted lease payments to be received from the Group’s operating leases outstanding as of June 30, 2022 is $624, all of which will be earned in 2022. The following table depicts the changes in the Group’s vehicles under operating leases:</w:t>
      </w:r>
    </w:p>
    <w:p>
      <w:pPr>
        <w:spacing w:after="0" w:line="18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Vehicles under</w:t>
            </w: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25,838</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(32,451)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(9,949)</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102,068</w:t>
            </w:r>
          </w:p>
        </w:tc>
      </w:tr>
      <w:tr>
        <w:trPr>
          <w:trHeight w:val="372"/>
        </w:trPr>
        <w:tc>
          <w:tcPr>
            <w:tcW w:w="6480" w:type="dxa"/>
            <w:vAlign w:val="bottom"/>
            <w:gridSpan w:val="2"/>
          </w:tcPr>
          <w:p>
            <w:pPr>
              <w:jc w:val="right"/>
              <w:ind w:right="255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only dilutive instruments issued were the Class C Shares and the earn out to the Former Parent related to the Closing of the BCA, as discussed in Note 10 - Reverse recapitalisation. The Convertible notes of the Former Parent were the only dilutive instrument outstanding prior to the reverse recapitalisation and were converted to Class A Shares in the Group upon the Closing of the BCA. These financial instruments were excluded from the diluted weighted average number of ordinary shares calculation as their effect would have been anti-dilutive. No dilutive instruments were issued or outstanding during the six months ended June 30, 2021. Dilutive net loss per share was the same as basic net loss per share for all periods presented. The following table presents the computation of basic and diluted net loss per share for the six months ended June 30,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260" w:type="dxa"/>
            <w:vAlign w:val="bottom"/>
          </w:tcPr>
          <w:p>
            <w:pPr>
              <w:spacing w:after="0"/>
              <w:rPr>
                <w:sz w:val="10"/>
                <w:szCs w:val="10"/>
                <w:color w:val="auto"/>
              </w:rPr>
            </w:pPr>
          </w:p>
        </w:tc>
        <w:tc>
          <w:tcPr>
            <w:tcW w:w="9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(502,733)</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20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304,981,454</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226,227,618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ones):</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Refer to Note 6 - Equity for more details on the rights of Class A and B common shareholders.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 Intangible assets and goodwill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were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0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200" w:type="dxa"/>
            <w:vAlign w:val="bottom"/>
          </w:tcPr>
          <w:p>
            <w:pPr>
              <w:spacing w:after="0"/>
              <w:rPr>
                <w:sz w:val="24"/>
                <w:szCs w:val="24"/>
                <w:color w:val="auto"/>
              </w:rPr>
            </w:pPr>
          </w:p>
        </w:tc>
        <w:tc>
          <w:tcPr>
            <w:tcW w:w="9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Software</w:t>
            </w: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8"/>
              </w:rPr>
              <w:t>developed IP</w:t>
            </w:r>
          </w:p>
        </w:tc>
        <w:tc>
          <w:tcPr>
            <w:tcW w:w="2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IP</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151,884</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1,541,855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1,695,006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Additions</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46,292</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177,959</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Replacement cost development project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(165,792)</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30"/>
        </w:trPr>
        <w:tc>
          <w:tcPr>
            <w:tcW w:w="66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1,554,022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(366,637)</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(382,579)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(56,193)</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41,242</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(14,164)</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(325)</w:t>
            </w:r>
          </w:p>
        </w:tc>
        <w:tc>
          <w:tcPr>
            <w:tcW w:w="2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(381,588)</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(396,077)</w:t>
            </w:r>
          </w:p>
        </w:tc>
        <w:tc>
          <w:tcPr>
            <w:tcW w:w="0" w:type="dxa"/>
            <w:vAlign w:val="bottom"/>
          </w:tcPr>
          <w:p>
            <w:pPr>
              <w:spacing w:after="0"/>
              <w:rPr>
                <w:sz w:val="1"/>
                <w:szCs w:val="1"/>
                <w:color w:val="auto"/>
              </w:rPr>
            </w:pPr>
          </w:p>
        </w:tc>
      </w:tr>
      <w:tr>
        <w:trPr>
          <w:trHeight w:val="223"/>
        </w:trPr>
        <w:tc>
          <w:tcPr>
            <w:tcW w:w="66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1,172,434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662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ind w:left="440" w:right="80" w:hanging="444"/>
        <w:spacing w:after="0" w:line="266" w:lineRule="auto"/>
        <w:tabs>
          <w:tab w:leader="none" w:pos="420" w:val="left"/>
        </w:tabs>
        <w:rPr>
          <w:sz w:val="20"/>
          <w:szCs w:val="20"/>
          <w:color w:val="auto"/>
        </w:rPr>
      </w:pPr>
      <w:r>
        <w:rPr>
          <w:rFonts w:ascii="Times New Roman" w:cs="Times New Roman" w:eastAsia="Times New Roman" w:hAnsi="Times New Roman"/>
          <w:sz w:val="18"/>
          <w:szCs w:val="18"/>
          <w:color w:val="auto"/>
        </w:rPr>
        <w:t>1 –</w:t>
        <w:tab/>
        <w:t>Of $224,251 in additions for the six months ended 30 June 2022, $66,449 has been settled in cash. These $66,449 are included in the $510,301 in the cash-flow statement in cash from from investing activities related to additions to intangible assets, while $443,852 is settled in cash in 2022 but added as investments in balance sheet in prior years.</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are primarily related to the Polestar Precept concept car and various other internal programs for the six months ended June 30, 2022. Additions of acquired IP during the six months ended June 30, 2022 were related to acquisitions of the Polestar 2 (“PS2”) and Polestar 3 (“PS3”) IP from Volvo Cars. Polestar also acquired IP related to the Polestar 4 (“PS4”) from Geely. Refer to Note 9 - Related party transactions for further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carrying amount of goodwill and trademarks during the period were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(6,319)</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(6,633)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3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49,296</w:t>
            </w:r>
          </w:p>
        </w:tc>
        <w:tc>
          <w:tcPr>
            <w:tcW w:w="12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Between January 1, 2022 and prior to the Closing of the merger with GGI, there were no events impacting the Group’s equity other than the issuance of 50,000 British Pound Sterling (“GBP”) Redeemable Preferred Shares in ListCo with a par value of GBP 1.00, equivalent to $ 65,202 to the Former Parent. This issuance was part of ListCo’s incorporation in the United Kingdom as a subsidiary of the Former Parent in preparation for the Closing of the merger with GGI. The issuance was included in Other contributed capital within the Unaudited Condensed Consolidated Statement of Financial Position. Refer to Note 1 - Significant accounting policies and judgements for the list of events impacting equity upon the Closing of the merger with GGI. The following instruments of ListCo were issued and outstanding as of June 30, 2022:</w:t>
      </w:r>
    </w:p>
    <w:p>
      <w:pPr>
        <w:spacing w:after="0" w:line="93"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466,801,222 Class A Shares with a par value of $0.01, of which 241,264,235 were owned by related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1,642,233,575 Class B Shares with a par value of $0.01, of which all were owned by related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15,999,965 Class C-1 Shares with a par value of $0.10;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Shares with a par value of $0.10;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Redeemable Preferred Shares with a par value of GBP 1.00.</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Holders of Class A Shares in ListCo are entitled to one vote per share and holders of Class B Shares in ListCo are entitled to ten votes per share. Holders of Class C Shares in ListCo are entitled to one vote per share for certain matters holders, but have no voting rights with respect to general matters voted on by holders of Class A Shares and Class B Shares in ListCo. Additionally, holders of GBP Redeemable Preferred Shares in ListCo have no voting rights. Any dividends or other distributions paid by ListCo shall be issued to holders of outstanding Class A Shares and Class B Shares in ListCo. Holders of Class C Shares and GBP Redeemable Preferred Shares in ListCo are not entitled to participate in any dividends or other distributions. Refer to Note 10 - Reverse recapitalisation for additional information on the Class C Shares. Changes to the number of Class A Shares and Class B Shares in ListCo issued and outstanding during the period were as follows: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3" w:name="page44"/>
    <w:bookmarkEnd w:id="4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3"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23, 2022</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171,923,873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Removal of Polestar Automotive Holding Limited from the Group</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(197,026,729)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1,642,233,575</w:t>
            </w: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from Class B to Class 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294,877,349</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(35,377,866)</w:t>
            </w:r>
          </w:p>
        </w:tc>
      </w:tr>
      <w:tr>
        <w:trPr>
          <w:trHeight w:val="27"/>
        </w:trPr>
        <w:tc>
          <w:tcPr>
            <w:tcW w:w="5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466,801,222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1,642,233,575</w:t>
            </w:r>
          </w:p>
        </w:tc>
      </w:tr>
      <w:tr>
        <w:trPr>
          <w:trHeight w:val="20"/>
        </w:trPr>
        <w:tc>
          <w:tcPr>
            <w:tcW w:w="5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As of June 30, 2022, there were an additional 4,533,198,778 Class A Shares and 135,133,164 Class B Shares with a par values of $0.01 authorized for issuance. No additional Class C Shares or Redeemable Preferred Shares were authorized for issuance.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7 - Liabilities to credit institutions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June 30, 2022 are as follows: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Nominal amount in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340" w:type="dxa"/>
            <w:vAlign w:val="bottom"/>
          </w:tcPr>
          <w:p>
            <w:pPr>
              <w:spacing w:after="0"/>
              <w:rPr>
                <w:sz w:val="12"/>
                <w:szCs w:val="12"/>
                <w:color w:val="auto"/>
              </w:rPr>
            </w:pPr>
          </w:p>
        </w:tc>
        <w:tc>
          <w:tcPr>
            <w:tcW w:w="17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respective currency</w:t>
            </w: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5340" w:type="dxa"/>
            <w:vAlign w:val="bottom"/>
          </w:tcPr>
          <w:p>
            <w:pPr>
              <w:spacing w:after="0"/>
              <w:rPr>
                <w:sz w:val="15"/>
                <w:szCs w:val="15"/>
                <w:color w:val="auto"/>
              </w:rPr>
            </w:pPr>
          </w:p>
        </w:tc>
        <w:tc>
          <w:tcPr>
            <w:tcW w:w="172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53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70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830,000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124,010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70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400,000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70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170,643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776,431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June 30, 2022, the Group had four outstanding bank loans:</w:t>
      </w:r>
    </w:p>
    <w:p>
      <w:pPr>
        <w:spacing w:after="0" w:line="117" w:lineRule="exact"/>
        <w:rPr>
          <w:sz w:val="20"/>
          <w:szCs w:val="20"/>
          <w:color w:val="auto"/>
        </w:rPr>
      </w:pPr>
    </w:p>
    <w:p>
      <w:pPr>
        <w:ind w:left="4" w:hanging="4"/>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$74,705. This loan was agreed to in June 2022 with an expiry of June 2023. The loan carries interest at the latest 12-month prime loan rate plus 1.25%, settled monthly.</w:t>
      </w:r>
    </w:p>
    <w:p>
      <w:pPr>
        <w:spacing w:after="0" w:line="53" w:lineRule="exact"/>
        <w:rPr>
          <w:rFonts w:ascii="Times New Roman" w:cs="Times New Roman" w:eastAsia="Times New Roman" w:hAnsi="Times New Roman"/>
          <w:sz w:val="18"/>
          <w:szCs w:val="18"/>
          <w:color w:val="auto"/>
        </w:rPr>
      </w:pPr>
    </w:p>
    <w:p>
      <w:pPr>
        <w:jc w:val="both"/>
        <w:ind w:left="4" w:right="80" w:hanging="4"/>
        <w:spacing w:after="0" w:line="266" w:lineRule="auto"/>
        <w:tabs>
          <w:tab w:leader="none" w:pos="1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$124,010.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4" w:name="page45"/>
    <w:bookmarkEnd w:id="44"/>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jc w:val="both"/>
        <w:ind w:left="4" w:right="240" w:hanging="4"/>
        <w:spacing w:after="0" w:line="266"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working capital loan agreement from a bank in China. The loan is secured by Geely for approximately 70% of the principal amount, including a subsidiary guarantee from Polestar Shanghai as well as letters of keep well from both Volvo Cars and Geely. The outstanding principal balance as of June 30, 2022 was $400,000. This loan was agreed to in December 2021. The loan carries interest at a rate of 1.833% per annum.</w:t>
      </w:r>
    </w:p>
    <w:p>
      <w:pPr>
        <w:spacing w:after="0" w:line="67" w:lineRule="exact"/>
        <w:rPr>
          <w:rFonts w:ascii="Times New Roman" w:cs="Times New Roman" w:eastAsia="Times New Roman" w:hAnsi="Times New Roman"/>
          <w:sz w:val="18"/>
          <w:szCs w:val="18"/>
          <w:color w:val="auto"/>
        </w:rPr>
      </w:pPr>
    </w:p>
    <w:p>
      <w:pPr>
        <w:ind w:left="4" w:hanging="4"/>
        <w:spacing w:after="0" w:line="256" w:lineRule="auto"/>
        <w:tabs>
          <w:tab w:leader="none" w:pos="1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The outstanding principal balance as of June 30, 2022 was $177,716. This loan carries interest at the relevant interbank offered rate plus 2.1% per annum plus a flat arrangement fee of .15% to be paid on the value of the facility payable. The facility has a repayment period of 90 days and includes a covenant tied to the Group’s financial performance.</w:t>
      </w:r>
    </w:p>
    <w:p>
      <w:pPr>
        <w:spacing w:after="0" w:line="18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fund operations related to vehicle sales. These facilities provide access to credit for 1-3 years, with the option to renew as mutually determined by Polestar Group and the financial service provider. As of June 30, 2022 and December 31, 2021, the aggregate amount outstanding under these arrangements was $29,571 and $32,453, respectively. Of the $29,571 outstanding as of June 30, 2022, $11,902 was related to the working capital loan with the related party Volvo Cars and included in Interest-bearing current liabilities - related parties within the Unaudited Condensed Consolidated Statement of Financial Position. Refer to Note 9 - Related party transactions for further details.</w:t>
      </w:r>
    </w:p>
    <w:p>
      <w:pPr>
        <w:spacing w:after="0" w:line="18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Since the contracts identified above are short-term with a duration of 12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2021 that were included in the Form 20-F filed with the SEC on June 29, 2022. There are no changes in terms of risk management policies for the periods presented in these Unaudited Condensed Consolidated Financial Statements.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2022 and December 31, 2021, $15,833 and $14,465 of this financing obligation was outstanding, respectively, and had accrued interest of $73 and $1,679, respectively. As the financing obligation is short-term in nature, the total outstanding amount is reflected in Liabilities to credit institutions in the Unaudited Condensed Consolidated Statement of Financial Position.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As of June 30, 2022, commitments to acquire PPE and intangible assets were $190,129 and $307,944, respectively. As of December 31, 2021, commitments to acquire PPE and intangible assets were $235,573 and $501,207, respectively.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45" w:name="page46"/>
    <w:bookmarkEnd w:id="45"/>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440" w:top="270" w:right="559" w:bottom="1440" w:gutter="0" w:footer="0" w:header="0"/>
        </w:sectPr>
      </w:pPr>
    </w:p>
    <w:bookmarkStart w:id="46" w:name="page47"/>
    <w:bookmarkEnd w:id="46"/>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 detailed description of the Group’s related parties, refer to Note 23 - Related party transactions of the Consolidated Financial Statements, as of, and for the year ended, December 31, 2021 that were included in the Form 20-F filed with the SEC on June 29, 2022. There are no changes in terms of the Group’s related parties for the periods presented in these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Group has related party agreements in the following functions: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Group has entered into Service Agreements with Volvo Cars regarding the procurement of direct (production related) materials, whereas the joint sourcing of direct material for the Group and Volvo Cars has allowed both companies to leverage economies of scale.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purchases contract manufacturing services, manufacturing and logistics engineering services, and entered into tool sharing agreements with related parties.</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commercialisation.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2021, production of the PS2 was commenced at the Geely owned Luqiao plant through contract manufacturing agreements. In the second half of 2021, ownership transferred to Volvo Cars and the plant was renamed to Taizhou.</w:t>
      </w:r>
    </w:p>
    <w:p>
      <w:pPr>
        <w:spacing w:after="0" w:line="162"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w:t>
      </w:r>
    </w:p>
    <w:p>
      <w:pPr>
        <w:spacing w:after="0" w:line="3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60"/>
          </w:cols>
          <w:pgMar w:left="440" w:top="270" w:right="59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outsourced the manufacturing engineering for the production process of the PS1, PS2 and PS3 to Volvo Cars.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3 - Leases for more information on Polestar’s leasing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to Volvo Cars and Geely, and the sale of software and performance engineering kits to Volvo Cars. In addition to these sales agreements, in 2020, the Group has agreements in place to begin selling commercial vehicles, prototype engines and carbon credits to Geely and Volvo Cars, respectively. Refer to Note 2 - Revenue for further discussion on revenue recognised in accordance with IFRS 15. The Group leverages Volvo Cars sales and services network for go-to-market strategies and dealer support to assist with tasks, which include agreements related to distribution and outbound logistics, market research, delivery of vehicles and other products and global customer service.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the Group has their own information technology (“IT”) department, they operate in a shared IT environment with Volvo Cars and have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Group has various other related party agreements in place with Volvo Cars. These are primarily service agreements that relate to support for corporate or back-office functions, including legal entity accounting.</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the Group has service agreements in place with Volvo Cars over the inbound and outbound logistics, as well as customs handling. Inbound logistics relate to supplier shipments to various production sites, while outbound logistics relate to the transport of final vehicles to end customers. As the Group’s vehicles and Volvo Cars’ vehicles are typically manufactured at the same production sites, the inbound logistics functions are outsourced to Volvo Cars. While the outbound logistics functions are also outsourced to Volvo Cars in order to obtain synergies. Customs handling services are performed by Volvo Cars on behalf of the Group, as the Group does not currently have their own customs department.</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48" w:name="page49"/>
    <w:bookmarkEnd w:id="48"/>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June 30, 2022, $11,902 of this financing arrangement remained outstanding, which is included in Interest-bearing current liabilities - related parties on the Unaudited Condensed Consolidated Statement of Financial Position. Refer to Note 7 - Liabilities to credit institutions for further details.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was related to Geely. Upon the Closing of the merger with GGI, the Notes held by Geely were automatically converted to 1,165,041 shares of Class A Shares in ListCo. Refer to Note 1 - Significant accounting policies and judgements and Note 6 - Equity for further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from related parties relates to the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recognised for each related party is shown in the table below:</w:t>
      </w:r>
    </w:p>
    <w:p>
      <w:pPr>
        <w:spacing w:after="0" w:line="196"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320" w:type="dxa"/>
        <w:tblCellMar>
          <w:top w:w="0" w:type="dxa"/>
          <w:left w:w="0" w:type="dxa"/>
          <w:bottom w:w="0" w:type="dxa"/>
          <w:right w:w="0" w:type="dxa"/>
        </w:tblCellMar>
      </w:tblPr>
      <w:tr>
        <w:trPr>
          <w:trHeight w:val="209"/>
        </w:trPr>
        <w:tc>
          <w:tcPr>
            <w:tcW w:w="7000" w:type="dxa"/>
            <w:vAlign w:val="bottom"/>
          </w:tcPr>
          <w:p>
            <w:pPr>
              <w:spacing w:after="0"/>
              <w:rPr>
                <w:sz w:val="18"/>
                <w:szCs w:val="18"/>
                <w:color w:val="auto"/>
              </w:rPr>
            </w:pPr>
          </w:p>
        </w:tc>
        <w:tc>
          <w:tcPr>
            <w:tcW w:w="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44,452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28,351</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39,115</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21,240</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83,567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49,732</w:t>
            </w:r>
          </w:p>
        </w:tc>
        <w:tc>
          <w:tcPr>
            <w:tcW w:w="40" w:type="dxa"/>
            <w:vAlign w:val="bottom"/>
          </w:tcPr>
          <w:p>
            <w:pPr>
              <w:spacing w:after="0"/>
              <w:rPr>
                <w:sz w:val="19"/>
                <w:szCs w:val="19"/>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revenue from related parties amounted to $83,567 (8.03%) of total revenue. For the six months ended June 30, 2021, related party revenue was $49,732 (9.30%) of total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Inventory cost of the Group is comprised of all costs of purchase, production charges and other expenditures incurred in bringing the inventory to its present location and condition.</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purchases of goods, services and other for each related party is shown in the table below:</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60"/>
          </w:cols>
          <w:pgMar w:left="440" w:top="270" w:right="5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32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248,984</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316,745</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565,735</w:t>
            </w:r>
          </w:p>
        </w:tc>
        <w:tc>
          <w:tcPr>
            <w:tcW w:w="4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Polestar Group entered into agreements with Volvo Cars and Geely regarding the development of technology. The Group is in control of the developed product either through a license or through ownership of the IP and the recognised asset reflects the relevant proportion of Polestar Group’s interest. The recognised asset associated with these agreements as of June 30, 2022 was $1,172,434, of which acquisitions attributable to 2022 were $177,959. As of December 31, 2021, the recognised asset associated with these agreements was $1,175,218 and acquisitions attributable to 2021 were $349,876.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to related parties</w:t>
            </w:r>
          </w:p>
        </w:tc>
        <w:tc>
          <w:tcPr>
            <w:tcW w:w="124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234,566</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235,622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536</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1,073,963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146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7,698</w:t>
            </w:r>
          </w:p>
        </w:tc>
        <w:tc>
          <w:tcPr>
            <w:tcW w:w="5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5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Group’s interest expense on related party trade payables for amounts past due for the six months ended June 30, 2022 and June 30, 2021 was $24,275 and $2,852,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Reverse recapitalisation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outlined in Note 1 - Significant accounting policies and judgements, Polestar underwent a reverse recapitalisation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spacing w:after="0" w:line="85"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the Former Parent retained the largest voting interest in the Group with over 99% of the voting interests;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Group comprises four members nominated by the Former Parent, as compared to one member nominated by certain investors in GGI;</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has the ability to appoint the remaining members of the Board as deemed necessary;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senior management is the senior management of the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operations comprise substantially all of the ongoing operations of the Group following the merger with GGI; and</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was the larger entity by substantive operations and employee base while GGI lacked operating activities and maintained net assets principally comprised of cash.</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Therefore, GGI did not meet the definition of a business in accordance with IFRS 3 and the merger with GGI was instead accounted for within the scope of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ListCo utilising the publicly traded share price at the Closing of $11.23 over the fair value of the identifiable net assets of GGI that were acquired. The amount of GGI’s identifiable net assets of acquired at Closing, were as follows:</w:t>
      </w:r>
    </w:p>
    <w:p>
      <w:pPr>
        <w:spacing w:after="0" w:line="22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579,146</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liability</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(40,320)</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 liability</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(22,770)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GGI identifiable net assets at fair value</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522,106</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net assets of GGI are stated at fair value, with no goodwill or other intangible assets recorded. The IFRS 2 listing expense was calculated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1" w:name="page52"/>
    <w:bookmarkEnd w:id="51"/>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58"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Polestar*</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22,183,823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 in Polestar issued to GGI shareholders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Polestar issued to Former Parent shareholders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Deemed cost of shares issued by Polestar*</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identifiable net assets at fair value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Sponsor and third party PIPE Cash</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2 Listing Expense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8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issued by Polestar was estimated based on the fair value of Polestar at Closing, less an adjustment in respect to the fair value of the earn out rights (discussed below).</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Class C Shares</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On the Closing of the BCA, all Public Warrants and Private Warrants in GGI issued and outstanding immediately prior to the Closing were exchanged for Class C-1 Shares and Class C-2 Shares in ListCo. Class C-1 Shares have the following terms:</w:t>
      </w:r>
    </w:p>
    <w:p>
      <w:pPr>
        <w:spacing w:after="0" w:line="67" w:lineRule="exact"/>
        <w:rPr>
          <w:sz w:val="20"/>
          <w:szCs w:val="20"/>
          <w:color w:val="auto"/>
        </w:rPr>
      </w:pPr>
    </w:p>
    <w:p>
      <w:pPr>
        <w:ind w:left="964" w:right="64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entitles the holder to purchase one Class A Share in ListCo at an exercise price of $11.50, subject to adjustments for split-ups and dividends. The Class C-1 Shares may also be exercised on a cashless basis by the holder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is exercisable 30 days after the Closing of the BCA and expires on the earlier of:</w:t>
      </w:r>
    </w:p>
    <w:p>
      <w:pPr>
        <w:spacing w:after="0" w:line="2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23, 2027,</w:t>
      </w:r>
    </w:p>
    <w:p>
      <w:pPr>
        <w:spacing w:after="0" w:line="112"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Class C-1 Shares are redeemed by the Group, or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Group.</w:t>
      </w:r>
    </w:p>
    <w:p>
      <w:pPr>
        <w:spacing w:after="0" w:line="130" w:lineRule="exact"/>
        <w:rPr>
          <w:rFonts w:ascii="Times New Roman" w:cs="Times New Roman" w:eastAsia="Times New Roman" w:hAnsi="Times New Roman"/>
          <w:sz w:val="18"/>
          <w:szCs w:val="18"/>
          <w:color w:val="auto"/>
        </w:rPr>
      </w:pPr>
    </w:p>
    <w:p>
      <w:pPr>
        <w:ind w:left="964" w:hanging="424"/>
        <w:spacing w:after="0" w:line="258"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(1) redeem the outstanding whole Class C-1 Shares at a price of $0.01 per Class C-1 Share or (2) convert the outstanding whole Class C-1 Shares in Class A Shares in ListCo on a cashless basis any time while the warrants are exercisable upon a minimum of 30 days prior written notice of redemption if, and only if, the last sales price of the Class A Shares in ListCo equals or exceeds $18 per share (as adjusted for split-ups, dividends, and the like) on each of 20 trading days within any 30 trading day period ending on the third business day prior to the date on which redemption notice is given.</w:t>
      </w:r>
    </w:p>
    <w:p>
      <w:pPr>
        <w:spacing w:after="0" w:line="88" w:lineRule="exact"/>
        <w:rPr>
          <w:rFonts w:ascii="Times New Roman" w:cs="Times New Roman" w:eastAsia="Times New Roman" w:hAnsi="Times New Roman"/>
          <w:sz w:val="18"/>
          <w:szCs w:val="18"/>
          <w:color w:val="auto"/>
        </w:rPr>
      </w:pPr>
    </w:p>
    <w:p>
      <w:pPr>
        <w:ind w:left="964" w:right="60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require the conversion of all of the outstanding Class C-1 Shares into Class A Shares in ListCo on a cashless basis beginning on October 24, 2022, provided:</w:t>
      </w:r>
    </w:p>
    <w:p>
      <w:pPr>
        <w:spacing w:after="0" w:line="67" w:lineRule="exact"/>
        <w:rPr>
          <w:rFonts w:ascii="Times New Roman" w:cs="Times New Roman" w:eastAsia="Times New Roman" w:hAnsi="Times New Roman"/>
          <w:sz w:val="18"/>
          <w:szCs w:val="18"/>
          <w:color w:val="auto"/>
        </w:rPr>
      </w:pPr>
    </w:p>
    <w:p>
      <w:pPr>
        <w:ind w:left="1424" w:right="20" w:hanging="331"/>
        <w:spacing w:after="0" w:line="282"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last reported price of the Class A Shares in ListCo was at least $10.00 per share (as adjusted for split-ups, dividends, and the like) on the trading day prior to the date on which redemption notice is given,</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C-2 Shares are converted on the same basis as the outstanding Class C-1 Shares, and</w:t>
      </w:r>
    </w:p>
    <w:p>
      <w:pPr>
        <w:spacing w:after="0" w:line="130" w:lineRule="exact"/>
        <w:rPr>
          <w:rFonts w:ascii="Times New Roman" w:cs="Times New Roman" w:eastAsia="Times New Roman" w:hAnsi="Times New Roman"/>
          <w:sz w:val="18"/>
          <w:szCs w:val="18"/>
          <w:color w:val="auto"/>
        </w:rPr>
      </w:pPr>
    </w:p>
    <w:p>
      <w:pPr>
        <w:ind w:left="1424" w:right="240" w:hanging="331"/>
        <w:spacing w:after="0" w:line="282"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covering the Class A Shares in ListCo arising upon conversion of the Class C Shares is available for 30 days prior to the date the Class C-1 Shares are redeemed by the Group.</w:t>
      </w:r>
    </w:p>
    <w:p>
      <w:pPr>
        <w:spacing w:after="0" w:line="67"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C-1 Shares may be exercised, on a cash or cashless basis at any time after a notice of redemption shall have been given by the Group and prior to the date the Class C-1 Shares are redeemed by the Group.</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Class C-2 Shares are identical to the Class C-1 Shares, except that the Class C-2 Shares:</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4"/>
          </w:cols>
          <w:pgMar w:left="436" w:top="270" w:right="49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9"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redeemable by the Group as long as they are held by certain GGI investors and their permitted transferees;</w:t>
      </w:r>
    </w:p>
    <w:p>
      <w:pPr>
        <w:spacing w:after="0" w:line="130"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convert to Class C-1 Shares if they are transferred to individuals other than certain GGI investors and their permitted transferees;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converted to Class C-1 Shares at any time by the holder upon notification to the Group;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exercisable on a cashless basis by the holder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Class C Shares. Under IAS 32 and IFRS 9, the Class C Shares failed to meet the definition of equity because they could result in the issuance of a variable number of Class A Shares in ListCo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recognised in the Unaudited Condensed Consolidated Statement of Loss and Comprehensive Loss at each reporting date.</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26,560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Class C Shares</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41,559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Class C-1 Shares are publicly traded on the Nasdaq (i.e., Level 1 input) and the closing share price of the GGI Public Warrants on June 23, 2022 was used to measure their fair value upon initial recognition, at which time the Class C-1 Shares had a fair value of $40,320. On June 30, 2022, the fair value of the Class C-1 Shares was remeasured at $26,560, for a total gain related to the change in fair value of $13,760.</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C-1</w:t>
            </w: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6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C-1</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acquired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40,320</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Class C-1</w:t>
            </w: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exercised</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measurement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(13,760)</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26,560</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Class C-2 Shares had a fair value as of June 23, 2022, of $22,770. On June 30, 2022, the fair value of the Class C-2 Shares was remeasured at $14,999, for a total gain related to the change in fair value of $7,771. The Class C-2 Shares are not publicly traded and require a valuation approach leveraging Level 2 inputs. Refer to Note 1 - Significant accounting policies and judgements for further details on the valuation methodology utilised to determine the fair value of the Class C-2 Shares.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-116840</wp:posOffset>
            </wp:positionV>
            <wp:extent cx="474916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Class C-2 Shares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474916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Class C-2 Shares exercised</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Change in fair value measurement</w:t>
      </w:r>
    </w:p>
    <w:p>
      <w:pPr>
        <w:spacing w:after="0" w:line="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-116840</wp:posOffset>
            </wp:positionV>
            <wp:extent cx="474916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 out rights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Class C-2</w:t>
      </w:r>
    </w:p>
    <w:p>
      <w:pPr>
        <w:spacing w:after="0" w:line="6"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22,770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(7,771)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14,999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771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7820" w:space="720"/>
            <w:col w:w="2480"/>
          </w:cols>
          <w:pgMar w:left="440" w:top="270" w:right="439" w:bottom="1440" w:gutter="0" w:footer="0" w:header="0"/>
          <w:type w:val="continuous"/>
        </w:sect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the Closing of the BCA, the Former Parent (or the shareholders of the Former Parent if the Former Parent is dissolved or liquidated) was issued a contingent right to receive earn outs of up to 24,078,639 Class A Shares and 134,098,970 Class B Shares in ListCo, issuable in five tranches that each comprise 4,815,728 Class A Shares and 26,819,794 Class B Shares in ListCo. Each tranche is issuable once the daily volume weighted average price of Class A Shares in ListCo meets specific price hurdles for 20 trading days out of any 30 day trading period beginning after December 23, 2022 and ending on December 23, 2028. The daily volume weighted average price of Class A Shares in ListCo that is required to trigger each tranche is as follows:</w:t>
      </w:r>
    </w:p>
    <w:p>
      <w:pPr>
        <w:spacing w:after="0" w:line="93"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$13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$15.50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$18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$20.50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$23 per share</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If the daily volume weighted average price of Class A Shares in ListCo triggers a higher price tranche prior to triggering a lower price tranche, all tranches below the tranche triggered are also triggered for (e.g., if tranche 5 is triggered, tranches 1 through 4 are also triggered). Additionally, in the event there is a change of control of the Group, all five tranches are automatically triggered for issuance. The Former Parent’s contingent right to the earn out tranches that are not triggered for issuance by December 23, 2028 will expire immediately.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ListCo and the triggering events are subject to price hurdles (i.e., a market condition) that are outside of the control of the Group. Instead, it meets definition of a derivative liability that is carried at fair value with subsequent changes in fair value recognised in the Unaudited Condensed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Closing of the BCA, the fair value of the contingent earn out rights was approximately $1,500,638. The financial liability was remeasured at June 30, 2022, resulting in a decrease of $418,707 to $1,081,931 on June 30, 2022. Refer to Note 1 - Significant accounting policies and judgements for further details on the valuation methodology utilised to determine the fair value of the earn out.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Cars Preference Shares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Closing of the BCA and pursuant to the Volvo Cars Preference Subscription Agreement, Volvo Cars agreed to subscribe for Preference Shares in ListCo in exchange for a cash payment of $588,826. The cash proceeds were used to pay down outstanding payables owed to VCC. Each Preference Share in ListCo automatically converted into Class A Shares in ListCo at a conversion price of $10 per share thereafter. The Group applied the provisions of IAS 32 and IFRS 9 in accounting for the Volvo Cars Preference Shares. Under IAS 32, the preference shares do not meet the definition of a financial liability but instead represent a fixed residual interest in ListCo (i.e., Class A shares). As such, the The initial carrying value of the Volvo Cars Preference Shares was equity classified and accounted for as capital contribution from Volvo Cars.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fair value through profit and loss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 measured at FVTPL</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7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2"/>
                <w:szCs w:val="12"/>
                <w:color w:val="auto"/>
              </w:rPr>
            </w:pPr>
          </w:p>
        </w:tc>
        <w:tc>
          <w:tcPr>
            <w:tcW w:w="6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measured at FVTPL</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rights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1,081,931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26,560</w:t>
            </w:r>
          </w:p>
        </w:tc>
        <w:tc>
          <w:tcPr>
            <w:tcW w:w="1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26,560</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7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14,999</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14,999</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26,560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14,999</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1,123,490</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Polestar made a $2,480 investment in the fast charging innovator, StoreDot. This investment is presented in Other investments in the Unaudited Condensed Consolidated Statement of Financial Position and is valued at $2,359 as of June 30, 2022. Refer to Note 1 - Significant accounting policies and judgements and Note 10 - Reverse recapitalisation for more detail on the financial liabilities related to the Class C-2 Shares and the Former Parent’s earn-out rights.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has evaluated events subsequent to June 30, 2022 and through September 1, 2022, the date these Unaudited Condensed Consolidated Financial Statements were authorised for issuance by the Board of Directors. The following events which occurred subsequent to June 30, 2022 merited disclosure in these Unaudited Condensed Consolidated Financial Statements. Management determined that no adjustments were required to the figures presented as a result of these events.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16, 2022, Polestar announced plans to put the Polestar electric roadster concept into production as Polestar 6. Production of the vehicle is expected to launch in 2026. Interested customers in all active Polestar markets were able to submit online reservations for a special edition launch variant of the vehicle, the Polestar 6 LA Concept edition, beginning on August 16, 2022. All 500 build slots of Polestar 6 LA Concept edition were reserved online within a week of the production announcement.</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29, 2022, Polestar entered into an unsecured working capital loan agreement for up to $147,000 with a bank in China. The full principal balance of this loan was drawn on and is outstanding. The loan has a duration of 12 months, carries interest at the latest 3-month LIBOR rate plus 2.3%, and benefits from letters of comfort from Volvo Cars and Geely.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1, 2022, Polestar repaid the $124,010 (TCNY 830,000) loan from a bank in China. On August 29, 2022 Polestar entered into a new unsecured working capital loan agreement with the same bank for up to $144,760 (TCNY 1,000,000). The outstanding principal balance of this loan is $103,634 (TCNY 716,000). The loan has a duration of 12 months and carries interest at the latest 12-month Chinese loan prime rate plus 0.05%.</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lvl w:ilvl="1">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2022-09-01T05:38:57Z</dcterms:created>
  <dcterms:modified xsi:type="dcterms:W3CDTF">2022-09-01T05:38:57Z</dcterms:modified>
</cp:coreProperties>
</file>