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39"/>
        <w:spacing w:after="0"/>
        <w:rPr>
          <w:sz w:val="20"/>
          <w:szCs w:val="20"/>
          <w:color w:val="auto"/>
        </w:rPr>
      </w:pPr>
      <w:r>
        <w:rPr>
          <w:rFonts w:ascii="Arial" w:cs="Arial" w:eastAsia="Arial" w:hAnsi="Arial"/>
          <w:sz w:val="13"/>
          <w:szCs w:val="13"/>
          <w:color w:val="auto"/>
        </w:rPr>
        <w:t>Filed by Polestar Automotive Holding UK Limited</w:t>
      </w:r>
    </w:p>
    <w:p>
      <w:pPr>
        <w:spacing w:after="0" w:line="11" w:lineRule="exact"/>
        <w:rPr>
          <w:sz w:val="24"/>
          <w:szCs w:val="24"/>
          <w:color w:val="auto"/>
        </w:rPr>
      </w:pPr>
    </w:p>
    <w:p>
      <w:pPr>
        <w:jc w:val="right"/>
        <w:ind w:right="639"/>
        <w:spacing w:after="0"/>
        <w:rPr>
          <w:sz w:val="20"/>
          <w:szCs w:val="20"/>
          <w:color w:val="auto"/>
        </w:rPr>
      </w:pPr>
      <w:r>
        <w:rPr>
          <w:rFonts w:ascii="Arial" w:cs="Arial" w:eastAsia="Arial" w:hAnsi="Arial"/>
          <w:sz w:val="13"/>
          <w:szCs w:val="13"/>
          <w:color w:val="auto"/>
        </w:rPr>
        <w:t>Pursuant to Rule 425 under the Securities Act of 1933</w:t>
      </w:r>
    </w:p>
    <w:p>
      <w:pPr>
        <w:spacing w:after="0" w:line="2" w:lineRule="exact"/>
        <w:rPr>
          <w:sz w:val="24"/>
          <w:szCs w:val="24"/>
          <w:color w:val="auto"/>
        </w:rPr>
      </w:pPr>
    </w:p>
    <w:p>
      <w:pPr>
        <w:jc w:val="right"/>
        <w:ind w:right="639"/>
        <w:spacing w:after="0"/>
        <w:rPr>
          <w:sz w:val="20"/>
          <w:szCs w:val="20"/>
          <w:color w:val="auto"/>
        </w:rPr>
      </w:pPr>
      <w:r>
        <w:rPr>
          <w:rFonts w:ascii="Arial" w:cs="Arial" w:eastAsia="Arial" w:hAnsi="Arial"/>
          <w:sz w:val="13"/>
          <w:szCs w:val="13"/>
          <w:color w:val="auto"/>
        </w:rPr>
        <w:t>and deemed filed pursuant to 14a-12 under the</w:t>
      </w:r>
    </w:p>
    <w:p>
      <w:pPr>
        <w:spacing w:after="0" w:line="2" w:lineRule="exact"/>
        <w:rPr>
          <w:sz w:val="24"/>
          <w:szCs w:val="24"/>
          <w:color w:val="auto"/>
        </w:rPr>
      </w:pPr>
    </w:p>
    <w:p>
      <w:pPr>
        <w:jc w:val="right"/>
        <w:ind w:right="639"/>
        <w:spacing w:after="0"/>
        <w:rPr>
          <w:sz w:val="20"/>
          <w:szCs w:val="20"/>
          <w:color w:val="auto"/>
        </w:rPr>
      </w:pPr>
      <w:r>
        <w:rPr>
          <w:rFonts w:ascii="Arial" w:cs="Arial" w:eastAsia="Arial" w:hAnsi="Arial"/>
          <w:sz w:val="13"/>
          <w:szCs w:val="13"/>
          <w:color w:val="auto"/>
        </w:rPr>
        <w:t>Securities Exchange Act of 1934</w:t>
      </w:r>
    </w:p>
    <w:p>
      <w:pPr>
        <w:spacing w:after="0" w:line="2" w:lineRule="exact"/>
        <w:rPr>
          <w:sz w:val="24"/>
          <w:szCs w:val="24"/>
          <w:color w:val="auto"/>
        </w:rPr>
      </w:pPr>
    </w:p>
    <w:p>
      <w:pPr>
        <w:jc w:val="right"/>
        <w:ind w:right="639"/>
        <w:spacing w:after="0"/>
        <w:rPr>
          <w:sz w:val="20"/>
          <w:szCs w:val="20"/>
          <w:color w:val="auto"/>
        </w:rPr>
      </w:pPr>
      <w:r>
        <w:rPr>
          <w:rFonts w:ascii="Arial" w:cs="Arial" w:eastAsia="Arial" w:hAnsi="Arial"/>
          <w:sz w:val="13"/>
          <w:szCs w:val="13"/>
          <w:color w:val="auto"/>
        </w:rPr>
        <w:t>Form F-4 File No. (333-260992)</w:t>
      </w:r>
    </w:p>
    <w:p>
      <w:pPr>
        <w:spacing w:after="0" w:line="2" w:lineRule="exact"/>
        <w:rPr>
          <w:sz w:val="24"/>
          <w:szCs w:val="24"/>
          <w:color w:val="auto"/>
        </w:rPr>
      </w:pPr>
    </w:p>
    <w:p>
      <w:pPr>
        <w:jc w:val="right"/>
        <w:ind w:right="639"/>
        <w:spacing w:after="0"/>
        <w:rPr>
          <w:sz w:val="20"/>
          <w:szCs w:val="20"/>
          <w:color w:val="auto"/>
        </w:rPr>
      </w:pPr>
      <w:r>
        <w:rPr>
          <w:rFonts w:ascii="Arial" w:cs="Arial" w:eastAsia="Arial" w:hAnsi="Arial"/>
          <w:sz w:val="13"/>
          <w:szCs w:val="13"/>
          <w:color w:val="auto"/>
        </w:rPr>
        <w:t>Subject Companies:</w:t>
      </w:r>
    </w:p>
    <w:p>
      <w:pPr>
        <w:spacing w:after="0" w:line="2" w:lineRule="exact"/>
        <w:rPr>
          <w:sz w:val="24"/>
          <w:szCs w:val="24"/>
          <w:color w:val="auto"/>
        </w:rPr>
      </w:pPr>
    </w:p>
    <w:p>
      <w:pPr>
        <w:jc w:val="right"/>
        <w:ind w:right="639"/>
        <w:spacing w:after="0"/>
        <w:rPr>
          <w:sz w:val="20"/>
          <w:szCs w:val="20"/>
          <w:color w:val="auto"/>
        </w:rPr>
      </w:pPr>
      <w:r>
        <w:rPr>
          <w:rFonts w:ascii="Arial" w:cs="Arial" w:eastAsia="Arial" w:hAnsi="Arial"/>
          <w:sz w:val="13"/>
          <w:szCs w:val="13"/>
          <w:color w:val="auto"/>
        </w:rPr>
        <w:t>Polestar Automotive Holding UK Limited</w:t>
      </w:r>
    </w:p>
    <w:p>
      <w:pPr>
        <w:spacing w:after="0" w:line="2" w:lineRule="exact"/>
        <w:rPr>
          <w:sz w:val="24"/>
          <w:szCs w:val="24"/>
          <w:color w:val="auto"/>
        </w:rPr>
      </w:pPr>
    </w:p>
    <w:p>
      <w:pPr>
        <w:jc w:val="right"/>
        <w:ind w:right="639"/>
        <w:spacing w:after="0"/>
        <w:rPr>
          <w:sz w:val="20"/>
          <w:szCs w:val="20"/>
          <w:color w:val="auto"/>
        </w:rPr>
      </w:pPr>
      <w:r>
        <w:rPr>
          <w:rFonts w:ascii="Arial" w:cs="Arial" w:eastAsia="Arial" w:hAnsi="Arial"/>
          <w:sz w:val="13"/>
          <w:szCs w:val="13"/>
          <w:color w:val="auto"/>
        </w:rPr>
        <w:t>Gores Guggenheim, Inc.</w:t>
      </w:r>
    </w:p>
    <w:p>
      <w:pPr>
        <w:spacing w:after="0" w:line="2" w:lineRule="exact"/>
        <w:rPr>
          <w:sz w:val="24"/>
          <w:szCs w:val="24"/>
          <w:color w:val="auto"/>
        </w:rPr>
      </w:pPr>
    </w:p>
    <w:p>
      <w:pPr>
        <w:ind w:left="6620"/>
        <w:spacing w:after="0"/>
        <w:rPr>
          <w:sz w:val="20"/>
          <w:szCs w:val="20"/>
          <w:color w:val="auto"/>
        </w:rPr>
      </w:pPr>
      <w:r>
        <w:rPr>
          <w:rFonts w:ascii="Arial" w:cs="Arial" w:eastAsia="Arial" w:hAnsi="Arial"/>
          <w:sz w:val="11"/>
          <w:szCs w:val="11"/>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136525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166370</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120650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133985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March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125095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GORES GUGGENHEIM,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90"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Arial" w:cs="Arial" w:eastAsia="Arial" w:hAnsi="Arial"/>
                <w:sz w:val="13"/>
                <w:szCs w:val="13"/>
                <w:b w:val="1"/>
                <w:bCs w:val="1"/>
                <w:color w:val="auto"/>
                <w:w w:val="87"/>
              </w:rPr>
              <w:t>Delaware</w:t>
            </w:r>
          </w:p>
        </w:tc>
        <w:tc>
          <w:tcPr>
            <w:tcW w:w="2380" w:type="dxa"/>
            <w:vAlign w:val="bottom"/>
          </w:tcPr>
          <w:p>
            <w:pPr>
              <w:ind w:left="900"/>
              <w:spacing w:after="0"/>
              <w:rPr>
                <w:sz w:val="20"/>
                <w:szCs w:val="20"/>
                <w:color w:val="auto"/>
              </w:rPr>
            </w:pPr>
            <w:r>
              <w:rPr>
                <w:rFonts w:ascii="Arial" w:cs="Arial" w:eastAsia="Arial" w:hAnsi="Arial"/>
                <w:sz w:val="13"/>
                <w:szCs w:val="13"/>
                <w:b w:val="1"/>
                <w:bCs w:val="1"/>
                <w:color w:val="auto"/>
              </w:rPr>
              <w:t>001-40265</w:t>
            </w:r>
          </w:p>
        </w:tc>
        <w:tc>
          <w:tcPr>
            <w:tcW w:w="1720" w:type="dxa"/>
            <w:vAlign w:val="bottom"/>
          </w:tcPr>
          <w:p>
            <w:pPr>
              <w:jc w:val="center"/>
              <w:ind w:left="885"/>
              <w:spacing w:after="0"/>
              <w:rPr>
                <w:sz w:val="20"/>
                <w:szCs w:val="20"/>
                <w:color w:val="auto"/>
              </w:rPr>
            </w:pPr>
            <w:r>
              <w:rPr>
                <w:rFonts w:ascii="Arial" w:cs="Arial" w:eastAsia="Arial" w:hAnsi="Arial"/>
                <w:sz w:val="13"/>
                <w:szCs w:val="13"/>
                <w:b w:val="1"/>
                <w:bCs w:val="1"/>
                <w:color w:val="auto"/>
                <w:w w:val="89"/>
              </w:rPr>
              <w:t>85-4385646</w:t>
            </w:r>
          </w:p>
        </w:tc>
      </w:tr>
      <w:tr>
        <w:trPr>
          <w:trHeight w:val="104"/>
        </w:trPr>
        <w:tc>
          <w:tcPr>
            <w:tcW w:w="2040" w:type="dxa"/>
            <w:vAlign w:val="bottom"/>
          </w:tcPr>
          <w:p>
            <w:pPr>
              <w:jc w:val="center"/>
              <w:ind w:right="845"/>
              <w:spacing w:after="0" w:line="104" w:lineRule="exact"/>
              <w:rPr>
                <w:sz w:val="20"/>
                <w:szCs w:val="20"/>
                <w:color w:val="auto"/>
              </w:rPr>
            </w:pPr>
            <w:r>
              <w:rPr>
                <w:rFonts w:ascii="Arial" w:cs="Arial" w:eastAsia="Arial" w:hAnsi="Arial"/>
                <w:sz w:val="10"/>
                <w:szCs w:val="10"/>
                <w:b w:val="1"/>
                <w:bCs w:val="1"/>
                <w:color w:val="auto"/>
                <w:w w:val="91"/>
              </w:rPr>
              <w:t>(State or other jurisdiction</w:t>
            </w:r>
          </w:p>
        </w:tc>
        <w:tc>
          <w:tcPr>
            <w:tcW w:w="2380" w:type="dxa"/>
            <w:vAlign w:val="bottom"/>
          </w:tcPr>
          <w:p>
            <w:pPr>
              <w:ind w:left="880"/>
              <w:spacing w:after="0" w:line="104" w:lineRule="exact"/>
              <w:rPr>
                <w:sz w:val="20"/>
                <w:szCs w:val="20"/>
                <w:color w:val="auto"/>
              </w:rPr>
            </w:pPr>
            <w:r>
              <w:rPr>
                <w:rFonts w:ascii="Arial" w:cs="Arial" w:eastAsia="Arial" w:hAnsi="Arial"/>
                <w:sz w:val="10"/>
                <w:szCs w:val="10"/>
                <w:b w:val="1"/>
                <w:bCs w:val="1"/>
                <w:color w:val="auto"/>
              </w:rPr>
              <w:t>(Commission</w:t>
            </w:r>
          </w:p>
        </w:tc>
        <w:tc>
          <w:tcPr>
            <w:tcW w:w="1720" w:type="dxa"/>
            <w:vAlign w:val="bottom"/>
          </w:tcPr>
          <w:p>
            <w:pPr>
              <w:jc w:val="center"/>
              <w:ind w:left="865"/>
              <w:spacing w:after="0" w:line="104" w:lineRule="exact"/>
              <w:rPr>
                <w:sz w:val="20"/>
                <w:szCs w:val="20"/>
                <w:color w:val="auto"/>
              </w:rPr>
            </w:pPr>
            <w:r>
              <w:rPr>
                <w:rFonts w:ascii="Arial" w:cs="Arial" w:eastAsia="Arial" w:hAnsi="Arial"/>
                <w:sz w:val="10"/>
                <w:szCs w:val="10"/>
                <w:b w:val="1"/>
                <w:bCs w:val="1"/>
                <w:color w:val="auto"/>
                <w:w w:val="93"/>
              </w:rPr>
              <w:t>(I.R.S. Employer</w:t>
            </w:r>
          </w:p>
        </w:tc>
      </w:tr>
      <w:tr>
        <w:trPr>
          <w:trHeight w:val="130"/>
        </w:trPr>
        <w:tc>
          <w:tcPr>
            <w:tcW w:w="2040" w:type="dxa"/>
            <w:vAlign w:val="bottom"/>
          </w:tcPr>
          <w:p>
            <w:pPr>
              <w:jc w:val="center"/>
              <w:ind w:right="845"/>
              <w:spacing w:after="0"/>
              <w:rPr>
                <w:sz w:val="20"/>
                <w:szCs w:val="20"/>
                <w:color w:val="auto"/>
              </w:rPr>
            </w:pPr>
            <w:r>
              <w:rPr>
                <w:rFonts w:ascii="Arial" w:cs="Arial" w:eastAsia="Arial" w:hAnsi="Arial"/>
                <w:sz w:val="10"/>
                <w:szCs w:val="10"/>
                <w:b w:val="1"/>
                <w:bCs w:val="1"/>
                <w:color w:val="auto"/>
                <w:w w:val="92"/>
              </w:rPr>
              <w:t>of incorporation)</w:t>
            </w:r>
          </w:p>
        </w:tc>
        <w:tc>
          <w:tcPr>
            <w:tcW w:w="2380" w:type="dxa"/>
            <w:vAlign w:val="bottom"/>
          </w:tcPr>
          <w:p>
            <w:pPr>
              <w:ind w:left="880"/>
              <w:spacing w:after="0"/>
              <w:rPr>
                <w:sz w:val="20"/>
                <w:szCs w:val="20"/>
                <w:color w:val="auto"/>
              </w:rPr>
            </w:pPr>
            <w:r>
              <w:rPr>
                <w:rFonts w:ascii="Arial" w:cs="Arial" w:eastAsia="Arial" w:hAnsi="Arial"/>
                <w:sz w:val="10"/>
                <w:szCs w:val="10"/>
                <w:b w:val="1"/>
                <w:bCs w:val="1"/>
                <w:color w:val="auto"/>
              </w:rPr>
              <w:t>File Number)</w:t>
            </w:r>
          </w:p>
        </w:tc>
        <w:tc>
          <w:tcPr>
            <w:tcW w:w="1720" w:type="dxa"/>
            <w:vAlign w:val="bottom"/>
          </w:tcPr>
          <w:p>
            <w:pPr>
              <w:jc w:val="center"/>
              <w:ind w:left="885"/>
              <w:spacing w:after="0"/>
              <w:rPr>
                <w:sz w:val="20"/>
                <w:szCs w:val="20"/>
                <w:color w:val="auto"/>
              </w:rPr>
            </w:pPr>
            <w:r>
              <w:rPr>
                <w:rFonts w:ascii="Arial" w:cs="Arial" w:eastAsia="Arial" w:hAnsi="Arial"/>
                <w:sz w:val="10"/>
                <w:szCs w:val="10"/>
                <w:b w:val="1"/>
                <w:bCs w:val="1"/>
                <w:color w:val="auto"/>
                <w:w w:val="92"/>
              </w:rPr>
              <w:t>Identification No.)</w:t>
            </w:r>
          </w:p>
        </w:tc>
      </w:tr>
    </w:tbl>
    <w:p>
      <w:pPr>
        <w:spacing w:after="0" w:line="90" w:lineRule="exact"/>
        <w:rPr>
          <w:sz w:val="24"/>
          <w:szCs w:val="24"/>
          <w:color w:val="auto"/>
        </w:rPr>
      </w:pPr>
    </w:p>
    <w:p>
      <w:pPr>
        <w:sectPr>
          <w:pgSz w:w="11900" w:h="16838" w:orient="portrait"/>
          <w:cols w:equalWidth="0" w:num="1">
            <w:col w:w="9019"/>
          </w:cols>
          <w:pgMar w:left="1440" w:top="206" w:right="1440" w:bottom="1440" w:gutter="0" w:footer="0" w:header="0"/>
        </w:sectPr>
      </w:pPr>
    </w:p>
    <w:p>
      <w:pPr>
        <w:ind w:left="2040"/>
        <w:spacing w:after="0"/>
        <w:rPr>
          <w:sz w:val="20"/>
          <w:szCs w:val="20"/>
          <w:color w:val="auto"/>
        </w:rPr>
      </w:pPr>
      <w:r>
        <w:rPr>
          <w:rFonts w:ascii="Arial" w:cs="Arial" w:eastAsia="Arial" w:hAnsi="Arial"/>
          <w:sz w:val="11"/>
          <w:szCs w:val="11"/>
          <w:b w:val="1"/>
          <w:bCs w:val="1"/>
          <w:color w:val="auto"/>
        </w:rPr>
        <w:t>6260 Lookout Road</w:t>
      </w:r>
    </w:p>
    <w:p>
      <w:pPr>
        <w:spacing w:after="0" w:line="38" w:lineRule="exact"/>
        <w:rPr>
          <w:sz w:val="24"/>
          <w:szCs w:val="24"/>
          <w:color w:val="auto"/>
        </w:rPr>
      </w:pPr>
    </w:p>
    <w:p>
      <w:pPr>
        <w:ind w:left="2260"/>
        <w:spacing w:after="0"/>
        <w:rPr>
          <w:sz w:val="20"/>
          <w:szCs w:val="20"/>
          <w:color w:val="auto"/>
        </w:rPr>
      </w:pPr>
      <w:r>
        <w:rPr>
          <w:rFonts w:ascii="Arial" w:cs="Arial" w:eastAsia="Arial" w:hAnsi="Arial"/>
          <w:sz w:val="13"/>
          <w:szCs w:val="13"/>
          <w:b w:val="1"/>
          <w:bCs w:val="1"/>
          <w:color w:val="auto"/>
        </w:rPr>
        <w:t>Boulder, CO</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80301</w:t>
      </w:r>
    </w:p>
    <w:p>
      <w:pPr>
        <w:spacing w:after="0" w:line="37" w:lineRule="exact"/>
        <w:rPr>
          <w:sz w:val="24"/>
          <w:szCs w:val="24"/>
          <w:color w:val="auto"/>
        </w:rPr>
      </w:pPr>
    </w:p>
    <w:p>
      <w:pPr>
        <w:sectPr>
          <w:pgSz w:w="11900" w:h="16838" w:orient="portrait"/>
          <w:cols w:equalWidth="0" w:num="2">
            <w:col w:w="5620" w:space="720"/>
            <w:col w:w="2679"/>
          </w:cols>
          <w:pgMar w:left="1440" w:top="206" w:right="1440" w:bottom="1440" w:gutter="0" w:footer="0" w:header="0"/>
          <w:type w:val="continuous"/>
        </w:sectPr>
      </w:pPr>
    </w:p>
    <w:p>
      <w:pPr>
        <w:ind w:left="176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92" w:lineRule="exact"/>
        <w:rPr>
          <w:sz w:val="24"/>
          <w:szCs w:val="24"/>
          <w:color w:val="auto"/>
        </w:rPr>
      </w:pPr>
    </w:p>
    <w:p>
      <w:pPr>
        <w:sectPr>
          <w:pgSz w:w="11900" w:h="16838" w:orient="portrait"/>
          <w:cols w:equalWidth="0" w:num="2">
            <w:col w:w="5540" w:space="720"/>
            <w:col w:w="2759"/>
          </w:cols>
          <w:pgMar w:left="1440" w:top="206"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(310) 209-3010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116840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ind w:left="640" w:right="759"/>
        <w:spacing w:after="0" w:line="261" w:lineRule="auto"/>
        <w:rPr>
          <w:sz w:val="20"/>
          <w:szCs w:val="20"/>
          <w:color w:val="auto"/>
        </w:rPr>
      </w:pPr>
      <w:r>
        <w:rPr>
          <w:rFonts w:ascii="Arial" w:cs="Arial" w:eastAsia="Arial" w:hAnsi="Arial"/>
          <w:sz w:val="13"/>
          <w:szCs w:val="13"/>
          <w:color w:val="auto"/>
        </w:rPr>
        <w:t>Check the appropriate box below if the Form 8-K is intended to simultaneously satisfy the filing obligation of the registrant under any of the following provisions:</w:t>
      </w:r>
    </w:p>
    <w:p>
      <w:pPr>
        <w:spacing w:after="0" w:line="63"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 pursuant to Rule 425 under the Securities Act (17 CFR 230.425)</w:t>
      </w:r>
    </w:p>
    <w:p>
      <w:pPr>
        <w:spacing w:after="0" w:line="87" w:lineRule="exact"/>
        <w:rPr>
          <w:sz w:val="24"/>
          <w:szCs w:val="24"/>
          <w:color w:val="auto"/>
        </w:rPr>
      </w:pPr>
    </w:p>
    <w:p>
      <w:pPr>
        <w:ind w:left="1320" w:hanging="379"/>
        <w:spacing w:after="0"/>
        <w:tabs>
          <w:tab w:leader="none" w:pos="132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sz w:val="24"/>
          <w:szCs w:val="24"/>
          <w:color w:val="auto"/>
        </w:rPr>
      </w:pPr>
    </w:p>
    <w:p>
      <w:pPr>
        <w:ind w:left="1320" w:hanging="379"/>
        <w:spacing w:after="0"/>
        <w:tabs>
          <w:tab w:leader="none" w:pos="132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1999" w:firstLine="301"/>
        <w:spacing w:after="0" w:line="406" w:lineRule="auto"/>
        <w:tabs>
          <w:tab w:leader="none" w:pos="1322"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Pre-commencements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2"/>
          </w:tcPr>
          <w:p>
            <w:pPr>
              <w:jc w:val="center"/>
              <w:ind w:right="60"/>
              <w:spacing w:after="0" w:line="104" w:lineRule="exact"/>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5"/>
              </w:rPr>
              <w:t>Class A Common Stock</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8"/>
              </w:rPr>
              <w:t>GGPI</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1"/>
              </w:rPr>
              <w:t>Nasdaq Capital Market</w:t>
            </w:r>
          </w:p>
        </w:tc>
      </w:tr>
      <w:tr>
        <w:trPr>
          <w:trHeight w:val="152"/>
        </w:trPr>
        <w:tc>
          <w:tcPr>
            <w:tcW w:w="2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Warrants</w:t>
            </w:r>
          </w:p>
        </w:tc>
        <w:tc>
          <w:tcPr>
            <w:tcW w:w="2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GGPIW</w:t>
            </w:r>
          </w:p>
        </w:tc>
        <w:tc>
          <w:tcPr>
            <w:tcW w:w="2480" w:type="dxa"/>
            <w:vAlign w:val="bottom"/>
          </w:tcPr>
          <w:p>
            <w:pPr>
              <w:jc w:val="center"/>
              <w:spacing w:after="0"/>
              <w:rPr>
                <w:sz w:val="20"/>
                <w:szCs w:val="20"/>
                <w:color w:val="auto"/>
              </w:rPr>
            </w:pPr>
            <w:r>
              <w:rPr>
                <w:rFonts w:ascii="Arial" w:cs="Arial" w:eastAsia="Arial" w:hAnsi="Arial"/>
                <w:sz w:val="13"/>
                <w:szCs w:val="13"/>
                <w:b w:val="1"/>
                <w:bCs w:val="1"/>
                <w:color w:val="auto"/>
                <w:w w:val="91"/>
              </w:rPr>
              <w:t>Nasdaq Capital Market</w:t>
            </w:r>
          </w:p>
        </w:tc>
      </w:tr>
      <w:tr>
        <w:trPr>
          <w:trHeight w:val="165"/>
        </w:trPr>
        <w:tc>
          <w:tcPr>
            <w:tcW w:w="2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Units</w:t>
            </w:r>
          </w:p>
        </w:tc>
        <w:tc>
          <w:tcPr>
            <w:tcW w:w="25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GGPIU</w:t>
            </w:r>
          </w:p>
        </w:tc>
        <w:tc>
          <w:tcPr>
            <w:tcW w:w="2480" w:type="dxa"/>
            <w:vAlign w:val="bottom"/>
          </w:tcPr>
          <w:p>
            <w:pPr>
              <w:jc w:val="center"/>
              <w:spacing w:after="0"/>
              <w:rPr>
                <w:sz w:val="20"/>
                <w:szCs w:val="20"/>
                <w:color w:val="auto"/>
              </w:rPr>
            </w:pPr>
            <w:r>
              <w:rPr>
                <w:rFonts w:ascii="Arial" w:cs="Arial" w:eastAsia="Arial" w:hAnsi="Arial"/>
                <w:sz w:val="13"/>
                <w:szCs w:val="13"/>
                <w:b w:val="1"/>
                <w:bCs w:val="1"/>
                <w:color w:val="auto"/>
                <w:w w:val="91"/>
              </w:rPr>
              <w:t>Nasdaq Capital Market</w:t>
            </w:r>
          </w:p>
        </w:tc>
      </w:tr>
    </w:tbl>
    <w:p>
      <w:pPr>
        <w:spacing w:after="0" w:line="95"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8"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1" w:lineRule="exact"/>
        <w:rPr>
          <w:sz w:val="24"/>
          <w:szCs w:val="24"/>
          <w:color w:val="auto"/>
        </w:rPr>
      </w:pPr>
    </w:p>
    <w:p>
      <w:pPr>
        <w:ind w:left="640" w:right="85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93980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640" w:right="659" w:firstLine="309"/>
        <w:spacing w:after="0" w:line="271" w:lineRule="auto"/>
        <w:rPr>
          <w:sz w:val="20"/>
          <w:szCs w:val="20"/>
          <w:color w:val="auto"/>
        </w:rPr>
      </w:pPr>
      <w:r>
        <w:rPr>
          <w:rFonts w:ascii="Arial" w:cs="Arial" w:eastAsia="Arial" w:hAnsi="Arial"/>
          <w:sz w:val="12"/>
          <w:szCs w:val="12"/>
          <w:color w:val="auto"/>
        </w:rPr>
        <w:t>As previously disclosed, on September 27, 2021, Gores Guggenheim, Inc. (the “</w:t>
      </w:r>
      <w:r>
        <w:rPr>
          <w:rFonts w:ascii="Arial" w:cs="Arial" w:eastAsia="Arial" w:hAnsi="Arial"/>
          <w:sz w:val="12"/>
          <w:szCs w:val="12"/>
          <w:u w:val="single" w:color="auto"/>
          <w:color w:val="auto"/>
        </w:rPr>
        <w:t>Company</w:t>
      </w:r>
      <w:r>
        <w:rPr>
          <w:rFonts w:ascii="Arial" w:cs="Arial" w:eastAsia="Arial" w:hAnsi="Arial"/>
          <w:sz w:val="12"/>
          <w:szCs w:val="12"/>
          <w:color w:val="auto"/>
        </w:rPr>
        <w:t>”) entered into a Business Combination Agreement (as amended, restated or supplemented from time to time, the “</w:t>
      </w:r>
      <w:r>
        <w:rPr>
          <w:rFonts w:ascii="Arial" w:cs="Arial" w:eastAsia="Arial" w:hAnsi="Arial"/>
          <w:sz w:val="12"/>
          <w:szCs w:val="12"/>
          <w:u w:val="single" w:color="auto"/>
          <w:color w:val="auto"/>
        </w:rPr>
        <w:t>Business Combination Agreement</w:t>
      </w:r>
      <w:r>
        <w:rPr>
          <w:rFonts w:ascii="Arial" w:cs="Arial" w:eastAsia="Arial" w:hAnsi="Arial"/>
          <w:sz w:val="12"/>
          <w:szCs w:val="12"/>
          <w:color w:val="auto"/>
        </w:rPr>
        <w:t>”), by and among the Company, Polestar Automotive Holding Limited, a Hong Kong incorporated company, Polestar Automotive (Singapore) Pte. Ltd., a private company limited by shares in Singapore, Polestar Holding AB, a private limited liability company incorporated under the laws of Sweden, Polestar Automotive Holding UK Limited, a limited company incorporated under the laws of England and Wales and a direct wholly owned subsidiary of Parent (“ListCo”), and PAH UK Merger Sub Inc., a Delaware corporation and a direct wholly owned subsidiary of ListCo.</w:t>
      </w:r>
    </w:p>
    <w:p>
      <w:pPr>
        <w:spacing w:after="0" w:line="127" w:lineRule="exact"/>
        <w:rPr>
          <w:sz w:val="20"/>
          <w:szCs w:val="20"/>
          <w:color w:val="auto"/>
        </w:rPr>
      </w:pPr>
    </w:p>
    <w:p>
      <w:pPr>
        <w:ind w:left="640" w:right="799" w:firstLine="309"/>
        <w:spacing w:after="0" w:line="261" w:lineRule="auto"/>
        <w:rPr>
          <w:sz w:val="20"/>
          <w:szCs w:val="20"/>
          <w:color w:val="auto"/>
        </w:rPr>
      </w:pPr>
      <w:r>
        <w:rPr>
          <w:rFonts w:ascii="Arial" w:cs="Arial" w:eastAsia="Arial" w:hAnsi="Arial"/>
          <w:sz w:val="13"/>
          <w:szCs w:val="13"/>
          <w:color w:val="auto"/>
        </w:rPr>
        <w:t>Attached as Exhibit 99.1 and incorporated by reference herein is the investor presentation dated March 2022 that the Company and ListCo have prepared in connection with their proposed business combination.</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left="640" w:right="659" w:firstLine="309"/>
        <w:spacing w:after="0" w:line="270" w:lineRule="auto"/>
        <w:rPr>
          <w:sz w:val="20"/>
          <w:szCs w:val="20"/>
          <w:color w:val="auto"/>
        </w:rPr>
      </w:pPr>
      <w:r>
        <w:rPr>
          <w:rFonts w:ascii="Arial" w:cs="Arial" w:eastAsia="Arial" w:hAnsi="Arial"/>
          <w:sz w:val="12"/>
          <w:szCs w:val="12"/>
          <w:color w:val="auto"/>
        </w:rPr>
        <w:t>Certain statements in this Current Report may be considered “forward-looking statements” as defined in the Private Securities Litigation Reform Act of 1995. Forward-looking statements generally relate to future events or the future financial or operating performance of the Company and Polestar Performance AB and its affiliates (“</w:t>
      </w:r>
      <w:r>
        <w:rPr>
          <w:rFonts w:ascii="Arial" w:cs="Arial" w:eastAsia="Arial" w:hAnsi="Arial"/>
          <w:sz w:val="12"/>
          <w:szCs w:val="12"/>
          <w:u w:val="single" w:color="auto"/>
          <w:color w:val="auto"/>
        </w:rPr>
        <w:t>Polestar</w:t>
      </w:r>
      <w:r>
        <w:rPr>
          <w:rFonts w:ascii="Arial" w:cs="Arial" w:eastAsia="Arial" w:hAnsi="Arial"/>
          <w:sz w:val="12"/>
          <w:szCs w:val="12"/>
          <w:color w:val="auto"/>
        </w:rPr>
        <w:t>”).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26" w:lineRule="exact"/>
        <w:rPr>
          <w:sz w:val="20"/>
          <w:szCs w:val="20"/>
          <w:color w:val="auto"/>
        </w:rPr>
      </w:pPr>
    </w:p>
    <w:p>
      <w:pPr>
        <w:ind w:left="640" w:right="659" w:firstLine="309"/>
        <w:spacing w:after="0" w:line="288" w:lineRule="auto"/>
        <w:rPr>
          <w:sz w:val="20"/>
          <w:szCs w:val="20"/>
          <w:color w:val="auto"/>
        </w:rPr>
      </w:pPr>
      <w:r>
        <w:rPr>
          <w:rFonts w:ascii="Arial" w:cs="Arial" w:eastAsia="Arial" w:hAnsi="Arial"/>
          <w:sz w:val="11"/>
          <w:szCs w:val="11"/>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Business Combination and any definitive agreements with respect thereto; (c) the inability to complete the Business Combination due to the failure to obtain approval of the stockholders of the Company, to obtain financing to complete the Business Combination or to satisfy other conditions to Closing; (d) changes to the proposed structure of the Business Combination that may be required or appropriate as a result of applicable laws or regulations or as a condition to obtaining regulatory approval of the Business Combination; (e) the ability to meet stock exchange listing standards following the consummation of the Business Combination; (f) the risk that the Business Combination disrupts current plans and operations of Polestar as a result of the announcement and consummation of the Business Combination; (g)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(h) costs related to the Business Combination; (i) 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 Volvo Cars and Zhejiang Geely Holding Group Co., Ltd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 (n) 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w:t>
      </w:r>
    </w:p>
    <w:p>
      <w:pPr>
        <w:spacing w:after="0" w:line="6" w:lineRule="exact"/>
        <w:rPr>
          <w:sz w:val="20"/>
          <w:szCs w:val="20"/>
          <w:color w:val="auto"/>
        </w:rPr>
      </w:pPr>
    </w:p>
    <w:p>
      <w:pPr>
        <w:ind w:left="640" w:right="739"/>
        <w:spacing w:after="0" w:line="245" w:lineRule="auto"/>
        <w:rPr>
          <w:sz w:val="20"/>
          <w:szCs w:val="20"/>
          <w:color w:val="auto"/>
        </w:rPr>
      </w:pPr>
      <w:r>
        <w:rPr>
          <w:rFonts w:ascii="Arial" w:cs="Arial" w:eastAsia="Arial" w:hAnsi="Arial"/>
          <w:sz w:val="13"/>
          <w:szCs w:val="13"/>
          <w:color w:val="auto"/>
        </w:rPr>
        <w:t>from lithium-ion battery cells catching fire or venting smoke; (p) delays in the design, manufacture, launch and financing of Polestar’s vehicles and Polestar’s reliance on a limited number of vehicle models to generate revenues; (q) Polestar’s ability to continuously and rapidly innovate, develop and market</w:t>
      </w:r>
    </w:p>
    <w:p>
      <w:pPr>
        <w:sectPr>
          <w:pgSz w:w="11900" w:h="16838" w:orient="portrait"/>
          <w:cols w:equalWidth="0" w:num="1">
            <w:col w:w="9019"/>
          </w:cols>
          <w:pgMar w:left="1440" w:top="231" w:right="1440" w:bottom="1440" w:gutter="0" w:footer="0" w:header="0"/>
        </w:sectPr>
      </w:pPr>
    </w:p>
    <w:bookmarkStart w:id="2" w:name="page3"/>
    <w:bookmarkEnd w:id="2"/>
    <w:p>
      <w:pPr>
        <w:ind w:left="640" w:right="679"/>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 (x) the impact of the global COVID-19 pandemic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Registration/Proxy Statement (as defined below).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Additional Information</w:t>
      </w:r>
    </w:p>
    <w:p>
      <w:pPr>
        <w:spacing w:after="0" w:line="82" w:lineRule="exact"/>
        <w:rPr>
          <w:sz w:val="20"/>
          <w:szCs w:val="20"/>
          <w:color w:val="auto"/>
        </w:rPr>
      </w:pPr>
    </w:p>
    <w:p>
      <w:pPr>
        <w:ind w:left="640" w:right="659" w:firstLine="309"/>
        <w:spacing w:after="0" w:line="292" w:lineRule="auto"/>
        <w:rPr>
          <w:sz w:val="20"/>
          <w:szCs w:val="20"/>
          <w:color w:val="auto"/>
        </w:rPr>
      </w:pPr>
      <w:r>
        <w:rPr>
          <w:rFonts w:ascii="Arial" w:cs="Arial" w:eastAsia="Arial" w:hAnsi="Arial"/>
          <w:sz w:val="11"/>
          <w:szCs w:val="11"/>
          <w:color w:val="auto"/>
        </w:rPr>
        <w:t>In connection with the proposed Business Combination, (a) ListCo has filed with the SEC a registration statement on Form F-4 containing a preliminary proxy statement of the Company and a preliminary prospectus (the “</w:t>
      </w:r>
      <w:r>
        <w:rPr>
          <w:rFonts w:ascii="Arial" w:cs="Arial" w:eastAsia="Arial" w:hAnsi="Arial"/>
          <w:sz w:val="11"/>
          <w:szCs w:val="11"/>
          <w:u w:val="single" w:color="auto"/>
          <w:color w:val="auto"/>
        </w:rPr>
        <w:t>Registration/Proxy Statement</w:t>
      </w:r>
      <w:r>
        <w:rPr>
          <w:rFonts w:ascii="Arial" w:cs="Arial" w:eastAsia="Arial" w:hAnsi="Arial"/>
          <w:sz w:val="11"/>
          <w:szCs w:val="11"/>
          <w:color w:val="auto"/>
        </w:rPr>
        <w:t>”) and (b) the Company will file a definitive proxy statement relating to the proposed Business Combination (the “</w:t>
      </w:r>
      <w:r>
        <w:rPr>
          <w:rFonts w:ascii="Arial" w:cs="Arial" w:eastAsia="Arial" w:hAnsi="Arial"/>
          <w:sz w:val="11"/>
          <w:szCs w:val="11"/>
          <w:u w:val="single" w:color="auto"/>
          <w:color w:val="auto"/>
        </w:rPr>
        <w:t>Definitive Proxy Statement</w:t>
      </w:r>
      <w:r>
        <w:rPr>
          <w:rFonts w:ascii="Arial" w:cs="Arial" w:eastAsia="Arial" w:hAnsi="Arial"/>
          <w:sz w:val="11"/>
          <w:szCs w:val="11"/>
          <w:color w:val="auto"/>
        </w:rPr>
        <w:t>”) and will mail the Definitive Proxy Statement and other relevant materials to its stockholders after the Registration/Proxy Statement is declared effective. The Registration/Proxy Statement contains and the Definitive Proxy Statement will contain important information about the proposed Business Combination and the other matters to be voted upon at a meeting of the Company’s stockholders to be held to approve the proposed Business Combination. This Current Report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the Company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the Company, Polestar, ListCo and the Business Combination. When available, the Definitive Proxy Statement and other relevant materials for the proposed Business Combination will be mailed to stockholders of the Company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268" w:lineRule="exact"/>
        <w:rPr>
          <w:sz w:val="20"/>
          <w:szCs w:val="20"/>
          <w:color w:val="auto"/>
        </w:rPr>
      </w:pPr>
    </w:p>
    <w:p>
      <w:pPr>
        <w:ind w:left="640" w:right="779" w:firstLine="309"/>
        <w:spacing w:after="0" w:line="251" w:lineRule="auto"/>
        <w:rPr>
          <w:sz w:val="20"/>
          <w:szCs w:val="20"/>
          <w:color w:val="auto"/>
        </w:rPr>
      </w:pPr>
      <w:r>
        <w:rPr>
          <w:rFonts w:ascii="Arial" w:cs="Arial" w:eastAsia="Arial" w:hAnsi="Arial"/>
          <w:sz w:val="13"/>
          <w:szCs w:val="13"/>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Participants in the Solicitation</w:t>
      </w:r>
    </w:p>
    <w:p>
      <w:pPr>
        <w:spacing w:after="0" w:line="82" w:lineRule="exact"/>
        <w:rPr>
          <w:sz w:val="20"/>
          <w:szCs w:val="20"/>
          <w:color w:val="auto"/>
        </w:rPr>
      </w:pPr>
    </w:p>
    <w:p>
      <w:pPr>
        <w:ind w:left="640" w:right="739" w:firstLine="309"/>
        <w:spacing w:after="0" w:line="261" w:lineRule="auto"/>
        <w:rPr>
          <w:sz w:val="20"/>
          <w:szCs w:val="20"/>
          <w:color w:val="auto"/>
        </w:rPr>
      </w:pPr>
      <w:r>
        <w:rPr>
          <w:rFonts w:ascii="Arial" w:cs="Arial" w:eastAsia="Arial" w:hAnsi="Arial"/>
          <w:sz w:val="13"/>
          <w:szCs w:val="13"/>
          <w:color w:val="auto"/>
        </w:rPr>
        <w:t>The Company and its directors and executive officers may be deemed participants in the solicitation of proxies from the Company’s stockholders with respect to the proposed Business Combination. A list of the names of</w:t>
      </w:r>
    </w:p>
    <w:p>
      <w:pPr>
        <w:sectPr>
          <w:pgSz w:w="11900" w:h="16838" w:orient="portrait"/>
          <w:cols w:equalWidth="0" w:num="1">
            <w:col w:w="9019"/>
          </w:cols>
          <w:pgMar w:left="1440" w:top="235" w:right="1440" w:bottom="1440" w:gutter="0" w:footer="0" w:header="0"/>
        </w:sectPr>
      </w:pPr>
    </w:p>
    <w:bookmarkStart w:id="3" w:name="page4"/>
    <w:bookmarkEnd w:id="3"/>
    <w:p>
      <w:pPr>
        <w:ind w:left="640" w:right="819"/>
        <w:spacing w:after="0" w:line="27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those directors and executive officers and a description of their interests in the Company is set forth in the Company’s filings with the SEC (including the Company’s final prospectus related to its initial public offering (File 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Registration/Proxy Statement and will be contained in the Definitive Proxy Statement.</w:t>
      </w:r>
    </w:p>
    <w:p>
      <w:pPr>
        <w:spacing w:after="0" w:line="125" w:lineRule="exact"/>
        <w:rPr>
          <w:sz w:val="20"/>
          <w:szCs w:val="20"/>
          <w:color w:val="auto"/>
        </w:rPr>
      </w:pPr>
    </w:p>
    <w:p>
      <w:pPr>
        <w:ind w:left="640" w:right="739" w:firstLine="309"/>
        <w:spacing w:after="0" w:line="249" w:lineRule="auto"/>
        <w:rPr>
          <w:sz w:val="20"/>
          <w:szCs w:val="20"/>
          <w:color w:val="auto"/>
        </w:rPr>
      </w:pPr>
      <w:r>
        <w:rPr>
          <w:rFonts w:ascii="Arial" w:cs="Arial" w:eastAsia="Arial" w:hAnsi="Arial"/>
          <w:sz w:val="13"/>
          <w:szCs w:val="13"/>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Registration/Proxy Statement and will be included in the Definitive Proxy Statement.</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 Offer and Non-Solicitation</w:t>
      </w:r>
    </w:p>
    <w:p>
      <w:pPr>
        <w:spacing w:after="0" w:line="82" w:lineRule="exact"/>
        <w:rPr>
          <w:sz w:val="20"/>
          <w:szCs w:val="20"/>
          <w:color w:val="auto"/>
        </w:rPr>
      </w:pPr>
    </w:p>
    <w:p>
      <w:pPr>
        <w:ind w:left="640" w:right="759" w:firstLine="309"/>
        <w:spacing w:after="0" w:line="273" w:lineRule="auto"/>
        <w:rPr>
          <w:sz w:val="20"/>
          <w:szCs w:val="20"/>
          <w:color w:val="auto"/>
        </w:rPr>
      </w:pPr>
      <w:r>
        <w:rPr>
          <w:rFonts w:ascii="Arial" w:cs="Arial" w:eastAsia="Arial" w:hAnsi="Arial"/>
          <w:sz w:val="12"/>
          <w:szCs w:val="12"/>
          <w:color w:val="auto"/>
        </w:rPr>
        <w:t>This Current Report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25"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78" w:lineRule="exact"/>
        <w:rPr>
          <w:sz w:val="20"/>
          <w:szCs w:val="20"/>
          <w:color w:val="auto"/>
        </w:rPr>
      </w:pPr>
    </w:p>
    <w:p>
      <w:pPr>
        <w:ind w:left="920" w:hanging="283"/>
        <w:spacing w:after="0"/>
        <w:tabs>
          <w:tab w:leader="none" w:pos="92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Exhibit</w:t>
      </w:r>
    </w:p>
    <w:p>
      <w:pPr>
        <w:ind w:left="720"/>
        <w:spacing w:after="0"/>
        <w:tabs>
          <w:tab w:leader="none" w:pos="124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5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Investor Presentation</w:t>
      </w:r>
    </w:p>
    <w:p>
      <w:pPr>
        <w:spacing w:after="0" w:line="7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ectPr>
          <w:pgSz w:w="11900" w:h="16838" w:orient="portrait"/>
          <w:cols w:equalWidth="0" w:num="1">
            <w:col w:w="9019"/>
          </w:cols>
          <w:pgMar w:left="1440" w:top="235"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w:t>
      </w:r>
    </w:p>
    <w:p>
      <w:pPr>
        <w:spacing w:after="0" w:line="158" w:lineRule="exact"/>
        <w:rPr>
          <w:sz w:val="20"/>
          <w:szCs w:val="20"/>
          <w:color w:val="auto"/>
        </w:rPr>
      </w:pPr>
    </w:p>
    <w:p>
      <w:pPr>
        <w:ind w:left="640" w:right="859" w:firstLine="30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5280" w:type="dxa"/>
            <w:vAlign w:val="bottom"/>
            <w:gridSpan w:val="2"/>
          </w:tcPr>
          <w:p>
            <w:pPr>
              <w:ind w:left="1420"/>
              <w:spacing w:after="0"/>
              <w:rPr>
                <w:sz w:val="20"/>
                <w:szCs w:val="20"/>
                <w:color w:val="auto"/>
              </w:rPr>
            </w:pPr>
            <w:r>
              <w:rPr>
                <w:rFonts w:ascii="Arial" w:cs="Arial" w:eastAsia="Arial" w:hAnsi="Arial"/>
                <w:sz w:val="13"/>
                <w:szCs w:val="13"/>
                <w:color w:val="auto"/>
              </w:rPr>
              <w:t>Gores Guggenheim, Inc.</w:t>
            </w:r>
          </w:p>
        </w:tc>
      </w:tr>
      <w:tr>
        <w:trPr>
          <w:trHeight w:val="303"/>
        </w:trPr>
        <w:tc>
          <w:tcPr>
            <w:tcW w:w="2460" w:type="dxa"/>
            <w:vAlign w:val="bottom"/>
          </w:tcPr>
          <w:p>
            <w:pPr>
              <w:spacing w:after="0"/>
              <w:rPr>
                <w:sz w:val="20"/>
                <w:szCs w:val="20"/>
                <w:color w:val="auto"/>
              </w:rPr>
            </w:pPr>
            <w:r>
              <w:rPr>
                <w:rFonts w:ascii="Arial" w:cs="Arial" w:eastAsia="Arial" w:hAnsi="Arial"/>
                <w:sz w:val="13"/>
                <w:szCs w:val="13"/>
                <w:color w:val="auto"/>
              </w:rPr>
              <w:t>Date: March 7, 2022</w:t>
            </w:r>
          </w:p>
        </w:tc>
        <w:tc>
          <w:tcPr>
            <w:tcW w:w="1860" w:type="dxa"/>
            <w:vAlign w:val="bottom"/>
          </w:tcPr>
          <w:p>
            <w:pPr>
              <w:ind w:left="1420"/>
              <w:spacing w:after="0"/>
              <w:rPr>
                <w:sz w:val="20"/>
                <w:szCs w:val="20"/>
                <w:color w:val="auto"/>
              </w:rPr>
            </w:pPr>
            <w:r>
              <w:rPr>
                <w:rFonts w:ascii="Arial" w:cs="Arial" w:eastAsia="Arial" w:hAnsi="Arial"/>
                <w:sz w:val="13"/>
                <w:szCs w:val="13"/>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Andrew McBride</w:t>
            </w:r>
          </w:p>
        </w:tc>
      </w:tr>
      <w:tr>
        <w:trPr>
          <w:trHeight w:val="142"/>
        </w:trPr>
        <w:tc>
          <w:tcPr>
            <w:tcW w:w="2460" w:type="dxa"/>
            <w:vAlign w:val="bottom"/>
          </w:tcPr>
          <w:p>
            <w:pPr>
              <w:spacing w:after="0"/>
              <w:rPr>
                <w:sz w:val="12"/>
                <w:szCs w:val="12"/>
                <w:color w:val="auto"/>
              </w:rPr>
            </w:pPr>
          </w:p>
        </w:tc>
        <w:tc>
          <w:tcPr>
            <w:tcW w:w="1860" w:type="dxa"/>
            <w:vAlign w:val="bottom"/>
          </w:tcPr>
          <w:p>
            <w:pPr>
              <w:ind w:left="1420"/>
              <w:spacing w:after="0" w:line="142" w:lineRule="exact"/>
              <w:rPr>
                <w:sz w:val="20"/>
                <w:szCs w:val="20"/>
                <w:color w:val="auto"/>
              </w:rPr>
            </w:pPr>
            <w:r>
              <w:rPr>
                <w:rFonts w:ascii="Arial" w:cs="Arial" w:eastAsia="Arial" w:hAnsi="Arial"/>
                <w:sz w:val="13"/>
                <w:szCs w:val="13"/>
                <w:color w:val="auto"/>
              </w:rPr>
              <w:t>Name:</w:t>
            </w:r>
          </w:p>
        </w:tc>
        <w:tc>
          <w:tcPr>
            <w:tcW w:w="3420" w:type="dxa"/>
            <w:vAlign w:val="bottom"/>
          </w:tcPr>
          <w:p>
            <w:pPr>
              <w:spacing w:after="0" w:line="142" w:lineRule="exact"/>
              <w:rPr>
                <w:sz w:val="20"/>
                <w:szCs w:val="20"/>
                <w:color w:val="auto"/>
              </w:rPr>
            </w:pPr>
            <w:r>
              <w:rPr>
                <w:rFonts w:ascii="Arial" w:cs="Arial" w:eastAsia="Arial" w:hAnsi="Arial"/>
                <w:sz w:val="13"/>
                <w:szCs w:val="13"/>
                <w:color w:val="auto"/>
              </w:rPr>
              <w:t>Andrew McBride</w:t>
            </w:r>
          </w:p>
        </w:tc>
      </w:tr>
      <w:tr>
        <w:trPr>
          <w:trHeight w:val="161"/>
        </w:trPr>
        <w:tc>
          <w:tcPr>
            <w:tcW w:w="2460" w:type="dxa"/>
            <w:vAlign w:val="bottom"/>
          </w:tcPr>
          <w:p>
            <w:pPr>
              <w:spacing w:after="0"/>
              <w:rPr>
                <w:sz w:val="13"/>
                <w:szCs w:val="13"/>
                <w:color w:val="auto"/>
              </w:rPr>
            </w:pPr>
          </w:p>
        </w:tc>
        <w:tc>
          <w:tcPr>
            <w:tcW w:w="1860" w:type="dxa"/>
            <w:vAlign w:val="bottom"/>
          </w:tcPr>
          <w:p>
            <w:pPr>
              <w:ind w:left="1420"/>
              <w:spacing w:after="0"/>
              <w:rPr>
                <w:sz w:val="20"/>
                <w:szCs w:val="20"/>
                <w:color w:val="auto"/>
              </w:rPr>
            </w:pPr>
            <w:r>
              <w:rPr>
                <w:rFonts w:ascii="Arial" w:cs="Arial" w:eastAsia="Arial" w:hAnsi="Arial"/>
                <w:sz w:val="13"/>
                <w:szCs w:val="13"/>
                <w:color w:val="auto"/>
              </w:rPr>
              <w:t>Title:</w:t>
            </w:r>
          </w:p>
        </w:tc>
        <w:tc>
          <w:tcPr>
            <w:tcW w:w="3420" w:type="dxa"/>
            <w:vAlign w:val="bottom"/>
          </w:tcPr>
          <w:p>
            <w:pPr>
              <w:spacing w:after="0"/>
              <w:rPr>
                <w:sz w:val="20"/>
                <w:szCs w:val="20"/>
                <w:color w:val="auto"/>
              </w:rPr>
            </w:pPr>
            <w:r>
              <w:rPr>
                <w:rFonts w:ascii="Arial" w:cs="Arial" w:eastAsia="Arial" w:hAnsi="Arial"/>
                <w:sz w:val="13"/>
                <w:szCs w:val="13"/>
                <w:color w:val="auto"/>
              </w:rPr>
              <w:t>Chief Financial Officer and Secretary</w:t>
            </w:r>
          </w:p>
        </w:tc>
      </w:tr>
    </w:tbl>
    <w:p>
      <w:pPr>
        <w:sectPr>
          <w:pgSz w:w="11900" w:h="16838" w:orient="portrait"/>
          <w:cols w:equalWidth="0" w:num="1">
            <w:col w:w="9019"/>
          </w:cols>
          <w:pgMar w:left="1440" w:top="231" w:right="1440"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2022-03-07T05:21:46Z</dcterms:created>
  <dcterms:modified xsi:type="dcterms:W3CDTF">2022-03-07T05:21:46Z</dcterms:modified>
</cp:coreProperties>
</file>