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b w:val="1"/>
          <w:bCs w:val="1"/>
          <w:color w:val="auto"/>
        </w:rPr>
        <w:t>Filed pursuant to Rule 424(b)(3)</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333-266101</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PROSPECTUS</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Polestar Automotive Holding UK PLC</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UP TO 2,203,977,609 CLASS A ADSs,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UP TO 24,999,965 CLASS A ADSs ISSUABLE UPON CONVERSION OF CLASS C ADSs AND</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61595</wp:posOffset>
            </wp:positionV>
            <wp:extent cx="1320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25" w:lineRule="exact"/>
        <w:rPr>
          <w:sz w:val="24"/>
          <w:szCs w:val="24"/>
          <w:color w:val="auto"/>
        </w:rPr>
      </w:pPr>
    </w:p>
    <w:p>
      <w:pPr>
        <w:ind w:right="20" w:firstLine="648"/>
        <w:spacing w:after="0" w:line="314" w:lineRule="auto"/>
        <w:rPr>
          <w:sz w:val="20"/>
          <w:szCs w:val="20"/>
          <w:color w:val="auto"/>
        </w:rPr>
      </w:pPr>
      <w:r>
        <w:rPr>
          <w:rFonts w:ascii="Arial" w:cs="Arial" w:eastAsia="Arial" w:hAnsi="Arial"/>
          <w:sz w:val="10"/>
          <w:szCs w:val="10"/>
          <w:color w:val="auto"/>
        </w:rPr>
        <w:t>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w:t>
      </w:r>
    </w:p>
    <w:p>
      <w:pPr>
        <w:spacing w:after="0" w:line="2" w:lineRule="exact"/>
        <w:rPr>
          <w:sz w:val="24"/>
          <w:szCs w:val="24"/>
          <w:color w:val="auto"/>
        </w:rPr>
      </w:pPr>
    </w:p>
    <w:p>
      <w:pPr>
        <w:ind w:right="100"/>
        <w:spacing w:after="0" w:line="267" w:lineRule="auto"/>
        <w:rPr>
          <w:sz w:val="20"/>
          <w:szCs w:val="20"/>
          <w:color w:val="auto"/>
        </w:rPr>
      </w:pPr>
      <w:r>
        <w:rPr>
          <w:rFonts w:ascii="Arial" w:cs="Arial" w:eastAsia="Arial" w:hAnsi="Arial"/>
          <w:sz w:val="12"/>
          <w:szCs w:val="12"/>
          <w:color w:val="auto"/>
        </w:rPr>
        <w:t>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This prospectus also covers any additional securities that may become issuable by reason of share splits, share dividends or similar transactions.</w:t>
      </w:r>
    </w:p>
    <w:p>
      <w:pPr>
        <w:spacing w:after="0" w:line="81" w:lineRule="exact"/>
        <w:rPr>
          <w:sz w:val="24"/>
          <w:szCs w:val="24"/>
          <w:color w:val="auto"/>
        </w:rPr>
      </w:pPr>
    </w:p>
    <w:p>
      <w:pPr>
        <w:ind w:firstLine="648"/>
        <w:spacing w:after="0" w:line="248" w:lineRule="auto"/>
        <w:rPr>
          <w:sz w:val="20"/>
          <w:szCs w:val="20"/>
          <w:color w:val="auto"/>
        </w:rPr>
      </w:pPr>
      <w:r>
        <w:rPr>
          <w:rFonts w:ascii="Arial" w:cs="Arial" w:eastAsia="Arial" w:hAnsi="Arial"/>
          <w:sz w:val="13"/>
          <w:szCs w:val="13"/>
          <w:color w:val="auto"/>
        </w:rPr>
        <w:t>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w:t>
      </w:r>
    </w:p>
    <w:p>
      <w:pPr>
        <w:spacing w:after="0" w:line="92" w:lineRule="exact"/>
        <w:rPr>
          <w:sz w:val="24"/>
          <w:szCs w:val="24"/>
          <w:color w:val="auto"/>
        </w:rPr>
      </w:pPr>
    </w:p>
    <w:p>
      <w:pPr>
        <w:ind w:right="200" w:firstLine="648"/>
        <w:spacing w:after="0" w:line="404" w:lineRule="auto"/>
        <w:rPr>
          <w:sz w:val="20"/>
          <w:szCs w:val="20"/>
          <w:color w:val="auto"/>
        </w:rPr>
      </w:pPr>
      <w:r>
        <w:rPr>
          <w:rFonts w:ascii="Arial" w:cs="Arial" w:eastAsia="Arial" w:hAnsi="Arial"/>
          <w:sz w:val="10"/>
          <w:szCs w:val="10"/>
          <w:color w:val="auto"/>
        </w:rPr>
        <w:t xml:space="preserve">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w:t>
      </w:r>
      <w:r>
        <w:rPr>
          <w:rFonts w:ascii="Arial" w:cs="Arial" w:eastAsia="Arial" w:hAnsi="Arial"/>
          <w:sz w:val="10"/>
          <w:szCs w:val="10"/>
          <w:i w:val="1"/>
          <w:iCs w:val="1"/>
          <w:color w:val="auto"/>
        </w:rPr>
        <w:t>“Plan of Distribution.”</w:t>
      </w:r>
    </w:p>
    <w:p>
      <w:pPr>
        <w:spacing w:after="0" w:line="18" w:lineRule="exact"/>
        <w:rPr>
          <w:sz w:val="24"/>
          <w:szCs w:val="24"/>
          <w:color w:val="auto"/>
        </w:rPr>
      </w:pPr>
    </w:p>
    <w:p>
      <w:pPr>
        <w:ind w:right="20" w:firstLine="648"/>
        <w:spacing w:after="0" w:line="248" w:lineRule="auto"/>
        <w:rPr>
          <w:sz w:val="20"/>
          <w:szCs w:val="20"/>
          <w:color w:val="auto"/>
        </w:rPr>
      </w:pPr>
      <w:r>
        <w:rPr>
          <w:rFonts w:ascii="Arial" w:cs="Arial" w:eastAsia="Arial" w:hAnsi="Arial"/>
          <w:sz w:val="13"/>
          <w:szCs w:val="13"/>
          <w:color w:val="auto"/>
        </w:rPr>
        <w:t xml:space="preserve">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exercise their Class C ADSs. We will pay certain expenses associated with the registration of the resale of the securities covered by this prospectus, as described in the section titled </w:t>
      </w:r>
      <w:r>
        <w:rPr>
          <w:rFonts w:ascii="Arial" w:cs="Arial" w:eastAsia="Arial" w:hAnsi="Arial"/>
          <w:sz w:val="13"/>
          <w:szCs w:val="13"/>
          <w:i w:val="1"/>
          <w:iCs w:val="1"/>
          <w:color w:val="auto"/>
        </w:rPr>
        <w:t>“Plan of Distribution.”</w:t>
      </w:r>
    </w:p>
    <w:p>
      <w:pPr>
        <w:spacing w:after="0" w:line="92" w:lineRule="exact"/>
        <w:rPr>
          <w:sz w:val="24"/>
          <w:szCs w:val="24"/>
          <w:color w:val="auto"/>
        </w:rPr>
      </w:pPr>
    </w:p>
    <w:p>
      <w:pPr>
        <w:ind w:right="260" w:firstLine="648"/>
        <w:spacing w:after="0" w:line="277" w:lineRule="auto"/>
        <w:rPr>
          <w:sz w:val="20"/>
          <w:szCs w:val="20"/>
          <w:color w:val="auto"/>
        </w:rPr>
      </w:pPr>
      <w:r>
        <w:rPr>
          <w:rFonts w:ascii="Arial" w:cs="Arial" w:eastAsia="Arial" w:hAnsi="Arial"/>
          <w:sz w:val="13"/>
          <w:szCs w:val="13"/>
          <w:color w:val="auto"/>
        </w:rPr>
        <w:t>Our Class A ADSs and Class C-1 ADSs are listed on the Nasdaq Stock Market LLC (“Nasdaq”), under the trading symbols “PSNY” and “PSNYW,” respectively. On July 17, 2023, the closing price for our Class A ADSs on Nasdaq was $4.63. On July 17, 2023, the closing price for our Class C-1 ADSs on Nasdaq was $0.70.</w:t>
      </w:r>
    </w:p>
    <w:p>
      <w:pPr>
        <w:spacing w:after="0" w:line="73" w:lineRule="exact"/>
        <w:rPr>
          <w:sz w:val="24"/>
          <w:szCs w:val="24"/>
          <w:color w:val="auto"/>
        </w:rPr>
      </w:pPr>
    </w:p>
    <w:p>
      <w:pPr>
        <w:ind w:right="20" w:firstLine="648"/>
        <w:spacing w:after="0" w:line="264" w:lineRule="auto"/>
        <w:rPr>
          <w:sz w:val="20"/>
          <w:szCs w:val="20"/>
          <w:color w:val="auto"/>
        </w:rPr>
      </w:pPr>
      <w:r>
        <w:rPr>
          <w:rFonts w:ascii="Arial" w:cs="Arial" w:eastAsia="Arial" w:hAnsi="Arial"/>
          <w:sz w:val="12"/>
          <w:szCs w:val="12"/>
          <w:color w:val="auto"/>
        </w:rPr>
        <w:t>In connection with the Business Combination, holders of 16,265,203 shares of GGI Class A Common Stock, or approximately 20.3% of the issued and outstanding shares of GGI Class A Common Stock, exercised their right to redeem their shares for cash at a redemption price of approximately $10.00 per share, for an aggregate redemption amount of approximately $162,652,030. The Class A ADSs and Class C ADSs being offered for resale in this prospectus (collectively, the “Resale Securities”) represent a substantial percentage of the total outstanding ADSs as of the date of this prospectus. The Class A ADSs being offered in this prospectus represent approximately 476.4% of our current outstanding Class A ADSs, assuming the Earn Out Shares issuable pursuant to the Business Combination Agreement are not outstanding, or approximately 356.0% assuming they are outstanding and converted into Class A ADSs. Additionally, if all the Class C ADSs are exercised and all Class A ADSs are issued to a service provider in exchange for the performance of marketing consulting services, the Selling Securityholders would own an additional 25,093,715 shares of Class A ADSs, representing approximately an additional 5.4% of the current outstanding Class A ADSs. The sale of all the securities being offered in this prospectus, or the perception that these sales could occur, could result in a significant decline in the public trading price of our securities. The contractual lock-up restrictions entered into in connection with the Business Combination have expired. The frequency of any sales could also cause the market price of our securities to decline or increase the volatility in the market price of our securities. 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$4.63 as of July 17, 2023, upon the sale of our Class A ADSs, (a) Former Parent Shareholders may experience a potential loss of up to $5.37 per Class A ADS, (b) GGI Sponsor, the PIPE Investors and Snita may experience a potential loss of up to $4.79 per Subscription Share, (c) the GGI Sponsor may experience a potential profit of approximately $4.63 per Class A ADS issued to the GGI Sponsor upon conversion of the shares of GGI Class F Common Stock, (d) Snita may experience a potential loss of up to $5.37 per Class A ADS issued to Snita upon conversion of the Volvo Cars Preference Subscription Shares, (e) the marketing consulting service provider may experience a potential loss of up to $5.37 per Class A ADS, and (f) Former Parent Convertible Notes Holders may experience a potential loss of up to $3.55 per Class A ADS. Based on the closing price of our Class C-1 ADSs of $0.70 as of July 17, 2023, upon the sale of the Class C-2 ADSs, the GGI Sponsor may experience a potential loss of up to $1.30 per Class C-2 ADS.</w:t>
      </w:r>
    </w:p>
    <w:p>
      <w:pPr>
        <w:spacing w:after="0" w:line="99" w:lineRule="exact"/>
        <w:rPr>
          <w:sz w:val="24"/>
          <w:szCs w:val="24"/>
          <w:color w:val="auto"/>
        </w:rPr>
      </w:pPr>
    </w:p>
    <w:p>
      <w:pPr>
        <w:ind w:right="140" w:firstLine="648"/>
        <w:spacing w:after="0" w:line="255" w:lineRule="auto"/>
        <w:rPr>
          <w:sz w:val="20"/>
          <w:szCs w:val="20"/>
          <w:color w:val="auto"/>
        </w:rPr>
      </w:pPr>
      <w:r>
        <w:rPr>
          <w:rFonts w:ascii="Arial" w:cs="Arial" w:eastAsia="Arial" w:hAnsi="Arial"/>
          <w:sz w:val="13"/>
          <w:szCs w:val="13"/>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33" w:lineRule="exact"/>
        <w:rPr>
          <w:sz w:val="24"/>
          <w:szCs w:val="24"/>
          <w:color w:val="auto"/>
        </w:rPr>
      </w:pPr>
    </w:p>
    <w:p>
      <w:pPr>
        <w:ind w:right="180" w:firstLine="648"/>
        <w:spacing w:after="0" w:line="247" w:lineRule="auto"/>
        <w:rPr>
          <w:sz w:val="20"/>
          <w:szCs w:val="20"/>
          <w:color w:val="auto"/>
        </w:rPr>
      </w:pPr>
      <w:r>
        <w:rPr>
          <w:rFonts w:ascii="Arial" w:cs="Arial" w:eastAsia="Arial" w:hAnsi="Arial"/>
          <w:sz w:val="13"/>
          <w:szCs w:val="13"/>
          <w:color w:val="auto"/>
        </w:rPr>
        <w:t xml:space="preserve">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w:t>
      </w:r>
      <w:r>
        <w:rPr>
          <w:rFonts w:ascii="Arial" w:cs="Arial" w:eastAsia="Arial" w:hAnsi="Arial"/>
          <w:sz w:val="13"/>
          <w:szCs w:val="13"/>
          <w:i w:val="1"/>
          <w:iCs w:val="1"/>
          <w:color w:val="auto"/>
        </w:rPr>
        <w:t>“Prospectus Summary—Foreign Private Issuer”</w:t>
      </w:r>
      <w:r>
        <w:rPr>
          <w:rFonts w:ascii="Arial" w:cs="Arial" w:eastAsia="Arial" w:hAnsi="Arial"/>
          <w:sz w:val="13"/>
          <w:szCs w:val="13"/>
          <w:color w:val="auto"/>
        </w:rPr>
        <w:t xml:space="preserve"> and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Summary—Controlled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59055</wp:posOffset>
            </wp:positionV>
            <wp:extent cx="1320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3" w:lineRule="exact"/>
        <w:rPr>
          <w:sz w:val="24"/>
          <w:szCs w:val="24"/>
          <w:color w:val="auto"/>
        </w:rPr>
      </w:pPr>
    </w:p>
    <w:p>
      <w:pPr>
        <w:ind w:right="100" w:firstLine="648"/>
        <w:spacing w:after="0" w:line="303" w:lineRule="auto"/>
        <w:rPr>
          <w:sz w:val="20"/>
          <w:szCs w:val="20"/>
          <w:color w:val="auto"/>
        </w:rPr>
      </w:pPr>
      <w:r>
        <w:rPr>
          <w:rFonts w:ascii="Arial" w:cs="Arial" w:eastAsia="Arial" w:hAnsi="Arial"/>
          <w:sz w:val="12"/>
          <w:szCs w:val="12"/>
          <w:b w:val="1"/>
          <w:bCs w:val="1"/>
          <w:color w:val="auto"/>
        </w:rPr>
        <w:t>Investing in our securities involves a high degree of risk. You should carefully review the risks and uncertainties described under the heading “</w:t>
      </w:r>
      <w:r>
        <w:rPr>
          <w:rFonts w:ascii="Arial" w:cs="Arial" w:eastAsia="Arial" w:hAnsi="Arial"/>
          <w:sz w:val="12"/>
          <w:szCs w:val="12"/>
          <w:b w:val="1"/>
          <w:bCs w:val="1"/>
          <w:u w:val="single" w:color="auto"/>
          <w:color w:val="0000FF"/>
        </w:rPr>
        <w:t>Risk Factors</w:t>
      </w:r>
      <w:r>
        <w:rPr>
          <w:rFonts w:ascii="Arial" w:cs="Arial" w:eastAsia="Arial" w:hAnsi="Arial"/>
          <w:sz w:val="12"/>
          <w:szCs w:val="12"/>
          <w:b w:val="1"/>
          <w:bCs w:val="1"/>
          <w:color w:val="auto"/>
        </w:rPr>
        <w:t xml:space="preserve">” beginning on page </w:t>
      </w:r>
      <w:r>
        <w:rPr>
          <w:rFonts w:ascii="Arial" w:cs="Arial" w:eastAsia="Arial" w:hAnsi="Arial"/>
          <w:sz w:val="12"/>
          <w:szCs w:val="12"/>
          <w:b w:val="1"/>
          <w:bCs w:val="1"/>
          <w:u w:val="single" w:color="auto"/>
          <w:color w:val="0000FF"/>
        </w:rPr>
        <w:t>7</w:t>
      </w:r>
      <w:r>
        <w:rPr>
          <w:rFonts w:ascii="Arial" w:cs="Arial" w:eastAsia="Arial" w:hAnsi="Arial"/>
          <w:sz w:val="12"/>
          <w:szCs w:val="12"/>
          <w:b w:val="1"/>
          <w:bCs w:val="1"/>
          <w:color w:val="auto"/>
        </w:rPr>
        <w:t xml:space="preserve"> of this prospectus, as well as the other parts of this prospectus and any prospectus supplement or amendment carefully, before you make an investment in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64770</wp:posOffset>
            </wp:positionV>
            <wp:extent cx="132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16" w:lineRule="exact"/>
        <w:rPr>
          <w:sz w:val="24"/>
          <w:szCs w:val="24"/>
          <w:color w:val="auto"/>
        </w:rPr>
      </w:pPr>
    </w:p>
    <w:p>
      <w:pPr>
        <w:ind w:right="120" w:firstLine="648"/>
        <w:spacing w:after="0" w:line="255" w:lineRule="auto"/>
        <w:rPr>
          <w:sz w:val="20"/>
          <w:szCs w:val="20"/>
          <w:color w:val="auto"/>
        </w:rPr>
      </w:pPr>
      <w:r>
        <w:rPr>
          <w:rFonts w:ascii="Arial" w:cs="Arial" w:eastAsia="Arial" w:hAnsi="Arial"/>
          <w:sz w:val="13"/>
          <w:szCs w:val="13"/>
          <w:color w:val="auto"/>
        </w:rPr>
        <w:t>Neither the U.S. Securities and Exchange Commission (the “SEC”)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90170</wp:posOffset>
            </wp:positionV>
            <wp:extent cx="1320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Prospectus dated July 17, 2023</w:t>
      </w:r>
    </w:p>
    <w:p>
      <w:pPr>
        <w:sectPr>
          <w:pgSz w:w="11900" w:h="16838" w:orient="portrait"/>
          <w:cols w:equalWidth="0" w:num="1">
            <w:col w:w="11240"/>
          </w:cols>
          <w:pgMar w:left="320" w:top="873" w:right="339" w:bottom="1440" w:gutter="0" w:footer="0" w:header="0"/>
        </w:sectPr>
      </w:pPr>
    </w:p>
    <w:bookmarkStart w:id="1" w:name="page2"/>
    <w:bookmarkEnd w:id="1"/>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220" w:type="dxa"/>
            <w:vAlign w:val="bottom"/>
            <w:gridSpan w:val="7"/>
            <w:vMerge w:val="restart"/>
          </w:tcPr>
          <w:p>
            <w:pPr>
              <w:spacing w:after="0"/>
              <w:rPr>
                <w:sz w:val="20"/>
                <w:szCs w:val="20"/>
                <w:color w:val="auto"/>
              </w:rPr>
            </w:pPr>
            <w:r>
              <w:rPr>
                <w:rFonts w:ascii="Arial" w:cs="Arial" w:eastAsia="Arial" w:hAnsi="Arial"/>
                <w:sz w:val="18"/>
                <w:szCs w:val="18"/>
                <w:color w:val="0000FF"/>
                <w:w w:val="91"/>
              </w:rPr>
              <w:t>ABOUT THIS PROSPECTUS</w:t>
            </w:r>
          </w:p>
        </w:tc>
        <w:tc>
          <w:tcPr>
            <w:tcW w:w="8140" w:type="dxa"/>
            <w:vAlign w:val="bottom"/>
            <w:gridSpan w:val="11"/>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20" w:type="dxa"/>
            <w:vAlign w:val="bottom"/>
            <w:gridSpan w:val="7"/>
            <w:vMerge w:val="continue"/>
          </w:tcPr>
          <w:p>
            <w:pPr>
              <w:spacing w:after="0"/>
              <w:rPr>
                <w:sz w:val="15"/>
                <w:szCs w:val="15"/>
                <w:color w:val="auto"/>
              </w:rPr>
            </w:pPr>
          </w:p>
        </w:tc>
        <w:tc>
          <w:tcPr>
            <w:tcW w:w="8140" w:type="dxa"/>
            <w:vAlign w:val="bottom"/>
            <w:gridSpan w:val="11"/>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0000FF"/>
                <w:w w:val="74"/>
              </w:rPr>
              <w:t>ii</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gridSpan w:val="12"/>
          </w:tcPr>
          <w:p>
            <w:pPr>
              <w:spacing w:after="0"/>
              <w:rPr>
                <w:sz w:val="20"/>
                <w:szCs w:val="20"/>
                <w:color w:val="auto"/>
              </w:rPr>
            </w:pPr>
            <w:r>
              <w:rPr>
                <w:rFonts w:ascii="Arial" w:cs="Arial" w:eastAsia="Arial" w:hAnsi="Arial"/>
                <w:sz w:val="18"/>
                <w:szCs w:val="18"/>
                <w:color w:val="0000FF"/>
                <w:w w:val="96"/>
              </w:rPr>
              <w:t>PRESENTATION OF FINANCIAL INFORMATION</w:t>
            </w:r>
          </w:p>
        </w:tc>
        <w:tc>
          <w:tcPr>
            <w:tcW w:w="6480" w:type="dxa"/>
            <w:vAlign w:val="bottom"/>
            <w:gridSpan w:val="6"/>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0000FF"/>
              </w:rPr>
              <w:t>iii</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8"/>
          </w:tcPr>
          <w:p>
            <w:pPr>
              <w:spacing w:after="0"/>
              <w:rPr>
                <w:sz w:val="20"/>
                <w:szCs w:val="20"/>
                <w:color w:val="auto"/>
              </w:rPr>
            </w:pPr>
            <w:r>
              <w:rPr>
                <w:rFonts w:ascii="Arial" w:cs="Arial" w:eastAsia="Arial" w:hAnsi="Arial"/>
                <w:sz w:val="18"/>
                <w:szCs w:val="18"/>
                <w:color w:val="0000FF"/>
              </w:rPr>
              <w:t>INFORMATION INCORPORATED BY REFERENCE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0000FF"/>
                <w:w w:val="74"/>
              </w:rPr>
              <w:t>iv</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gridSpan w:val="7"/>
          </w:tcPr>
          <w:p>
            <w:pPr>
              <w:spacing w:after="0"/>
              <w:rPr>
                <w:sz w:val="20"/>
                <w:szCs w:val="20"/>
                <w:color w:val="auto"/>
              </w:rPr>
            </w:pPr>
            <w:r>
              <w:rPr>
                <w:rFonts w:ascii="Arial" w:cs="Arial" w:eastAsia="Arial" w:hAnsi="Arial"/>
                <w:sz w:val="18"/>
                <w:szCs w:val="18"/>
                <w:color w:val="0000FF"/>
                <w:w w:val="94"/>
              </w:rPr>
              <w:t>CERTAIN DEFINED TERMS</w:t>
            </w:r>
          </w:p>
        </w:tc>
        <w:tc>
          <w:tcPr>
            <w:tcW w:w="1800" w:type="dxa"/>
            <w:vAlign w:val="bottom"/>
            <w:gridSpan w:val="6"/>
          </w:tcPr>
          <w:p>
            <w:pPr>
              <w:spacing w:after="0"/>
              <w:rPr>
                <w:sz w:val="19"/>
                <w:szCs w:val="19"/>
                <w:color w:val="auto"/>
              </w:rPr>
            </w:pPr>
          </w:p>
        </w:tc>
        <w:tc>
          <w:tcPr>
            <w:tcW w:w="6340" w:type="dxa"/>
            <w:vAlign w:val="bottom"/>
            <w:gridSpan w:val="5"/>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7"/>
                <w:szCs w:val="17"/>
                <w:color w:val="0000FF"/>
                <w:w w:val="70"/>
              </w:rPr>
              <w:t>v</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8"/>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0000FF"/>
                <w:w w:val="74"/>
              </w:rPr>
              <w:t>xi</w:t>
            </w:r>
          </w:p>
        </w:tc>
        <w:tc>
          <w:tcPr>
            <w:tcW w:w="0" w:type="dxa"/>
            <w:vAlign w:val="bottom"/>
          </w:tcPr>
          <w:p>
            <w:pPr>
              <w:spacing w:after="0"/>
              <w:rPr>
                <w:sz w:val="1"/>
                <w:szCs w:val="1"/>
                <w:color w:val="auto"/>
              </w:rPr>
            </w:pPr>
          </w:p>
        </w:tc>
      </w:tr>
      <w:tr>
        <w:trPr>
          <w:trHeight w:val="210"/>
        </w:trPr>
        <w:tc>
          <w:tcPr>
            <w:tcW w:w="21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3"/>
              </w:rPr>
              <w:t>PROSPECTUS SUMMARY</w:t>
            </w:r>
          </w:p>
        </w:tc>
        <w:tc>
          <w:tcPr>
            <w:tcW w:w="3680" w:type="dxa"/>
            <w:vAlign w:val="bottom"/>
            <w:tcBorders>
              <w:top w:val="single" w:sz="8" w:color="0000FF"/>
            </w:tcBorders>
            <w:gridSpan w:val="11"/>
          </w:tcPr>
          <w:p>
            <w:pPr>
              <w:spacing w:after="0"/>
              <w:rPr>
                <w:sz w:val="18"/>
                <w:szCs w:val="18"/>
                <w:color w:val="auto"/>
              </w:rPr>
            </w:pPr>
          </w:p>
        </w:tc>
        <w:tc>
          <w:tcPr>
            <w:tcW w:w="45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Borders>
              <w:top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00" w:type="dxa"/>
            <w:vAlign w:val="bottom"/>
            <w:gridSpan w:val="6"/>
          </w:tcPr>
          <w:p>
            <w:pPr>
              <w:spacing w:after="0"/>
              <w:rPr>
                <w:sz w:val="20"/>
                <w:szCs w:val="20"/>
                <w:color w:val="auto"/>
              </w:rPr>
            </w:pPr>
            <w:r>
              <w:rPr>
                <w:rFonts w:ascii="Arial" w:cs="Arial" w:eastAsia="Arial" w:hAnsi="Arial"/>
                <w:sz w:val="18"/>
                <w:szCs w:val="18"/>
                <w:color w:val="0000FF"/>
              </w:rPr>
              <w:t>THE OFFERING</w:t>
            </w:r>
          </w:p>
        </w:tc>
        <w:tc>
          <w:tcPr>
            <w:tcW w:w="8260" w:type="dxa"/>
            <w:vAlign w:val="bottom"/>
            <w:gridSpan w:val="12"/>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Arial" w:cs="Arial" w:eastAsia="Arial" w:hAnsi="Arial"/>
                <w:sz w:val="18"/>
                <w:szCs w:val="18"/>
                <w:color w:val="0000FF"/>
                <w:w w:val="91"/>
              </w:rPr>
              <w:t>RISK FACTORS</w:t>
            </w:r>
          </w:p>
        </w:tc>
        <w:tc>
          <w:tcPr>
            <w:tcW w:w="9100" w:type="dxa"/>
            <w:vAlign w:val="bottom"/>
            <w:gridSpan w:val="15"/>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0000FF"/>
                <w:w w:val="88"/>
              </w:rPr>
              <w:t>USE OF PROCEEDS</w:t>
            </w:r>
          </w:p>
        </w:tc>
        <w:tc>
          <w:tcPr>
            <w:tcW w:w="8780" w:type="dxa"/>
            <w:vAlign w:val="bottom"/>
            <w:gridSpan w:val="13"/>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gridSpan w:val="5"/>
          </w:tcPr>
          <w:p>
            <w:pPr>
              <w:spacing w:after="0"/>
              <w:rPr>
                <w:sz w:val="20"/>
                <w:szCs w:val="20"/>
                <w:color w:val="auto"/>
              </w:rPr>
            </w:pPr>
            <w:r>
              <w:rPr>
                <w:rFonts w:ascii="Arial" w:cs="Arial" w:eastAsia="Arial" w:hAnsi="Arial"/>
                <w:sz w:val="18"/>
                <w:szCs w:val="18"/>
                <w:color w:val="0000FF"/>
                <w:w w:val="98"/>
              </w:rPr>
              <w:t>DIVIDEND POLICY</w:t>
            </w:r>
          </w:p>
        </w:tc>
        <w:tc>
          <w:tcPr>
            <w:tcW w:w="8780" w:type="dxa"/>
            <w:vAlign w:val="bottom"/>
            <w:gridSpan w:val="13"/>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9"/>
          </w:tcPr>
          <w:p>
            <w:pPr>
              <w:spacing w:after="0"/>
              <w:rPr>
                <w:sz w:val="20"/>
                <w:szCs w:val="20"/>
                <w:color w:val="auto"/>
              </w:rPr>
            </w:pPr>
            <w:r>
              <w:rPr>
                <w:rFonts w:ascii="Arial" w:cs="Arial" w:eastAsia="Arial" w:hAnsi="Arial"/>
                <w:sz w:val="18"/>
                <w:szCs w:val="18"/>
                <w:color w:val="0000FF"/>
                <w:w w:val="97"/>
              </w:rPr>
              <w:t>CAPITALIZATION AND INDEBTEDNESS</w:t>
            </w:r>
          </w:p>
        </w:tc>
        <w:tc>
          <w:tcPr>
            <w:tcW w:w="7080" w:type="dxa"/>
            <w:vAlign w:val="bottom"/>
            <w:gridSpan w:val="9"/>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DESCRIPTION OF SHARE CAPITAL AND ARTICLES OF ASSOCIATION</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4"/>
              </w:rPr>
              <w:t>DESCRIPTION OF AMERICAN DEPOSITARY SHARES</w:t>
            </w:r>
          </w:p>
        </w:tc>
        <w:tc>
          <w:tcPr>
            <w:tcW w:w="1340" w:type="dxa"/>
            <w:vAlign w:val="bottom"/>
            <w:tcBorders>
              <w:top w:val="single" w:sz="8" w:color="0000FF"/>
            </w:tcBorders>
            <w:gridSpan w:val="2"/>
          </w:tcPr>
          <w:p>
            <w:pPr>
              <w:spacing w:after="0"/>
              <w:rPr>
                <w:sz w:val="19"/>
                <w:szCs w:val="19"/>
                <w:color w:val="auto"/>
              </w:rPr>
            </w:pPr>
          </w:p>
        </w:tc>
        <w:tc>
          <w:tcPr>
            <w:tcW w:w="470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SELLING SECURITYHOLDERS</w:t>
            </w:r>
          </w:p>
        </w:tc>
        <w:tc>
          <w:tcPr>
            <w:tcW w:w="7840" w:type="dxa"/>
            <w:vAlign w:val="bottom"/>
            <w:gridSpan w:val="10"/>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SECURITIES ELIGIBLE FOR FUTURE SALE</w:t>
            </w:r>
          </w:p>
        </w:tc>
        <w:tc>
          <w:tcPr>
            <w:tcW w:w="6840" w:type="dxa"/>
            <w:vAlign w:val="bottom"/>
            <w:gridSpan w:val="7"/>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360" w:type="dxa"/>
            <w:vAlign w:val="bottom"/>
            <w:gridSpan w:val="18"/>
          </w:tcPr>
          <w:p>
            <w:pPr>
              <w:spacing w:after="0"/>
              <w:rPr>
                <w:sz w:val="20"/>
                <w:szCs w:val="20"/>
                <w:color w:val="auto"/>
              </w:rPr>
            </w:pPr>
            <w:r>
              <w:rPr>
                <w:rFonts w:ascii="Arial" w:cs="Arial" w:eastAsia="Arial" w:hAnsi="Arial"/>
                <w:sz w:val="18"/>
                <w:szCs w:val="18"/>
                <w:color w:val="0000FF"/>
              </w:rPr>
              <w:t>TAXATION</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PLAN OF DISTRIBUTION</w:t>
            </w:r>
          </w:p>
        </w:tc>
        <w:tc>
          <w:tcPr>
            <w:tcW w:w="8260" w:type="dxa"/>
            <w:vAlign w:val="bottom"/>
            <w:gridSpan w:val="12"/>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3"/>
              </w:rPr>
              <w:t>EXPENSES RELATED TO THE OFFERING</w:t>
            </w:r>
          </w:p>
        </w:tc>
        <w:tc>
          <w:tcPr>
            <w:tcW w:w="7020" w:type="dxa"/>
            <w:vAlign w:val="bottom"/>
            <w:gridSpan w:val="8"/>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6"/>
              </w:rPr>
              <w:t>LEGAL MATTERS</w:t>
            </w:r>
          </w:p>
        </w:tc>
        <w:tc>
          <w:tcPr>
            <w:tcW w:w="8900" w:type="dxa"/>
            <w:vAlign w:val="bottom"/>
            <w:gridSpan w:val="14"/>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EXPERTS</w:t>
            </w:r>
          </w:p>
        </w:tc>
        <w:tc>
          <w:tcPr>
            <w:tcW w:w="9580" w:type="dxa"/>
            <w:vAlign w:val="bottom"/>
            <w:gridSpan w:val="17"/>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18"/>
          </w:tcPr>
          <w:p>
            <w:pPr>
              <w:spacing w:after="0"/>
              <w:rPr>
                <w:sz w:val="20"/>
                <w:szCs w:val="20"/>
                <w:color w:val="auto"/>
              </w:rPr>
            </w:pPr>
            <w:r>
              <w:rPr>
                <w:rFonts w:ascii="Arial" w:cs="Arial" w:eastAsia="Arial" w:hAnsi="Arial"/>
                <w:sz w:val="18"/>
                <w:szCs w:val="18"/>
                <w:color w:val="0000FF"/>
              </w:rPr>
              <w:t>INTERESTS OF EXPERTS AND COUNSEL</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10"/>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WHERE YOU CAN FIND ADDITIONAL INFORMATION</w:t>
            </w:r>
          </w:p>
        </w:tc>
        <w:tc>
          <w:tcPr>
            <w:tcW w:w="596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prospectus includes, and information incorporated by reference herein may include, trademarks, trade names and service marks, certain of which belong to Polestar or Polestar’s affiliates and others that are the property of other organizations. The Polestar logo and other trademarks or service marks of Polestar appearing or incorporated by reference in this prospectus are the property of Polestar. Solely for convenience, trademarks, trade names and service marks referred to in this prospectus, or that may be incorporated by reference herein, appear without the ®,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CURRENCY AND EXCHANGE RATES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Unless otherwise indicated, information contained or incorporated by reference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or incorporated by reference in this prospectus are generally reliable, such information is inherently imprecise. Forecasts and other forward-looking information obtained from third parties are subject to the same qualifications and uncertainties as the other forward-looking statements in this prospectus or that are incorporated by reference herein.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and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This prospectus is part of a Registration Statement on Form F-3 that we filed with the SEC, utilizing a “shelf” registration process. By using a shelf registration statement, the Selling Securityholders named in the prospectus, as supplemented, may sell, from time to time and in one or more offerings, securities described in this prospectus. Any prospectus supplement that we file in connection with any specific offering by the Selling Securityholders may add, update or change information contained in this prospectus. If there is any inconsistency between the information in this prospectus and any applicable prospectus supplement, you should rely on the information contained in that particular prospectus supplement. This prospectus, and information incorporated by reference herein, includes important information about us, the securities being offered by us or the Selling Securityholders and other information you should know before investing. This prospectus does not contain all of the information provided in the registration statement that we filed with the SEC. Before purchasing any securities, you should read this prospectus and any prospectus supplement, together with the additional information described under the headings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“Information Incorporated by Reference.”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into this prospectus and any applicable prospectus supplement. We have not, and the Selling Securityholders have not, authorized anyone to provide you with any information or to make any representations other than those contained in this prospectus, or in any applicable prospectus supplement prepared by or on behalf of us or to which we have referred you. You should assume that the information appearing in this prospectus or any prospectus supplement is accurate only as of the date on its respective cover page and that any information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440" w:right="359" w:bottom="1440" w:gutter="0" w:footer="0" w:header="0"/>
        </w:sectPr>
      </w:pPr>
    </w:p>
    <w:bookmarkStart w:id="3" w:name="page4"/>
    <w:bookmarkEnd w:id="3"/>
    <w:p>
      <w:pPr>
        <w:ind w:right="700"/>
        <w:spacing w:after="0" w:line="282" w:lineRule="auto"/>
        <w:rPr>
          <w:sz w:val="20"/>
          <w:szCs w:val="20"/>
          <w:color w:val="auto"/>
        </w:rPr>
      </w:pPr>
      <w:r>
        <w:rPr>
          <w:rFonts w:ascii="Arial" w:cs="Arial" w:eastAsia="Arial" w:hAnsi="Arial"/>
          <w:sz w:val="18"/>
          <w:szCs w:val="18"/>
          <w:b w:val="1"/>
          <w:bCs w:val="1"/>
          <w:color w:val="auto"/>
        </w:rPr>
        <w:t>by reference into any of the foregoing is accurate only as of the date of such document incorporated by reference. Our business, financial condition, results of operations and prospects may have changed since those dates.</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Neither we nor the Selling Securityholders are making an offer to sell the securities covered by this prospectus in any jurisdiction where the offer or sale is not permitted. Except as otherwise set forth in this prospectus, neither we nor the Selling Securityholders have taken any action to permit a public offering of these securities outside the U.S. or to permit the possession or distribution of this prospectus outside the U.S. Persons outside the U.S. who come into possession of this prospectus must inform themselves about and observe any restrictions relating to the offering of these securities and the distribution of this prospectus outside the U.S.</w:t>
      </w:r>
    </w:p>
    <w:p>
      <w:pPr>
        <w:spacing w:after="0" w:line="13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financial statements of Polestar Automotive Holding UK PLC (formerly known as Polestar Automotive Holding UK Limited) as of December 31, 2022 and 2021 and for each of the three years in the period ended December 31, 2022 are incorporated in this prospectus by reference to the Company’s Annual Report on Form 20-F for the year ended December 31, 2022 (the “2022 Annual Report”), were prepared in accordance with International Financial Reporting Standards (“IFRS”) as issued by the International Accounting Standards Board (“IASB”) and are denominated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60"/>
          </w:cols>
          <w:pgMar w:left="320" w:top="1417" w:right="419" w:bottom="1440" w:gutter="0" w:footer="0" w:header="0"/>
        </w:sectPr>
      </w:pPr>
    </w:p>
    <w:bookmarkStart w:id="4" w:name="page5"/>
    <w:bookmarkEnd w:id="4"/>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documents listed below:</w:t>
      </w:r>
    </w:p>
    <w:p>
      <w:pPr>
        <w:spacing w:after="0" w:line="12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2022 Annual Report filed with the SEC on </w:t>
      </w:r>
      <w:hyperlink r:id="rId12">
        <w:r>
          <w:rPr>
            <w:rFonts w:ascii="Arial" w:cs="Arial" w:eastAsia="Arial" w:hAnsi="Arial"/>
            <w:sz w:val="18"/>
            <w:szCs w:val="18"/>
            <w:u w:val="single" w:color="auto"/>
            <w:color w:val="0000FF"/>
          </w:rPr>
          <w:t>April 14, 2023</w:t>
        </w:r>
      </w:hyperlink>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Company’s securities filed as </w:t>
      </w:r>
      <w:hyperlink r:id="rId13">
        <w:r>
          <w:rPr>
            <w:rFonts w:ascii="Arial" w:cs="Arial" w:eastAsia="Arial" w:hAnsi="Arial"/>
            <w:sz w:val="18"/>
            <w:szCs w:val="18"/>
            <w:u w:val="single" w:color="auto"/>
            <w:color w:val="0000FF"/>
          </w:rPr>
          <w:t>Exhibit 2.11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2022 Annual Report, and any amendment and report filed for the purpose of updating such description;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Company’s Reports on Form 6-K (excluding any information and/or exhibits identified therein as not being deemed “filed” for purposes of Section 18 of the Exchange Act) filed with the SEC on </w:t>
      </w:r>
      <w:hyperlink r:id="rId14">
        <w:r>
          <w:rPr>
            <w:rFonts w:ascii="Arial" w:cs="Arial" w:eastAsia="Arial" w:hAnsi="Arial"/>
            <w:sz w:val="18"/>
            <w:szCs w:val="18"/>
            <w:u w:val="single" w:color="auto"/>
            <w:color w:val="0000FF"/>
          </w:rPr>
          <w:t>May 11,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5">
        <w:r>
          <w:rPr>
            <w:rFonts w:ascii="Arial" w:cs="Arial" w:eastAsia="Arial" w:hAnsi="Arial"/>
            <w:sz w:val="18"/>
            <w:szCs w:val="18"/>
            <w:u w:val="single" w:color="auto"/>
            <w:color w:val="0000FF"/>
          </w:rPr>
          <w:t>June 20, 2023</w:t>
        </w:r>
      </w:hyperlink>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160"/>
        <w:spacing w:after="0" w:line="296" w:lineRule="auto"/>
        <w:rPr>
          <w:sz w:val="20"/>
          <w:szCs w:val="20"/>
          <w:color w:val="auto"/>
        </w:rPr>
      </w:pPr>
      <w:r>
        <w:rPr>
          <w:rFonts w:ascii="Arial" w:cs="Arial" w:eastAsia="Arial" w:hAnsi="Arial"/>
          <w:sz w:val="16"/>
          <w:szCs w:val="16"/>
          <w:color w:val="auto"/>
        </w:rPr>
        <w:t>We also incorporate by reference into this prospectus any further filings we make with the SEC under Sections 13(a), 13(c), 14 or 15(d) of the Exchange Act (other than information “furnished” and not filed with the SEC). Therefore, all Annual Reports on Form 20-F that we file with the SEC following the 2022 Annual Report and prior to the completion or termination of this offering, shall be incorporated by reference. We may also incorporate by reference any Reports on Form 6-K that we “furnish” to the SEC and in which we specifically identify information as being incorporated by reference into this prospectus after the date hereof and prior to the completion or termination of the offering of securities under this prospectus.</w:t>
      </w:r>
    </w:p>
    <w:p>
      <w:pPr>
        <w:spacing w:after="0" w:line="107" w:lineRule="exact"/>
        <w:rPr>
          <w:rFonts w:ascii="Arial" w:cs="Arial" w:eastAsia="Arial" w:hAnsi="Arial"/>
          <w:sz w:val="18"/>
          <w:szCs w:val="18"/>
          <w:color w:val="auto"/>
        </w:rPr>
      </w:pPr>
    </w:p>
    <w:p>
      <w:pPr>
        <w:ind w:right="20"/>
        <w:spacing w:after="0" w:line="290" w:lineRule="auto"/>
        <w:rPr>
          <w:sz w:val="20"/>
          <w:szCs w:val="20"/>
          <w:color w:val="auto"/>
        </w:rPr>
      </w:pPr>
      <w:r>
        <w:rPr>
          <w:rFonts w:ascii="Arial" w:cs="Arial" w:eastAsia="Arial" w:hAnsi="Arial"/>
          <w:sz w:val="16"/>
          <w:szCs w:val="16"/>
          <w:color w:val="auto"/>
        </w:rPr>
        <w:t>We have filed with the SEC a registration statement of which this prospectus forms a part under the Securities Act, covering the securities to be offered and sold by this prospectus and any applicable prospectus supplement. This prospectus does not contain all of the information included in such registration statement, some of which is contained in exhibits to the registration statement. The registration statement, including the exhibits, can be read at the SEC website referred to below under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Any statement made in this prospectus or any prospectus supplement concerning the contents of any contract, agreement or other document is only a summary of the actual contract, agreement or other document. If we have filed any contract, document, agreement or other document as an exhibit to the registration statement or any other document incorporated herein by reference, you should read the exhibit for a more complete understanding of the document or matter involved. Each summary or statement regarding a contract, agreement or other document is qualified in its entirety by reference to the actual complete document.</w:t>
      </w:r>
    </w:p>
    <w:p>
      <w:pPr>
        <w:spacing w:after="0" w:line="111" w:lineRule="exact"/>
        <w:rPr>
          <w:rFonts w:ascii="Arial" w:cs="Arial" w:eastAsia="Arial" w:hAnsi="Arial"/>
          <w:sz w:val="18"/>
          <w:szCs w:val="18"/>
          <w:color w:val="auto"/>
        </w:rPr>
      </w:pPr>
    </w:p>
    <w:p>
      <w:pPr>
        <w:spacing w:after="0" w:line="291" w:lineRule="auto"/>
        <w:rPr>
          <w:sz w:val="20"/>
          <w:szCs w:val="20"/>
          <w:color w:val="auto"/>
        </w:rPr>
      </w:pPr>
      <w:r>
        <w:rPr>
          <w:rFonts w:ascii="Arial" w:cs="Arial" w:eastAsia="Arial" w:hAnsi="Arial"/>
          <w:sz w:val="16"/>
          <w:szCs w:val="16"/>
          <w:color w:val="auto"/>
        </w:rPr>
        <w:t>You can obtain any of the filings, documents or information incorporated by reference in this prospectus through us or from the SEC through the SEC’s website at www.sec.gov. Our filings with the SEC, including our Annual Reports on Form 20-F and Reports on Form 6-K and exhibits incorporated therein and amendments to those reports, are also available free of charge on our website (https://www.polestar.com/us/)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Polestar Automotive Holding UK PLC, Assar Gabrielssons Väg 9, 405 31 Gothenburg, Sweden, +1 (949) 735 1834.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00"/>
          </w:cols>
          <w:pgMar w:left="320" w:top="1440" w:right="379" w:bottom="1440" w:gutter="0" w:footer="0" w:header="0"/>
        </w:sectPr>
      </w:pPr>
    </w:p>
    <w:bookmarkStart w:id="5" w:name="page6"/>
    <w:bookmarkEnd w:id="5"/>
    <w:p>
      <w:pPr>
        <w:spacing w:after="0" w:line="14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CERTAIN DEFINED TERMS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 securities” or “ADSs” means Class A ADSs and Class C ADSs.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“ADS Deposit Agreement—Class A ADSs” means the ADS Deposit Agreement, by and among the Company, Citibank, N.A., as depositary, and all holders and beneficial owners from time to time of American depositary shares issued thereunder and representing deposited Class A Shares, a copy of which is filed as an exhibit to the registration statement of which this prospectus forms a part.</w:t>
      </w:r>
    </w:p>
    <w:p>
      <w:pPr>
        <w:spacing w:after="0" w:line="13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“ADS Deposit Agreement—Class C-1 ADSs”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the registration statement of which this prospectus forms a part.</w:t>
      </w:r>
    </w:p>
    <w:p>
      <w:pPr>
        <w:spacing w:after="0" w:line="1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“ADS Deposit Agreement—Class C-2 ADSs”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the registration statement of which this prospectus forms a part.</w:t>
      </w:r>
    </w:p>
    <w:p>
      <w:pPr>
        <w:spacing w:after="0" w:line="11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“Amendment No. 1 to the Business Combination Agreement” means that certain amendment to the Business Combination Agreement, dated as of December 17, 2021, a copy of which is filed as an exhibit to the registration statement of which this prospectus forms a part.</w:t>
      </w:r>
    </w:p>
    <w:p>
      <w:pPr>
        <w:spacing w:after="0" w:line="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“Amendment No. 2 to the Business Combination Agreement” means that certain amendment to the Business Combination Agreement, dated as of March 24, 2022, a copy of which is filed as an exhibit to the registration statement of which this prospectus forms a part.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“Amendment No. 3 to the Business Combination Agreement” means that certain amendment to the Business Combination Agreement, dated as of April 21, 2022, a copy of which is filed as an exhibit to the registration statement of which this prospectus forms a part.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“Business Combination” means the transactions contemplated by the Business Combination Agreement, including the Merger, and the other transactions contemplated by the other transaction documents contemplated by the Business Combination Agreement.</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Combination Agreement”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Former Parent, Polestar Singapore, Polestar Sweden and Merger Sub, a copy of which is filed as an exhibit to the registration statement of which this prospectus forms a part.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Closing” means the closing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Closing Date” means the date of the Business Combination Closing or June 23, 2022.</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“Class A ADS” means one American depositary share of the Company duly and validly issued against the deposit with the Depositary of an underlying Class A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“Class A Shares” means Class A ordinary shares of the Company, entitling the holder thereof to one vote per share.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“Class B ADS” means one American depositary share of the Company duly and validly issued against the deposit with the Depositary of an underlying Class B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00"/>
          </w:cols>
          <w:pgMar w:left="320" w:top="1440"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“Class B Shares” means Class B ordinary shares of the Company, entitling the holder thereof to 10 votes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“Class C ADSs” means Class C-1 ADSs and Class C-2 ADSs.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“Class C Shares” means Class C-1 Shares and Class C-2 Shares.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“Class C Warrant Amendment”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the registration statement of which this prospectus forms a part.</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“Class C-1 ADS”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“Class C-1 Share” means a class C-1 ordinary share in the share capital of the Company, each of which underlies a Class C-1 ADS and is exercisable for one Class A Share.</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“Class C-2 ADS”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“Class C-2 Share” means a class C-2 ordinary share in the share capital of the Company, each of which underlies a Class C-2 ADS and is exercisable for one Class A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U.S. Internal Revenue Code of 1986, as amended.</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“Company”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“Company securities” means the Shares and Class C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“Companies Act” means the U.K. Companies Act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PIPE Investment” means the purchase of December PIPE Shares pursuant to the December PIPE Subscription Agreements.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“December PIPE Investors” means the purchasers of December PIPE Shares in the December PIPE Investment, which include certain affiliates and employees of the GGI Sponsor.</w:t>
      </w:r>
    </w:p>
    <w:p>
      <w:pPr>
        <w:spacing w:after="0" w:line="11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“December PIPE Shares” means the Class A Shares in the form of Class A ADSs purchased by December PIPE Investors in the December PIPE Investment.</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PIPE Subscription Agreements” means the share subscription agreements, dated December 17, 2021, by and among the Company, GGI and the December PIPE Investors pursuant to which the December PIPE Investors purchased the December PIPE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“Deferred Shares” means the deferred shares of USD 0.01 each in the capital of the Company that have no right to vote or dividend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“Deloitte” means Deloitte AB,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20"/>
          </w:cols>
          <w:pgMar w:left="320" w:top="1421" w:right="359" w:bottom="1440" w:gutter="0" w:footer="0" w:header="0"/>
        </w:sectPr>
      </w:pPr>
    </w:p>
    <w:bookmarkStart w:id="7" w:name="page8"/>
    <w:bookmarkEnd w:id="7"/>
    <w:p>
      <w:pPr>
        <w:ind w:right="640"/>
        <w:spacing w:after="0" w:line="277" w:lineRule="auto"/>
        <w:rPr>
          <w:sz w:val="20"/>
          <w:szCs w:val="20"/>
          <w:color w:val="auto"/>
        </w:rPr>
      </w:pPr>
      <w:r>
        <w:rPr>
          <w:rFonts w:ascii="Arial" w:cs="Arial" w:eastAsia="Arial" w:hAnsi="Arial"/>
          <w:sz w:val="18"/>
          <w:szCs w:val="18"/>
          <w:color w:val="auto"/>
        </w:rPr>
        <w:t>“Deposit Agreements” means the ADS Deposit Agreement—Class A ADSs, the ADS Deposit Agreement—Class C-1 ADSs and the ADS Deposit Agreement—Class C-2 ADSs.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“Depositary” means Citibank, N.A., acting as depositary under the Deposit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“Earn Out Class A Shares” means the earn out shares issuable by the Company in the form of Class A ADSs.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“Earn Out Class B Shares” means the earn out shares issuable by the Company in the form of Class B ADSs.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 Out Shares” means earn out shares from the Company issuable in Class A ADSs and Class B ADS to certain Former Parent Shareholders depending on share price performance of Polestar.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means Polestar Automotive Holding UK PLC 2022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“Equity Plan” means the Polestar Automotive Holding UK PLC 2022 Omnibus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 together with the rules and regulations promulgated thereunder.</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“Former Parent” means Polestar Automotive Holding Limited, a Hong Kong incorporated company, which is in the process of completing its voluntary liquidation that commenced on October 19, 2022.</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“Former Parent Convertible Notes” means the convertible notes of Former Parent outstanding as of immediately prior to the Business Combination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“Former Parent Convertible Note Holders” means the holders of the Former Parent Convertible Notes.</w:t>
      </w:r>
    </w:p>
    <w:p>
      <w:pPr>
        <w:spacing w:after="0" w:line="171" w:lineRule="exact"/>
        <w:rPr>
          <w:sz w:val="20"/>
          <w:szCs w:val="20"/>
          <w:color w:val="auto"/>
        </w:rPr>
      </w:pPr>
    </w:p>
    <w:p>
      <w:pPr>
        <w:ind w:right="40"/>
        <w:spacing w:after="0" w:line="357" w:lineRule="auto"/>
        <w:rPr>
          <w:sz w:val="20"/>
          <w:szCs w:val="20"/>
          <w:color w:val="auto"/>
        </w:rPr>
      </w:pPr>
      <w:r>
        <w:rPr>
          <w:rFonts w:ascii="Arial" w:cs="Arial" w:eastAsia="Arial" w:hAnsi="Arial"/>
          <w:sz w:val="17"/>
          <w:szCs w:val="17"/>
          <w:color w:val="auto"/>
        </w:rPr>
        <w:t xml:space="preserve">“Former Parent Shareholders” means Snita, PSINV AB, PSD Investment Limited, GLY New Mobility 1. LP, Northpole GLY 1 LP, Chongqing Liangjiang </w:t>
      </w:r>
      <w:r>
        <w:rPr>
          <w:sz w:val="1"/>
          <w:szCs w:val="1"/>
          <w:color w:val="auto"/>
        </w:rPr>
        <w:drawing>
          <wp:inline distT="0" distB="0" distL="0" distR="0">
            <wp:extent cx="1457325" cy="1200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457325" cy="120015"/>
                    </a:xfrm>
                    <a:prstGeom prst="rect">
                      <a:avLst/>
                    </a:prstGeom>
                    <a:noFill/>
                    <a:ln>
                      <a:noFill/>
                    </a:ln>
                  </pic:spPr>
                </pic:pic>
              </a:graphicData>
            </a:graphic>
          </wp:inline>
        </w:drawing>
      </w:r>
      <w:r>
        <w:rPr>
          <w:rFonts w:ascii="Arial" w:cs="Arial" w:eastAsia="Arial" w:hAnsi="Arial"/>
          <w:sz w:val="17"/>
          <w:szCs w:val="17"/>
          <w:color w:val="auto"/>
        </w:rPr>
        <w:t>, Zibo Financial Holding Group Co., Ltd. and Zibo High-Tech Industrial Investment Co., Ltd.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“Geely” means Zhejiang Geely Holding Group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“GGI” means Gores Guggenheim,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“GGI Class A Common Stock” means the shares of Class A common stock, par value $0.0001 per share, of GGI.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“GGI Class F Common Stock” means the shares of Class F common stock, par value $0.0001 per share, of GGI.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“GGI Common Stock” means the GGI Class A Common Stock and the GGI Class F Common Stock.</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“GGI Public Warrants” means the warrants included in the GGI public units (consisting of one share of GGI Class A Common Stock and one-fifth of one GGI Public Warrant) issued in the GGI initial public offering, consummated on March 25, 2021.</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“GGI Sponsor” means Gores Guggenheim Sponsor LLC, a Delaware limited liability company and its affiliates, including The Gores Group,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“GGI Warrants” means, collectively, the GGI Private Placement Warrants and the GGI Public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“Initial PIPE Investment” means the purchase of Initial PIPE Shares pursuant to the Initial PIPE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20"/>
          </w:cols>
          <w:pgMar w:left="320" w:top="1421"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“Initial PIPE Investors” means the purchasers of Initial PIPE Shares in the Initial PIPE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“Initial PIPE Shares” means the Class A Shares in the form of Class A ADSs purchased by Initial PIPE Investors in the Initial PIPE Investment.</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“Initial PIPE Subscription Agreements” means the share subscription agreements, dated September 27, 2021, by and among the Company, GGI and the Initial PIPE Investors pursuant to which the Initial PIPE Investors purchased the Initial PIPE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“IRS” means the U.S. Internal Revenue Service.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“March PIPE Investors” means the purchasers of March PIPE Shares in the March PIPE Investment, which include certain affiliates and employees of the GGI Sponsor.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“March PIPE Shares” means the Class A Shares in the form of Class A ADSs purchased by March PIPE Investors in the March PIPE Investment.</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“March PIPE Subscription Agreements” means the shares subscription agreements, dated March 24, 2022, by and among the Company, GGI and the March PIPE Investors pursuant to which the March PIPE Investors purchased the March PIPE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“March Sponsor Investment” means the purchase of March PIPE Shares pursuant to the March PIPE Subscription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between Merger Sub and GGI, with GGI surviving as a direct wholly owned subsidiary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“Merger Sub” means PAH UK Merger Sub Inc., a Delaware corporation and a direct wholly owned subsidiary of the Company until June 23,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“Nasdaq” means the National Association of Securities Dealers Automated Quotations Global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“PIPE Investment” means the purchase of PIPE Shares pursuant to the PIPE Subscription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“PIPE Investors” means the purchasers of PIPE Shares in the PIPE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“PIPE Shares” means the Class A Shares in the form of Class A ADSs purchased by PIPE Investors in the PIPE Investment.</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“PIPE Subscription Agreements” means the Initial PIPE Subscription Agreements, the December PIPE Subscription Agreements and the March PIPE Subscription Agreements.</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“Polestar” means, as the context requires, (i) in general Former Parent and its subsidiaries prior to the Business Combination Closing, (ii) in the context of the Business Combination, the Pre-Closing Reorganization and the Pre-Closing Sweden/Singapore Share Transfer, Polestar Sweden, or, both Polestar Singapore and Polestar Sweden if at any time (x) Polestar Sweden is not a wholly-owned subsidiary of Polestar Singapore or (y) Polestar Singapore is not a wholly-owned subsidiary of Polestar Sweden, or (iii) the Company or Polestar Group after the Business Combination Closing.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“Polestar Articles” means the Articles of Association of Polestar.</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“Polestar Group” means Former Parent, together with its subsidiaries prior to the Business Combination Closing and the Company and its subsidiaries following the Business Combination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“Polestar Singapore” means Polestar Automotive (Singapore) Pte. Ltd., a private company limited by shares in Singapore.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“Polestar Sweden” means Polestar Holding AB, a private limited liability company incorporated under the laws of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40"/>
          </w:cols>
          <w:pgMar w:left="320" w:top="1421" w:right="339" w:bottom="1440" w:gutter="0" w:footer="0" w:header="0"/>
        </w:sectPr>
      </w:pPr>
    </w:p>
    <w:bookmarkStart w:id="9" w:name="page10"/>
    <w:bookmarkEnd w:id="9"/>
    <w:p>
      <w:pPr>
        <w:ind w:right="220"/>
        <w:spacing w:after="0"/>
        <w:rPr>
          <w:sz w:val="20"/>
          <w:szCs w:val="20"/>
          <w:color w:val="auto"/>
        </w:rPr>
      </w:pPr>
      <w:r>
        <w:rPr>
          <w:rFonts w:ascii="Arial" w:cs="Arial" w:eastAsia="Arial" w:hAnsi="Arial"/>
          <w:sz w:val="18"/>
          <w:szCs w:val="18"/>
          <w:color w:val="auto"/>
        </w:rPr>
        <w:t>“Pre-Closing Reorganization” means the reorganization effectuated by Former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“Pre-Closing Sweden/Singapore Share Transfer” means, collectively, the following transactions contemplated under the Business Combination Agreement:</w:t>
      </w:r>
    </w:p>
    <w:p>
      <w:pPr>
        <w:spacing w:after="0" w:line="35" w:lineRule="exact"/>
        <w:rPr>
          <w:sz w:val="20"/>
          <w:szCs w:val="20"/>
          <w:color w:val="auto"/>
        </w:rPr>
      </w:pPr>
    </w:p>
    <w:p>
      <w:pPr>
        <w:ind w:right="160" w:firstLine="8"/>
        <w:spacing w:after="0" w:line="234"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transfer by Polestar Singapore to Former Parent of all of the issued and outstanding equity securities of Polestar Sweden (the “Pre-Closing Sweden Share Transfer”) and (ii) after the Pre-Closing Sweden Share Transfer, the contribution by Former Parent to Polestar Sweden of all of the issued and outstanding equity securities of Polestar Singapore.</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“Registration Rights Agreement” means the registration rights agreement, dated September 27, 2021, by and among the Company, Former Parent, the Former Parent Shareholders, the GGI Sponsor and the independent directors of GGI (such persons, together with the GGI Sponsor and the Former Parent Shareholders, the “Registration Rights Holders”), as amended by the Registration Rights Agreement Amendment No. 1, the Registration Rights Agreement Amendment No. 2 and the Registration Rights Agreement Amendment No. 3.</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“Registration Rights Agreement Amendment No. 1” means that certain amendment to the Registration Rights Agreement, dated December 17, 2021, by and among the Company and the Registration Rights Holders.</w:t>
      </w:r>
    </w:p>
    <w:p>
      <w:pPr>
        <w:spacing w:after="0" w:line="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“Registration Rights Agreement Amendment No. 2” means that certain amendment to the Registration Rights Agreement, dated March 24, 2022, by and among the Company and the Registration Rights Holders.</w:t>
      </w:r>
    </w:p>
    <w:p>
      <w:pPr>
        <w:spacing w:after="0" w:line="6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“Registration Rights Agreement Amendment No. 3” means that certain amendment to the Registration Rights Agreement, dated April 26, 2023, by and among the Company and the Registration Rights Holders.</w:t>
      </w:r>
    </w:p>
    <w:p>
      <w:pPr>
        <w:spacing w:after="0" w:line="7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“Resale Securities” means the Class A ADSs and Class C ADSs being offered and offered for resale in the prospectus that forms a part of the Shelf Registration Statement.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“Rule 144” means Rule 144 under the Securities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means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U.S. Securities Act of 1933, as amended, and the rules and regulations promulgated thereunder.</w:t>
      </w:r>
    </w:p>
    <w:p>
      <w:pPr>
        <w:spacing w:after="0" w:line="117" w:lineRule="exact"/>
        <w:rPr>
          <w:sz w:val="20"/>
          <w:szCs w:val="20"/>
          <w:color w:val="auto"/>
        </w:rPr>
      </w:pPr>
    </w:p>
    <w:p>
      <w:pPr>
        <w:ind w:right="480"/>
        <w:spacing w:after="0" w:line="307" w:lineRule="auto"/>
        <w:rPr>
          <w:sz w:val="20"/>
          <w:szCs w:val="20"/>
          <w:color w:val="auto"/>
        </w:rPr>
      </w:pPr>
      <w:r>
        <w:rPr>
          <w:rFonts w:ascii="Arial" w:cs="Arial" w:eastAsia="Arial" w:hAnsi="Arial"/>
          <w:sz w:val="16"/>
          <w:szCs w:val="16"/>
          <w:color w:val="auto"/>
        </w:rPr>
        <w:t>“Shareholder Acknowledgement Agreement” means the shareholder acknowledgement, dated September 27, 2021, by and among Former Parent, the Former Parent Shareholders, Volvo Car Corporation and the Company, as amended by the Shareholder Acknowledgement Agreement Amendment.</w:t>
      </w:r>
    </w:p>
    <w:p>
      <w:pPr>
        <w:spacing w:after="0" w:line="4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“Shareholder Acknowledgement Agreement Amendment” means that certain amendment to the Shareholder Acknowledgement Agreement, dated March 24,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“Shares” means the Class A Shares and the Class B Shares.</w:t>
      </w:r>
    </w:p>
    <w:p>
      <w:pPr>
        <w:spacing w:after="0" w:line="11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“Shelf Registration Statement” means the Registration Statement on Form F-1 that the Company initially filed on July 12, 2022, and subsequently updated and supplemented, including with the Post-Effective Amendment No. 3 of which this prospectus forms a part and that converted such Registration Statement on Form F-1 to a Registration Statement on Form F-3.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“Snita” means Snita Holding B.V., a corporation organized under the laws of the Netherlands and a wholly owned subsidiary of Volvo Car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“Snita Term Loan Facility” means the Term Loan Facility, dated November 3, 2022, between the Company, as borrower, and Snita, as lender.</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“SPAC Warrant Agreement”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the registration statement of which this prospectus forms a part.</w:t>
      </w:r>
    </w:p>
    <w:p>
      <w:pPr>
        <w:spacing w:after="0" w:line="6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“SPAC Warrant Agreement Amendment” means that certain Amendment to the SPAC Warrant Agreement, by and between GGI and Computershare Trust Company, N.A., as warrant agent, dated as of April 7, 2022, a copy of which is filed as an exhibit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20"/>
          </w:cols>
          <w:pgMar w:left="320" w:top="1408" w:right="359" w:bottom="1440" w:gutter="0" w:footer="0" w:header="0"/>
        </w:sectPr>
      </w:pPr>
    </w:p>
    <w:bookmarkStart w:id="10" w:name="page11"/>
    <w:bookmarkEnd w:id="10"/>
    <w:p>
      <w:pPr>
        <w:ind w:right="360"/>
        <w:spacing w:after="0" w:line="277" w:lineRule="auto"/>
        <w:rPr>
          <w:sz w:val="20"/>
          <w:szCs w:val="20"/>
          <w:color w:val="auto"/>
        </w:rPr>
      </w:pPr>
      <w:r>
        <w:rPr>
          <w:rFonts w:ascii="Arial" w:cs="Arial" w:eastAsia="Arial" w:hAnsi="Arial"/>
          <w:sz w:val="18"/>
          <w:szCs w:val="18"/>
          <w:color w:val="auto"/>
        </w:rPr>
        <w:t>“Sponsor Subscription Agreement” means the subscription agreement, dated September 27, 2021, as amended and restated on December 17, 2021 and amended on March 24, 2022, by and among GGI, the Company and the GGI Sponsor.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“Sponsor Subscription Investment” means the purchase of the Sponsor Subscription Shares pursuant to the Sponsor Subscription Agreement.</w:t>
      </w:r>
    </w:p>
    <w:p>
      <w:pPr>
        <w:spacing w:after="0" w:line="18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“Sponsor Subscription Shares” means the Class A Shares in the form of Class A ADSs purchased by the GGI Sponsor in the Sponsor Subscription Investment.</w:t>
      </w:r>
    </w:p>
    <w:p>
      <w:pPr>
        <w:spacing w:after="0" w:line="1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“Subscription Agreements” means the PIPE Subscription Agreements, the Sponsor Subscription Agreement and the Volvo Cars PIPE Subscription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“Subscription Investments” means the purchase of the Subscription Shares pursuant to the Subscription Agreements.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“Subscription Shares”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 means The Gores Group, LLC, an affiliate of the GGI Sponsor.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“TUSD” means thousands of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Dollars” and “USD” and “$” means United States dollars, the legal currency of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GAAP” means generally accepted accounting principles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or “UK” means the United Kingdom of Great Britain and Northern Ireland and its territories and possessions.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or “US” means the United States of America and its territories and possessions.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“Volvo Cars” means Volvo Car AB (publ) and its subsidiaries.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“Volvo Cars PIPE Subscription Agreement” means the subscription agreement, dated September 27, 2021, as amended and restated on December 17, 2021 and amended on March 24, 2022, by and among GGI, the Company and Volvo Cars, pursuant to which Volvo Cars via its subsidiary Snita purchased 1,117,390 Volvo Cars PIPE Subscription Shares for a purchase price of $10.00 per share.</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“Volvo Cars PIPE Subscription Investment” means the purchase of Volvo Cars PIPE Subscription Shares pursuant to the Volvo Cars PIPE Subscription Agreement.</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“Volvo Cars PIPE Subscription Shares” means the Class A Shares in the form of Class A ADSs purchased by Snita in the Volvo Cars PIPE Subscription Investment.</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“Volvo Cars Preference Subscription Agreement” means the subscription agreement, dated September 27, 2021, by and between the Company and Snita as amended on March 24, 2022, pursuant to which Snita purchased, at Business Combination Closing, mandatory convertible preference shares of the Company for an aggregate subscription price of $10.00 per share, for an aggregate investment amount equal to TUSD588,826.</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“Volvo Cars Preference Subscription Investment” means the purchase of the Volvo Cars Preference Subscription Shares pursuant to the Volvo Cars Preference Subscription Agreement.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“Volvo Cars Preference Subscription Shares” means the mandatory convertible preference shares of the Company purchased by Snita pursuant to the Volvo Cars Preference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200"/>
          </w:cols>
          <w:pgMar w:left="320" w:top="1421" w:right="379" w:bottom="1440" w:gutter="0" w:footer="0" w:header="0"/>
        </w:sectPr>
      </w:pPr>
    </w:p>
    <w:bookmarkStart w:id="11" w:name="page12"/>
    <w:bookmarkEnd w:id="11"/>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prospectus and the information incorporated by reference herein includes, or may include,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the information incorporated herein by reference and include statements regarding Polestar’s intentions, beliefs or current expectations concerning, among other things: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future market launches and expansion and the signing of additional agreements or the consummation of other transactions in connection with the Company’s establishment and operation of a joint venture company under the laws of the People’s Republic of China with Hubei Xingji Meizu Group Co., Ltd. (“Xingji Meizu”) (the “Joint Venture”); and expected benefits from the Joint Venture, including sales growth and the development, design and manufacturing of new devices, products, apps or operating systems.</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GGI or Polestar in connection with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continue to meet stock exchange listing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Polestar’s securities’ potential liquidity and trading;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71" w:lineRule="exact"/>
        <w:rPr>
          <w:rFonts w:ascii="Arial" w:cs="Arial" w:eastAsia="Arial" w:hAnsi="Arial"/>
          <w:sz w:val="18"/>
          <w:szCs w:val="18"/>
          <w:color w:val="auto"/>
        </w:rPr>
      </w:pPr>
    </w:p>
    <w:p>
      <w:pPr>
        <w:jc w:val="both"/>
        <w:ind w:left="660" w:right="3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Polestar’s ability to enter into or maintain agreements or partnerships with its strategic partners, such as Volvo Cars, Geely and Xingji Meizu, original equipment manufacturers, vendors and technology providers, and to source new suppliers for its critical components, and to complete building out its supply chain, while effectively managing the risks due to such relationships;</w:t>
      </w:r>
    </w:p>
    <w:p>
      <w:pPr>
        <w:spacing w:after="0" w:line="129" w:lineRule="exact"/>
        <w:rPr>
          <w:rFonts w:ascii="Arial" w:cs="Arial" w:eastAsia="Arial" w:hAnsi="Arial"/>
          <w:sz w:val="18"/>
          <w:szCs w:val="18"/>
          <w:color w:val="auto"/>
        </w:rPr>
      </w:pPr>
    </w:p>
    <w:p>
      <w:pPr>
        <w:ind w:left="660" w:right="14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117" w:lineRule="exact"/>
        <w:rPr>
          <w:rFonts w:ascii="Arial" w:cs="Arial" w:eastAsia="Arial" w:hAnsi="Arial"/>
          <w:sz w:val="17"/>
          <w:szCs w:val="17"/>
          <w:color w:val="auto"/>
        </w:rPr>
      </w:pPr>
    </w:p>
    <w:p>
      <w:pPr>
        <w:ind w:left="660" w:right="3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design, manufacture, launch and financing of Polestar’s vehicles and other product offerings, including devices, products, apps or operating systems developed by the Joint Venture, and Polestar’s reliance on a limited number of vehicle models to generate revenues;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200"/>
          </w:cols>
          <w:pgMar w:left="320" w:top="1440" w:right="379" w:bottom="1440" w:gutter="0" w:footer="0" w:header="0"/>
        </w:sectPr>
      </w:pPr>
    </w:p>
    <w:bookmarkStart w:id="12" w:name="page13"/>
    <w:bookmarkEnd w:id="12"/>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product recalls, regulatory fines and/or an unexpectedly high volume of warranty claims;</w:t>
      </w:r>
    </w:p>
    <w:p>
      <w:pPr>
        <w:spacing w:after="0" w:line="171" w:lineRule="exact"/>
        <w:rPr>
          <w:rFonts w:ascii="Arial" w:cs="Arial" w:eastAsia="Arial" w:hAnsi="Arial"/>
          <w:sz w:val="18"/>
          <w:szCs w:val="18"/>
          <w:color w:val="auto"/>
        </w:rPr>
      </w:pPr>
    </w:p>
    <w:p>
      <w:pPr>
        <w:ind w:left="328" w:right="80" w:hanging="328"/>
        <w:spacing w:after="0" w:line="286"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Polestar’s reliance on its partners, some of which may have limited experience with electric vehicles, to manufacture vehicles at a high volume or develop devices, products, apps or operating systems for Polestar, and on the allocation of sufficient production capacity or resources to Polestar by its partners in order for Polestar to be able to increase its vehicle production capacities and product offerings;</w:t>
      </w:r>
    </w:p>
    <w:p>
      <w:pPr>
        <w:spacing w:after="0" w:line="111" w:lineRule="exact"/>
        <w:rPr>
          <w:rFonts w:ascii="Arial" w:cs="Arial" w:eastAsia="Arial" w:hAnsi="Arial"/>
          <w:sz w:val="17"/>
          <w:szCs w:val="17"/>
          <w:color w:val="auto"/>
        </w:rPr>
      </w:pPr>
    </w:p>
    <w:p>
      <w:pPr>
        <w:ind w:left="328" w:right="46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the ability of Polestar to grow and manage growth profitably, maintain relationships with customers and suppliers and retain its management and key employees;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Polestar may be adversely affected by other economic, business, and/or competitive factors;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future market adoption of Polestar’s offerings;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Polestar’s distribution model;</w:t>
      </w:r>
    </w:p>
    <w:p>
      <w:pPr>
        <w:spacing w:after="0" w:line="171" w:lineRule="exact"/>
        <w:rPr>
          <w:rFonts w:ascii="Arial" w:cs="Arial" w:eastAsia="Arial" w:hAnsi="Arial"/>
          <w:sz w:val="18"/>
          <w:szCs w:val="18"/>
          <w:color w:val="auto"/>
        </w:rPr>
      </w:pPr>
    </w:p>
    <w:p>
      <w:pPr>
        <w:ind w:left="328" w:right="280" w:hanging="328"/>
        <w:spacing w:after="0" w:line="342"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effects of competition and the high barriers to entry in the automotive industry, the pace and depth of electric vehicle adoption generally on Polestar’s future business, and the risk of other competing propulsion technologies, such as hydrogen fuel cells, gaining market acceptance;</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regulatory requirements (including environmental laws and regulations), governmental incentives and fuel and energy prices;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rapidly innovate;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laws or regulations and with Polestar’s international operations;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Polestar’s ability to effectively manage its growth and recruit and retain key employees, including its chief executive officer and executive team;</w:t>
      </w:r>
    </w:p>
    <w:p>
      <w:pPr>
        <w:spacing w:after="0" w:line="194" w:lineRule="exact"/>
        <w:rPr>
          <w:rFonts w:ascii="Arial" w:cs="Arial" w:eastAsia="Arial" w:hAnsi="Arial"/>
          <w:sz w:val="16"/>
          <w:szCs w:val="16"/>
          <w:color w:val="auto"/>
        </w:rPr>
      </w:pPr>
    </w:p>
    <w:p>
      <w:pPr>
        <w:ind w:left="328" w:right="34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reliance on the development of vehicle charging networks to provide charging solutions for its vehicles and its strategic partners for servicing its vehicles and their integrated software;</w:t>
      </w:r>
    </w:p>
    <w:p>
      <w:pPr>
        <w:spacing w:after="0" w:line="116" w:lineRule="exact"/>
        <w:rPr>
          <w:rFonts w:ascii="Arial" w:cs="Arial" w:eastAsia="Arial" w:hAnsi="Arial"/>
          <w:sz w:val="18"/>
          <w:szCs w:val="18"/>
          <w:color w:val="auto"/>
        </w:rPr>
      </w:pPr>
    </w:p>
    <w:p>
      <w:pPr>
        <w:ind w:left="328" w:right="44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establish its brand and capture additional market share, and the risks associated with negative press or reputational harm, including from lithium-ion battery cells catching fire or venting smoke;</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continuously and rapidly innovate, develop and market new products;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0888"/>
          </w:cols>
          <w:pgMar w:left="652" w:top="1421" w:right="359" w:bottom="1440" w:gutter="0" w:footer="0" w:header="0"/>
        </w:sectPr>
      </w:pPr>
    </w:p>
    <w:bookmarkStart w:id="13" w:name="page14"/>
    <w:bookmarkEnd w:id="13"/>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need to raise additional funds to support business growth;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risks, uncertainties and information included in this prospectus and incorporated by reference herein.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200"/>
          </w:cols>
          <w:pgMar w:left="320" w:top="1421" w:right="3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599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6130" cy="759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this prospectus or incorporated by reference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and any related prospectus supplement, including the information set forth in the sections entitled “Risk Factors” or “Information Incorporated by Reference” in this prospectus and any related prospectus supplement in their entirety before making an investment decision.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Polestar is a pure play, premium electric performance car brand headquartered in Sweden, designing products engineered to excite consumers and drive change. Polestar is determined to improve society by accelerating the shift to sustainable mobility. Polestar believes that it defines market-leading standards in design, innovation and sustainability.</w:t>
      </w:r>
    </w:p>
    <w:p>
      <w:pPr>
        <w:spacing w:after="0" w:line="13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highlight w:val="white"/>
        </w:rPr>
        <w:t>Polestar was established as a premium electric car brand by Volvo Cars and Geely in 2017. Polestar benefits from the technological, engineering and manufacturing capabilities of these established global car manufacturers, and has an asset-light, highly scalable business model with immediate operating leverage. The combination of deep automotive expertise, paired with cutting-edge technologies and an agile, entrepreneurial culture, underpins Polestar’s differentiation, potential for growth and success.</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highlight w:val="white"/>
        </w:rPr>
        <w:t>The Company’s Class A ADSs and Class C-1 ADSs are listed on the Nasdaq, under the trading symbols “PSNY” and “PSNYW,”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w:t>
      </w:r>
    </w:p>
    <w:p>
      <w:pPr>
        <w:spacing w:after="0" w:line="17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130" w:lineRule="exact"/>
        <w:rPr>
          <w:sz w:val="20"/>
          <w:szCs w:val="20"/>
          <w:color w:val="auto"/>
        </w:rPr>
      </w:pPr>
    </w:p>
    <w:p>
      <w:pPr>
        <w:ind w:left="660" w:right="600" w:hanging="32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16" w:lineRule="exact"/>
        <w:rPr>
          <w:rFonts w:ascii="Arial" w:cs="Arial" w:eastAsia="Arial" w:hAnsi="Arial"/>
          <w:sz w:val="18"/>
          <w:szCs w:val="18"/>
          <w:color w:val="auto"/>
        </w:rPr>
      </w:pPr>
    </w:p>
    <w:p>
      <w:pPr>
        <w:ind w:left="660" w:right="420" w:hanging="32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16" w:lineRule="exact"/>
        <w:rPr>
          <w:rFonts w:ascii="Arial" w:cs="Arial" w:eastAsia="Arial" w:hAnsi="Arial"/>
          <w:sz w:val="18"/>
          <w:szCs w:val="18"/>
          <w:color w:val="auto"/>
        </w:rPr>
      </w:pPr>
    </w:p>
    <w:p>
      <w:pPr>
        <w:ind w:left="660" w:right="180" w:hanging="327"/>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900"/>
          </w:cols>
          <w:pgMar w:left="980" w:top="1440" w:right="10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85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6130" cy="70853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requirements and may elect not to obtain shareholders’ approval prior to any further issuance of our Class A ADSs other than as may be required by the laws of England and Wales.</w:t>
      </w:r>
    </w:p>
    <w:p>
      <w:pPr>
        <w:spacing w:after="0" w:line="11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Subject to requirements under the Polestar Articles and Shareholder Acknowledgement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virtue of being a controlled company under Nasdaq listing rules, the Company may elect not to comply with certain Nasdaq corporate governance requirements, including that:</w:t>
      </w:r>
    </w:p>
    <w:p>
      <w:pPr>
        <w:spacing w:after="0" w:line="116" w:lineRule="exact"/>
        <w:rPr>
          <w:sz w:val="20"/>
          <w:szCs w:val="20"/>
          <w:color w:val="auto"/>
        </w:rPr>
      </w:pPr>
    </w:p>
    <w:p>
      <w:pPr>
        <w:ind w:left="660" w:right="60" w:hanging="327"/>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(however, pursuant to the Polestar Articles and Shareholder Acknowledgement Agreement, for the three years following the Business Combination Closing, the Board must be comprised of a majority of independent directors);</w:t>
      </w:r>
    </w:p>
    <w:p>
      <w:pPr>
        <w:spacing w:after="0" w:line="129" w:lineRule="exact"/>
        <w:rPr>
          <w:rFonts w:ascii="Arial" w:cs="Arial" w:eastAsia="Arial" w:hAnsi="Arial"/>
          <w:sz w:val="18"/>
          <w:szCs w:val="18"/>
          <w:color w:val="auto"/>
        </w:rPr>
      </w:pPr>
    </w:p>
    <w:p>
      <w:pPr>
        <w:ind w:left="660" w:right="200" w:hanging="32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16" w:lineRule="exact"/>
        <w:rPr>
          <w:rFonts w:ascii="Arial" w:cs="Arial" w:eastAsia="Arial" w:hAnsi="Arial"/>
          <w:sz w:val="18"/>
          <w:szCs w:val="18"/>
          <w:color w:val="auto"/>
        </w:rPr>
      </w:pPr>
    </w:p>
    <w:p>
      <w:pPr>
        <w:ind w:left="660" w:right="120" w:hanging="32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16" w:lineRule="exact"/>
        <w:rPr>
          <w:rFonts w:ascii="Arial" w:cs="Arial" w:eastAsia="Arial" w:hAnsi="Arial"/>
          <w:sz w:val="18"/>
          <w:szCs w:val="18"/>
          <w:color w:val="auto"/>
        </w:rPr>
      </w:pPr>
    </w:p>
    <w:p>
      <w:pPr>
        <w:ind w:left="660" w:hanging="32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be an annual performance evaluation of the compensation and nominating and governance committees.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w:t>
      </w:r>
    </w:p>
    <w:p>
      <w:pPr>
        <w:spacing w:after="0" w:line="130" w:lineRule="exact"/>
        <w:rPr>
          <w:sz w:val="20"/>
          <w:szCs w:val="20"/>
          <w:color w:val="auto"/>
        </w:rPr>
      </w:pPr>
    </w:p>
    <w:p>
      <w:pPr>
        <w:jc w:val="both"/>
        <w:ind w:left="660" w:right="240" w:hanging="327"/>
        <w:spacing w:after="0" w:line="30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Polestar’s operations rely heavily on a variety of agreements with its strategic partners, such as Volvo Cars, Geely and Xingji Meizu, including agreements related to research and development, intellectual property licensing, purchasing, manufacturing engineering and logistics, and Polestar may come to rely on other original equipment manufacturers, vendors and technology providers. The interests of Polestar’s partners, providers or licensors may diverge from those of Polestar.</w:t>
      </w:r>
    </w:p>
    <w:p>
      <w:pPr>
        <w:spacing w:after="0" w:line="103" w:lineRule="exact"/>
        <w:rPr>
          <w:rFonts w:ascii="Arial" w:cs="Arial" w:eastAsia="Arial" w:hAnsi="Arial"/>
          <w:sz w:val="16"/>
          <w:szCs w:val="16"/>
          <w:color w:val="auto"/>
        </w:rPr>
      </w:pPr>
    </w:p>
    <w:p>
      <w:pPr>
        <w:ind w:left="660" w:hanging="327"/>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Polestar’s ability to produce vehicles and its future growth also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129" w:lineRule="exact"/>
        <w:rPr>
          <w:rFonts w:ascii="Arial" w:cs="Arial" w:eastAsia="Arial" w:hAnsi="Arial"/>
          <w:sz w:val="18"/>
          <w:szCs w:val="18"/>
          <w:color w:val="auto"/>
        </w:rPr>
      </w:pPr>
    </w:p>
    <w:p>
      <w:pPr>
        <w:ind w:left="660" w:right="220" w:hanging="327"/>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Polestar is dependent on strategic partners and suppliers, some of which are single-source suppliers, and the inability of these partners and suppliers to deliver necessary components of Polestar’s products on schedule and at prices, quality levels and volumes acceptable to Polestar, or Polestar’s inability to efficiently manage these components, could have a material and adverse effect on Polestar.</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900"/>
          </w:cols>
          <w:pgMar w:left="980" w:top="1440" w:right="101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16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6130" cy="701611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27" w:hanging="327"/>
        <w:spacing w:after="0" w:line="277"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may be unable to grow its global product sales, delivery capabilities and its servicing and vehicle charging partnerships, or Polestar may be unable to accurately project and effectively manage its growth.</w:t>
      </w:r>
    </w:p>
    <w:p>
      <w:pPr>
        <w:spacing w:after="0" w:line="116" w:lineRule="exact"/>
        <w:rPr>
          <w:rFonts w:ascii="Arial" w:cs="Arial" w:eastAsia="Arial" w:hAnsi="Arial"/>
          <w:sz w:val="18"/>
          <w:szCs w:val="18"/>
          <w:color w:val="auto"/>
        </w:rPr>
      </w:pPr>
    </w:p>
    <w:p>
      <w:pPr>
        <w:jc w:val="both"/>
        <w:ind w:left="327" w:right="180" w:hanging="327"/>
        <w:spacing w:after="0" w:line="263"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has experienced and may in the future experience significant delays in the design, development, manufacture, launch and financing of its vehicles and other product offerings, including devices, products, apps or operating systems developed by the Joint Venture, which could harm its business and prospects.</w:t>
      </w:r>
    </w:p>
    <w:p>
      <w:pPr>
        <w:spacing w:after="0" w:line="129" w:lineRule="exact"/>
        <w:rPr>
          <w:rFonts w:ascii="Arial" w:cs="Arial" w:eastAsia="Arial" w:hAnsi="Arial"/>
          <w:sz w:val="18"/>
          <w:szCs w:val="18"/>
          <w:color w:val="auto"/>
        </w:rPr>
      </w:pPr>
    </w:p>
    <w:p>
      <w:pPr>
        <w:ind w:left="327" w:right="380" w:hanging="327"/>
        <w:spacing w:after="0" w:line="277"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could harm Polestar’s business.</w:t>
      </w:r>
    </w:p>
    <w:p>
      <w:pPr>
        <w:spacing w:after="0" w:line="116" w:lineRule="exact"/>
        <w:rPr>
          <w:rFonts w:ascii="Arial" w:cs="Arial" w:eastAsia="Arial" w:hAnsi="Arial"/>
          <w:sz w:val="18"/>
          <w:szCs w:val="18"/>
          <w:color w:val="auto"/>
        </w:rPr>
      </w:pPr>
    </w:p>
    <w:p>
      <w:pPr>
        <w:ind w:left="327" w:hanging="327"/>
        <w:spacing w:after="0"/>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operates in an intensely competitive market, which is generally cyclical and volatile.</w:t>
      </w:r>
    </w:p>
    <w:p>
      <w:pPr>
        <w:spacing w:after="0" w:line="171" w:lineRule="exact"/>
        <w:rPr>
          <w:rFonts w:ascii="Arial" w:cs="Arial" w:eastAsia="Arial" w:hAnsi="Arial"/>
          <w:sz w:val="18"/>
          <w:szCs w:val="18"/>
          <w:color w:val="auto"/>
        </w:rPr>
      </w:pPr>
    </w:p>
    <w:p>
      <w:pPr>
        <w:ind w:left="327" w:right="100" w:hanging="327"/>
        <w:spacing w:after="0" w:line="277"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has incurred net losses each year since its inception and expects to incur increasing expenses and substantial losses for the foreseeable future.</w:t>
      </w:r>
    </w:p>
    <w:p>
      <w:pPr>
        <w:spacing w:after="0" w:line="116" w:lineRule="exact"/>
        <w:rPr>
          <w:rFonts w:ascii="Arial" w:cs="Arial" w:eastAsia="Arial" w:hAnsi="Arial"/>
          <w:sz w:val="18"/>
          <w:szCs w:val="18"/>
          <w:color w:val="auto"/>
        </w:rPr>
      </w:pPr>
    </w:p>
    <w:p>
      <w:pPr>
        <w:ind w:left="327" w:right="140" w:hanging="327"/>
        <w:spacing w:after="0" w:line="342" w:lineRule="auto"/>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Polestar’s independent registered public accounting firm has included an explanatory paragraph relating to Polestar’s ability to continue as a going concern in its report on Polestar’s financial statements incorporated by reference in this prospectus.</w:t>
      </w:r>
    </w:p>
    <w:p>
      <w:pPr>
        <w:spacing w:after="0" w:line="69" w:lineRule="exact"/>
        <w:rPr>
          <w:rFonts w:ascii="Arial" w:cs="Arial" w:eastAsia="Arial" w:hAnsi="Arial"/>
          <w:sz w:val="16"/>
          <w:szCs w:val="16"/>
          <w:color w:val="auto"/>
        </w:rPr>
      </w:pPr>
    </w:p>
    <w:p>
      <w:pPr>
        <w:ind w:left="327" w:hanging="327"/>
        <w:spacing w:after="0"/>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Polestar depends on revenue generated from a limited number of models and expects this to continue in the foreseeable future.</w:t>
      </w:r>
    </w:p>
    <w:p>
      <w:pPr>
        <w:spacing w:after="0" w:line="194" w:lineRule="exact"/>
        <w:rPr>
          <w:rFonts w:ascii="Arial" w:cs="Arial" w:eastAsia="Arial" w:hAnsi="Arial"/>
          <w:sz w:val="16"/>
          <w:szCs w:val="16"/>
          <w:color w:val="auto"/>
        </w:rPr>
      </w:pPr>
    </w:p>
    <w:p>
      <w:pPr>
        <w:ind w:left="327" w:right="100" w:hanging="327"/>
        <w:spacing w:after="0" w:line="342" w:lineRule="auto"/>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Delays in the timing of expected business milestones and commercial launches, including Polestar’s ability to mass produce its electric vehicles and/or complete and/or expand its manufacturing capabilities, could materially and adversely affect Polestar.</w:t>
      </w:r>
    </w:p>
    <w:p>
      <w:pPr>
        <w:spacing w:after="0" w:line="69" w:lineRule="exact"/>
        <w:rPr>
          <w:rFonts w:ascii="Arial" w:cs="Arial" w:eastAsia="Arial" w:hAnsi="Arial"/>
          <w:sz w:val="16"/>
          <w:szCs w:val="16"/>
          <w:color w:val="auto"/>
        </w:rPr>
      </w:pPr>
    </w:p>
    <w:p>
      <w:pPr>
        <w:ind w:left="327" w:right="60" w:hanging="327"/>
        <w:spacing w:after="0" w:line="308" w:lineRule="auto"/>
        <w:tabs>
          <w:tab w:leader="none" w:pos="327"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Polestar relies heavily on manufacturing facilities, partners and suppliers, including single-source suppliers, based in China and its growth strategy will depend on growing its business in China, including by leveraging the new Joint Venture.</w:t>
      </w:r>
    </w:p>
    <w:p>
      <w:pPr>
        <w:spacing w:after="0" w:line="92" w:lineRule="exact"/>
        <w:rPr>
          <w:rFonts w:ascii="Arial" w:cs="Arial" w:eastAsia="Arial" w:hAnsi="Arial"/>
          <w:sz w:val="17"/>
          <w:szCs w:val="17"/>
          <w:color w:val="auto"/>
        </w:rPr>
      </w:pPr>
    </w:p>
    <w:p>
      <w:pPr>
        <w:ind w:left="327" w:right="140" w:hanging="327"/>
        <w:spacing w:after="0" w:line="263"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129" w:lineRule="exact"/>
        <w:rPr>
          <w:rFonts w:ascii="Arial" w:cs="Arial" w:eastAsia="Arial" w:hAnsi="Arial"/>
          <w:sz w:val="18"/>
          <w:szCs w:val="18"/>
          <w:color w:val="auto"/>
        </w:rPr>
      </w:pPr>
    </w:p>
    <w:p>
      <w:pPr>
        <w:ind w:left="327" w:right="200" w:hanging="327"/>
        <w:spacing w:after="0" w:line="263"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129" w:lineRule="exact"/>
        <w:rPr>
          <w:rFonts w:ascii="Arial" w:cs="Arial" w:eastAsia="Arial" w:hAnsi="Arial"/>
          <w:sz w:val="18"/>
          <w:szCs w:val="18"/>
          <w:color w:val="auto"/>
        </w:rPr>
      </w:pPr>
    </w:p>
    <w:p>
      <w:pPr>
        <w:ind w:left="327" w:right="200" w:hanging="327"/>
        <w:spacing w:after="0" w:line="259"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and its subsidiaries (i) may not receive or maintain permissions or approvals from the Cyberspace Administration of China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132" w:lineRule="exact"/>
        <w:rPr>
          <w:rFonts w:ascii="Arial" w:cs="Arial" w:eastAsia="Arial" w:hAnsi="Arial"/>
          <w:sz w:val="18"/>
          <w:szCs w:val="18"/>
          <w:color w:val="auto"/>
        </w:rPr>
      </w:pPr>
    </w:p>
    <w:p>
      <w:pPr>
        <w:ind w:left="327" w:hanging="327"/>
        <w:spacing w:after="0"/>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Investors should not rely on outdated financial projections.</w:t>
      </w:r>
    </w:p>
    <w:p>
      <w:pPr>
        <w:spacing w:after="0" w:line="171" w:lineRule="exact"/>
        <w:rPr>
          <w:rFonts w:ascii="Arial" w:cs="Arial" w:eastAsia="Arial" w:hAnsi="Arial"/>
          <w:sz w:val="18"/>
          <w:szCs w:val="18"/>
          <w:color w:val="auto"/>
        </w:rPr>
      </w:pPr>
    </w:p>
    <w:p>
      <w:pPr>
        <w:ind w:left="327" w:right="360" w:hanging="327"/>
        <w:spacing w:after="0" w:line="277"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Polestar’s main distribution approach is different from the currently predominant distribution model for automakers, and its long-term viability is unproven.</w:t>
      </w:r>
    </w:p>
    <w:p>
      <w:pPr>
        <w:spacing w:after="0" w:line="116" w:lineRule="exact"/>
        <w:rPr>
          <w:rFonts w:ascii="Arial" w:cs="Arial" w:eastAsia="Arial" w:hAnsi="Arial"/>
          <w:sz w:val="18"/>
          <w:szCs w:val="18"/>
          <w:color w:val="auto"/>
        </w:rPr>
      </w:pPr>
    </w:p>
    <w:p>
      <w:pPr>
        <w:ind w:left="327" w:hanging="327"/>
        <w:spacing w:after="0"/>
        <w:tabs>
          <w:tab w:leader="none" w:pos="327"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Polestar’s vehicles make use of lithium-ion battery cells, which have been observed to catch fire or vent smoke and flame.</w:t>
      </w:r>
    </w:p>
    <w:p>
      <w:pPr>
        <w:spacing w:after="0" w:line="182" w:lineRule="exact"/>
        <w:rPr>
          <w:rFonts w:ascii="Arial" w:cs="Arial" w:eastAsia="Arial" w:hAnsi="Arial"/>
          <w:sz w:val="17"/>
          <w:szCs w:val="17"/>
          <w:color w:val="auto"/>
        </w:rPr>
      </w:pPr>
    </w:p>
    <w:p>
      <w:pPr>
        <w:ind w:left="327" w:right="20" w:hanging="327"/>
        <w:spacing w:after="0" w:line="277"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Polestar’s ability to generate meaningful product revenue will depend on consumer adoption of electric vehicles. If the pace and depth of electric vehicle adoption develops more slowly than</w:t>
      </w:r>
    </w:p>
    <w:p>
      <w:pPr>
        <w:sectPr>
          <w:pgSz w:w="11900" w:h="16838" w:orient="portrait"/>
          <w:cols w:equalWidth="0" w:num="1">
            <w:col w:w="9567"/>
          </w:cols>
          <w:pgMar w:left="1313"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3"/>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567"/>
          </w:cols>
          <w:pgMar w:left="1313" w:top="1440" w:right="10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87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Polestar expects, its revenue may decline or fail to grow, and Polestar may be materially and adversely affected.</w:t>
      </w:r>
    </w:p>
    <w:p>
      <w:pPr>
        <w:spacing w:after="0" w:line="171" w:lineRule="exact"/>
        <w:rPr>
          <w:sz w:val="20"/>
          <w:szCs w:val="20"/>
          <w:color w:val="auto"/>
        </w:rPr>
      </w:pPr>
    </w:p>
    <w:p>
      <w:pPr>
        <w:jc w:val="both"/>
        <w:ind w:left="660" w:right="140" w:hanging="327"/>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94" w:lineRule="exact"/>
        <w:rPr>
          <w:rFonts w:ascii="Arial" w:cs="Arial" w:eastAsia="Arial" w:hAnsi="Arial"/>
          <w:sz w:val="16"/>
          <w:szCs w:val="16"/>
          <w:color w:val="auto"/>
        </w:rPr>
      </w:pPr>
    </w:p>
    <w:p>
      <w:pPr>
        <w:ind w:left="660" w:right="200" w:hanging="32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has undertaken, and in the future may choose to or be compelled to undertake, product recalls or to take other actions that could result in litigation.</w:t>
      </w:r>
    </w:p>
    <w:p>
      <w:pPr>
        <w:spacing w:after="0" w:line="116" w:lineRule="exact"/>
        <w:rPr>
          <w:rFonts w:ascii="Arial" w:cs="Arial" w:eastAsia="Arial" w:hAnsi="Arial"/>
          <w:sz w:val="18"/>
          <w:szCs w:val="18"/>
          <w:color w:val="auto"/>
        </w:rPr>
      </w:pPr>
    </w:p>
    <w:p>
      <w:pPr>
        <w:ind w:left="660" w:right="400" w:hanging="32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Much of the intellectual property pertaining to Polestar’s vehicles is owned by Volvo Cars and Geely and licensed, in some cases on a non-exclusive basis, to Polestar.</w:t>
      </w:r>
    </w:p>
    <w:p>
      <w:pPr>
        <w:spacing w:after="0" w:line="116" w:lineRule="exact"/>
        <w:rPr>
          <w:rFonts w:ascii="Arial" w:cs="Arial" w:eastAsia="Arial" w:hAnsi="Arial"/>
          <w:sz w:val="18"/>
          <w:szCs w:val="18"/>
          <w:color w:val="auto"/>
        </w:rPr>
      </w:pPr>
    </w:p>
    <w:p>
      <w:pPr>
        <w:ind w:left="660" w:right="440" w:hanging="32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will require additional capital to support business growth, and this capital might not be available on commercially reasonable terms, or at all.</w:t>
      </w:r>
    </w:p>
    <w:p>
      <w:pPr>
        <w:spacing w:after="0" w:line="116" w:lineRule="exact"/>
        <w:rPr>
          <w:rFonts w:ascii="Arial" w:cs="Arial" w:eastAsia="Arial" w:hAnsi="Arial"/>
          <w:sz w:val="18"/>
          <w:szCs w:val="18"/>
          <w:color w:val="auto"/>
        </w:rPr>
      </w:pPr>
    </w:p>
    <w:p>
      <w:pPr>
        <w:ind w:left="660" w:right="560" w:hanging="32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Polestar’s financial results may vary significantly from period to period due to fluctuations in its operating costs, product demand and other factors.</w:t>
      </w:r>
    </w:p>
    <w:p>
      <w:pPr>
        <w:spacing w:after="0" w:line="116" w:lineRule="exact"/>
        <w:rPr>
          <w:rFonts w:ascii="Arial" w:cs="Arial" w:eastAsia="Arial" w:hAnsi="Arial"/>
          <w:sz w:val="18"/>
          <w:szCs w:val="18"/>
          <w:color w:val="auto"/>
        </w:rPr>
      </w:pPr>
    </w:p>
    <w:p>
      <w:pPr>
        <w:ind w:left="660" w:right="80" w:hanging="32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Polestar’s performance does not meet the expectations of investors, stockholders or financial analysts, the market price of the ADSs may decline.</w:t>
      </w:r>
    </w:p>
    <w:p>
      <w:pPr>
        <w:spacing w:after="0" w:line="116" w:lineRule="exact"/>
        <w:rPr>
          <w:rFonts w:ascii="Arial" w:cs="Arial" w:eastAsia="Arial" w:hAnsi="Arial"/>
          <w:sz w:val="18"/>
          <w:szCs w:val="18"/>
          <w:color w:val="auto"/>
        </w:rPr>
      </w:pPr>
    </w:p>
    <w:p>
      <w:pPr>
        <w:ind w:left="660" w:right="520" w:hanging="32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is a foreign private issuer within the meaning of the rules under the Exchange Act and, as such, it is exempt from certain provisions applicable to United States domestic public companies.</w:t>
      </w:r>
    </w:p>
    <w:p>
      <w:pPr>
        <w:spacing w:after="0" w:line="116" w:lineRule="exact"/>
        <w:rPr>
          <w:rFonts w:ascii="Arial" w:cs="Arial" w:eastAsia="Arial" w:hAnsi="Arial"/>
          <w:sz w:val="18"/>
          <w:szCs w:val="18"/>
          <w:color w:val="auto"/>
        </w:rPr>
      </w:pPr>
    </w:p>
    <w:p>
      <w:pPr>
        <w:jc w:val="both"/>
        <w:ind w:left="660" w:right="260" w:hanging="327"/>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Polestar is a foreign private issuer and follows certain home country corporate governance practices, its shareholders may not have the same protections afforded to shareholders of companies that are subject to all of Nasdaq’s corporate governance requirements.</w:t>
      </w:r>
    </w:p>
    <w:p>
      <w:pPr>
        <w:spacing w:after="0" w:line="129" w:lineRule="exact"/>
        <w:rPr>
          <w:rFonts w:ascii="Arial" w:cs="Arial" w:eastAsia="Arial" w:hAnsi="Arial"/>
          <w:sz w:val="18"/>
          <w:szCs w:val="18"/>
          <w:color w:val="auto"/>
        </w:rPr>
      </w:pPr>
    </w:p>
    <w:p>
      <w:pPr>
        <w:ind w:left="660" w:hanging="327"/>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Polestar may lose its foreign private issuer status in the future, which could result in significant additional costs and expenses.</w:t>
      </w:r>
    </w:p>
    <w:p>
      <w:pPr>
        <w:spacing w:after="0" w:line="194" w:lineRule="exact"/>
        <w:rPr>
          <w:rFonts w:ascii="Arial" w:cs="Arial" w:eastAsia="Arial" w:hAnsi="Arial"/>
          <w:sz w:val="16"/>
          <w:szCs w:val="16"/>
          <w:color w:val="auto"/>
        </w:rPr>
      </w:pPr>
    </w:p>
    <w:p>
      <w:pPr>
        <w:ind w:left="660" w:hanging="32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has identified material weaknesses in its internal control over financial reporting.</w:t>
      </w:r>
    </w:p>
    <w:p>
      <w:pPr>
        <w:spacing w:after="0" w:line="171" w:lineRule="exact"/>
        <w:rPr>
          <w:rFonts w:ascii="Arial" w:cs="Arial" w:eastAsia="Arial" w:hAnsi="Arial"/>
          <w:sz w:val="18"/>
          <w:szCs w:val="18"/>
          <w:color w:val="auto"/>
        </w:rPr>
      </w:pPr>
    </w:p>
    <w:p>
      <w:pPr>
        <w:ind w:left="660" w:right="80" w:hanging="327"/>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(949) 735-1834. Our agent for service of process in the United States is Polestar Automotive Holding USA Inc. at 77 MacArthur Blvd, Mahwah, NJ 07430.</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920"/>
          </w:cols>
          <w:pgMar w:left="98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47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6130" cy="634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The summary below describes the principal terms of the offering of the securities covered by this prospectus. The “Description of Share Capital and Articles of Association” and “Description of American Depositary Shares” sections of this prospectus contain a more detailed description of the Company’s Class A ADSs and Class C ADSs.</w:t>
      </w:r>
    </w:p>
    <w:p>
      <w:pPr>
        <w:sectPr>
          <w:pgSz w:w="11900" w:h="16838" w:orient="portrait"/>
          <w:cols w:equalWidth="0" w:num="1">
            <w:col w:w="9900"/>
          </w:cols>
          <w:pgMar w:left="980" w:top="1440" w:right="101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Securities being registered for resale by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Selling Securityholders: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 294,877,349 Class A ADSs issued to Former Parent as merger consideration in connection with the Business Combination at an equity consideration value of $10.00</w:t>
      </w:r>
    </w:p>
    <w:p>
      <w:pPr>
        <w:spacing w:after="0" w:line="1" w:lineRule="exact"/>
        <w:rPr>
          <w:sz w:val="20"/>
          <w:szCs w:val="20"/>
          <w:color w:val="auto"/>
        </w:rPr>
      </w:pPr>
    </w:p>
    <w:p>
      <w:pPr>
        <w:sectPr>
          <w:pgSz w:w="11900" w:h="16838" w:orient="portrait"/>
          <w:cols w:equalWidth="0" w:num="2">
            <w:col w:w="3340" w:space="300"/>
            <w:col w:w="6260"/>
          </w:cols>
          <w:pgMar w:left="980" w:top="1440" w:right="1019" w:bottom="1440" w:gutter="0" w:footer="0" w:header="0"/>
          <w:type w:val="continuous"/>
        </w:sectPr>
      </w:pPr>
    </w:p>
    <w:p>
      <w:pPr>
        <w:jc w:val="both"/>
        <w:ind w:left="3640" w:right="60"/>
        <w:spacing w:after="0" w:line="223" w:lineRule="auto"/>
        <w:rPr>
          <w:sz w:val="20"/>
          <w:szCs w:val="20"/>
          <w:color w:val="auto"/>
        </w:rPr>
      </w:pPr>
      <w:r>
        <w:rPr>
          <w:rFonts w:ascii="Arial" w:cs="Arial" w:eastAsia="Arial" w:hAnsi="Arial"/>
          <w:sz w:val="16"/>
          <w:szCs w:val="16"/>
          <w:color w:val="auto"/>
        </w:rPr>
        <w:t>per share, (ii) up to 24,078,638 Class A ADSs which are issuable to the Former Parent Shareholders as earn out consideration (valued as $10.00 per Class A ADS at the time of the Business Combination) upon the achievement of certain price thresholds for the</w:t>
      </w:r>
    </w:p>
    <w:p>
      <w:pPr>
        <w:spacing w:after="0" w:line="2" w:lineRule="exact"/>
        <w:rPr>
          <w:sz w:val="20"/>
          <w:szCs w:val="20"/>
          <w:color w:val="auto"/>
        </w:rPr>
      </w:pPr>
    </w:p>
    <w:p>
      <w:pPr>
        <w:ind w:left="3640" w:right="100"/>
        <w:spacing w:after="0" w:line="234" w:lineRule="auto"/>
        <w:rPr>
          <w:sz w:val="20"/>
          <w:szCs w:val="20"/>
          <w:color w:val="auto"/>
        </w:rPr>
      </w:pPr>
      <w:r>
        <w:rPr>
          <w:rFonts w:ascii="Arial" w:cs="Arial" w:eastAsia="Arial" w:hAnsi="Arial"/>
          <w:sz w:val="16"/>
          <w:szCs w:val="16"/>
          <w:color w:val="auto"/>
        </w:rPr>
        <w:t>Class A ADSs, as further described in this prospectus, (iii) 1,776,332,546 Class A ADSs issuable upon conversion of Class B ADSs, including 134,098,971 Class B ADSs which are issuable to the Former Parent Shareholders as earn out consideration</w:t>
      </w:r>
    </w:p>
    <w:p>
      <w:pPr>
        <w:spacing w:after="0" w:line="2" w:lineRule="exact"/>
        <w:rPr>
          <w:sz w:val="20"/>
          <w:szCs w:val="20"/>
          <w:color w:val="auto"/>
        </w:rPr>
      </w:pPr>
    </w:p>
    <w:p>
      <w:pPr>
        <w:ind w:left="3640" w:right="60"/>
        <w:spacing w:after="0" w:line="234" w:lineRule="auto"/>
        <w:rPr>
          <w:sz w:val="20"/>
          <w:szCs w:val="20"/>
          <w:color w:val="auto"/>
        </w:rPr>
      </w:pPr>
      <w:r>
        <w:rPr>
          <w:rFonts w:ascii="Arial" w:cs="Arial" w:eastAsia="Arial" w:hAnsi="Arial"/>
          <w:sz w:val="16"/>
          <w:szCs w:val="16"/>
          <w:color w:val="auto"/>
        </w:rPr>
        <w:t>(valued as $10.00 per Class B ADS at the time of the Business Combination) upon the achievement of certain price thresholds for the Class A ADSs, as further described in this prospectus, (iv) 18,459,165 Class A ADSs issued to the GGI Sponsor in</w:t>
      </w:r>
    </w:p>
    <w:p>
      <w:pPr>
        <w:spacing w:after="0" w:line="2" w:lineRule="exact"/>
        <w:rPr>
          <w:sz w:val="20"/>
          <w:szCs w:val="20"/>
          <w:color w:val="auto"/>
        </w:rPr>
      </w:pPr>
    </w:p>
    <w:p>
      <w:pPr>
        <w:jc w:val="both"/>
        <w:ind w:left="3640" w:right="200"/>
        <w:spacing w:after="0" w:line="234" w:lineRule="auto"/>
        <w:rPr>
          <w:sz w:val="20"/>
          <w:szCs w:val="20"/>
          <w:color w:val="auto"/>
        </w:rPr>
      </w:pPr>
      <w:r>
        <w:rPr>
          <w:rFonts w:ascii="Arial" w:cs="Arial" w:eastAsia="Arial" w:hAnsi="Arial"/>
          <w:sz w:val="16"/>
          <w:szCs w:val="16"/>
          <w:color w:val="auto"/>
        </w:rPr>
        <w:t>connection with the Business Combination in exchange for the 18,459,165 shares of GGI Class F Common Stock that the GGI Sponsor initially purchased at $0.001 per share of GGI Class F Common Stock and that the GGI Sponsor retained after</w:t>
      </w:r>
    </w:p>
    <w:p>
      <w:pPr>
        <w:spacing w:after="0" w:line="2" w:lineRule="exact"/>
        <w:rPr>
          <w:sz w:val="20"/>
          <w:szCs w:val="20"/>
          <w:color w:val="auto"/>
        </w:rPr>
      </w:pPr>
    </w:p>
    <w:p>
      <w:pPr>
        <w:ind w:left="3640" w:right="60"/>
        <w:spacing w:after="0" w:line="234" w:lineRule="auto"/>
        <w:rPr>
          <w:sz w:val="20"/>
          <w:szCs w:val="20"/>
          <w:color w:val="auto"/>
        </w:rPr>
      </w:pPr>
      <w:r>
        <w:rPr>
          <w:rFonts w:ascii="Arial" w:cs="Arial" w:eastAsia="Arial" w:hAnsi="Arial"/>
          <w:sz w:val="16"/>
          <w:szCs w:val="16"/>
          <w:color w:val="auto"/>
        </w:rPr>
        <w:t>forfeiture of 1,540,835 shares of GGI Class F Common Stock; (v) 26,540,835 Class A ADSs issued to GGI Sponsor, the PIPE Investors and Snita pursuant to the Sponsor Subscription Agreement, the PIPE Subscription Agreements and the Volvo Cars PIPE</w:t>
      </w:r>
    </w:p>
    <w:p>
      <w:pPr>
        <w:spacing w:after="0" w:line="2" w:lineRule="exact"/>
        <w:rPr>
          <w:sz w:val="20"/>
          <w:szCs w:val="20"/>
          <w:color w:val="auto"/>
        </w:rPr>
      </w:pPr>
    </w:p>
    <w:p>
      <w:pPr>
        <w:ind w:left="3640"/>
        <w:spacing w:after="0" w:line="234" w:lineRule="auto"/>
        <w:rPr>
          <w:sz w:val="20"/>
          <w:szCs w:val="20"/>
          <w:color w:val="auto"/>
        </w:rPr>
      </w:pPr>
      <w:r>
        <w:rPr>
          <w:rFonts w:ascii="Arial" w:cs="Arial" w:eastAsia="Arial" w:hAnsi="Arial"/>
          <w:sz w:val="16"/>
          <w:szCs w:val="16"/>
          <w:color w:val="auto"/>
        </w:rPr>
        <w:t>Subscription Agreement, respectively, at an average cash price of $9.42 per Class A ADS, (vi) 58,882,610 Class A ADSs issued to Snita upon conversion of the Volvo Cars Preference Subscription Shares at the time of the Business Combination at a $10.00</w:t>
      </w:r>
    </w:p>
    <w:p>
      <w:pPr>
        <w:spacing w:after="0" w:line="2" w:lineRule="exact"/>
        <w:rPr>
          <w:sz w:val="20"/>
          <w:szCs w:val="20"/>
          <w:color w:val="auto"/>
        </w:rPr>
      </w:pPr>
    </w:p>
    <w:p>
      <w:pPr>
        <w:ind w:left="3640" w:right="20"/>
        <w:spacing w:after="0" w:line="234" w:lineRule="auto"/>
        <w:rPr>
          <w:sz w:val="20"/>
          <w:szCs w:val="20"/>
          <w:color w:val="auto"/>
        </w:rPr>
      </w:pPr>
      <w:r>
        <w:rPr>
          <w:rFonts w:ascii="Arial" w:cs="Arial" w:eastAsia="Arial" w:hAnsi="Arial"/>
          <w:sz w:val="16"/>
          <w:szCs w:val="16"/>
          <w:color w:val="auto"/>
        </w:rPr>
        <w:t>conversion price, (vii) 4,306,466 Class A ADSs that were issued to Former Parent Convertible Notes Holders upon conversion of the Former Parent Convertible Notes at the time of the Business Combination at a conversion price of $8.18, and (viii) up to</w:t>
      </w:r>
    </w:p>
    <w:p>
      <w:pPr>
        <w:spacing w:after="0" w:line="2" w:lineRule="exact"/>
        <w:rPr>
          <w:sz w:val="20"/>
          <w:szCs w:val="20"/>
          <w:color w:val="auto"/>
        </w:rPr>
      </w:pPr>
    </w:p>
    <w:p>
      <w:pPr>
        <w:ind w:left="3640" w:right="100"/>
        <w:spacing w:after="0" w:line="234" w:lineRule="auto"/>
        <w:rPr>
          <w:sz w:val="20"/>
          <w:szCs w:val="20"/>
          <w:color w:val="auto"/>
        </w:rPr>
      </w:pPr>
      <w:r>
        <w:rPr>
          <w:rFonts w:ascii="Arial" w:cs="Arial" w:eastAsia="Arial" w:hAnsi="Arial"/>
          <w:sz w:val="16"/>
          <w:szCs w:val="16"/>
          <w:color w:val="auto"/>
        </w:rPr>
        <w:t>500,000 Class A ADSs issuable to a service provider in exchange for the performance of marketing consulting services valued at up to $5,000,000. This prospectus also covers any additional securities that may become issuable by reason of share splits,</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share dividends or similar transactions.</w:t>
      </w:r>
    </w:p>
    <w:p>
      <w:pPr>
        <w:sectPr>
          <w:pgSz w:w="11900" w:h="16838" w:orient="portrait"/>
          <w:cols w:equalWidth="0" w:num="1">
            <w:col w:w="9900"/>
          </w:cols>
          <w:pgMar w:left="980" w:top="1440" w:right="1019" w:bottom="1440" w:gutter="0" w:footer="0" w:header="0"/>
          <w:type w:val="continuous"/>
        </w:sectPr>
      </w:pP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Offering prices for resales: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Selling Securityholders will determine when and how they will dispose of the Class A ADSs and Class C-2 ADSs, the resale of which is being registered under this</w:t>
      </w:r>
    </w:p>
    <w:p>
      <w:pPr>
        <w:spacing w:after="0" w:line="1" w:lineRule="exact"/>
        <w:rPr>
          <w:sz w:val="20"/>
          <w:szCs w:val="20"/>
          <w:color w:val="auto"/>
        </w:rPr>
      </w:pPr>
    </w:p>
    <w:p>
      <w:pPr>
        <w:sectPr>
          <w:pgSz w:w="11900" w:h="16838" w:orient="portrait"/>
          <w:cols w:equalWidth="0" w:num="2">
            <w:col w:w="2920" w:space="720"/>
            <w:col w:w="6260"/>
          </w:cols>
          <w:pgMar w:left="980" w:top="1440" w:right="1019" w:bottom="1440" w:gutter="0" w:footer="0" w:header="0"/>
          <w:type w:val="continuous"/>
        </w:sectPr>
      </w:pPr>
    </w:p>
    <w:p>
      <w:pPr>
        <w:ind w:left="3640"/>
        <w:spacing w:after="0"/>
        <w:rPr>
          <w:sz w:val="20"/>
          <w:szCs w:val="20"/>
          <w:color w:val="auto"/>
        </w:rPr>
      </w:pPr>
      <w:r>
        <w:rPr>
          <w:rFonts w:ascii="Arial" w:cs="Arial" w:eastAsia="Arial" w:hAnsi="Arial"/>
          <w:sz w:val="15"/>
          <w:szCs w:val="15"/>
          <w:color w:val="auto"/>
        </w:rPr>
        <w:t>prospectus.</w:t>
      </w:r>
    </w:p>
    <w:p>
      <w:pPr>
        <w:sectPr>
          <w:pgSz w:w="11900" w:h="16838" w:orient="portrait"/>
          <w:cols w:equalWidth="0" w:num="1">
            <w:col w:w="9900"/>
          </w:cols>
          <w:pgMar w:left="980" w:top="1440" w:right="1019" w:bottom="1440" w:gutter="0" w:footer="0" w:header="0"/>
          <w:type w:val="continuous"/>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Class A ADSs offered by us: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Up to 24,999,965 Class A ADSs issuable upon conversion of the Class C ADSs, including up to 9,000,000 Class A ADSs issuable upon conversion of the Class C-2</w:t>
      </w:r>
    </w:p>
    <w:p>
      <w:pPr>
        <w:spacing w:after="0" w:line="1" w:lineRule="exact"/>
        <w:rPr>
          <w:sz w:val="20"/>
          <w:szCs w:val="20"/>
          <w:color w:val="auto"/>
        </w:rPr>
      </w:pPr>
    </w:p>
    <w:p>
      <w:pPr>
        <w:sectPr>
          <w:pgSz w:w="11900" w:h="16838" w:orient="portrait"/>
          <w:cols w:equalWidth="0" w:num="2">
            <w:col w:w="2920" w:space="720"/>
            <w:col w:w="6260"/>
          </w:cols>
          <w:pgMar w:left="980" w:top="1440" w:right="1019" w:bottom="1440" w:gutter="0" w:footer="0" w:header="0"/>
          <w:type w:val="continuous"/>
        </w:sectPr>
      </w:pPr>
    </w:p>
    <w:p>
      <w:pPr>
        <w:ind w:left="3640" w:right="160"/>
        <w:spacing w:after="0" w:line="237" w:lineRule="auto"/>
        <w:rPr>
          <w:sz w:val="20"/>
          <w:szCs w:val="20"/>
          <w:color w:val="auto"/>
        </w:rPr>
      </w:pPr>
      <w:r>
        <w:rPr>
          <w:rFonts w:ascii="Arial" w:cs="Arial" w:eastAsia="Arial" w:hAnsi="Arial"/>
          <w:sz w:val="16"/>
          <w:szCs w:val="16"/>
          <w:color w:val="auto"/>
        </w:rPr>
        <w:t>ADSs initially held by the GGI Sponsor in the form of Class C-2 ADSs and which may be converted into Class C-1 ADSs pursuant to the terms of the Class C-2 ADSs.</w:t>
      </w:r>
    </w:p>
    <w:p>
      <w:pPr>
        <w:sectPr>
          <w:pgSz w:w="11900" w:h="16838" w:orient="portrait"/>
          <w:cols w:equalWidth="0" w:num="1">
            <w:col w:w="9900"/>
          </w:cols>
          <w:pgMar w:left="980" w:top="1440" w:right="1019"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Terms of Class C ADSs: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Each Class C ADS entitles the holder to purchase one Class A ADS at a price of</w:t>
      </w:r>
    </w:p>
    <w:p>
      <w:pPr>
        <w:spacing w:after="0"/>
        <w:rPr>
          <w:sz w:val="20"/>
          <w:szCs w:val="20"/>
          <w:color w:val="auto"/>
        </w:rPr>
      </w:pPr>
      <w:r>
        <w:rPr>
          <w:rFonts w:ascii="Arial" w:cs="Arial" w:eastAsia="Arial" w:hAnsi="Arial"/>
          <w:sz w:val="16"/>
          <w:szCs w:val="16"/>
          <w:color w:val="auto"/>
        </w:rPr>
        <w:t>$11.50 per Class C ADS, subject to adjustments. Our Class C ADSs expire on June 23,</w:t>
      </w:r>
    </w:p>
    <w:p>
      <w:pPr>
        <w:spacing w:after="0" w:line="30" w:lineRule="exact"/>
        <w:rPr>
          <w:sz w:val="20"/>
          <w:szCs w:val="20"/>
          <w:color w:val="auto"/>
        </w:rPr>
      </w:pPr>
    </w:p>
    <w:p>
      <w:pPr>
        <w:sectPr>
          <w:pgSz w:w="11900" w:h="16838" w:orient="portrait"/>
          <w:cols w:equalWidth="0" w:num="2">
            <w:col w:w="2920" w:space="720"/>
            <w:col w:w="6260"/>
          </w:cols>
          <w:pgMar w:left="980" w:top="1440" w:right="1019" w:bottom="1440" w:gutter="0" w:footer="0" w:header="0"/>
          <w:type w:val="continuous"/>
        </w:sectPr>
      </w:pPr>
    </w:p>
    <w:p>
      <w:pPr>
        <w:ind w:left="3640"/>
        <w:spacing w:after="0"/>
        <w:rPr>
          <w:sz w:val="20"/>
          <w:szCs w:val="20"/>
          <w:color w:val="auto"/>
        </w:rPr>
      </w:pPr>
      <w:r>
        <w:rPr>
          <w:rFonts w:ascii="Arial" w:cs="Arial" w:eastAsia="Arial" w:hAnsi="Arial"/>
          <w:sz w:val="16"/>
          <w:szCs w:val="16"/>
          <w:color w:val="auto"/>
        </w:rPr>
        <w:t>2027 at 5:00 p.m., New York City time, or earlier upon redemption.</w:t>
      </w:r>
    </w:p>
    <w:p>
      <w:pPr>
        <w:sectPr>
          <w:pgSz w:w="11900" w:h="16838" w:orient="portrait"/>
          <w:cols w:equalWidth="0" w:num="1">
            <w:col w:w="9900"/>
          </w:cols>
          <w:pgMar w:left="98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900"/>
          </w:cols>
          <w:pgMar w:left="980" w:top="1440" w:right="101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hanging="161"/>
        <w:spacing w:after="0" w:line="267" w:lineRule="auto"/>
        <w:rPr>
          <w:sz w:val="20"/>
          <w:szCs w:val="20"/>
          <w:color w:val="auto"/>
        </w:rPr>
      </w:pPr>
      <w:r>
        <w:rPr>
          <w:rFonts w:ascii="Arial" w:cs="Arial" w:eastAsia="Arial" w:hAnsi="Arial"/>
          <w:sz w:val="15"/>
          <w:szCs w:val="15"/>
          <w:b w:val="1"/>
          <w:bCs w:val="1"/>
          <w:color w:val="auto"/>
        </w:rPr>
        <w:t>Securities issued and outstanding prior to any exercise of Class C ADSs as of the date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this prospectus:</w:t>
      </w:r>
    </w:p>
    <w:p>
      <w:pPr>
        <w:spacing w:after="0" w:line="57" w:lineRule="exact"/>
        <w:rPr>
          <w:sz w:val="20"/>
          <w:szCs w:val="20"/>
          <w:color w:val="auto"/>
        </w:rPr>
      </w:pPr>
    </w:p>
    <w:p>
      <w:pPr>
        <w:ind w:left="160" w:right="480" w:hanging="161"/>
        <w:spacing w:after="0" w:line="263" w:lineRule="auto"/>
        <w:rPr>
          <w:sz w:val="20"/>
          <w:szCs w:val="20"/>
          <w:color w:val="auto"/>
        </w:rPr>
      </w:pPr>
      <w:r>
        <w:rPr>
          <w:rFonts w:ascii="Arial" w:cs="Arial" w:eastAsia="Arial" w:hAnsi="Arial"/>
          <w:sz w:val="17"/>
          <w:szCs w:val="17"/>
          <w:b w:val="1"/>
          <w:bCs w:val="1"/>
          <w:color w:val="auto"/>
        </w:rPr>
        <w:t>Class A ADSs outstanding assuming the exercise of all Class C ADSs: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our Class A ADSs and Class C-1</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467,914,248 Class A ADSs, 1,642,233,575 Class B ADSs, no Volvo Cars Preference Subscription Shares, 50,000 GBP Redeemable Preferred Shares, 20,499,965 Class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-678815</wp:posOffset>
            </wp:positionV>
            <wp:extent cx="7136130" cy="4599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6130" cy="4599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ADSs and 4,500,000 Class C-2 ADSs.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492,914,213 Class A ADSs.</w:t>
      </w:r>
    </w:p>
    <w:p>
      <w:pPr>
        <w:spacing w:after="0" w:line="9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All of the securities offered by the Selling Securityholders pursuant to this prospectus will be sold by the Selling Securityholders for their respective accounts. We will not receive any of the proceeds from such sales. We will receive up to an aggregate of</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approximately $287.5 million from the exercise of the Class C ADSs, assuming the exercise in full of all of the Class C ADSs for cash. We believe the likelihood that holders will exercise their Class C ADSs, and therefore the amount of cash proceeds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that we would receive, is dependent upon the market price of our Class A ADSs. When the market price for our Class A ADSs is less than $11.50 per share (i.e., the Class C ADSs are “out of the money”), which it is as of the date of this prospectus, we believe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holders of Class C ADSs will be unlikely to exercise their Class C ADSs. We expect to use the net proceeds from the exercise of the Class C ADSs for general corporate purposes. To the extent that any of the Class C ADSs are exercised on a “cashless</w:t>
      </w:r>
    </w:p>
    <w:p>
      <w:pPr>
        <w:spacing w:after="0" w:line="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basis,” the amount of cash we would receive from the exercise of the Class C ADSs will decrease.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We have never declared or paid any cash dividend on our capital stock. We currently</w:t>
      </w:r>
    </w:p>
    <w:p>
      <w:pPr>
        <w:spacing w:after="0" w:line="21"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intend to retain any future earnings and do not expect to pay any dividends in the foreseeable future. Any further determination to pay dividends would be at the discretion of our board of directors, subject to applicable laws, and would depend on</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our financial condition, results of operations, capital requirements, general business conditions, and other factors that our board of directors may deem relevant.</w:t>
      </w:r>
    </w:p>
    <w:p>
      <w:pPr>
        <w:spacing w:after="0" w:line="32"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Our Class A ADSs and Class C-1 ADSs are listed on Nasdaq under the trading symbols “PSNY” and “PSNYW,”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You should carefully consider the information set forth herein under “</w:t>
      </w:r>
      <w:r>
        <w:rPr>
          <w:rFonts w:ascii="Arial" w:cs="Arial" w:eastAsia="Arial" w:hAnsi="Arial"/>
          <w:sz w:val="17"/>
          <w:szCs w:val="17"/>
          <w:u w:val="single" w:color="auto"/>
          <w:color w:val="0000FF"/>
        </w:rPr>
        <w:t>Risk Factors</w:t>
      </w:r>
      <w:r>
        <w:rPr>
          <w:rFonts w:ascii="Arial" w:cs="Arial" w:eastAsia="Arial" w:hAnsi="Arial"/>
          <w:sz w:val="17"/>
          <w:szCs w:val="17"/>
          <w:color w:val="auto"/>
        </w:rPr>
        <w:t>.”</w:t>
      </w:r>
    </w:p>
    <w:p>
      <w:pPr>
        <w:spacing w:after="0" w:line="207" w:lineRule="exact"/>
        <w:rPr>
          <w:sz w:val="20"/>
          <w:szCs w:val="20"/>
          <w:color w:val="auto"/>
        </w:rPr>
      </w:pPr>
    </w:p>
    <w:p>
      <w:pPr>
        <w:sectPr>
          <w:pgSz w:w="11900" w:h="16838" w:orient="portrait"/>
          <w:cols w:equalWidth="0" w:num="2">
            <w:col w:w="3520" w:space="100"/>
            <w:col w:w="624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60"/>
          </w:cols>
          <w:pgMar w:left="1000" w:top="1440" w:right="1039" w:bottom="1440" w:gutter="0" w:footer="0" w:header="0"/>
          <w:type w:val="continuous"/>
        </w:sectPr>
      </w:pPr>
    </w:p>
    <w:bookmarkStart w:id="20" w:name="page21"/>
    <w:bookmarkEnd w:id="2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Investing in our securities involves risk. Before making a decision to invest in our securities, you should carefully consider the risk factors discussed in our then-most recent Annual Report on Form 20-F, and the updates, if any, to those risk factors in our reports on Form 6-K incorporated by reference in this prospectus, together with all of the other information appearing or incorporated by reference in this prospectus, in light of your particular investment objectives and financial circumstances. See “Information Incorporated by Reference” and “Where You Can Find Additional Information.” Our risk factors should be read in conjunction with our financial statements and notes to the financial statements incorporated by reference herein and the information included under the headings “Operating and Financial Review and Prospectus” in our Annual Report on Form 20-F or our “Management’s Discussion and Analysis of Financial Conditions and Results of Operations” included in our Reports on Form 6-K. You should also carefully consider the matters addressed in the section entitled “Cautionary Note Regarding Forward-Looking Statements” and read any information appearing or incorporated by reference in this prospectus in conjunction with such cautionary statements regarding our forward-looking statements. If any of the risks we identify actually occur, it may materially harm our business, financial condition, liquidity and results of operations. As a result, the market price of our securities could decline, and you could lose all or part of your investment. The risk factors that we discuss are not exhaustive and some risks that we currently deem immaterial may become significant in the future. Further, new risks not presently known to us may emerge in the future and prove to be significant. We cannot predict future risks or estimate the extent to which they may affect our business, results of operations, financial condition and prospects.</w:t>
      </w:r>
    </w:p>
    <w:p>
      <w:pPr>
        <w:spacing w:after="0" w:line="12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The prospectus also covers any additional securities that may become issuable by reason of share splits, share dividends or similar transactions.</w:t>
      </w:r>
    </w:p>
    <w:p>
      <w:pPr>
        <w:spacing w:after="0" w:line="114"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In connection with the Business Combination, holders of 16,265,203 shares of GGI Class A Common Stock, or approximately 20.3% of the issued and outstanding shares of GGI Class A Common Stock, exercised their right to redeem their shares for cash at a redemption price of approximately $10.00 per share, for an aggregate redemption amount of approximately $162,652,030. The Resale Securities represent a substantial percentage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21" w:name="page22"/>
    <w:bookmarkEnd w:id="21"/>
    <w:p>
      <w:pPr>
        <w:ind w:right="20"/>
        <w:spacing w:after="0" w:line="290" w:lineRule="auto"/>
        <w:rPr>
          <w:sz w:val="20"/>
          <w:szCs w:val="20"/>
          <w:color w:val="auto"/>
        </w:rPr>
      </w:pPr>
      <w:r>
        <w:rPr>
          <w:rFonts w:ascii="Arial" w:cs="Arial" w:eastAsia="Arial" w:hAnsi="Arial"/>
          <w:sz w:val="16"/>
          <w:szCs w:val="16"/>
          <w:color w:val="auto"/>
        </w:rPr>
        <w:t>total outstanding ADSs as of the date of this prospectus. The Class A ADSs being offered in this prospectus represent approximately 476.4% of our current outstanding Class A ADSs, assuming the Earn Out Shares issuable pursuant to the Business Combination Agreement are not outstanding, or approximately 356.0% assuming they are outstanding and converted into Class A ADSs. Additionally, if all the Class C ADSs are exercised and all Class A ADSs are issued to a service provider in exchange for the performance of marketing consulting services, the Selling Securityholders would own an additional 25,093,715 shares of Class A ADSs, representing approximately an additional 5.4% of the current outstanding Class A ADSs. The sale of all the securities being offered in this prospectus, or the perception that these sales could occur, could result in a significant decline in the public trading price of our securities. The contractual lock-up restrictions entered into in connection with the Business Combination have expired. The frequency of any sales could also cause the market price of our securities to decline or increase the volatility in the market price of our securities.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Upon effectiveness of this registration statement, or upon satisfaction of the requirements of Rule 144, certain shareholders of Polestar may sell large amounts of Company securities and AD securities in the open market or in privately negotiated transactions, which could have the effect of increasing the volatility in or putting significant downward pressure on the price of ADSs. In addition, the issuance of any additional Company securities or ADSs may have an adverse effect on the market price of the ADSs.</w:t>
      </w:r>
    </w:p>
    <w:p>
      <w:pPr>
        <w:spacing w:after="0" w:line="13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Polestar may issue up to an aggregate of 158,177,609 additional ADSs to certain Former Parent Shareholders if certain stock price hurdles are achieved over a five-year period from the 180th day following the Business Combination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 Further, we registered on a registration statement on Form S-8 the offering and issuance of up to 117,856,318 Class A ADSs under the Equity Plan and up to 22,000,000 Class A ADSs under the Employee Stock Purchase Plan.</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$4.63 as of July 17, 2023, upon the sale of our Class A ADSs, (a) Former Parent Shareholders may experience a potential loss of up to $5.37 per Class A ADS, (b) GGI Sponsor, the PIPE Investors and Snita may experience a potential loss of up to $4.79 per Subscription Share, (c) the GGI Sponsor may experience a potential profit of approximately $4.63 per Class A ADS issued to the GGI Sponsor upon conversion of the shares of GGI Class F Common Stock, (d) Snita may experience a potential loss of up to $5.37 per Class A ADS issued to Snita upon conversion of the Volvo Cars Preference Subscription Shares, (e) the marketing consulting service provider may experience a potential loss of up to $5.37 per Class A ADS, and (f) Former Parent Convertible Notes Holders may experience a potential loss of up to $3.55 per Class A ADS. Based on the closing price of our Class C-1 ADSs of $0.70 as of July 17, 2023, upon the sale of the Class C-2 ADSs, the GGI Sponsor may experience a potential loss of up to $1.30 per Class C-2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421" w:right="399" w:bottom="1440" w:gutter="0" w:footer="0" w:header="0"/>
        </w:sectPr>
      </w:pPr>
    </w:p>
    <w:bookmarkStart w:id="22" w:name="page23"/>
    <w:bookmarkEnd w:id="22"/>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w:t>
      </w:r>
      <w:r>
        <w:rPr>
          <w:rFonts w:ascii="Arial" w:cs="Arial" w:eastAsia="Arial" w:hAnsi="Arial"/>
          <w:sz w:val="17"/>
          <w:szCs w:val="17"/>
          <w:i w:val="1"/>
          <w:iCs w:val="1"/>
          <w:color w:val="auto"/>
        </w:rPr>
        <w:t>Plan of Distribution</w:t>
      </w:r>
      <w:r>
        <w:rPr>
          <w:rFonts w:ascii="Arial" w:cs="Arial" w:eastAsia="Arial" w:hAnsi="Arial"/>
          <w:sz w:val="17"/>
          <w:szCs w:val="17"/>
          <w:color w:val="auto"/>
        </w:rPr>
        <w:t>.”</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w:t>
      </w:r>
    </w:p>
    <w:p>
      <w:pPr>
        <w:spacing w:after="0" w:line="13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320" w:top="1440" w:right="419" w:bottom="1440" w:gutter="0" w:footer="0" w:header="0"/>
        </w:sectPr>
      </w:pPr>
    </w:p>
    <w:bookmarkStart w:id="23" w:name="page24"/>
    <w:bookmarkEnd w:id="23"/>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w:t>
      </w:r>
      <w:r>
        <w:rPr>
          <w:rFonts w:ascii="Arial" w:cs="Arial" w:eastAsia="Arial" w:hAnsi="Arial"/>
          <w:sz w:val="17"/>
          <w:szCs w:val="17"/>
          <w:i w:val="1"/>
          <w:iCs w:val="1"/>
          <w:color w:val="auto"/>
        </w:rPr>
        <w:t>Description of Share Capital and Articles of Association—Polestar</w:t>
      </w:r>
      <w:r>
        <w:rPr>
          <w:rFonts w:ascii="Arial" w:cs="Arial" w:eastAsia="Arial" w:hAnsi="Arial"/>
          <w:sz w:val="17"/>
          <w:szCs w:val="17"/>
          <w:color w:val="auto"/>
        </w:rPr>
        <w:t xml:space="preserve"> </w:t>
      </w:r>
      <w:r>
        <w:rPr>
          <w:rFonts w:ascii="Arial" w:cs="Arial" w:eastAsia="Arial" w:hAnsi="Arial"/>
          <w:sz w:val="17"/>
          <w:szCs w:val="17"/>
          <w:i w:val="1"/>
          <w:iCs w:val="1"/>
          <w:color w:val="auto"/>
        </w:rPr>
        <w:t>Articles and English Law Considerations—Other English Law Considerations—Distributions &amp; Dividend</w:t>
      </w:r>
      <w:r>
        <w:rPr>
          <w:rFonts w:ascii="Arial" w:cs="Arial" w:eastAsia="Arial" w:hAnsi="Arial"/>
          <w:sz w:val="17"/>
          <w:szCs w:val="17"/>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1440" w:right="459" w:bottom="1440" w:gutter="0" w:footer="0" w:header="0"/>
        </w:sectPr>
      </w:pPr>
    </w:p>
    <w:bookmarkStart w:id="24" w:name="page25"/>
    <w:bookmarkEnd w:id="2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 AND INDEBTEDNESS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sets forth our capitalization as of December 31, 2022, and should be read in conjunction with section entitled “Operating and Financial Review and Prospects” and the financial statements as of December 31, 2022 and 2021 and for each of the three years in the period ended December 31, 2022, and the notes thereto, which are incorporated in this prospectus by reference to the Company’s Annual Report on Form 20-F for the year ended December 31, 2022.</w:t>
      </w:r>
    </w:p>
    <w:p>
      <w:pPr>
        <w:sectPr>
          <w:pgSz w:w="11900" w:h="16838" w:orient="portrait"/>
          <w:cols w:equalWidth="0" w:num="1">
            <w:col w:w="11220"/>
          </w:cols>
          <w:pgMar w:left="320" w:top="1440" w:right="35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 2022 (in 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Borrowings and 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interest-bearing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 to credit institutions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Interest-bearing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Interest-bearing current liabilities—related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Trade payables—related parties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6"/>
          <w:szCs w:val="16"/>
          <w:b w:val="1"/>
          <w:bCs w:val="1"/>
          <w:color w:val="auto"/>
        </w:rPr>
        <w:t>Total Borrowings and 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Shareholder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 Capital (the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contributed capital</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Shareholder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Polestar Historical</w:t>
      </w:r>
    </w:p>
    <w:p>
      <w:pPr>
        <w:spacing w:after="0" w:line="289" w:lineRule="exact"/>
        <w:rPr>
          <w:sz w:val="20"/>
          <w:szCs w:val="20"/>
          <w:color w:val="auto"/>
        </w:rPr>
      </w:pPr>
    </w:p>
    <w:p>
      <w:pPr>
        <w:ind w:left="900" w:hanging="900"/>
        <w:spacing w:after="0"/>
        <w:tabs>
          <w:tab w:leader="none" w:pos="9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973,877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24765</wp:posOffset>
            </wp:positionV>
            <wp:extent cx="1003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(85,556)</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(1,328,752)</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(21,545)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(957,497)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22860</wp:posOffset>
            </wp:positionV>
            <wp:extent cx="1003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(2,410,040)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(21,165)</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(3,584,232)</w:t>
      </w:r>
    </w:p>
    <w:p>
      <w:pPr>
        <w:spacing w:after="0" w:line="5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3,726,775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10033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121,378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10033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6" w:lineRule="exact"/>
        <w:rPr>
          <w:sz w:val="20"/>
          <w:szCs w:val="20"/>
          <w:color w:val="auto"/>
        </w:rPr>
      </w:pPr>
    </w:p>
    <w:p>
      <w:pPr>
        <w:ind w:left="700" w:hanging="700"/>
        <w:spacing w:after="0"/>
        <w:tabs>
          <w:tab w:leader="none" w:pos="7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(2,288,662)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1003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960" w:space="720"/>
            <w:col w:w="1540"/>
          </w:cols>
          <w:pgMar w:left="320" w:top="1440" w:right="35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right="40" w:hanging="332"/>
        <w:spacing w:after="0" w:line="272"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Polestar maintains a significant amount of overdue related party trade payables to Volvo Cars and Geely. These related party trade payables are interest-bearing with flexible payment terms. For more information, refer to </w:t>
      </w:r>
      <w:r>
        <w:rPr>
          <w:rFonts w:ascii="Arial" w:cs="Arial" w:eastAsia="Arial" w:hAnsi="Arial"/>
          <w:sz w:val="14"/>
          <w:szCs w:val="14"/>
          <w:i w:val="1"/>
          <w:iCs w:val="1"/>
          <w:color w:val="auto"/>
        </w:rPr>
        <w:t>Note 25—Related party transactions</w:t>
      </w:r>
      <w:r>
        <w:rPr>
          <w:rFonts w:ascii="Arial" w:cs="Arial" w:eastAsia="Arial" w:hAnsi="Arial"/>
          <w:sz w:val="14"/>
          <w:szCs w:val="14"/>
          <w:color w:val="auto"/>
        </w:rPr>
        <w:t xml:space="preserve"> in the financial statements of the Company included in the Company’s Annual Report on Form 20-F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type w:val="continuous"/>
        </w:sectPr>
      </w:pPr>
    </w:p>
    <w:bookmarkStart w:id="25" w:name="page26"/>
    <w:bookmarkEnd w:id="2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7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following is a summary description of the securities of the Company, which are represented by ADSs. This description also summarizes relevant provisions of English law. The following summary does not purport to be complete and is subject to, and is qualified in its entirety by reference to, the applicable provisions of English law and the Polestar Articles, a copy of which is filed as an exhibit to the registration statement of which this prospectus forms a part. We encourage you to read the Polestar Articles and the applicable provisions of English law for additional information.</w:t>
      </w:r>
    </w:p>
    <w:p>
      <w:pPr>
        <w:spacing w:after="0" w:line="103"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Further, please note that holders of AD securities (see section entitled “</w:t>
      </w:r>
      <w:r>
        <w:rPr>
          <w:rFonts w:ascii="Arial" w:cs="Arial" w:eastAsia="Arial" w:hAnsi="Arial"/>
          <w:sz w:val="18"/>
          <w:szCs w:val="18"/>
          <w:i w:val="1"/>
          <w:iCs w:val="1"/>
          <w:color w:val="auto"/>
        </w:rPr>
        <w:t>Description of American Depositary Shares</w:t>
      </w:r>
      <w:r>
        <w:rPr>
          <w:rFonts w:ascii="Arial" w:cs="Arial" w:eastAsia="Arial" w:hAnsi="Arial"/>
          <w:sz w:val="18"/>
          <w:szCs w:val="18"/>
          <w:color w:val="auto"/>
        </w:rPr>
        <w:t>”) will not be treated as one of the Company’s shareholders and will not have any shareholder rights.</w:t>
      </w:r>
    </w:p>
    <w:p>
      <w:pPr>
        <w:spacing w:after="0" w:line="1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total number of shares of all classes of shares which the Company is authorized to issue is 6,861,249,349 shares, consisting of (i) 5,000,000,000 Class A Shares of nominal value USD 0.01 each, (ii) 1,777,366,739 Class B Shares of nominal value USD 0.01 each, (iii) 16,000,000 Class C-1 Shares of nominal value USD 0.10 each, (iv) 9,000,000 Class C-2 Shares of nominal value USD 0.10 each, (v) 58,882,610 Volvo Cars Preference Subscription Shares of nominal value USD 10.00 each, and (vi) 50,000 GBP Redeemable Preferred Shares of nominal value GBP 1.00 each (“GBP Redeemable Preferred Shares”). In addition, Class A Shares and Deferred Shares of nominal value USD 0.01 each (“Deferred Shares”) may be created upon conversion of Class C-1 Shares, Class C-2 Shares and Volvo Cars Preference Subscription Shares without any requirement for further authorization. As of the date of this prospectus, the following securities were issued and outstanding: 467,914,248 Class A Shares, 1,642,233,575 Class B Shares, no Volvo Cars Preference Subscription Shares, 50,000 GBP Redeemable Preferred Shares, 20,499,965 Class C-1 Shares and 4,500,000 Class C-2 Shares. The Class A Shares, Class B Shares and Class C Shares are represented by Class A ADSs, Class B ADSs and Class C ADSs,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Company Share Capital and Polestar Articles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Subject to the provisions of English law and any preferences that may apply to shares outstanding at the time, holders of outstanding Class A Shares, Class B Shares and Volvo Cars Preference Subscription Shares are entitled to receive dividends out of assets legally available at the times and in the amounts as the Board may determine from time to time.</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3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Volvo Cars Preference Subscription Shares shall not entitle any holder to preferred dividends or accruals except that the holders of Volvo Cars Preference Subscription Shares shall participate in dividends or other distributions on the Class A Shares as if such Volvo Cars Preference Subscription Shares had been converted into Class A Shares in accordance with the Polestar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6" w:name="page27"/>
    <w:bookmarkEnd w:id="26"/>
    <w:p>
      <w:pPr>
        <w:ind w:right="40"/>
        <w:spacing w:after="0" w:line="273" w:lineRule="auto"/>
        <w:rPr>
          <w:sz w:val="20"/>
          <w:szCs w:val="20"/>
          <w:color w:val="auto"/>
        </w:rPr>
      </w:pPr>
      <w:r>
        <w:rPr>
          <w:rFonts w:ascii="Arial" w:cs="Arial" w:eastAsia="Arial" w:hAnsi="Arial"/>
          <w:sz w:val="17"/>
          <w:szCs w:val="17"/>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Polestar Articles and English Law Considerations—Other English Law Considerations—Distributions &amp; Dividends</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17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Company securities and the Company intends to propose equivalent resolutions in the future once the initial period 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or Redemption Rights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Class A Shares and Deferred Shares are neither convertible nor redeemable, provided that the Board has the right to issue additional classes of shares in the Company (including redeemable shares) on such terms and conditions, and with such rights attached, as it may determine.</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Each Volvo Cars Preference Subscription Shares shall convert into one Class A Share (credited as fully paid) in the form of a Class A ADS, provided that:</w:t>
      </w:r>
    </w:p>
    <w:p>
      <w:pPr>
        <w:spacing w:after="0" w:line="194" w:lineRule="exact"/>
        <w:rPr>
          <w:sz w:val="20"/>
          <w:szCs w:val="20"/>
          <w:color w:val="auto"/>
        </w:rPr>
      </w:pPr>
    </w:p>
    <w:p>
      <w:pPr>
        <w:ind w:left="660" w:right="120" w:hanging="328"/>
        <w:spacing w:after="0" w:line="31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27" w:name="page28"/>
    <w:bookmarkEnd w:id="27"/>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conversion of a Volvo Cars Preference Subscription Shares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1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w:t>
      </w:r>
    </w:p>
    <w:p>
      <w:pPr>
        <w:spacing w:after="0" w:line="95" w:lineRule="exact"/>
        <w:rPr>
          <w:sz w:val="20"/>
          <w:szCs w:val="20"/>
          <w:color w:val="auto"/>
        </w:rPr>
      </w:pPr>
    </w:p>
    <w:p>
      <w:pPr>
        <w:ind w:right="3280"/>
        <w:spacing w:after="0" w:line="438" w:lineRule="auto"/>
        <w:rPr>
          <w:sz w:val="20"/>
          <w:szCs w:val="20"/>
          <w:color w:val="auto"/>
        </w:rPr>
      </w:pPr>
      <w:r>
        <w:rPr>
          <w:rFonts w:ascii="Arial" w:cs="Arial" w:eastAsia="Arial" w:hAnsi="Arial"/>
          <w:sz w:val="18"/>
          <w:szCs w:val="18"/>
          <w:color w:val="auto"/>
        </w:rPr>
        <w:t xml:space="preserve">The conversion and redemption features of the Class C Shares are described below under “—Class C Shares.” </w:t>
      </w:r>
      <w:r>
        <w:rPr>
          <w:rFonts w:ascii="Arial" w:cs="Arial" w:eastAsia="Arial" w:hAnsi="Arial"/>
          <w:sz w:val="18"/>
          <w:szCs w:val="18"/>
          <w:i w:val="1"/>
          <w:iCs w:val="1"/>
          <w:color w:val="auto"/>
        </w:rPr>
        <w:t>Liquidation Rights</w:t>
      </w:r>
    </w:p>
    <w:p>
      <w:pPr>
        <w:spacing w:after="0" w:line="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a return of assets on liquidation or otherwise, the assets of Polestar remaining after payment of its debts and liabilities and available for distribution to holders of Shares, Class C Shares, Volvo Cars Preference Subscription Shares, Deferred Shares and GBP Redeemable Preferred Shares will be applied in the following manner and order of priority:</w:t>
      </w:r>
    </w:p>
    <w:p>
      <w:pPr>
        <w:spacing w:after="0" w:line="130" w:lineRule="exact"/>
        <w:rPr>
          <w:sz w:val="20"/>
          <w:szCs w:val="20"/>
          <w:color w:val="auto"/>
        </w:rPr>
      </w:pPr>
    </w:p>
    <w:p>
      <w:pPr>
        <w:ind w:left="660" w:right="4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first, to the holders of the Volvo Cars Preference Subscription Shares (pro rata and pari passu) an amount equal to the initial liquidation preference of $588,826,100 less the aggregate subscription price of any Volvo Cars Preference Subscription Shares that have been converted into Class A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second, to the holders of the GBP Redeemable Preferred Shares an amount equal to the nominal value of such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the holders of the Shares pro rata to the number of Shares respectively held by them up to an amount of $1 million per Share; and</w:t>
      </w:r>
    </w:p>
    <w:p>
      <w:pPr>
        <w:spacing w:after="0" w:line="182" w:lineRule="exact"/>
        <w:rPr>
          <w:rFonts w:ascii="Arial" w:cs="Arial" w:eastAsia="Arial" w:hAnsi="Arial"/>
          <w:sz w:val="17"/>
          <w:szCs w:val="17"/>
          <w:color w:val="auto"/>
        </w:rPr>
      </w:pPr>
    </w:p>
    <w:p>
      <w:pPr>
        <w:ind w:left="980" w:right="16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the holders of the Class C Shares pari passu with Shares on an as-converted basis less the conversion price of $11.50 per share (subject to relevant adjustments in the Polestar Articles) pro rata to the number of Class C Shares respectively held by them up to an amount of $1 million per Class C Share;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fourth, to the holders of Deferred Shares an amount equal to the nominal value of the Deferred Shares;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fifth:</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the holders of the Shares pro rata to the number of Shares respectively held by them; and</w:t>
      </w:r>
    </w:p>
    <w:p>
      <w:pPr>
        <w:spacing w:after="0" w:line="171"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the holders of the Class C Shares pari passu with Shares on an as-converted basis less the conversion price of $11.50 per share (subject to relevant adjustments in the Polestar Articles),</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provided that if the amount which would be received by the holders of the Volvo Cars Preference Subscription Shares if all such shares had been converted in accordance with the Polestar Articles would be greater than pursuant to (a) above, the relevant Volvo Cars Preference Subscription Shares shall be deemed for the purposes of the relevant return of capital to be treated pari passu with the holders of Shares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Variation of Rights</w:t>
      </w:r>
    </w:p>
    <w:p>
      <w:pPr>
        <w:spacing w:after="0" w:line="17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Calls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Shares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13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a share that is not fully paid;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a share upon which the Company has a lien;</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a share that is not duly stamped (if required) or is duly certified or otherwise shown to the satisfaction of the Board to be exempt from stamp duty (if required);</w:t>
      </w:r>
    </w:p>
    <w:p>
      <w:pPr>
        <w:spacing w:after="0" w:line="116"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a default share where the holder has failed to provide the required details to Polestar under “—Polestar Articles and English Law Considerations —Other English Law Considerations—Disclosure of Interest in Shares,” subject to certain exceptions;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respect of more than one class of shares;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where, in the case of a transfer to joint holders of a share, the number of joint holders to whom the share is to be transferred exceeds four.</w:t>
      </w:r>
    </w:p>
    <w:p>
      <w:pPr>
        <w:spacing w:after="0" w:line="1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Ownership</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English law and the Polestar Articles, there are no limitations on the right of non-residents of the U.K. or owners who are not citizens of the U.K. to hold or, other than the holders of Volvo Cars Preference Subscription Shares, Deferred Shares or GBP Redeemable Preferred Shares which do no confer voting rights on the relevant holders, vote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Polestar Articles and English Law Considerations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Polestar Articles provide that at the time of their adoption, the number of directors of the Company shall be nine (the “Initial Directors”), and that otherwise the number of directors shall be as determined by the Board from time to time. Directors may be appointed by any ordinary resolution of shareholders or by the Board, as described below under “—Appointment and Retirement of Directors.” Each director elected shall hold office until his or her successor is elected or until his or her earlier resignation or removal in accordance with the Polestar Articles.</w:t>
      </w:r>
    </w:p>
    <w:p>
      <w:pPr>
        <w:spacing w:after="0" w:line="117" w:lineRule="exact"/>
        <w:rPr>
          <w:sz w:val="20"/>
          <w:szCs w:val="20"/>
          <w:color w:val="auto"/>
        </w:rPr>
      </w:pPr>
    </w:p>
    <w:p>
      <w:pPr>
        <w:jc w:val="both"/>
        <w:ind w:right="320"/>
        <w:spacing w:after="0" w:line="296" w:lineRule="auto"/>
        <w:rPr>
          <w:sz w:val="20"/>
          <w:szCs w:val="20"/>
          <w:color w:val="auto"/>
        </w:rPr>
      </w:pPr>
      <w:r>
        <w:rPr>
          <w:rFonts w:ascii="Arial" w:cs="Arial" w:eastAsia="Arial" w:hAnsi="Arial"/>
          <w:sz w:val="16"/>
          <w:szCs w:val="16"/>
          <w:color w:val="auto"/>
        </w:rPr>
        <w:t>For a period of three years post-Business Combination Closing a majority of the director shall be independent directors. A director shall be independent when he or she (i) satisfies the requirements to qualify as an “independent director” under the stock exchange rules of the stock exchange on which the Class A Shares are then-currently listed and (ii) is not affiliated (as a director, employee, shareholder or otherwise) with Former Parent, Volvo or Geely, provided that an individual shall not be precluded from being appointed, or continuing to act, as an independent director solely on the basis of holding, directly or indirectly, up to 0.01% of the share capital of any publicly traded affiliate of Former Parent, Volvo Cars or Geely.</w:t>
      </w:r>
    </w:p>
    <w:p>
      <w:pPr>
        <w:spacing w:after="0" w:line="10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and Retirement of Directors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34"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color w:val="auto"/>
        </w:rPr>
        <w:t>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the Business Combination Closing, directors shall be elected to serve for a term of three years to succeed the directors of the class whose terms expire at such annual general meeting.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Indemnity of Directors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Shareholders’ Meetings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Company securities of the Company, present in person or by proxy and entitled to attend and to vote on the business to be transacted, at such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Requisitioning Shareholder Meetings</w:t>
      </w:r>
    </w:p>
    <w:p>
      <w:pPr>
        <w:spacing w:after="0" w:line="17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English Law Considerations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2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Out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offeror is required to acquire those shares on the terms of the takeover offer or on such other terms as may be agreed.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 City Code on Takeovers and Mergers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110" w:lineRule="exact"/>
        <w:rPr>
          <w:sz w:val="20"/>
          <w:szCs w:val="20"/>
          <w:color w:val="auto"/>
        </w:rPr>
      </w:pPr>
    </w:p>
    <w:p>
      <w:pPr>
        <w:ind w:left="660" w:right="5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116"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Interest in Company securities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“default shares”), to disclose prescribed particulars of those shares. For this purpose, default shares includes any of the Company’s shares allotted or issued after 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&amp; Dividends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w:t>
      </w:r>
    </w:p>
    <w:p>
      <w:pPr>
        <w:spacing w:after="0" w:line="11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130" w:lineRule="exact"/>
        <w:rPr>
          <w:sz w:val="20"/>
          <w:szCs w:val="20"/>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and to the extent that, the distribution itself, at the time that it is made, does not reduce the amount of the net assets to less than that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42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Purchase of Own Shares</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Company securities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Shares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post-Business Combination 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Business Combination Closing, at 5:00 p.m., New York City time, or earlier upon redemption or liquidation.</w:t>
      </w:r>
    </w:p>
    <w:p>
      <w:pPr>
        <w:spacing w:after="0" w:line="1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filed the Shelf Registration Statement to register, under the Securities Act, the Class A ADSs issuable upon exercise of the Class C Shares. The Company has agreed to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Redemption of Class C Shares for cash. Once the Class C Shares become exercisable, the Company may call the Class C Shares for redemption (except as described herein with respect to Class C-2 Shares):</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 price of $0.01 per Class C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(the “30-day redemption period”) to each holder of a Class C Share; and</w:t>
      </w:r>
    </w:p>
    <w:p>
      <w:pPr>
        <w:spacing w:after="0" w:line="182" w:lineRule="exact"/>
        <w:rPr>
          <w:rFonts w:ascii="Arial" w:cs="Arial" w:eastAsia="Arial" w:hAnsi="Arial"/>
          <w:sz w:val="17"/>
          <w:szCs w:val="17"/>
          <w:color w:val="auto"/>
        </w:rPr>
      </w:pPr>
    </w:p>
    <w:p>
      <w:pPr>
        <w:ind w:left="660" w:right="44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33" w:name="page34"/>
    <w:bookmarkEnd w:id="33"/>
    <w:p>
      <w:pPr>
        <w:ind w:right="280"/>
        <w:spacing w:after="0" w:line="257" w:lineRule="auto"/>
        <w:rPr>
          <w:sz w:val="20"/>
          <w:szCs w:val="20"/>
          <w:color w:val="auto"/>
        </w:rPr>
      </w:pPr>
      <w:r>
        <w:rPr>
          <w:rFonts w:ascii="Arial" w:cs="Arial" w:eastAsia="Arial" w:hAnsi="Arial"/>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per share redemption trigger price as well as the $11.50 per share (for whole Class A ADSs) Class C Shares exercise price after the redemption notice is issued.</w:t>
      </w:r>
    </w:p>
    <w:p>
      <w:pPr>
        <w:spacing w:after="0" w:line="1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Redemption of Class C Shares for Class A ADSs. Commencing 90 days after the Class C Shares become exercisable, the Company may redeem the outstanding Class C Shares:</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and only if, the Class C-2 Shares are also concurrently exchanged at the same price (equal to a number of Class A ADSs) as the outstanding Class C-1 Shares, as described above;</w:t>
      </w:r>
    </w:p>
    <w:p>
      <w:pPr>
        <w:spacing w:after="0" w:line="116"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71"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 adjusted in the same manner and at the same time as the number of Class A ADSs issuable upon exercise of a Class C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34" w:name="page35"/>
    <w:bookmarkEnd w:id="34"/>
    <w:p>
      <w:pPr>
        <w:spacing w:after="0" w:line="23" w:lineRule="exact"/>
        <w:rPr>
          <w:sz w:val="20"/>
          <w:szCs w:val="20"/>
          <w:color w:val="auto"/>
        </w:rPr>
      </w:pPr>
    </w:p>
    <w:p>
      <w:pPr>
        <w:jc w:val="center"/>
        <w:ind w:left="1980"/>
        <w:spacing w:after="0"/>
        <w:rPr>
          <w:sz w:val="20"/>
          <w:szCs w:val="20"/>
          <w:color w:val="auto"/>
        </w:rPr>
      </w:pPr>
      <w:r>
        <w:rPr>
          <w:rFonts w:ascii="Arial" w:cs="Arial" w:eastAsia="Arial" w:hAnsi="Arial"/>
          <w:sz w:val="11"/>
          <w:szCs w:val="11"/>
          <w:b w:val="1"/>
          <w:bCs w:val="1"/>
          <w:color w:val="auto"/>
        </w:rPr>
        <w:t>Fair Market Value of Class A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22860</wp:posOffset>
            </wp:positionV>
            <wp:extent cx="586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9" w:lineRule="exact"/>
        <w:rPr>
          <w:sz w:val="20"/>
          <w:szCs w:val="20"/>
          <w:color w:val="auto"/>
        </w:rPr>
      </w:pPr>
    </w:p>
    <w:p>
      <w:pPr>
        <w:ind w:left="2320"/>
        <w:spacing w:after="0"/>
        <w:tabs>
          <w:tab w:leader="none" w:pos="3340" w:val="left"/>
          <w:tab w:leader="none" w:pos="4380" w:val="left"/>
          <w:tab w:leader="none" w:pos="5420" w:val="left"/>
          <w:tab w:leader="none" w:pos="6460" w:val="left"/>
          <w:tab w:leader="none" w:pos="7480" w:val="left"/>
          <w:tab w:leader="none" w:pos="8520" w:val="left"/>
          <w:tab w:leader="none" w:pos="9560" w:val="left"/>
          <w:tab w:leader="none" w:pos="10600" w:val="left"/>
        </w:tabs>
        <w:rPr>
          <w:sz w:val="20"/>
          <w:szCs w:val="20"/>
          <w:color w:val="auto"/>
        </w:rPr>
      </w:pPr>
      <w:r>
        <w:rPr>
          <w:rFonts w:ascii="Arial" w:cs="Arial" w:eastAsia="Arial" w:hAnsi="Arial"/>
          <w:sz w:val="11"/>
          <w:szCs w:val="11"/>
          <w:b w:val="1"/>
          <w:bCs w:val="1"/>
          <w:color w:val="auto"/>
        </w:rPr>
        <w:t>$10.00</w:t>
      </w:r>
      <w:r>
        <w:rPr>
          <w:sz w:val="20"/>
          <w:szCs w:val="20"/>
          <w:color w:val="auto"/>
        </w:rPr>
        <w:tab/>
      </w:r>
      <w:r>
        <w:rPr>
          <w:rFonts w:ascii="Arial" w:cs="Arial" w:eastAsia="Arial" w:hAnsi="Arial"/>
          <w:sz w:val="11"/>
          <w:szCs w:val="11"/>
          <w:b w:val="1"/>
          <w:bCs w:val="1"/>
          <w:color w:val="auto"/>
        </w:rPr>
        <w:t>$11.00</w:t>
      </w:r>
      <w:r>
        <w:rPr>
          <w:sz w:val="20"/>
          <w:szCs w:val="20"/>
          <w:color w:val="auto"/>
        </w:rPr>
        <w:tab/>
      </w:r>
      <w:r>
        <w:rPr>
          <w:rFonts w:ascii="Arial" w:cs="Arial" w:eastAsia="Arial" w:hAnsi="Arial"/>
          <w:sz w:val="11"/>
          <w:szCs w:val="11"/>
          <w:b w:val="1"/>
          <w:bCs w:val="1"/>
          <w:color w:val="auto"/>
        </w:rPr>
        <w:t>$12.00</w:t>
      </w:r>
      <w:r>
        <w:rPr>
          <w:sz w:val="20"/>
          <w:szCs w:val="20"/>
          <w:color w:val="auto"/>
        </w:rPr>
        <w:tab/>
      </w:r>
      <w:r>
        <w:rPr>
          <w:rFonts w:ascii="Arial" w:cs="Arial" w:eastAsia="Arial" w:hAnsi="Arial"/>
          <w:sz w:val="11"/>
          <w:szCs w:val="11"/>
          <w:b w:val="1"/>
          <w:bCs w:val="1"/>
          <w:color w:val="auto"/>
        </w:rPr>
        <w:t>$13.00</w:t>
      </w:r>
      <w:r>
        <w:rPr>
          <w:sz w:val="20"/>
          <w:szCs w:val="20"/>
          <w:color w:val="auto"/>
        </w:rPr>
        <w:tab/>
      </w:r>
      <w:r>
        <w:rPr>
          <w:rFonts w:ascii="Arial" w:cs="Arial" w:eastAsia="Arial" w:hAnsi="Arial"/>
          <w:sz w:val="11"/>
          <w:szCs w:val="11"/>
          <w:b w:val="1"/>
          <w:bCs w:val="1"/>
          <w:color w:val="auto"/>
        </w:rPr>
        <w:t>$14.00</w:t>
      </w:r>
      <w:r>
        <w:rPr>
          <w:sz w:val="20"/>
          <w:szCs w:val="20"/>
          <w:color w:val="auto"/>
        </w:rPr>
        <w:tab/>
      </w:r>
      <w:r>
        <w:rPr>
          <w:rFonts w:ascii="Arial" w:cs="Arial" w:eastAsia="Arial" w:hAnsi="Arial"/>
          <w:sz w:val="11"/>
          <w:szCs w:val="11"/>
          <w:b w:val="1"/>
          <w:bCs w:val="1"/>
          <w:color w:val="auto"/>
        </w:rPr>
        <w:t>$15.00</w:t>
      </w:r>
      <w:r>
        <w:rPr>
          <w:sz w:val="20"/>
          <w:szCs w:val="20"/>
          <w:color w:val="auto"/>
        </w:rPr>
        <w:tab/>
      </w:r>
      <w:r>
        <w:rPr>
          <w:rFonts w:ascii="Arial" w:cs="Arial" w:eastAsia="Arial" w:hAnsi="Arial"/>
          <w:sz w:val="11"/>
          <w:szCs w:val="11"/>
          <w:b w:val="1"/>
          <w:bCs w:val="1"/>
          <w:color w:val="auto"/>
        </w:rPr>
        <w:t>$16.00</w:t>
      </w:r>
      <w:r>
        <w:rPr>
          <w:sz w:val="20"/>
          <w:szCs w:val="20"/>
          <w:color w:val="auto"/>
        </w:rPr>
        <w:tab/>
      </w:r>
      <w:r>
        <w:rPr>
          <w:rFonts w:ascii="Arial" w:cs="Arial" w:eastAsia="Arial" w:hAnsi="Arial"/>
          <w:sz w:val="11"/>
          <w:szCs w:val="11"/>
          <w:b w:val="1"/>
          <w:bCs w:val="1"/>
          <w:color w:val="auto"/>
        </w:rPr>
        <w:t>$17.00</w:t>
      </w:r>
      <w:r>
        <w:rPr>
          <w:sz w:val="20"/>
          <w:szCs w:val="20"/>
          <w:color w:val="auto"/>
        </w:rPr>
        <w:tab/>
      </w:r>
      <w:r>
        <w:rPr>
          <w:rFonts w:ascii="Arial" w:cs="Arial" w:eastAsia="Arial" w:hAnsi="Arial"/>
          <w:sz w:val="9"/>
          <w:szCs w:val="9"/>
          <w:b w:val="1"/>
          <w:bCs w:val="1"/>
          <w:color w:val="auto"/>
        </w:rPr>
        <w:t>$18.00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22860</wp:posOffset>
            </wp:positionV>
            <wp:extent cx="586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9" w:lineRule="exact"/>
        <w:rPr>
          <w:sz w:val="20"/>
          <w:szCs w:val="20"/>
          <w:color w:val="auto"/>
        </w:rPr>
      </w:pPr>
    </w:p>
    <w:p>
      <w:pPr>
        <w:ind w:left="5300"/>
        <w:spacing w:after="0"/>
        <w:rPr>
          <w:sz w:val="20"/>
          <w:szCs w:val="20"/>
          <w:color w:val="auto"/>
        </w:rPr>
      </w:pPr>
      <w:r>
        <w:rPr>
          <w:rFonts w:ascii="Arial" w:cs="Arial" w:eastAsia="Arial" w:hAnsi="Arial"/>
          <w:sz w:val="11"/>
          <w:szCs w:val="11"/>
          <w:b w:val="1"/>
          <w:bCs w:val="1"/>
          <w:color w:val="auto"/>
        </w:rPr>
        <w:t>Redemption Date (period to expiration of Class C Shares)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57 months</w:t>
            </w:r>
          </w:p>
        </w:tc>
        <w:tc>
          <w:tcPr>
            <w:tcW w:w="12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0.257</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0.277</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0.294</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0.31</w:t>
            </w:r>
          </w:p>
        </w:tc>
        <w:tc>
          <w:tcPr>
            <w:tcW w:w="1020" w:type="dxa"/>
            <w:vAlign w:val="bottom"/>
            <w:tcBorders>
              <w:top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0.324</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0.337</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0.348</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0.358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0.365</w:t>
            </w: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54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0.252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0.272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0.291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0.307</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0.322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0.347</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0.357</w:t>
            </w:r>
          </w:p>
        </w:tc>
        <w:tc>
          <w:tcPr>
            <w:tcW w:w="720" w:type="dxa"/>
            <w:vAlign w:val="bottom"/>
          </w:tcPr>
          <w:p>
            <w:pPr>
              <w:jc w:val="right"/>
              <w:spacing w:after="0"/>
              <w:rPr>
                <w:sz w:val="20"/>
                <w:szCs w:val="20"/>
                <w:color w:val="auto"/>
              </w:rPr>
            </w:pPr>
            <w:r>
              <w:rPr>
                <w:rFonts w:ascii="Arial" w:cs="Arial" w:eastAsia="Arial" w:hAnsi="Arial"/>
                <w:sz w:val="13"/>
                <w:szCs w:val="13"/>
                <w:color w:val="auto"/>
              </w:rPr>
              <w:t>0.365</w:t>
            </w:r>
          </w:p>
        </w:tc>
      </w:tr>
      <w:tr>
        <w:trPr>
          <w:trHeight w:val="29"/>
        </w:trPr>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6"/>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51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0.246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0.268</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0.287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0.304</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0.32</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0.333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0.346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0.357</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0.365</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48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0.241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0.263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0.283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0.301</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0.317</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0.344</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0.356</w:t>
            </w:r>
          </w:p>
        </w:tc>
        <w:tc>
          <w:tcPr>
            <w:tcW w:w="720" w:type="dxa"/>
            <w:vAlign w:val="bottom"/>
          </w:tcPr>
          <w:p>
            <w:pPr>
              <w:jc w:val="right"/>
              <w:spacing w:after="0"/>
              <w:rPr>
                <w:sz w:val="20"/>
                <w:szCs w:val="20"/>
                <w:color w:val="auto"/>
              </w:rPr>
            </w:pPr>
            <w:r>
              <w:rPr>
                <w:rFonts w:ascii="Arial" w:cs="Arial" w:eastAsia="Arial" w:hAnsi="Arial"/>
                <w:sz w:val="13"/>
                <w:szCs w:val="13"/>
                <w:color w:val="auto"/>
              </w:rPr>
              <w:t>0.365</w:t>
            </w:r>
          </w:p>
        </w:tc>
      </w:tr>
      <w:tr>
        <w:trPr>
          <w:trHeight w:val="17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45 months</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0.235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0.258</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0.279</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0.298</w:t>
            </w:r>
          </w:p>
        </w:tc>
        <w:tc>
          <w:tcPr>
            <w:tcW w:w="10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3"/>
                <w:szCs w:val="13"/>
                <w:color w:val="auto"/>
              </w:rPr>
              <w:t>0.315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0.33</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0.343</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0.356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0.365</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42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0.228</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0.252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0.274</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0.294</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0.312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0.328</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0.355</w:t>
            </w:r>
          </w:p>
        </w:tc>
        <w:tc>
          <w:tcPr>
            <w:tcW w:w="720" w:type="dxa"/>
            <w:vAlign w:val="bottom"/>
          </w:tcPr>
          <w:p>
            <w:pPr>
              <w:jc w:val="right"/>
              <w:spacing w:after="0"/>
              <w:rPr>
                <w:sz w:val="20"/>
                <w:szCs w:val="20"/>
                <w:color w:val="auto"/>
              </w:rPr>
            </w:pPr>
            <w:r>
              <w:rPr>
                <w:rFonts w:ascii="Arial" w:cs="Arial" w:eastAsia="Arial" w:hAnsi="Arial"/>
                <w:sz w:val="13"/>
                <w:szCs w:val="13"/>
                <w:color w:val="auto"/>
              </w:rPr>
              <w:t>0.364</w:t>
            </w: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39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0.221</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0.246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0.269</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0.29</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0.309</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0.325</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0.354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0.364</w:t>
            </w: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36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0.213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0.239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0.263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0.285</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0.305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0.353</w:t>
            </w:r>
          </w:p>
        </w:tc>
        <w:tc>
          <w:tcPr>
            <w:tcW w:w="720" w:type="dxa"/>
            <w:vAlign w:val="bottom"/>
          </w:tcPr>
          <w:p>
            <w:pPr>
              <w:jc w:val="right"/>
              <w:spacing w:after="0"/>
              <w:rPr>
                <w:sz w:val="20"/>
                <w:szCs w:val="20"/>
                <w:color w:val="auto"/>
              </w:rPr>
            </w:pPr>
            <w:r>
              <w:rPr>
                <w:rFonts w:ascii="Arial" w:cs="Arial" w:eastAsia="Arial" w:hAnsi="Arial"/>
                <w:sz w:val="13"/>
                <w:szCs w:val="13"/>
                <w:color w:val="auto"/>
              </w:rPr>
              <w:t>0.364</w:t>
            </w:r>
          </w:p>
        </w:tc>
      </w:tr>
      <w:tr>
        <w:trPr>
          <w:trHeight w:val="29"/>
        </w:trPr>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6"/>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33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0.205</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0.232</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0.257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0.28</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0.301</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0.32</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0.337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0.352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0.364</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30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0.196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0.224</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0.274</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0.297</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0.316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0.351</w:t>
            </w:r>
          </w:p>
        </w:tc>
        <w:tc>
          <w:tcPr>
            <w:tcW w:w="720" w:type="dxa"/>
            <w:vAlign w:val="bottom"/>
          </w:tcPr>
          <w:p>
            <w:pPr>
              <w:jc w:val="right"/>
              <w:spacing w:after="0"/>
              <w:rPr>
                <w:sz w:val="20"/>
                <w:szCs w:val="20"/>
                <w:color w:val="auto"/>
              </w:rPr>
            </w:pPr>
            <w:r>
              <w:rPr>
                <w:rFonts w:ascii="Arial" w:cs="Arial" w:eastAsia="Arial" w:hAnsi="Arial"/>
                <w:sz w:val="13"/>
                <w:szCs w:val="13"/>
                <w:color w:val="auto"/>
              </w:rPr>
              <w:t>0.364</w:t>
            </w:r>
          </w:p>
        </w:tc>
      </w:tr>
      <w:tr>
        <w:trPr>
          <w:trHeight w:val="17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27 months</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0.185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0.214</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0.242</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0.268</w:t>
            </w:r>
          </w:p>
        </w:tc>
        <w:tc>
          <w:tcPr>
            <w:tcW w:w="10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3"/>
                <w:szCs w:val="13"/>
                <w:color w:val="auto"/>
              </w:rPr>
              <w:t>0.291</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0.313</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0.332</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0.364</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24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0.173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0.204</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0.233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0.26</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0.285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0.308</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0.348</w:t>
            </w:r>
          </w:p>
        </w:tc>
        <w:tc>
          <w:tcPr>
            <w:tcW w:w="720" w:type="dxa"/>
            <w:vAlign w:val="bottom"/>
          </w:tcPr>
          <w:p>
            <w:pPr>
              <w:jc w:val="right"/>
              <w:spacing w:after="0"/>
              <w:rPr>
                <w:sz w:val="20"/>
                <w:szCs w:val="20"/>
                <w:color w:val="auto"/>
              </w:rPr>
            </w:pPr>
            <w:r>
              <w:rPr>
                <w:rFonts w:ascii="Arial" w:cs="Arial" w:eastAsia="Arial" w:hAnsi="Arial"/>
                <w:sz w:val="13"/>
                <w:szCs w:val="13"/>
                <w:color w:val="auto"/>
              </w:rPr>
              <w:t>0.364</w:t>
            </w: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0.161</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0.193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0.223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0.252</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0.279</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0.304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0.326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0.347</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0.364</w:t>
            </w: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18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0.146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0.179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0.211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0.242</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0.271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0.298</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0.345</w:t>
            </w:r>
          </w:p>
        </w:tc>
        <w:tc>
          <w:tcPr>
            <w:tcW w:w="720" w:type="dxa"/>
            <w:vAlign w:val="bottom"/>
          </w:tcPr>
          <w:p>
            <w:pPr>
              <w:jc w:val="right"/>
              <w:spacing w:after="0"/>
              <w:rPr>
                <w:sz w:val="20"/>
                <w:szCs w:val="20"/>
                <w:color w:val="auto"/>
              </w:rPr>
            </w:pPr>
            <w:r>
              <w:rPr>
                <w:rFonts w:ascii="Arial" w:cs="Arial" w:eastAsia="Arial" w:hAnsi="Arial"/>
                <w:sz w:val="13"/>
                <w:szCs w:val="13"/>
                <w:color w:val="auto"/>
              </w:rPr>
              <w:t>0.363</w:t>
            </w:r>
          </w:p>
        </w:tc>
      </w:tr>
      <w:tr>
        <w:trPr>
          <w:trHeight w:val="29"/>
        </w:trPr>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6"/>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15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0.164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0.197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0.23</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0.262</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0.291</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0.317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0.342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0.363</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12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0.111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0.146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0.181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0.216</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0.282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0.312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0.339</w:t>
            </w:r>
          </w:p>
        </w:tc>
        <w:tc>
          <w:tcPr>
            <w:tcW w:w="720" w:type="dxa"/>
            <w:vAlign w:val="bottom"/>
          </w:tcPr>
          <w:p>
            <w:pPr>
              <w:jc w:val="right"/>
              <w:spacing w:after="0"/>
              <w:rPr>
                <w:sz w:val="20"/>
                <w:szCs w:val="20"/>
                <w:color w:val="auto"/>
              </w:rPr>
            </w:pPr>
            <w:r>
              <w:rPr>
                <w:rFonts w:ascii="Arial" w:cs="Arial" w:eastAsia="Arial" w:hAnsi="Arial"/>
                <w:sz w:val="13"/>
                <w:szCs w:val="13"/>
                <w:color w:val="auto"/>
              </w:rPr>
              <w:t>0.363</w:t>
            </w:r>
          </w:p>
        </w:tc>
      </w:tr>
      <w:tr>
        <w:trPr>
          <w:trHeight w:val="17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9 months</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0.09</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0.125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0.162</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0.199</w:t>
            </w:r>
          </w:p>
        </w:tc>
        <w:tc>
          <w:tcPr>
            <w:tcW w:w="10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3"/>
                <w:szCs w:val="13"/>
                <w:color w:val="auto"/>
              </w:rPr>
              <w:t>0.237</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0.272</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0.305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0.336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0.362</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6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0.065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0.099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0.137</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0.178</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0.219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0.259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0.296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0.331</w:t>
            </w:r>
          </w:p>
        </w:tc>
        <w:tc>
          <w:tcPr>
            <w:tcW w:w="720" w:type="dxa"/>
            <w:vAlign w:val="bottom"/>
          </w:tcPr>
          <w:p>
            <w:pPr>
              <w:jc w:val="right"/>
              <w:spacing w:after="0"/>
              <w:rPr>
                <w:sz w:val="20"/>
                <w:szCs w:val="20"/>
                <w:color w:val="auto"/>
              </w:rPr>
            </w:pPr>
            <w:r>
              <w:rPr>
                <w:rFonts w:ascii="Arial" w:cs="Arial" w:eastAsia="Arial" w:hAnsi="Arial"/>
                <w:sz w:val="13"/>
                <w:szCs w:val="13"/>
                <w:color w:val="auto"/>
              </w:rPr>
              <w:t>0.362</w:t>
            </w: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0.034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0.065</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0.104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0.15</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0.197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0.243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0.286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0.326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0.361</w:t>
            </w: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0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0.042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0.115</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0.179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0.233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0.281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0.323</w:t>
            </w:r>
          </w:p>
        </w:tc>
        <w:tc>
          <w:tcPr>
            <w:tcW w:w="720" w:type="dxa"/>
            <w:vAlign w:val="bottom"/>
          </w:tcPr>
          <w:p>
            <w:pPr>
              <w:jc w:val="right"/>
              <w:spacing w:after="0"/>
              <w:rPr>
                <w:sz w:val="20"/>
                <w:szCs w:val="20"/>
                <w:color w:val="auto"/>
              </w:rPr>
            </w:pPr>
            <w:r>
              <w:rPr>
                <w:rFonts w:ascii="Arial" w:cs="Arial" w:eastAsia="Arial" w:hAnsi="Arial"/>
                <w:sz w:val="13"/>
                <w:szCs w:val="13"/>
                <w:color w:val="auto"/>
              </w:rPr>
              <w:t>0.361</w:t>
            </w:r>
          </w:p>
        </w:tc>
      </w:tr>
    </w:tbl>
    <w:p>
      <w:pPr>
        <w:spacing w:after="0" w:line="24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1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3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Any Class C Shares held by the Company officers or directors will be subject to this redemption feature, except that such officers and directors shall only receive “fair market value” for such Class C Shares so redeemed (“fair market value” for such Class C-1 Shares held by the Company officers or directors being defined as the last reported sale price of the Class C-1 Shares on such redemption date).</w:t>
      </w:r>
    </w:p>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This redemption feature differs from typical warrant redemption features, which typically only provide for a redemption of warrants for cash (other than private placement warrants) when the trading price for Class A common stock exceeds $18.00 per share for a specified period of time. This redemption feature is structured to allow for all of the outstanding Class C-1 Shares to be redeemed when the Class A ADSs are trading at or above $10.00 per Class A ADS, which may be at a time when the trading price of the Class A ADSs is below the exercise price of the Class C-1 Shares. The Company has established this redemption feature to provide the Class C-1 Shares with an additional liquidity feature, which provides the Company with the flexibility to redeem the Class C-1 Shares for Class A ADSs, instead of cash, for “fair value” without the Class C-1 Shares having to reach the $18.00 per Class A ADS threshold set forth above under “—Redemption of Class C Shares for cash.” Holders of the Class 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76" w:lineRule="auto"/>
        <w:rPr>
          <w:sz w:val="20"/>
          <w:szCs w:val="20"/>
          <w:color w:val="auto"/>
        </w:rPr>
      </w:pPr>
      <w:r>
        <w:rPr>
          <w:rFonts w:ascii="Arial" w:cs="Arial" w:eastAsia="Arial" w:hAnsi="Arial"/>
          <w:sz w:val="16"/>
          <w:szCs w:val="16"/>
          <w:color w:val="auto"/>
        </w:rPr>
        <w:t>Shares will, in effect, receive a number of Class A ADSs representing fair value for their Class C-1 Shares based on an option pricing model with a fixed volatility input. This redemption right provides the Company not only with an additional mechanism by which to redeem all of the outstanding Class C-1 Shares, in this case, for Class A ADSs, and therefore have certainty as to (i) the Company’s capital structure as the Class C-1 Shares would no longer be outstanding and would have been exercised or redeemed and (ii) to the amount of cash provided by the exercise of the Class C-1 Shares and available to the Company, and also provides a ceiling to the theoretical value of the Class C-1 Shares as it locks in the “redemption prices” the Company would pay to holders of Class C-1 Shares if Polestar chose to redeem Class C-1 Shares in this manner. The Company will effectively be required to pay fair value to holders of Class C-1 Shares if the Company chooses to exercise this redemption right and it will allow the Company to quickly proceed with a redemption of the Class C-1 Shares for Class A ADSs if the Company determines it is in the Company’s best interest to do so. As such, the Company would redeem the Class C-1 Shares in this manner when the Company believes it is in the Company’s best interest to update the Company’s capital structure to remove the Class C-1 Shares and pay fair value to the holders of Class C-1 Shares. In particular, it would allow the Company to quickly redeem the Class C-1 Shares for Class A ADSs, without having to negotiate a redemption price with the holders of Class C-1 Shares. In addition, the holders of Class C-1 Shares will have the ability to exercise the Class C Shares prior to redemption if they should choose to do so.</w:t>
      </w:r>
    </w:p>
    <w:p>
      <w:pPr>
        <w:spacing w:after="0" w:line="10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stated above, the Company can redeem the Class C-1 Shares when the Class A ADSs are trading at a price starting at $10.00 per share, which is below the exercise price of $11.50 per share,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 per share.</w:t>
      </w:r>
    </w:p>
    <w:p>
      <w:pPr>
        <w:spacing w:after="0" w:line="131"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10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Redemption procedures and cashless exercise. If the Company calls the Class C-1 Shares for redemption as described above, the Company’s 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3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If the Company management takes advantage of this option, all holders of Class C-1 Shares would pay the exercise price by surrendering their Class C-1 Shares for that number of Class A ADSs equal to the quotient 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the Business Combination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holder of a Class C-1 Share may notify the Company in writing in the event it elects to be subject to a requirement that such holder will not have the right to exercise such Class C-1 Shares, to the extent that after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36" w:name="page37"/>
    <w:bookmarkEnd w:id="36"/>
    <w:p>
      <w:pPr>
        <w:spacing w:after="0" w:line="308" w:lineRule="auto"/>
        <w:rPr>
          <w:sz w:val="20"/>
          <w:szCs w:val="20"/>
          <w:color w:val="auto"/>
        </w:rPr>
      </w:pPr>
      <w:r>
        <w:rPr>
          <w:rFonts w:ascii="Arial" w:cs="Arial" w:eastAsia="Arial" w:hAnsi="Arial"/>
          <w:sz w:val="17"/>
          <w:szCs w:val="17"/>
          <w:color w:val="auto"/>
        </w:rPr>
        <w:t>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Anti-dilution adjustments. If the number of outstanding Class A ADSs is increased by a stock dividend payable in Class A ADSs, or by 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w:t>
      </w:r>
    </w:p>
    <w:p>
      <w:pPr>
        <w:spacing w:after="0" w:line="141"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32" w:lineRule="exact"/>
        <w:rPr>
          <w:sz w:val="20"/>
          <w:szCs w:val="20"/>
          <w:color w:val="auto"/>
        </w:rPr>
      </w:pPr>
    </w:p>
    <w:p>
      <w:pPr>
        <w:jc w:val="both"/>
        <w:ind w:right="260"/>
        <w:spacing w:after="0" w:line="278" w:lineRule="auto"/>
        <w:rPr>
          <w:sz w:val="20"/>
          <w:szCs w:val="20"/>
          <w:color w:val="auto"/>
        </w:rPr>
      </w:pPr>
      <w:r>
        <w:rPr>
          <w:rFonts w:ascii="Arial" w:cs="Arial" w:eastAsia="Arial" w:hAnsi="Arial"/>
          <w:sz w:val="17"/>
          <w:szCs w:val="17"/>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0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Whenever the number of Class A ADSs purchasable upon the exercise of the Class C Shares is adjusted, as described above, the Class C Share exercise price will be adjusted by multiplying the Class C Share exercise 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37" w:name="page38"/>
    <w:bookmarkEnd w:id="37"/>
    <w:p>
      <w:pPr>
        <w:ind w:right="20"/>
        <w:spacing w:after="0" w:line="275" w:lineRule="auto"/>
        <w:rPr>
          <w:sz w:val="20"/>
          <w:szCs w:val="20"/>
          <w:color w:val="auto"/>
        </w:rPr>
      </w:pPr>
      <w:r>
        <w:rPr>
          <w:rFonts w:ascii="Arial" w:cs="Arial" w:eastAsia="Arial" w:hAnsi="Arial"/>
          <w:sz w:val="16"/>
          <w:szCs w:val="16"/>
          <w:color w:val="auto"/>
        </w:rPr>
        <w:t>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 (i) 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statement of which this prospectus forms a part, for a complete description of the terms and conditions applicable to the Class C Shares.</w:t>
      </w:r>
    </w:p>
    <w:p>
      <w:pPr>
        <w:spacing w:after="0" w:line="12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w:t>
      </w:r>
    </w:p>
    <w:p>
      <w:pPr>
        <w:spacing w:after="0" w:line="1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w:t>
      </w:r>
    </w:p>
    <w:p>
      <w:pPr>
        <w:spacing w:after="0" w:line="12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certain exceptions, the Class C-2 Shares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w:t>
      </w:r>
    </w:p>
    <w:p>
      <w:pPr>
        <w:spacing w:after="0" w:line="9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Class A ADSs and Class C-1 ADSs are listed on Nasdaq under the symbols “PSNY” and “PSNYW,”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139"/>
          </w:cols>
          <w:pgMar w:left="320" w:top="1417" w:right="1440" w:bottom="1440" w:gutter="0" w:footer="0" w:header="0"/>
        </w:sectPr>
      </w:pPr>
    </w:p>
    <w:bookmarkStart w:id="39" w:name="page40"/>
    <w:bookmarkEnd w:id="39"/>
    <w:p>
      <w:pPr>
        <w:spacing w:after="0" w:line="14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below summarizes the terms of the ADSs.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for the Class C-1 ADSs and the Class C-2 ADSs is on file with the SEC under cover of Registration Statements on Form F-6. A copy of the deposit agreement for the Class A ADSs is on file with the SEC under cover of Registration Statement on Form F-6. You may obtain a copy of the deposit agreements from the SEC’s Public Reference Room at 100 F Street, N.E., Washington, D.C. 20549 and from the SEC’s website (www.sec.gov). Please refer to Registration Number 333-267086 (for the Class A ADSs), 333-263480 (for the Class C-1 ADSs), and 333-263481 (for the Class C-2 ADSs), respectively, when retrieving such copy.</w:t>
      </w:r>
    </w:p>
    <w:p>
      <w:pPr>
        <w:spacing w:after="0" w:line="1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of Polestar have no rights or obligations under the deposit agreement for any other class of shares of Polestar. The Company urges you to review the applicable deposit agreements in their entirety. </w:t>
      </w:r>
      <w:r>
        <w:rPr>
          <w:rFonts w:ascii="Arial" w:cs="Arial" w:eastAsia="Arial" w:hAnsi="Arial"/>
          <w:sz w:val="17"/>
          <w:szCs w:val="17"/>
          <w:i w:val="1"/>
          <w:iCs w:val="1"/>
          <w:color w:val="auto"/>
        </w:rPr>
        <w:t>The portions of this summary description that are italicized describe matters that may be relevant to the ownership of ADSs but that may not be contained in the deposit agreements.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directly, or indirectly, through the custodian or their respective nominees, in each case upon the terms of the deposit agreement.</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continue to be governed by the laws of England and Wales, which may be different from the laws in the United States.</w:t>
      </w:r>
    </w:p>
    <w:p>
      <w:pPr>
        <w:spacing w:after="0" w:line="13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3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45"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registration of the Class A Shares and the Class C Shares in the name of the Depositary or the custodian shall, to the maximum extent permitted by applicable law, vest in the Depositary or the custodian the record ownership in the applicable Class A Shares and the Class C Shares with the beneficial ownership rights and interests in such Class A Shares and the Class C Shares being at all times vested with the beneficial owners of the ADSs representing the applicable Class A Shares and the Class C Shares. The Depositary or the custodian shall at all times be entitled to exercise the beneficial ownership rights in all corresponding deposited property, in each case only on behalf of the holders and beneficial owners of the ADSs representing the deposited property.</w:t>
      </w:r>
    </w:p>
    <w:p>
      <w:pPr>
        <w:spacing w:after="0" w:line="1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Class A Shares or Class C Shares, the transfer of which is restricted due to contractual or regulatory limitations and commonly referred to as “Restricted Shares,” are eligible for deposit under the deposit agreements only in limited circumstances described under the section entitled “</w:t>
      </w:r>
      <w:r>
        <w:rPr>
          <w:rFonts w:ascii="Arial" w:cs="Arial" w:eastAsia="Arial" w:hAnsi="Arial"/>
          <w:sz w:val="18"/>
          <w:szCs w:val="18"/>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ADSs</w:t>
      </w:r>
      <w:r>
        <w:rPr>
          <w:rFonts w:ascii="Arial" w:cs="Arial" w:eastAsia="Arial" w:hAnsi="Arial"/>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of Cash</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3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of Class A Shares or Class C Shares</w:t>
      </w:r>
    </w:p>
    <w:p>
      <w:pPr>
        <w:spacing w:after="0" w:line="17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w:t>
      </w:r>
    </w:p>
    <w:p>
      <w:pPr>
        <w:spacing w:after="0" w:line="13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No such distribution of new ADSs will be made if it would violate a law (e.g., the U.S. securities laws) or if it is not operationally practicable. If the Depositary does not distribute new ADSs as described above, it may sell the Class A Shares or Class C Shares received upon the terms described in the deposit agreement and will distribute the proceeds of the sale as in the case of a distribution of cash.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of Rights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w:t>
      </w:r>
    </w:p>
    <w:p>
      <w:pPr>
        <w:spacing w:after="0" w:line="13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1" w:right="33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color w:val="auto"/>
        </w:rPr>
        <w:t>your rights. The Depositary is not obligated to establish procedures to facilitate the distribution and exercise by holders of rights to subscribe for new Class A Shares or Class C Shares other than in the form of ADSs.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does not timely request that the rights be distributed to you or the Company requests that the rights not be distributed to you;</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fails to deliver satisfactory documents to the Depositary;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Elective Distributions</w:t>
      </w:r>
    </w:p>
    <w:p>
      <w:pPr>
        <w:spacing w:after="0" w:line="171"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9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Distributions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 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not distribute the property to you and will sell the property if:</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does not request that the property be distributed to you or if the Company requests that the property not be distributed to you;</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does not deliver satisfactory documents to the Depositary;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2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Redemption and, with respect to Class C Shares, Mandatory Conversion</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pro rata basis, as the Depositary may determine.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affecting Class A Shares or Class C Shares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ADSs upon Deposit of Class A Shares or Class C Shares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Upon completion of the Business Combination, the Class A Shares or Class C Shares being offered in connection with the Business Combination were deposited by the Company with the custodian. Upon receipt of confirmation of such deposit, the Depositary issued ADSs representing the deposited Class A Shares or Class C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Shares have been duly transferred to the custodian. The Depositary will only issue ADSs in whole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421" w:right="359" w:bottom="1440" w:gutter="0" w:footer="0" w:header="0"/>
        </w:sectPr>
      </w:pPr>
    </w:p>
    <w:bookmarkStart w:id="44" w:name="page45"/>
    <w:bookmarkEnd w:id="44"/>
    <w:p>
      <w:pPr>
        <w:ind w:right="80"/>
        <w:spacing w:after="0" w:line="277" w:lineRule="auto"/>
        <w:rPr>
          <w:sz w:val="20"/>
          <w:szCs w:val="20"/>
          <w:color w:val="auto"/>
        </w:rPr>
      </w:pPr>
      <w:r>
        <w:rPr>
          <w:rFonts w:ascii="Arial" w:cs="Arial" w:eastAsia="Arial" w:hAnsi="Arial"/>
          <w:sz w:val="18"/>
          <w:szCs w:val="18"/>
          <w:color w:val="auto"/>
        </w:rPr>
        <w:t>When you make a deposit of Class A Shares or Class C Shares, you will be responsible for transferring good and valid title to the Depositary. As such, you will be deemed to represent and warrant that:</w:t>
      </w:r>
    </w:p>
    <w:p>
      <w:pPr>
        <w:spacing w:after="0" w:line="1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A Shares or Class C Shares are duly authorized, validly issued, fully paid, non-assessable and legally obtained.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preemptive (and similar) rights, if any, with respect to such Class A Shares or Class C Shares have been validly waived or exercised.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duly authorized to deposit the Class A Shares or Class C Shares.</w:t>
      </w:r>
    </w:p>
    <w:p>
      <w:pPr>
        <w:spacing w:after="0" w:line="171"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A Shares or Class C Shares presented for deposit have not been stripped of any rights or entitlements.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Combination and Split Up of ADRs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of Class A Shares or Class C Shares Upon Cancellation of ADSs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Class A Shares or Class C Shares at the custodian’s offices. Your ability to 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w:t>
      </w:r>
    </w:p>
    <w:p>
      <w:pPr>
        <w:spacing w:after="0" w:line="13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Shares or Class C Shares represented by your ADSs may be delayed until the Depositary receives satisfactory evidence of compliance with all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2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Please keep in mind that the Depositary will only accept ADSs for cancellation that represent a whole number of securities on deposit.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71" w:lineRule="exact"/>
        <w:rPr>
          <w:sz w:val="20"/>
          <w:szCs w:val="20"/>
          <w:color w:val="auto"/>
        </w:rPr>
      </w:pPr>
    </w:p>
    <w:p>
      <w:pPr>
        <w:ind w:left="660" w:right="3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Class A Shares or Class C Shares or ADSs are closed, or (ii) the Class A Shares or Class C Shares are immobilized on account of a shareholders’ meeting or a payment of dividends.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to exercise the voting rights for the Class A Shares or Class C Shares represented by your ADSs. The voting rights of holders of Class A Shares or Class C Shares are described in “Description of Share Capital and Articles of Association—Description of Company Share Capital and Polestar Articles—Company Securities—Voting Rights.”</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w:t>
      </w:r>
    </w:p>
    <w:p>
      <w:pPr>
        <w:spacing w:after="0" w:line="10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cannot assure you that you will receive voting materials in time to enable you to return voting instructions to the Depositary in a timely manner.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03" w:lineRule="exact"/>
        <w:rPr>
          <w:sz w:val="20"/>
          <w:szCs w:val="20"/>
          <w:color w:val="auto"/>
        </w:rPr>
      </w:pPr>
    </w:p>
    <w:p>
      <w:pPr>
        <w:ind w:left="20"/>
        <w:spacing w:after="0"/>
        <w:tabs>
          <w:tab w:leader="none" w:pos="5980" w:val="left"/>
        </w:tabs>
        <w:rPr>
          <w:sz w:val="20"/>
          <w:szCs w:val="20"/>
          <w:color w:val="auto"/>
        </w:rPr>
      </w:pPr>
      <w:r>
        <w:rPr>
          <w:rFonts w:ascii="Arial" w:cs="Arial" w:eastAsia="Arial" w:hAnsi="Arial"/>
          <w:sz w:val="14"/>
          <w:szCs w:val="14"/>
          <w:b w:val="1"/>
          <w:bCs w:val="1"/>
          <w:color w:val="auto"/>
        </w:rPr>
        <w:t>Service</w:t>
      </w:r>
      <w:r>
        <w:rPr>
          <w:sz w:val="20"/>
          <w:szCs w:val="20"/>
          <w:color w:val="auto"/>
        </w:rPr>
        <w:tab/>
      </w:r>
      <w:r>
        <w:rPr>
          <w:rFonts w:ascii="Arial" w:cs="Arial" w:eastAsia="Arial" w:hAnsi="Arial"/>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ind w:left="180" w:right="5480" w:hanging="161"/>
        <w:spacing w:after="0" w:line="241" w:lineRule="auto"/>
        <w:rPr>
          <w:sz w:val="20"/>
          <w:szCs w:val="20"/>
          <w:color w:val="auto"/>
        </w:rPr>
      </w:pPr>
      <w:r>
        <w:rPr>
          <w:rFonts w:ascii="Arial" w:cs="Arial" w:eastAsia="Arial" w:hAnsi="Arial"/>
          <w:sz w:val="16"/>
          <w:szCs w:val="16"/>
          <w:color w:val="auto"/>
        </w:rPr>
        <w:t>Other than the initial deposit in connection with the Business Combination, issuance of ADSs (e.g., an issuance of ADS upon a deposit of Class A Shares or Class C Shares, upon a change in the ADS(s)-to-Share ratio or conversion</w:t>
      </w:r>
    </w:p>
    <w:p>
      <w:pPr>
        <w:ind w:left="180"/>
        <w:spacing w:after="0" w:line="205" w:lineRule="auto"/>
        <w:rPr>
          <w:sz w:val="20"/>
          <w:szCs w:val="20"/>
          <w:color w:val="auto"/>
        </w:rPr>
      </w:pPr>
      <w:r>
        <w:rPr>
          <w:rFonts w:ascii="Arial" w:cs="Arial" w:eastAsia="Arial" w:hAnsi="Arial"/>
          <w:sz w:val="18"/>
          <w:szCs w:val="18"/>
          <w:color w:val="auto"/>
        </w:rPr>
        <w:t>of Class C Shares/ Class C ADSs or for any other reason), excluding ADS</w:t>
      </w:r>
    </w:p>
    <w:p>
      <w:pPr>
        <w:ind w:left="180"/>
        <w:spacing w:after="0"/>
        <w:rPr>
          <w:sz w:val="20"/>
          <w:szCs w:val="20"/>
          <w:color w:val="auto"/>
        </w:rPr>
      </w:pPr>
      <w:r>
        <w:rPr>
          <w:rFonts w:ascii="Arial" w:cs="Arial" w:eastAsia="Arial" w:hAnsi="Arial"/>
          <w:sz w:val="18"/>
          <w:szCs w:val="18"/>
          <w:color w:val="auto"/>
        </w:rPr>
        <w:t>issuances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21" w:right="359" w:bottom="1440" w:gutter="0" w:footer="0" w:header="0"/>
        </w:sectPr>
      </w:pPr>
    </w:p>
    <w:bookmarkStart w:id="46" w:name="page47"/>
    <w:bookmarkEnd w:id="46"/>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3729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3729355" cy="8255"/>
                    </a:xfrm>
                    <a:prstGeom prst="rect">
                      <a:avLst/>
                    </a:prstGeom>
                    <a:noFill/>
                  </pic:spPr>
                </pic:pic>
              </a:graphicData>
            </a:graphic>
          </wp:anchor>
        </w:drawing>
      </w:r>
    </w:p>
    <w:p>
      <w:pPr>
        <w:spacing w:after="0" w:line="43" w:lineRule="exact"/>
        <w:rPr>
          <w:sz w:val="20"/>
          <w:szCs w:val="20"/>
          <w:color w:val="auto"/>
        </w:rPr>
      </w:pPr>
    </w:p>
    <w:p>
      <w:pPr>
        <w:ind w:left="140" w:right="2020"/>
        <w:spacing w:after="0" w:line="235" w:lineRule="auto"/>
        <w:rPr>
          <w:sz w:val="20"/>
          <w:szCs w:val="20"/>
          <w:color w:val="auto"/>
        </w:rPr>
      </w:pPr>
      <w:r>
        <w:rPr>
          <w:rFonts w:ascii="Arial" w:cs="Arial" w:eastAsia="Arial" w:hAnsi="Arial"/>
          <w:sz w:val="18"/>
          <w:szCs w:val="18"/>
          <w:color w:val="auto"/>
        </w:rPr>
        <w:t>result of distributions of Class A Shares or Class C Shares</w:t>
      </w:r>
    </w:p>
    <w:p>
      <w:pPr>
        <w:spacing w:after="0" w:line="54" w:lineRule="exact"/>
        <w:rPr>
          <w:sz w:val="20"/>
          <w:szCs w:val="20"/>
          <w:color w:val="auto"/>
        </w:rPr>
      </w:pPr>
    </w:p>
    <w:p>
      <w:pPr>
        <w:ind w:left="180" w:right="20" w:hanging="161"/>
        <w:spacing w:after="0" w:line="307" w:lineRule="auto"/>
        <w:rPr>
          <w:sz w:val="20"/>
          <w:szCs w:val="20"/>
          <w:color w:val="auto"/>
        </w:rPr>
      </w:pPr>
      <w:r>
        <w:rPr>
          <w:rFonts w:ascii="Arial" w:cs="Arial" w:eastAsia="Arial" w:hAnsi="Arial"/>
          <w:sz w:val="16"/>
          <w:szCs w:val="16"/>
          <w:color w:val="auto"/>
        </w:rPr>
        <w:t>Cancellation of ADSs (e.g., a cancellation of ADSs for delivery of deposited property, upon a change in the ADS(s)-to-Share ratio, or for any other reason)</w:t>
      </w:r>
    </w:p>
    <w:p>
      <w:pPr>
        <w:spacing w:after="0" w:line="2" w:lineRule="exact"/>
        <w:rPr>
          <w:sz w:val="20"/>
          <w:szCs w:val="20"/>
          <w:color w:val="auto"/>
        </w:rPr>
      </w:pPr>
    </w:p>
    <w:p>
      <w:pPr>
        <w:ind w:left="180" w:right="220" w:hanging="161"/>
        <w:spacing w:after="0" w:line="235"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67" w:lineRule="exact"/>
        <w:rPr>
          <w:sz w:val="20"/>
          <w:szCs w:val="20"/>
          <w:color w:val="auto"/>
        </w:rPr>
      </w:pPr>
    </w:p>
    <w:p>
      <w:pPr>
        <w:jc w:val="center"/>
        <w:ind w:right="640"/>
        <w:spacing w:after="0" w:line="289" w:lineRule="auto"/>
        <w:rPr>
          <w:sz w:val="20"/>
          <w:szCs w:val="20"/>
          <w:color w:val="auto"/>
        </w:rPr>
      </w:pPr>
      <w:r>
        <w:rPr>
          <w:rFonts w:ascii="Arial" w:cs="Arial" w:eastAsia="Arial" w:hAnsi="Arial"/>
          <w:sz w:val="16"/>
          <w:szCs w:val="16"/>
          <w:color w:val="auto"/>
        </w:rPr>
        <w:t>Distribution of ADSs pursuant to (i) stock dividends or other free stock distributions, or (ii) exercise of rights to purchase additional ADSs</w:t>
      </w:r>
    </w:p>
    <w:p>
      <w:pPr>
        <w:spacing w:after="0" w:line="16" w:lineRule="exact"/>
        <w:rPr>
          <w:sz w:val="20"/>
          <w:szCs w:val="20"/>
          <w:color w:val="auto"/>
        </w:rPr>
      </w:pPr>
    </w:p>
    <w:p>
      <w:pPr>
        <w:ind w:left="180" w:hanging="161"/>
        <w:spacing w:after="0" w:line="246"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ADS Services</w:t>
      </w:r>
    </w:p>
    <w:p>
      <w:pPr>
        <w:spacing w:after="0" w:line="266" w:lineRule="exact"/>
        <w:rPr>
          <w:sz w:val="20"/>
          <w:szCs w:val="20"/>
          <w:color w:val="auto"/>
        </w:rPr>
      </w:pPr>
    </w:p>
    <w:p>
      <w:pPr>
        <w:ind w:left="180" w:right="240" w:hanging="161"/>
        <w:spacing w:after="0" w:line="224"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68" w:lineRule="exact"/>
        <w:rPr>
          <w:sz w:val="20"/>
          <w:szCs w:val="20"/>
          <w:color w:val="auto"/>
        </w:rPr>
      </w:pPr>
    </w:p>
    <w:p>
      <w:pPr>
        <w:ind w:left="180" w:right="380" w:hanging="161"/>
        <w:spacing w:after="0" w:line="241" w:lineRule="auto"/>
        <w:rPr>
          <w:sz w:val="20"/>
          <w:szCs w:val="20"/>
          <w:color w:val="auto"/>
        </w:rPr>
      </w:pPr>
      <w:r>
        <w:rPr>
          <w:rFonts w:ascii="Arial" w:cs="Arial" w:eastAsia="Arial" w:hAnsi="Arial"/>
          <w:sz w:val="16"/>
          <w:szCs w:val="16"/>
          <w:color w:val="auto"/>
        </w:rPr>
        <w:t>Conversion of ADSs of one series for ADSs of another series (e.g., upon conversion of Partial Entitlement ADSs for Full Entitlement ADSs, upon conversion of Class C ADSs into Class A ADSs, or upon conversion of</w:t>
      </w:r>
    </w:p>
    <w:p>
      <w:pPr>
        <w:spacing w:after="0" w:line="2" w:lineRule="exact"/>
        <w:rPr>
          <w:sz w:val="20"/>
          <w:szCs w:val="20"/>
          <w:color w:val="auto"/>
        </w:rPr>
      </w:pPr>
    </w:p>
    <w:p>
      <w:pPr>
        <w:ind w:left="180" w:right="220"/>
        <w:spacing w:after="0" w:line="226" w:lineRule="auto"/>
        <w:rPr>
          <w:sz w:val="20"/>
          <w:szCs w:val="20"/>
          <w:color w:val="auto"/>
        </w:rPr>
      </w:pPr>
      <w:r>
        <w:rPr>
          <w:rFonts w:ascii="Arial" w:cs="Arial" w:eastAsia="Arial" w:hAnsi="Arial"/>
          <w:sz w:val="18"/>
          <w:szCs w:val="18"/>
          <w:color w:val="auto"/>
        </w:rPr>
        <w:t>Restricted ADSs (each as defined in the applicable deposit agreement) into freely transferable ADSs, and vice versa)</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32385</wp:posOffset>
            </wp:positionV>
            <wp:extent cx="3343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issued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cancelled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77"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color w:val="auto"/>
        </w:rPr>
        <w:t>Up to US$0.05 per ADS held on the applicable record date(s) established by the Depositary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(or fraction thereof)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(or fraction thereof) converted</w:t>
      </w:r>
    </w:p>
    <w:p>
      <w:pPr>
        <w:spacing w:after="0" w:line="643" w:lineRule="exact"/>
        <w:rPr>
          <w:sz w:val="20"/>
          <w:szCs w:val="20"/>
          <w:color w:val="auto"/>
        </w:rPr>
      </w:pPr>
    </w:p>
    <w:p>
      <w:pPr>
        <w:sectPr>
          <w:pgSz w:w="11900" w:h="16838" w:orient="portrait"/>
          <w:cols w:equalWidth="0" w:num="2">
            <w:col w:w="5800" w:space="200"/>
            <w:col w:w="5220"/>
          </w:cols>
          <w:pgMar w:left="320" w:top="1440" w:right="359" w:bottom="1440" w:gutter="0" w:footer="0" w:header="0"/>
        </w:sect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 (including any applicable stamp duty or SDRT);</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A Shares or Class C Shares on the share register and applicable to transfers of Class A Shares or Class C Shares to or from the name of the custodian, the Depositary or any nominees upon the making of deposits and withdrawals, respectively;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Class A Shares or Class C Shares, ADSs and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type w:val="continuous"/>
        </w:sectPr>
      </w:pPr>
    </w:p>
    <w:bookmarkStart w:id="47" w:name="page48"/>
    <w:bookmarkEnd w:id="47"/>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fees, charges, costs and expenses incurred by the Depositary, the custodian, or any nominee in connection with the ADR program; and</w:t>
      </w:r>
    </w:p>
    <w:p>
      <w:pPr>
        <w:spacing w:after="0" w:line="182"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2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Other Payments Made by the Depositary to Us</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 The Depositary also has agreed to pay certain legal expenses on behalf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and Termination</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48" w:name="page49"/>
    <w:bookmarkEnd w:id="48"/>
    <w:p>
      <w:pPr>
        <w:ind w:right="180"/>
        <w:spacing w:after="0" w:line="286" w:lineRule="auto"/>
        <w:rPr>
          <w:sz w:val="20"/>
          <w:szCs w:val="20"/>
          <w:color w:val="auto"/>
        </w:rPr>
      </w:pPr>
      <w:r>
        <w:rPr>
          <w:rFonts w:ascii="Arial" w:cs="Arial" w:eastAsia="Arial" w:hAnsi="Arial"/>
          <w:sz w:val="17"/>
          <w:szCs w:val="17"/>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3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Books of Depositary</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Transmission of Notices, Reports and Proxy Soliciting Material</w:t>
      </w:r>
    </w:p>
    <w:p>
      <w:pPr>
        <w:spacing w:after="0" w:line="17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Obligations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the Company’s obligations and the Depositary’s obligations to you. Please note the following:</w:t>
      </w:r>
    </w:p>
    <w:p>
      <w:pPr>
        <w:spacing w:after="0" w:line="171" w:lineRule="exact"/>
        <w:rPr>
          <w:sz w:val="20"/>
          <w:szCs w:val="20"/>
          <w:color w:val="auto"/>
        </w:rPr>
      </w:pPr>
    </w:p>
    <w:p>
      <w:pPr>
        <w:ind w:left="660" w:right="4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and the Depositary are obligated only to take the actions specifically stated in the deposit agreement without negligence or bad faith.</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16" w:lineRule="exact"/>
        <w:rPr>
          <w:rFonts w:ascii="Arial" w:cs="Arial" w:eastAsia="Arial" w:hAnsi="Arial"/>
          <w:sz w:val="18"/>
          <w:szCs w:val="18"/>
          <w:color w:val="auto"/>
        </w:rPr>
      </w:pPr>
    </w:p>
    <w:p>
      <w:pPr>
        <w:ind w:left="660" w:hanging="328"/>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21" w:right="339" w:bottom="1440" w:gutter="0" w:footer="0" w:header="0"/>
        </w:sectPr>
      </w:pPr>
    </w:p>
    <w:bookmarkStart w:id="49" w:name="page50"/>
    <w:bookmarkEnd w:id="49"/>
    <w:p>
      <w:pPr>
        <w:ind w:left="660" w:right="6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Depositary shall not be liable for acts or omissions of any successor Depositary in connection with any matter arising wholly after the resignation or removal of the Depositary.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and the Depositary will not be obligated to perform any act that is inconsistent with the terms of the deposit agreement.</w:t>
      </w:r>
    </w:p>
    <w:p>
      <w:pPr>
        <w:spacing w:after="0" w:line="182" w:lineRule="exact"/>
        <w:rPr>
          <w:rFonts w:ascii="Arial" w:cs="Arial" w:eastAsia="Arial" w:hAnsi="Arial"/>
          <w:sz w:val="17"/>
          <w:szCs w:val="17"/>
          <w:color w:val="auto"/>
        </w:rPr>
      </w:pPr>
    </w:p>
    <w:p>
      <w:pPr>
        <w:ind w:left="660" w:right="80" w:hanging="328"/>
        <w:spacing w:after="0" w:line="25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133"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92" w:lineRule="exact"/>
        <w:rPr>
          <w:rFonts w:ascii="Arial" w:cs="Arial" w:eastAsia="Arial" w:hAnsi="Arial"/>
          <w:sz w:val="17"/>
          <w:szCs w:val="17"/>
          <w:color w:val="auto"/>
        </w:rPr>
      </w:pPr>
    </w:p>
    <w:p>
      <w:pPr>
        <w:ind w:left="660" w:right="260" w:hanging="328"/>
        <w:spacing w:after="0" w:line="28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w:t>
      </w:r>
    </w:p>
    <w:p>
      <w:pPr>
        <w:spacing w:after="0" w:line="111" w:lineRule="exact"/>
        <w:rPr>
          <w:rFonts w:ascii="Arial" w:cs="Arial" w:eastAsia="Arial" w:hAnsi="Arial"/>
          <w:sz w:val="17"/>
          <w:szCs w:val="17"/>
          <w:color w:val="auto"/>
        </w:rPr>
      </w:pPr>
    </w:p>
    <w:p>
      <w:pPr>
        <w:ind w:left="660" w:right="8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116"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Depositary also disclaim liability for any consequential or punitive damages for any breach of the terms of the deposit agreement.</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the Company, the Depositary and you as ADS holder.</w:t>
      </w:r>
    </w:p>
    <w:p>
      <w:pPr>
        <w:spacing w:after="0" w:line="116" w:lineRule="exact"/>
        <w:rPr>
          <w:rFonts w:ascii="Arial" w:cs="Arial" w:eastAsia="Arial" w:hAnsi="Arial"/>
          <w:sz w:val="18"/>
          <w:szCs w:val="18"/>
          <w:color w:val="auto"/>
        </w:rPr>
      </w:pPr>
    </w:p>
    <w:p>
      <w:pPr>
        <w:ind w:left="660" w:right="20" w:hanging="328"/>
        <w:spacing w:after="0" w:line="31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pay the taxes and governmental charges payable by holders. You will be liable for any deficiency if the sale proceeds do not cover the taxes that are due.</w:t>
      </w:r>
    </w:p>
    <w:p>
      <w:pPr>
        <w:spacing w:after="0" w:line="1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Conversion</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16" w:lineRule="exact"/>
        <w:rPr>
          <w:sz w:val="20"/>
          <w:szCs w:val="20"/>
          <w:color w:val="auto"/>
        </w:rPr>
      </w:pPr>
    </w:p>
    <w:p>
      <w:pPr>
        <w:ind w:left="660" w:right="2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applicable holders for whom the conversion and distribution is lawful and practical.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Distribute the foreign currency to the applicable holders for whom the distribution is lawful and practical.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Law/Waiver of Jury Trial</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deposit agreement, the ADRs and the ADSs will be interpreted in accordance with the laws of the State of New York. The rights of holders of Class A Shares or Class C Shares (including Class A Shares or Class C Shares represented by ADSs) are governed by the laws of England and Wales.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deposit agreement provides that, to the extent permitted by law, ADS holders waive the right to a jury trial of any claim they may have against the Company or the Depositary arising out of or relating to the Class A Shares or Class C Shares, the ADSs or the deposit agreement, including any claim under U.S. federal securities laws. </w:t>
      </w:r>
      <w:r>
        <w:rPr>
          <w:rFonts w:ascii="Arial" w:cs="Arial" w:eastAsia="Arial" w:hAnsi="Arial"/>
          <w:sz w:val="18"/>
          <w:szCs w:val="18"/>
          <w:i w:val="1"/>
          <w:iCs w:val="1"/>
          <w:color w:val="auto"/>
        </w:rPr>
        <w:t>If the Company or the Depositary opposed a jury trial demand based on the waiver, the court would determine whether</w:t>
      </w:r>
      <w:r>
        <w:rPr>
          <w:rFonts w:ascii="Arial" w:cs="Arial" w:eastAsia="Arial" w:hAnsi="Arial"/>
          <w:sz w:val="18"/>
          <w:szCs w:val="18"/>
          <w:color w:val="auto"/>
        </w:rPr>
        <w:t xml:space="preserve"> </w:t>
      </w:r>
      <w:r>
        <w:rPr>
          <w:rFonts w:ascii="Arial" w:cs="Arial" w:eastAsia="Arial" w:hAnsi="Arial"/>
          <w:sz w:val="18"/>
          <w:szCs w:val="18"/>
          <w:i w:val="1"/>
          <w:iCs w:val="1"/>
          <w:color w:val="auto"/>
        </w:rPr>
        <w:t>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Restricted ADSs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order to enable the deposit of Class A Shares or Class C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ADSs differ from the freely transferable ADSs in certain respects. These differences include the following:</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Restricted ADSs are not listed on any securities exchange or trading system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 The CUSIP number for the Restricted ADSs is different from the CUSIP number for the freely transferable ADSs.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Restricted ADSs may, after issuance, be sold or otherwise transferred only on the terms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Restricted ADSs will be subject to a transfer legend substantially in the form of all or some of the following:</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w:t>
      </w:r>
    </w:p>
    <w:p>
      <w:pPr>
        <w:spacing w:after="0" w:line="130" w:lineRule="exact"/>
        <w:rPr>
          <w:sz w:val="20"/>
          <w:szCs w:val="20"/>
          <w:color w:val="auto"/>
        </w:rPr>
      </w:pPr>
    </w:p>
    <w:p>
      <w:pPr>
        <w:ind w:left="660" w:right="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Segregation of Shares</w:t>
      </w:r>
      <w:r>
        <w:rPr>
          <w:rFonts w:ascii="Arial" w:cs="Arial" w:eastAsia="Arial" w:hAnsi="Arial"/>
          <w:sz w:val="18"/>
          <w:szCs w:val="18"/>
          <w:color w:val="auto"/>
        </w:rPr>
        <w:t>: Restricted Shares deposited with the custodian with respect to Restricted ADSs shall be held separate and distinct from the deposited securities held under the applicable deposit agreement.</w:t>
      </w:r>
    </w:p>
    <w:p>
      <w:pPr>
        <w:spacing w:after="0" w:line="116"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Lack of Fungibility</w:t>
      </w:r>
      <w:r>
        <w:rPr>
          <w:rFonts w:ascii="Arial" w:cs="Arial" w:eastAsia="Arial" w:hAnsi="Arial"/>
          <w:sz w:val="16"/>
          <w:szCs w:val="16"/>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52" w:name="page53"/>
    <w:bookmarkEnd w:id="52"/>
    <w:p>
      <w:pPr>
        <w:ind w:left="660" w:right="160"/>
        <w:spacing w:after="0" w:line="277" w:lineRule="auto"/>
        <w:rPr>
          <w:sz w:val="20"/>
          <w:szCs w:val="20"/>
          <w:color w:val="auto"/>
        </w:rPr>
      </w:pPr>
      <w:r>
        <w:rPr>
          <w:rFonts w:ascii="Arial" w:cs="Arial" w:eastAsia="Arial" w:hAnsi="Arial"/>
          <w:sz w:val="18"/>
          <w:szCs w:val="18"/>
          <w:color w:val="auto"/>
        </w:rPr>
        <w:t>agreement as long as the Restricted ADSs and the Restricted Shares represented thereby are “restricted securities” under the Securities Act or are otherwise subject to restrictions on transfer.</w:t>
      </w:r>
    </w:p>
    <w:p>
      <w:pPr>
        <w:spacing w:after="0" w:line="116" w:lineRule="exact"/>
        <w:rPr>
          <w:sz w:val="20"/>
          <w:szCs w:val="20"/>
          <w:color w:val="auto"/>
        </w:rPr>
      </w:pPr>
    </w:p>
    <w:p>
      <w:pPr>
        <w:ind w:left="660" w:hanging="328"/>
        <w:spacing w:after="0" w:line="272"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inter alia,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123"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Book-Entry Settlement</w:t>
      </w:r>
      <w:r>
        <w:rPr>
          <w:rFonts w:ascii="Arial" w:cs="Arial" w:eastAsia="Arial" w:hAnsi="Arial"/>
          <w:sz w:val="18"/>
          <w:szCs w:val="18"/>
          <w:color w:val="auto"/>
        </w:rPr>
        <w:t>: The Restricted ADSs are not expected to be eligible for inclusion in any book- entry settlement system, including, without limitation, the book-entry settlement system maintained by DTC.</w:t>
      </w:r>
    </w:p>
    <w:p>
      <w:pPr>
        <w:spacing w:after="0" w:line="116" w:lineRule="exact"/>
        <w:rPr>
          <w:rFonts w:ascii="Arial" w:cs="Arial" w:eastAsia="Arial" w:hAnsi="Arial"/>
          <w:sz w:val="18"/>
          <w:szCs w:val="18"/>
          <w:color w:val="auto"/>
        </w:rPr>
      </w:pPr>
    </w:p>
    <w:p>
      <w:pPr>
        <w:jc w:val="both"/>
        <w:ind w:left="660" w:right="40" w:hanging="328"/>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Conversion of RADSs into ADSs</w:t>
      </w:r>
      <w:r>
        <w:rPr>
          <w:rFonts w:ascii="Arial" w:cs="Arial" w:eastAsia="Arial" w:hAnsi="Arial"/>
          <w:sz w:val="17"/>
          <w:szCs w:val="17"/>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C ADSs</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w:t>
      </w:r>
      <w:r>
        <w:rPr>
          <w:rFonts w:ascii="Arial" w:cs="Arial" w:eastAsia="Arial" w:hAnsi="Arial"/>
          <w:sz w:val="18"/>
          <w:szCs w:val="18"/>
          <w:i w:val="1"/>
          <w:iCs w:val="1"/>
          <w:color w:val="auto"/>
        </w:rPr>
        <w:t>Description of Share Capital and Articles of Association—Class C Shares</w:t>
      </w:r>
      <w:r>
        <w:rPr>
          <w:rFonts w:ascii="Arial" w:cs="Arial" w:eastAsia="Arial" w:hAnsi="Arial"/>
          <w:sz w:val="18"/>
          <w:szCs w:val="18"/>
          <w:color w:val="auto"/>
        </w:rPr>
        <w:t>”) and the deposit agreement. The Class C Shares will only be accepted for conversion in multiples of one.</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holder of Class C ADSs wishing to convert the Class C Shares represented by their Class C ADSs into Class A ADSs will need to take the following actions:</w:t>
      </w:r>
    </w:p>
    <w:p>
      <w:pPr>
        <w:spacing w:after="0" w:line="116" w:lineRule="exact"/>
        <w:rPr>
          <w:sz w:val="20"/>
          <w:szCs w:val="20"/>
          <w:color w:val="auto"/>
        </w:rPr>
      </w:pPr>
    </w:p>
    <w:p>
      <w:pPr>
        <w:jc w:val="both"/>
        <w:ind w:left="660" w:right="14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1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 (iii) the applicable conversion price and taxes. The form conversion instructions to be delivered to the applicable conversion agent, may be obtained from the Depositary.</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the Company suspends the right to convert the Class C Shares at any time, the Company will give notice thereof to the Depositary setting forth the term and reason for such suspension. Upon receipt of such notice,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53" w:name="page54"/>
    <w:bookmarkEnd w:id="53"/>
    <w:p>
      <w:pPr>
        <w:ind w:right="220"/>
        <w:spacing w:after="0" w:line="277" w:lineRule="auto"/>
        <w:rPr>
          <w:sz w:val="20"/>
          <w:szCs w:val="20"/>
          <w:color w:val="auto"/>
        </w:rPr>
      </w:pPr>
      <w:r>
        <w:rPr>
          <w:rFonts w:ascii="Arial" w:cs="Arial" w:eastAsia="Arial" w:hAnsi="Arial"/>
          <w:sz w:val="18"/>
          <w:szCs w:val="18"/>
          <w:color w:val="auto"/>
        </w:rPr>
        <w:t>Depositary shall give notice thereof to the holders of Class C ADSs and shall refuse during the period of such suspension to accept instructions to cancel Class C ADSs for the purpose of converting Class C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Conversion of Class C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21" w:right="379" w:bottom="1440" w:gutter="0" w:footer="0" w:header="0"/>
        </w:sectPr>
      </w:pPr>
    </w:p>
    <w:bookmarkStart w:id="54" w:name="page55"/>
    <w:bookmarkEnd w:id="5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w:t>
      </w:r>
    </w:p>
    <w:p>
      <w:pPr>
        <w:spacing w:after="0" w:line="12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w:t>
      </w:r>
    </w:p>
    <w:p>
      <w:pPr>
        <w:spacing w:after="0" w:line="138"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37"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Certain of the Selling Securityholders own Class C ADSs. The Class C ADSs were previously issued in a transaction registered with the SEC, and the registration statement of which this prospectus is a part is registering the issuance of Class A ADSs underlying the exercise of such Class C ADSs. Accordingly, such registration 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20,499,965 Class A ADSs upon conversion of all of the issued and outstanding, publicly held Class C-1 ADSs, which are also covered 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55" w:name="page56"/>
    <w:bookmarkEnd w:id="55"/>
    <w:p>
      <w:pPr>
        <w:ind w:right="240"/>
        <w:spacing w:after="0" w:line="311" w:lineRule="auto"/>
        <w:rPr>
          <w:sz w:val="20"/>
          <w:szCs w:val="20"/>
          <w:color w:val="auto"/>
        </w:rPr>
      </w:pPr>
      <w:r>
        <w:rPr>
          <w:rFonts w:ascii="Arial" w:cs="Arial" w:eastAsia="Arial" w:hAnsi="Arial"/>
          <w:sz w:val="16"/>
          <w:szCs w:val="16"/>
          <w:color w:val="auto"/>
        </w:rPr>
        <w:t>The securities held by certain of the Selling Securityholders are subject to transfer restrictions, as described in the sections entitled “</w:t>
      </w:r>
      <w:r>
        <w:rPr>
          <w:rFonts w:ascii="Arial" w:cs="Arial" w:eastAsia="Arial" w:hAnsi="Arial"/>
          <w:sz w:val="16"/>
          <w:szCs w:val="16"/>
          <w:i w:val="1"/>
          <w:iCs w:val="1"/>
          <w:color w:val="auto"/>
        </w:rPr>
        <w:t>Description of Share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and Articles of Association—Description of Company Share Capital and Polestar Articles—Company Securities—Transfer of Shares,” “Description of American Depositary Shares—ADSs—Transfer, Combination and Split Up of ADRs,</w:t>
      </w:r>
      <w:r>
        <w:rPr>
          <w:rFonts w:ascii="Arial" w:cs="Arial" w:eastAsia="Arial" w:hAnsi="Arial"/>
          <w:sz w:val="16"/>
          <w:szCs w:val="16"/>
          <w:color w:val="auto"/>
        </w:rPr>
        <w:t>” and “</w:t>
      </w:r>
      <w:r>
        <w:rPr>
          <w:rFonts w:ascii="Arial" w:cs="Arial" w:eastAsia="Arial" w:hAnsi="Arial"/>
          <w:sz w:val="16"/>
          <w:szCs w:val="16"/>
          <w:i w:val="1"/>
          <w:iCs w:val="1"/>
          <w:color w:val="auto"/>
        </w:rPr>
        <w:t>Securities Eligible for Future Sale</w:t>
      </w:r>
      <w:r>
        <w:rPr>
          <w:rFonts w:ascii="Arial" w:cs="Arial" w:eastAsia="Arial" w:hAnsi="Arial"/>
          <w:sz w:val="16"/>
          <w:szCs w:val="16"/>
          <w:color w:val="auto"/>
        </w:rPr>
        <w:t>.”</w:t>
      </w:r>
    </w:p>
    <w:p>
      <w:pPr>
        <w:spacing w:after="0" w:line="9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160" w:type="dxa"/>
            <w:vAlign w:val="bottom"/>
            <w:gridSpan w:val="4"/>
          </w:tcPr>
          <w:p>
            <w:pPr>
              <w:jc w:val="center"/>
              <w:ind w:left="46"/>
              <w:spacing w:after="0"/>
              <w:rPr>
                <w:sz w:val="20"/>
                <w:szCs w:val="20"/>
                <w:color w:val="auto"/>
              </w:rPr>
            </w:pPr>
            <w:r>
              <w:rPr>
                <w:rFonts w:ascii="Arial" w:cs="Arial" w:eastAsia="Arial" w:hAnsi="Arial"/>
                <w:sz w:val="11"/>
                <w:szCs w:val="11"/>
                <w:b w:val="1"/>
                <w:bCs w:val="1"/>
                <w:color w:val="auto"/>
                <w:w w:val="87"/>
              </w:rPr>
              <w:t>Securities Beneficially</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7"/>
              </w:rPr>
              <w:t>Securities</w:t>
            </w: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3"/>
              </w:rPr>
              <w:t>Securities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160" w:type="dxa"/>
            <w:vAlign w:val="bottom"/>
            <w:gridSpan w:val="4"/>
          </w:tcPr>
          <w:p>
            <w:pPr>
              <w:jc w:val="center"/>
              <w:ind w:left="26"/>
              <w:spacing w:after="0" w:line="108" w:lineRule="exact"/>
              <w:rPr>
                <w:sz w:val="20"/>
                <w:szCs w:val="20"/>
                <w:color w:val="auto"/>
              </w:rPr>
            </w:pPr>
            <w:r>
              <w:rPr>
                <w:rFonts w:ascii="Arial" w:cs="Arial" w:eastAsia="Arial" w:hAnsi="Arial"/>
                <w:sz w:val="11"/>
                <w:szCs w:val="11"/>
                <w:b w:val="1"/>
                <w:bCs w:val="1"/>
                <w:color w:val="auto"/>
                <w:w w:val="91"/>
              </w:rPr>
              <w:t>Owned Prior to This</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gridSpan w:val="2"/>
          </w:tcPr>
          <w:p>
            <w:pPr>
              <w:jc w:val="center"/>
              <w:ind w:right="20"/>
              <w:spacing w:after="0" w:line="108" w:lineRule="exact"/>
              <w:rPr>
                <w:sz w:val="20"/>
                <w:szCs w:val="20"/>
                <w:color w:val="auto"/>
              </w:rPr>
            </w:pPr>
            <w:r>
              <w:rPr>
                <w:rFonts w:ascii="Arial" w:cs="Arial" w:eastAsia="Arial" w:hAnsi="Arial"/>
                <w:sz w:val="11"/>
                <w:szCs w:val="11"/>
                <w:b w:val="1"/>
                <w:bCs w:val="1"/>
                <w:color w:val="auto"/>
                <w:w w:val="86"/>
              </w:rPr>
              <w:t>to be Sold</w:t>
            </w: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tcPr>
          <w:p>
            <w:pPr>
              <w:jc w:val="center"/>
              <w:spacing w:after="0" w:line="108" w:lineRule="exact"/>
              <w:rPr>
                <w:sz w:val="20"/>
                <w:szCs w:val="20"/>
                <w:color w:val="auto"/>
              </w:rPr>
            </w:pPr>
            <w:r>
              <w:rPr>
                <w:rFonts w:ascii="Arial" w:cs="Arial" w:eastAsia="Arial" w:hAnsi="Arial"/>
                <w:sz w:val="11"/>
                <w:szCs w:val="11"/>
                <w:b w:val="1"/>
                <w:bCs w:val="1"/>
                <w:color w:val="auto"/>
                <w:w w:val="89"/>
              </w:rPr>
              <w:t>Beneficially Owned</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3"/>
              </w:rPr>
              <w:t>Offering</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0"/>
              </w:rPr>
              <w:t>in This Offering</w:t>
            </w: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center"/>
              <w:spacing w:after="0"/>
              <w:rPr>
                <w:sz w:val="20"/>
                <w:szCs w:val="20"/>
                <w:color w:val="auto"/>
              </w:rPr>
            </w:pPr>
            <w:r>
              <w:rPr>
                <w:rFonts w:ascii="Arial" w:cs="Arial" w:eastAsia="Arial" w:hAnsi="Arial"/>
                <w:sz w:val="11"/>
                <w:szCs w:val="11"/>
                <w:b w:val="1"/>
                <w:bCs w:val="1"/>
                <w:color w:val="auto"/>
                <w:w w:val="92"/>
              </w:rPr>
              <w:t>After This Offering</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of Selling</w:t>
            </w:r>
          </w:p>
        </w:tc>
        <w:tc>
          <w:tcPr>
            <w:tcW w:w="100" w:type="dxa"/>
            <w:vAlign w:val="bottom"/>
          </w:tcPr>
          <w:p>
            <w:pPr>
              <w:spacing w:after="0"/>
              <w:rPr>
                <w:sz w:val="8"/>
                <w:szCs w:val="8"/>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Class A</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Percentage of</w:t>
            </w:r>
          </w:p>
        </w:tc>
        <w:tc>
          <w:tcPr>
            <w:tcW w:w="8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4"/>
              </w:rPr>
              <w:t>Class B</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Percentage of</w:t>
            </w:r>
          </w:p>
        </w:tc>
        <w:tc>
          <w:tcPr>
            <w:tcW w:w="80" w:type="dxa"/>
            <w:vAlign w:val="bottom"/>
          </w:tcPr>
          <w:p>
            <w:pPr>
              <w:spacing w:after="0"/>
              <w:rPr>
                <w:sz w:val="8"/>
                <w:szCs w:val="8"/>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Class C</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Percentage of</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Class A</w:t>
            </w:r>
          </w:p>
        </w:tc>
        <w:tc>
          <w:tcPr>
            <w:tcW w:w="9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5"/>
              </w:rPr>
              <w:t>Percentage of</w:t>
            </w: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Class C</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Percentage of</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Class A</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Class C</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4"/>
              </w:rPr>
              <w:t>Class A</w:t>
            </w:r>
          </w:p>
        </w:tc>
        <w:tc>
          <w:tcPr>
            <w:tcW w:w="6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20" w:type="dxa"/>
            <w:vAlign w:val="bottom"/>
            <w:gridSpan w:val="2"/>
            <w:vMerge w:val="restart"/>
          </w:tcPr>
          <w:p>
            <w:pPr>
              <w:jc w:val="center"/>
              <w:ind w:lef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42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0"/>
        </w:trPr>
        <w:tc>
          <w:tcPr>
            <w:tcW w:w="1760" w:type="dxa"/>
            <w:vAlign w:val="bottom"/>
          </w:tcPr>
          <w:p>
            <w:pPr>
              <w:ind w:left="20"/>
              <w:spacing w:after="0"/>
              <w:rPr>
                <w:sz w:val="20"/>
                <w:szCs w:val="20"/>
                <w:color w:val="auto"/>
              </w:rPr>
            </w:pPr>
            <w:r>
              <w:rPr>
                <w:rFonts w:ascii="Arial" w:cs="Arial" w:eastAsia="Arial" w:hAnsi="Arial"/>
                <w:sz w:val="11"/>
                <w:szCs w:val="11"/>
                <w:b w:val="1"/>
                <w:bCs w:val="1"/>
                <w:color w:val="auto"/>
              </w:rPr>
              <w:t>Securityholders</w:t>
            </w:r>
          </w:p>
        </w:tc>
        <w:tc>
          <w:tcPr>
            <w:tcW w:w="100" w:type="dxa"/>
            <w:vAlign w:val="bottom"/>
          </w:tcPr>
          <w:p>
            <w:pPr>
              <w:spacing w:after="0"/>
              <w:rPr>
                <w:sz w:val="12"/>
                <w:szCs w:val="12"/>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w w:val="88"/>
              </w:rPr>
              <w:t>Class A ADSs#</w:t>
            </w: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8"/>
              </w:rPr>
              <w:t>ADSs</w:t>
            </w:r>
          </w:p>
        </w:tc>
        <w:tc>
          <w:tcPr>
            <w:tcW w:w="76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Class B ADSs</w:t>
            </w:r>
          </w:p>
        </w:tc>
        <w:tc>
          <w:tcPr>
            <w:tcW w:w="80" w:type="dxa"/>
            <w:vAlign w:val="bottom"/>
          </w:tcPr>
          <w:p>
            <w:pPr>
              <w:spacing w:after="0"/>
              <w:rPr>
                <w:sz w:val="12"/>
                <w:szCs w:val="12"/>
                <w:color w:val="auto"/>
              </w:rPr>
            </w:pP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Class C ADSs</w:t>
            </w: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ADSs##</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ADSs</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Class C ADSs</w:t>
            </w: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ADSs</w:t>
            </w: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339 Capital Holdings LLC</w:t>
            </w:r>
            <w:r>
              <w:rPr>
                <w:rFonts w:ascii="Arial" w:cs="Arial" w:eastAsia="Arial" w:hAnsi="Arial"/>
                <w:sz w:val="14"/>
                <w:szCs w:val="14"/>
                <w:color w:val="auto"/>
                <w:vertAlign w:val="superscript"/>
              </w:rPr>
              <w:t>(1)</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550,055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550,055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AEG Holdings, LLC</w:t>
            </w:r>
            <w:r>
              <w:rPr>
                <w:rFonts w:ascii="Arial" w:cs="Arial" w:eastAsia="Arial" w:hAnsi="Arial"/>
                <w:sz w:val="14"/>
                <w:szCs w:val="14"/>
                <w:color w:val="auto"/>
                <w:vertAlign w:val="superscript"/>
              </w:rPr>
              <w:t>(2)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4,039,701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
              <w:spacing w:after="0"/>
              <w:rPr>
                <w:sz w:val="20"/>
                <w:szCs w:val="20"/>
                <w:color w:val="auto"/>
              </w:rPr>
            </w:pPr>
            <w:r>
              <w:rPr>
                <w:rFonts w:ascii="Arial" w:cs="Arial" w:eastAsia="Arial" w:hAnsi="Arial"/>
                <w:sz w:val="11"/>
                <w:szCs w:val="11"/>
                <w:color w:val="auto"/>
              </w:rPr>
              <w:t>4,039,701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16.2 %</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4,039,701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4,039,701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16.2 %</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Alyeska Master Fund, LP</w:t>
            </w:r>
            <w:r>
              <w:rPr>
                <w:rFonts w:ascii="Arial" w:cs="Arial" w:eastAsia="Arial" w:hAnsi="Arial"/>
                <w:sz w:val="14"/>
                <w:szCs w:val="14"/>
                <w:color w:val="auto"/>
                <w:vertAlign w:val="superscript"/>
              </w:rPr>
              <w:t>(3)</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1,333,530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1,333,530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AMF Tjänstephension AB</w:t>
            </w:r>
            <w:r>
              <w:rPr>
                <w:rFonts w:ascii="Arial" w:cs="Arial" w:eastAsia="Arial" w:hAnsi="Arial"/>
                <w:sz w:val="14"/>
                <w:szCs w:val="14"/>
                <w:color w:val="auto"/>
                <w:vertAlign w:val="superscript"/>
              </w:rPr>
              <w:t>(4)</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4,400,440</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4,400,440</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76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w w:val="92"/>
              </w:rPr>
              <w:t>BNP Paribas Asset Management AS -</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shd w:val="clear" w:color="auto" w:fill="CCEEFF"/>
          </w:tcPr>
          <w:p>
            <w:pPr>
              <w:ind w:left="180"/>
              <w:spacing w:after="0" w:line="104" w:lineRule="exact"/>
              <w:rPr>
                <w:sz w:val="20"/>
                <w:szCs w:val="20"/>
                <w:color w:val="auto"/>
              </w:rPr>
            </w:pPr>
            <w:r>
              <w:rPr>
                <w:rFonts w:ascii="Arial" w:cs="Arial" w:eastAsia="Arial" w:hAnsi="Arial"/>
                <w:sz w:val="11"/>
                <w:szCs w:val="11"/>
                <w:color w:val="auto"/>
                <w:w w:val="95"/>
              </w:rPr>
              <w:t>Agent on Behalf of BNP Paribas -</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5,844,753</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1,925,192</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3,919,561</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1"/>
                <w:szCs w:val="11"/>
                <w:color w:val="auto"/>
              </w:rPr>
              <w:t>Funds Energy Transition</w:t>
            </w:r>
            <w:r>
              <w:rPr>
                <w:rFonts w:ascii="Arial" w:cs="Arial" w:eastAsia="Arial" w:hAnsi="Arial"/>
                <w:sz w:val="14"/>
                <w:szCs w:val="14"/>
                <w:color w:val="auto"/>
                <w:vertAlign w:val="superscript"/>
              </w:rPr>
              <w:t>(5)</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4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Charles Pacheco</w:t>
            </w:r>
            <w:r>
              <w:rPr>
                <w:rFonts w:ascii="Arial" w:cs="Arial" w:eastAsia="Arial" w:hAnsi="Arial"/>
                <w:sz w:val="14"/>
                <w:szCs w:val="14"/>
                <w:color w:val="auto"/>
                <w:vertAlign w:val="superscript"/>
              </w:rPr>
              <w:t>(6)</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100,000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7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Christopher T Charlton Revocable</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1,044,633</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1,044,633</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1"/>
                <w:szCs w:val="11"/>
                <w:color w:val="auto"/>
              </w:rPr>
              <w:t>Living Trust</w:t>
            </w:r>
            <w:r>
              <w:rPr>
                <w:rFonts w:ascii="Arial" w:cs="Arial" w:eastAsia="Arial" w:hAnsi="Arial"/>
                <w:sz w:val="14"/>
                <w:szCs w:val="14"/>
                <w:color w:val="auto"/>
                <w:vertAlign w:val="superscript"/>
              </w:rPr>
              <w:t>(7)</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Citadel CEMF Investments Ltd.</w:t>
            </w:r>
            <w:r>
              <w:rPr>
                <w:rFonts w:ascii="Arial" w:cs="Arial" w:eastAsia="Arial" w:hAnsi="Arial"/>
                <w:sz w:val="14"/>
                <w:szCs w:val="14"/>
                <w:color w:val="auto"/>
                <w:vertAlign w:val="superscript"/>
              </w:rPr>
              <w:t>(8)</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1,566,948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1,566,948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DSK EV Investment Limited</w:t>
            </w:r>
            <w:r>
              <w:rPr>
                <w:rFonts w:ascii="Arial" w:cs="Arial" w:eastAsia="Arial" w:hAnsi="Arial"/>
                <w:sz w:val="14"/>
                <w:szCs w:val="14"/>
                <w:color w:val="auto"/>
                <w:vertAlign w:val="superscript"/>
              </w:rPr>
              <w:t>(9)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3,129,202</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3,129,202</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top w:val="single" w:sz="8" w:color="CCEEFF"/>
            </w:tcBorders>
          </w:tcPr>
          <w:p>
            <w:pPr>
              <w:ind w:left="20"/>
              <w:spacing w:after="0" w:line="155" w:lineRule="exact"/>
              <w:rPr>
                <w:sz w:val="20"/>
                <w:szCs w:val="20"/>
                <w:color w:val="auto"/>
              </w:rPr>
            </w:pPr>
            <w:r>
              <w:rPr>
                <w:rFonts w:ascii="Arial" w:cs="Arial" w:eastAsia="Arial" w:hAnsi="Arial"/>
                <w:sz w:val="11"/>
                <w:szCs w:val="11"/>
                <w:color w:val="auto"/>
              </w:rPr>
              <w:t>Edward A. Johnson</w:t>
            </w:r>
            <w:r>
              <w:rPr>
                <w:rFonts w:ascii="Arial" w:cs="Arial" w:eastAsia="Arial" w:hAnsi="Arial"/>
                <w:sz w:val="14"/>
                <w:szCs w:val="14"/>
                <w:color w:val="auto"/>
                <w:vertAlign w:val="superscript"/>
              </w:rPr>
              <w:t>(10)</w:t>
            </w:r>
          </w:p>
        </w:tc>
        <w:tc>
          <w:tcPr>
            <w:tcW w:w="700" w:type="dxa"/>
            <w:vAlign w:val="bottom"/>
            <w:tcBorders>
              <w:top w:val="single" w:sz="8" w:color="CCEEFF"/>
            </w:tcBorders>
            <w:gridSpan w:val="2"/>
          </w:tcPr>
          <w:p>
            <w:pPr>
              <w:jc w:val="right"/>
              <w:spacing w:after="0"/>
              <w:rPr>
                <w:sz w:val="20"/>
                <w:szCs w:val="20"/>
                <w:color w:val="auto"/>
              </w:rPr>
            </w:pPr>
            <w:r>
              <w:rPr>
                <w:rFonts w:ascii="Arial" w:cs="Arial" w:eastAsia="Arial" w:hAnsi="Arial"/>
                <w:sz w:val="11"/>
                <w:szCs w:val="11"/>
                <w:color w:val="auto"/>
              </w:rPr>
              <w:t>263,449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112,500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jc w:val="right"/>
              <w:ind w:right="6"/>
              <w:spacing w:after="0"/>
              <w:rPr>
                <w:sz w:val="20"/>
                <w:szCs w:val="20"/>
                <w:color w:val="auto"/>
              </w:rPr>
            </w:pPr>
            <w:r>
              <w:rPr>
                <w:rFonts w:ascii="Arial" w:cs="Arial" w:eastAsia="Arial" w:hAnsi="Arial"/>
                <w:sz w:val="11"/>
                <w:szCs w:val="11"/>
                <w:color w:val="auto"/>
              </w:rPr>
              <w:t>263,449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112,500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Elizabeth Marcellino</w:t>
            </w:r>
            <w:r>
              <w:rPr>
                <w:rFonts w:ascii="Arial" w:cs="Arial" w:eastAsia="Arial" w:hAnsi="Arial"/>
                <w:sz w:val="14"/>
                <w:szCs w:val="14"/>
                <w:color w:val="auto"/>
                <w:vertAlign w:val="superscript"/>
              </w:rPr>
              <w:t>(11)</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25,000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25,000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Elliott Associates, L.P.</w:t>
            </w:r>
            <w:r>
              <w:rPr>
                <w:rFonts w:ascii="Arial" w:cs="Arial" w:eastAsia="Arial" w:hAnsi="Arial"/>
                <w:sz w:val="14"/>
                <w:szCs w:val="14"/>
                <w:color w:val="auto"/>
                <w:vertAlign w:val="superscript"/>
              </w:rPr>
              <w:t>(12)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485,754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485,754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Elliott International, L.P.</w:t>
            </w:r>
            <w:r>
              <w:rPr>
                <w:rFonts w:ascii="Arial" w:cs="Arial" w:eastAsia="Arial" w:hAnsi="Arial"/>
                <w:sz w:val="14"/>
                <w:szCs w:val="14"/>
                <w:color w:val="auto"/>
                <w:vertAlign w:val="superscript"/>
              </w:rPr>
              <w:t>(13)</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1,081,194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1,081,194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760" w:type="dxa"/>
            <w:vAlign w:val="bottom"/>
          </w:tcPr>
          <w:p>
            <w:pPr>
              <w:ind w:left="20"/>
              <w:spacing w:after="0" w:line="102" w:lineRule="exact"/>
              <w:rPr>
                <w:sz w:val="20"/>
                <w:szCs w:val="20"/>
                <w:color w:val="auto"/>
              </w:rPr>
            </w:pPr>
            <w:r>
              <w:rPr>
                <w:rFonts w:ascii="Arial" w:cs="Arial" w:eastAsia="Arial" w:hAnsi="Arial"/>
                <w:sz w:val="11"/>
                <w:szCs w:val="11"/>
                <w:color w:val="auto"/>
              </w:rPr>
              <w:t>Erich Sixt Vermögensverwaltung</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1,305,791</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1,305,791</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4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760" w:type="dxa"/>
            <w:vAlign w:val="bottom"/>
          </w:tcPr>
          <w:p>
            <w:pPr>
              <w:ind w:left="180"/>
              <w:spacing w:after="0" w:line="149" w:lineRule="exact"/>
              <w:rPr>
                <w:sz w:val="20"/>
                <w:szCs w:val="20"/>
                <w:color w:val="auto"/>
              </w:rPr>
            </w:pPr>
            <w:r>
              <w:rPr>
                <w:rFonts w:ascii="Arial" w:cs="Arial" w:eastAsia="Arial" w:hAnsi="Arial"/>
                <w:sz w:val="17"/>
                <w:szCs w:val="17"/>
                <w:color w:val="auto"/>
                <w:vertAlign w:val="subscript"/>
              </w:rPr>
              <w:t>GmbH</w:t>
            </w:r>
            <w:r>
              <w:rPr>
                <w:rFonts w:ascii="Arial" w:cs="Arial" w:eastAsia="Arial" w:hAnsi="Arial"/>
                <w:sz w:val="6"/>
                <w:szCs w:val="6"/>
                <w:color w:val="auto"/>
              </w:rPr>
              <w:t>(14)</w:t>
            </w:r>
          </w:p>
        </w:tc>
        <w:tc>
          <w:tcPr>
            <w:tcW w:w="700" w:type="dxa"/>
            <w:vAlign w:val="bottom"/>
            <w:gridSpan w:val="2"/>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GG Sponsor, LLC</w:t>
            </w:r>
            <w:r>
              <w:rPr>
                <w:rFonts w:ascii="Arial" w:cs="Arial" w:eastAsia="Arial" w:hAnsi="Arial"/>
                <w:sz w:val="14"/>
                <w:szCs w:val="14"/>
                <w:color w:val="auto"/>
                <w:vertAlign w:val="superscript"/>
              </w:rPr>
              <w:t>(15)</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4,446,041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4,446,041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GGP Sponsor Holdings, LLC</w:t>
            </w:r>
            <w:r>
              <w:rPr>
                <w:rFonts w:ascii="Arial" w:cs="Arial" w:eastAsia="Arial" w:hAnsi="Arial"/>
                <w:sz w:val="14"/>
                <w:szCs w:val="14"/>
                <w:color w:val="auto"/>
                <w:vertAlign w:val="superscript"/>
              </w:rPr>
              <w:t>(16)</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13,313,656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
              <w:spacing w:after="0"/>
              <w:rPr>
                <w:sz w:val="20"/>
                <w:szCs w:val="20"/>
                <w:color w:val="auto"/>
              </w:rPr>
            </w:pPr>
            <w:r>
              <w:rPr>
                <w:rFonts w:ascii="Arial" w:cs="Arial" w:eastAsia="Arial" w:hAnsi="Arial"/>
                <w:sz w:val="11"/>
                <w:szCs w:val="11"/>
                <w:color w:val="auto"/>
              </w:rPr>
              <w:t>4,500,000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18.0 %</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w w:val="98"/>
              </w:rPr>
              <w:t>13,313,656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18.0 %</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Gores PIPE, LLC</w:t>
            </w:r>
            <w:r>
              <w:rPr>
                <w:rFonts w:ascii="Arial" w:cs="Arial" w:eastAsia="Arial" w:hAnsi="Arial"/>
                <w:sz w:val="14"/>
                <w:szCs w:val="14"/>
                <w:color w:val="auto"/>
                <w:vertAlign w:val="superscript"/>
              </w:rPr>
              <w:t>(17)</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5,449,626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5,449,626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1760" w:type="dxa"/>
            <w:vAlign w:val="bottom"/>
          </w:tcPr>
          <w:p>
            <w:pPr>
              <w:ind w:left="20"/>
              <w:spacing w:after="0" w:line="102" w:lineRule="exact"/>
              <w:rPr>
                <w:sz w:val="20"/>
                <w:szCs w:val="20"/>
                <w:color w:val="auto"/>
              </w:rPr>
            </w:pPr>
            <w:r>
              <w:rPr>
                <w:rFonts w:ascii="Arial" w:cs="Arial" w:eastAsia="Arial" w:hAnsi="Arial"/>
                <w:sz w:val="11"/>
                <w:szCs w:val="11"/>
                <w:color w:val="auto"/>
                <w:w w:val="98"/>
              </w:rPr>
              <w:t>Healthcare Of Ontario Pension Plan</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522,316</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522,316</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4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1760" w:type="dxa"/>
            <w:vAlign w:val="bottom"/>
          </w:tcPr>
          <w:p>
            <w:pPr>
              <w:ind w:left="180"/>
              <w:spacing w:after="0" w:line="149" w:lineRule="exact"/>
              <w:rPr>
                <w:sz w:val="20"/>
                <w:szCs w:val="20"/>
                <w:color w:val="auto"/>
              </w:rPr>
            </w:pPr>
            <w:r>
              <w:rPr>
                <w:rFonts w:ascii="Arial" w:cs="Arial" w:eastAsia="Arial" w:hAnsi="Arial"/>
                <w:sz w:val="11"/>
                <w:szCs w:val="11"/>
                <w:color w:val="auto"/>
              </w:rPr>
              <w:t>Trust Fund</w:t>
            </w:r>
            <w:r>
              <w:rPr>
                <w:rFonts w:ascii="Arial" w:cs="Arial" w:eastAsia="Arial" w:hAnsi="Arial"/>
                <w:sz w:val="14"/>
                <w:szCs w:val="14"/>
                <w:color w:val="auto"/>
                <w:vertAlign w:val="superscript"/>
              </w:rPr>
              <w:t>(18)</w:t>
            </w:r>
          </w:p>
        </w:tc>
        <w:tc>
          <w:tcPr>
            <w:tcW w:w="7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Mark Stone</w:t>
            </w:r>
            <w:r>
              <w:rPr>
                <w:rFonts w:ascii="Arial" w:cs="Arial" w:eastAsia="Arial" w:hAnsi="Arial"/>
                <w:sz w:val="14"/>
                <w:szCs w:val="14"/>
                <w:color w:val="auto"/>
                <w:vertAlign w:val="superscript"/>
              </w:rPr>
              <w:t>(19)</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387,199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236,250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387,199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236,250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MG6TV, LLC</w:t>
            </w:r>
            <w:r>
              <w:rPr>
                <w:rFonts w:ascii="Arial" w:cs="Arial" w:eastAsia="Arial" w:hAnsi="Arial"/>
                <w:sz w:val="14"/>
                <w:szCs w:val="14"/>
                <w:color w:val="auto"/>
                <w:vertAlign w:val="superscript"/>
              </w:rPr>
              <w:t>(20)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1,305,791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1,305,791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MGXBD, LLC</w:t>
            </w:r>
            <w:r>
              <w:rPr>
                <w:rFonts w:ascii="Arial" w:cs="Arial" w:eastAsia="Arial" w:hAnsi="Arial"/>
                <w:sz w:val="14"/>
                <w:szCs w:val="14"/>
                <w:color w:val="auto"/>
                <w:vertAlign w:val="superscript"/>
              </w:rPr>
              <w:t>(21)</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261,159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261,159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MMF LT, LLC</w:t>
            </w:r>
            <w:r>
              <w:rPr>
                <w:rFonts w:ascii="Arial" w:cs="Arial" w:eastAsia="Arial" w:hAnsi="Arial"/>
                <w:sz w:val="14"/>
                <w:szCs w:val="14"/>
                <w:color w:val="auto"/>
                <w:vertAlign w:val="superscript"/>
              </w:rPr>
              <w:t>(22)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1,044,632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1,044,632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Nancy Tellem</w:t>
            </w:r>
            <w:r>
              <w:rPr>
                <w:rFonts w:ascii="Arial" w:cs="Arial" w:eastAsia="Arial" w:hAnsi="Arial"/>
                <w:sz w:val="14"/>
                <w:szCs w:val="14"/>
                <w:color w:val="auto"/>
                <w:vertAlign w:val="superscript"/>
              </w:rPr>
              <w:t>(23)</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40,670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40,670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760" w:type="dxa"/>
            <w:vAlign w:val="bottom"/>
          </w:tcPr>
          <w:p>
            <w:pPr>
              <w:ind w:left="20"/>
              <w:spacing w:after="0" w:line="102" w:lineRule="exact"/>
              <w:rPr>
                <w:sz w:val="20"/>
                <w:szCs w:val="20"/>
                <w:color w:val="auto"/>
              </w:rPr>
            </w:pPr>
            <w:r>
              <w:rPr>
                <w:rFonts w:ascii="Arial" w:cs="Arial" w:eastAsia="Arial" w:hAnsi="Arial"/>
                <w:sz w:val="11"/>
                <w:szCs w:val="11"/>
                <w:color w:val="auto"/>
                <w:w w:val="97"/>
              </w:rPr>
              <w:t>Nineteen77 Global Merger Arbitrage</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739,284</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739,284</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4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760" w:type="dxa"/>
            <w:vAlign w:val="bottom"/>
          </w:tcPr>
          <w:p>
            <w:pPr>
              <w:ind w:left="180"/>
              <w:spacing w:after="0" w:line="149" w:lineRule="exact"/>
              <w:rPr>
                <w:sz w:val="20"/>
                <w:szCs w:val="20"/>
                <w:color w:val="auto"/>
              </w:rPr>
            </w:pPr>
            <w:r>
              <w:rPr>
                <w:rFonts w:ascii="Arial" w:cs="Arial" w:eastAsia="Arial" w:hAnsi="Arial"/>
                <w:sz w:val="11"/>
                <w:szCs w:val="11"/>
                <w:color w:val="auto"/>
              </w:rPr>
              <w:t>Master Limited</w:t>
            </w:r>
            <w:r>
              <w:rPr>
                <w:rFonts w:ascii="Arial" w:cs="Arial" w:eastAsia="Arial" w:hAnsi="Arial"/>
                <w:sz w:val="14"/>
                <w:szCs w:val="14"/>
                <w:color w:val="auto"/>
                <w:vertAlign w:val="superscript"/>
              </w:rPr>
              <w:t>(24)</w:t>
            </w:r>
          </w:p>
        </w:tc>
        <w:tc>
          <w:tcPr>
            <w:tcW w:w="700" w:type="dxa"/>
            <w:vAlign w:val="bottom"/>
            <w:gridSpan w:val="2"/>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56" w:name="page57"/>
    <w:bookmarkEnd w:id="5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20" w:type="dxa"/>
            <w:vAlign w:val="bottom"/>
            <w:gridSpan w:val="5"/>
          </w:tcPr>
          <w:p>
            <w:pPr>
              <w:jc w:val="center"/>
              <w:ind w:right="6"/>
              <w:spacing w:after="0"/>
              <w:rPr>
                <w:sz w:val="20"/>
                <w:szCs w:val="20"/>
                <w:color w:val="auto"/>
              </w:rPr>
            </w:pPr>
            <w:r>
              <w:rPr>
                <w:rFonts w:ascii="Arial" w:cs="Arial" w:eastAsia="Arial" w:hAnsi="Arial"/>
                <w:sz w:val="11"/>
                <w:szCs w:val="11"/>
                <w:b w:val="1"/>
                <w:bCs w:val="1"/>
                <w:color w:val="auto"/>
                <w:w w:val="87"/>
              </w:rPr>
              <w:t>Securities Beneficially</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3"/>
              </w:rPr>
              <w:t>Securities</w:t>
            </w: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gridSpan w:val="4"/>
          </w:tcPr>
          <w:p>
            <w:pPr>
              <w:jc w:val="center"/>
              <w:spacing w:after="0"/>
              <w:rPr>
                <w:sz w:val="20"/>
                <w:szCs w:val="20"/>
                <w:color w:val="auto"/>
              </w:rPr>
            </w:pPr>
            <w:r>
              <w:rPr>
                <w:rFonts w:ascii="Arial" w:cs="Arial" w:eastAsia="Arial" w:hAnsi="Arial"/>
                <w:sz w:val="11"/>
                <w:szCs w:val="11"/>
                <w:b w:val="1"/>
                <w:bCs w:val="1"/>
                <w:color w:val="auto"/>
                <w:w w:val="83"/>
              </w:rPr>
              <w:t>Securities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gridSpan w:val="4"/>
          </w:tcPr>
          <w:p>
            <w:pPr>
              <w:jc w:val="center"/>
              <w:ind w:left="606"/>
              <w:spacing w:after="0" w:line="108" w:lineRule="exact"/>
              <w:rPr>
                <w:sz w:val="20"/>
                <w:szCs w:val="20"/>
                <w:color w:val="auto"/>
              </w:rPr>
            </w:pPr>
            <w:r>
              <w:rPr>
                <w:rFonts w:ascii="Arial" w:cs="Arial" w:eastAsia="Arial" w:hAnsi="Arial"/>
                <w:sz w:val="11"/>
                <w:szCs w:val="11"/>
                <w:b w:val="1"/>
                <w:bCs w:val="1"/>
                <w:color w:val="auto"/>
                <w:w w:val="89"/>
              </w:rPr>
              <w:t>Owned Prior to This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2"/>
              </w:rPr>
              <w:t>to be Sold</w:t>
            </w: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6"/>
          </w:tcPr>
          <w:p>
            <w:pPr>
              <w:jc w:val="center"/>
              <w:spacing w:after="0" w:line="108" w:lineRule="exact"/>
              <w:rPr>
                <w:sz w:val="20"/>
                <w:szCs w:val="20"/>
                <w:color w:val="auto"/>
              </w:rPr>
            </w:pPr>
            <w:r>
              <w:rPr>
                <w:rFonts w:ascii="Arial" w:cs="Arial" w:eastAsia="Arial" w:hAnsi="Arial"/>
                <w:sz w:val="11"/>
                <w:szCs w:val="11"/>
                <w:b w:val="1"/>
                <w:bCs w:val="1"/>
                <w:color w:val="auto"/>
                <w:w w:val="87"/>
              </w:rPr>
              <w:t>Beneficially Owned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Offering</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in This Offering</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jc w:val="center"/>
              <w:spacing w:after="0"/>
              <w:rPr>
                <w:sz w:val="20"/>
                <w:szCs w:val="20"/>
                <w:color w:val="auto"/>
              </w:rPr>
            </w:pPr>
            <w:r>
              <w:rPr>
                <w:rFonts w:ascii="Arial" w:cs="Arial" w:eastAsia="Arial" w:hAnsi="Arial"/>
                <w:sz w:val="11"/>
                <w:szCs w:val="11"/>
                <w:b w:val="1"/>
                <w:bCs w:val="1"/>
                <w:color w:val="auto"/>
                <w:w w:val="90"/>
              </w:rPr>
              <w:t>After This Offering</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Percentage of</w:t>
            </w: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Percentage of</w:t>
            </w: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70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Name of Selling</w:t>
            </w:r>
          </w:p>
        </w:tc>
        <w:tc>
          <w:tcPr>
            <w:tcW w:w="80" w:type="dxa"/>
            <w:vAlign w:val="bottom"/>
          </w:tcPr>
          <w:p>
            <w:pPr>
              <w:spacing w:after="0"/>
              <w:rPr>
                <w:sz w:val="8"/>
                <w:szCs w:val="8"/>
                <w:color w:val="auto"/>
              </w:rPr>
            </w:pPr>
          </w:p>
        </w:tc>
        <w:tc>
          <w:tcPr>
            <w:tcW w:w="70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Class A</w:t>
            </w:r>
          </w:p>
        </w:tc>
        <w:tc>
          <w:tcPr>
            <w:tcW w:w="80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w w:val="96"/>
              </w:rPr>
              <w:t>Percentage of</w:t>
            </w:r>
          </w:p>
        </w:tc>
        <w:tc>
          <w:tcPr>
            <w:tcW w:w="80" w:type="dxa"/>
            <w:vAlign w:val="bottom"/>
          </w:tcPr>
          <w:p>
            <w:pPr>
              <w:spacing w:after="0"/>
              <w:rPr>
                <w:sz w:val="8"/>
                <w:szCs w:val="8"/>
                <w:color w:val="auto"/>
              </w:rPr>
            </w:pPr>
          </w:p>
        </w:tc>
        <w:tc>
          <w:tcPr>
            <w:tcW w:w="72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9"/>
              </w:rPr>
              <w:t>Class B</w:t>
            </w:r>
          </w:p>
        </w:tc>
        <w:tc>
          <w:tcPr>
            <w:tcW w:w="720" w:type="dxa"/>
            <w:vAlign w:val="bottom"/>
          </w:tcPr>
          <w:p>
            <w:pPr>
              <w:jc w:val="right"/>
              <w:ind w:right="46"/>
              <w:spacing w:after="0" w:line="102" w:lineRule="exact"/>
              <w:rPr>
                <w:sz w:val="20"/>
                <w:szCs w:val="20"/>
                <w:color w:val="auto"/>
              </w:rPr>
            </w:pPr>
            <w:r>
              <w:rPr>
                <w:rFonts w:ascii="Arial" w:cs="Arial" w:eastAsia="Arial" w:hAnsi="Arial"/>
                <w:sz w:val="11"/>
                <w:szCs w:val="11"/>
                <w:b w:val="1"/>
                <w:bCs w:val="1"/>
                <w:color w:val="auto"/>
                <w:w w:val="82"/>
              </w:rPr>
              <w:t>Percentage of</w:t>
            </w:r>
          </w:p>
        </w:tc>
        <w:tc>
          <w:tcPr>
            <w:tcW w:w="80" w:type="dxa"/>
            <w:vAlign w:val="bottom"/>
          </w:tcPr>
          <w:p>
            <w:pPr>
              <w:spacing w:after="0"/>
              <w:rPr>
                <w:sz w:val="8"/>
                <w:szCs w:val="8"/>
                <w:color w:val="auto"/>
              </w:rPr>
            </w:pPr>
          </w:p>
        </w:tc>
        <w:tc>
          <w:tcPr>
            <w:tcW w:w="56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Class C</w:t>
            </w:r>
          </w:p>
        </w:tc>
        <w:tc>
          <w:tcPr>
            <w:tcW w:w="760" w:type="dxa"/>
            <w:vAlign w:val="bottom"/>
            <w:gridSpan w:val="2"/>
            <w:vMerge w:val="continue"/>
          </w:tcPr>
          <w:p>
            <w:pPr>
              <w:spacing w:after="0"/>
              <w:rPr>
                <w:sz w:val="8"/>
                <w:szCs w:val="8"/>
                <w:color w:val="auto"/>
              </w:rPr>
            </w:pPr>
          </w:p>
        </w:tc>
        <w:tc>
          <w:tcPr>
            <w:tcW w:w="68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Class A</w:t>
            </w:r>
          </w:p>
        </w:tc>
        <w:tc>
          <w:tcPr>
            <w:tcW w:w="102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Percentage of</w:t>
            </w:r>
          </w:p>
        </w:tc>
        <w:tc>
          <w:tcPr>
            <w:tcW w:w="56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Class C</w:t>
            </w:r>
          </w:p>
        </w:tc>
        <w:tc>
          <w:tcPr>
            <w:tcW w:w="760" w:type="dxa"/>
            <w:vAlign w:val="bottom"/>
            <w:gridSpan w:val="2"/>
            <w:vMerge w:val="continue"/>
          </w:tcPr>
          <w:p>
            <w:pPr>
              <w:spacing w:after="0"/>
              <w:rPr>
                <w:sz w:val="8"/>
                <w:szCs w:val="8"/>
                <w:color w:val="auto"/>
              </w:rPr>
            </w:pPr>
          </w:p>
        </w:tc>
        <w:tc>
          <w:tcPr>
            <w:tcW w:w="54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rPr>
              <w:t>Class A</w:t>
            </w:r>
          </w:p>
        </w:tc>
        <w:tc>
          <w:tcPr>
            <w:tcW w:w="440" w:type="dxa"/>
            <w:vAlign w:val="bottom"/>
            <w:gridSpan w:val="3"/>
            <w:vMerge w:val="restart"/>
          </w:tcPr>
          <w:p>
            <w:pPr>
              <w:jc w:val="center"/>
              <w:ind w:left="4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56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Class C</w:t>
            </w:r>
          </w:p>
        </w:tc>
        <w:tc>
          <w:tcPr>
            <w:tcW w:w="40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b w:val="1"/>
                <w:bCs w:val="1"/>
                <w:color w:val="auto"/>
              </w:rPr>
              <w:t>Securityholders</w:t>
            </w:r>
          </w:p>
        </w:tc>
        <w:tc>
          <w:tcPr>
            <w:tcW w:w="80" w:type="dxa"/>
            <w:vAlign w:val="bottom"/>
          </w:tcPr>
          <w:p>
            <w:pPr>
              <w:spacing w:after="0"/>
              <w:rPr>
                <w:sz w:val="12"/>
                <w:szCs w:val="12"/>
                <w:color w:val="auto"/>
              </w:rPr>
            </w:pP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ADSs</w:t>
            </w:r>
          </w:p>
        </w:tc>
        <w:tc>
          <w:tcPr>
            <w:tcW w:w="800" w:type="dxa"/>
            <w:vAlign w:val="bottom"/>
          </w:tcPr>
          <w:p>
            <w:pPr>
              <w:jc w:val="right"/>
              <w:ind w:right="6"/>
              <w:spacing w:after="0"/>
              <w:rPr>
                <w:sz w:val="20"/>
                <w:szCs w:val="20"/>
                <w:color w:val="auto"/>
              </w:rPr>
            </w:pPr>
            <w:r>
              <w:rPr>
                <w:rFonts w:ascii="Arial" w:cs="Arial" w:eastAsia="Arial" w:hAnsi="Arial"/>
                <w:sz w:val="11"/>
                <w:szCs w:val="11"/>
                <w:b w:val="1"/>
                <w:bCs w:val="1"/>
                <w:color w:val="auto"/>
                <w:w w:val="91"/>
              </w:rPr>
              <w:t>Class A ADSs#</w:t>
            </w:r>
          </w:p>
        </w:tc>
        <w:tc>
          <w:tcPr>
            <w:tcW w:w="8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ADSs</w:t>
            </w:r>
          </w:p>
        </w:tc>
        <w:tc>
          <w:tcPr>
            <w:tcW w:w="720" w:type="dxa"/>
            <w:vAlign w:val="bottom"/>
          </w:tcPr>
          <w:p>
            <w:pPr>
              <w:jc w:val="right"/>
              <w:ind w:right="46"/>
              <w:spacing w:after="0"/>
              <w:rPr>
                <w:sz w:val="20"/>
                <w:szCs w:val="20"/>
                <w:color w:val="auto"/>
              </w:rPr>
            </w:pPr>
            <w:r>
              <w:rPr>
                <w:rFonts w:ascii="Arial" w:cs="Arial" w:eastAsia="Arial" w:hAnsi="Arial"/>
                <w:sz w:val="11"/>
                <w:szCs w:val="11"/>
                <w:b w:val="1"/>
                <w:bCs w:val="1"/>
                <w:color w:val="auto"/>
                <w:w w:val="82"/>
              </w:rPr>
              <w:t>Class B ADSs</w:t>
            </w:r>
          </w:p>
        </w:tc>
        <w:tc>
          <w:tcPr>
            <w:tcW w:w="8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ADSs</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Class C ADSs</w:t>
            </w:r>
          </w:p>
        </w:tc>
        <w:tc>
          <w:tcPr>
            <w:tcW w:w="680" w:type="dxa"/>
            <w:vAlign w:val="bottom"/>
          </w:tcPr>
          <w:p>
            <w:pPr>
              <w:jc w:val="right"/>
              <w:ind w:right="166"/>
              <w:spacing w:after="0"/>
              <w:rPr>
                <w:sz w:val="20"/>
                <w:szCs w:val="20"/>
                <w:color w:val="auto"/>
              </w:rPr>
            </w:pPr>
            <w:r>
              <w:rPr>
                <w:rFonts w:ascii="Arial" w:cs="Arial" w:eastAsia="Arial" w:hAnsi="Arial"/>
                <w:sz w:val="11"/>
                <w:szCs w:val="11"/>
                <w:b w:val="1"/>
                <w:bCs w:val="1"/>
                <w:color w:val="auto"/>
              </w:rPr>
              <w:t>ADSs</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Class A ADSs##</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ADSs</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Class C ADSs</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ADSs</w:t>
            </w:r>
          </w:p>
        </w:tc>
        <w:tc>
          <w:tcPr>
            <w:tcW w:w="4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ADSs</w:t>
            </w: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70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w w:val="93"/>
              </w:rPr>
              <w:t>Nineteen77 Global Merger Arbitrage</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88,377</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8"/>
                <w:szCs w:val="8"/>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88,377</w:t>
            </w:r>
          </w:p>
        </w:tc>
        <w:tc>
          <w:tcPr>
            <w:tcW w:w="800" w:type="dxa"/>
            <w:vAlign w:val="bottom"/>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Opportunity Fund</w:t>
            </w:r>
            <w:r>
              <w:rPr>
                <w:rFonts w:ascii="Arial" w:cs="Arial" w:eastAsia="Arial" w:hAnsi="Arial"/>
                <w:sz w:val="14"/>
                <w:szCs w:val="14"/>
                <w:color w:val="auto"/>
                <w:vertAlign w:val="superscript"/>
              </w:rPr>
              <w:t>(25)</w:t>
            </w:r>
          </w:p>
        </w:tc>
        <w:tc>
          <w:tcPr>
            <w:tcW w:w="780" w:type="dxa"/>
            <w:vAlign w:val="bottom"/>
            <w:gridSpan w:val="2"/>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700" w:type="dxa"/>
            <w:vAlign w:val="bottom"/>
          </w:tcPr>
          <w:p>
            <w:pPr>
              <w:ind w:left="20"/>
              <w:spacing w:after="0" w:line="88" w:lineRule="exact"/>
              <w:rPr>
                <w:sz w:val="20"/>
                <w:szCs w:val="20"/>
                <w:color w:val="auto"/>
              </w:rPr>
            </w:pPr>
            <w:r>
              <w:rPr>
                <w:rFonts w:ascii="Arial" w:cs="Arial" w:eastAsia="Arial" w:hAnsi="Arial"/>
                <w:sz w:val="10"/>
                <w:szCs w:val="10"/>
                <w:color w:val="auto"/>
              </w:rPr>
              <w:t>Nineteen77 Global Multi-Strategy</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739,287</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7"/>
                <w:szCs w:val="7"/>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739,287</w:t>
            </w:r>
          </w:p>
        </w:tc>
        <w:tc>
          <w:tcPr>
            <w:tcW w:w="80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7"/>
                <w:szCs w:val="7"/>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Alpha Master Limited</w:t>
            </w:r>
            <w:r>
              <w:rPr>
                <w:rFonts w:ascii="Arial" w:cs="Arial" w:eastAsia="Arial" w:hAnsi="Arial"/>
                <w:sz w:val="14"/>
                <w:szCs w:val="14"/>
                <w:color w:val="auto"/>
                <w:vertAlign w:val="superscript"/>
              </w:rPr>
              <w:t>(26)</w:t>
            </w:r>
          </w:p>
        </w:tc>
        <w:tc>
          <w:tcPr>
            <w:tcW w:w="780" w:type="dxa"/>
            <w:vAlign w:val="bottom"/>
            <w:tcBorders>
              <w:bottom w:val="single" w:sz="8" w:color="CCEEFF"/>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gridSpan w:val="2"/>
            <w:vMerge w:val="continue"/>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Northpole GLY 2 LP</w:t>
            </w:r>
            <w:r>
              <w:rPr>
                <w:rFonts w:ascii="Arial" w:cs="Arial" w:eastAsia="Arial" w:hAnsi="Arial"/>
                <w:sz w:val="14"/>
                <w:szCs w:val="14"/>
                <w:color w:val="auto"/>
                <w:vertAlign w:val="superscript"/>
              </w:rPr>
              <w:t>(27)</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668,167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668,167</w:t>
            </w:r>
          </w:p>
        </w:tc>
        <w:tc>
          <w:tcPr>
            <w:tcW w:w="8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1"/>
                <w:szCs w:val="11"/>
                <w:color w:val="auto"/>
              </w:rPr>
              <w:t>Randall Bort</w:t>
            </w:r>
            <w:r>
              <w:rPr>
                <w:rFonts w:ascii="Arial" w:cs="Arial" w:eastAsia="Arial" w:hAnsi="Arial"/>
                <w:sz w:val="14"/>
                <w:szCs w:val="14"/>
                <w:color w:val="auto"/>
                <w:vertAlign w:val="superscript"/>
              </w:rPr>
              <w:t>(28)</w:t>
            </w:r>
          </w:p>
        </w:tc>
        <w:tc>
          <w:tcPr>
            <w:tcW w:w="780" w:type="dxa"/>
            <w:vAlign w:val="bottom"/>
            <w:tcBorders>
              <w:bottom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25,000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25,000</w:t>
            </w:r>
          </w:p>
        </w:tc>
        <w:tc>
          <w:tcPr>
            <w:tcW w:w="800" w:type="dxa"/>
            <w:vAlign w:val="bottom"/>
            <w:tcBorders>
              <w:bottom w:val="single" w:sz="8" w:color="auto"/>
            </w:tcBorders>
          </w:tcPr>
          <w:p>
            <w:pPr>
              <w:ind w:left="7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0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w w:val="94"/>
              </w:rPr>
              <w:t>Saba Capital Master Fund III, LP</w:t>
            </w:r>
            <w:r>
              <w:rPr>
                <w:rFonts w:ascii="Arial" w:cs="Arial" w:eastAsia="Arial" w:hAnsi="Arial"/>
                <w:sz w:val="14"/>
                <w:szCs w:val="14"/>
                <w:color w:val="auto"/>
                <w:w w:val="94"/>
                <w:vertAlign w:val="superscript"/>
              </w:rPr>
              <w:t>(29)</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201,747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201,747</w:t>
            </w:r>
          </w:p>
        </w:tc>
        <w:tc>
          <w:tcPr>
            <w:tcW w:w="8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1"/>
                <w:szCs w:val="11"/>
                <w:color w:val="auto"/>
                <w:w w:val="98"/>
              </w:rPr>
              <w:t>Saba Capital Master Fund, Ltd.</w:t>
            </w:r>
            <w:r>
              <w:rPr>
                <w:rFonts w:ascii="Arial" w:cs="Arial" w:eastAsia="Arial" w:hAnsi="Arial"/>
                <w:sz w:val="14"/>
                <w:szCs w:val="14"/>
                <w:color w:val="auto"/>
                <w:w w:val="98"/>
                <w:vertAlign w:val="superscript"/>
              </w:rPr>
              <w:t>(30)</w:t>
            </w:r>
          </w:p>
        </w:tc>
        <w:tc>
          <w:tcPr>
            <w:tcW w:w="780" w:type="dxa"/>
            <w:vAlign w:val="bottom"/>
            <w:tcBorders>
              <w:bottom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1,235,072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1,235,072</w:t>
            </w:r>
          </w:p>
        </w:tc>
        <w:tc>
          <w:tcPr>
            <w:tcW w:w="800" w:type="dxa"/>
            <w:vAlign w:val="bottom"/>
            <w:tcBorders>
              <w:bottom w:val="single" w:sz="8" w:color="auto"/>
            </w:tcBorders>
          </w:tcPr>
          <w:p>
            <w:pPr>
              <w:ind w:left="7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1700" w:type="dxa"/>
            <w:vAlign w:val="bottom"/>
            <w:shd w:val="clear" w:color="auto" w:fill="CCEEFF"/>
          </w:tcPr>
          <w:p>
            <w:pPr>
              <w:ind w:left="20"/>
              <w:spacing w:after="0" w:line="88" w:lineRule="exact"/>
              <w:rPr>
                <w:sz w:val="20"/>
                <w:szCs w:val="20"/>
                <w:color w:val="auto"/>
              </w:rPr>
            </w:pPr>
            <w:r>
              <w:rPr>
                <w:rFonts w:ascii="Arial" w:cs="Arial" w:eastAsia="Arial" w:hAnsi="Arial"/>
                <w:sz w:val="10"/>
                <w:szCs w:val="10"/>
                <w:color w:val="auto"/>
              </w:rPr>
              <w:t>Saba Capital SPAC Opportunities,</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60,693</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7"/>
                <w:szCs w:val="7"/>
                <w:color w:val="auto"/>
              </w:rPr>
            </w:pP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7"/>
                <w:szCs w:val="7"/>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60,693</w:t>
            </w:r>
          </w:p>
        </w:tc>
        <w:tc>
          <w:tcPr>
            <w:tcW w:w="800" w:type="dxa"/>
            <w:vAlign w:val="bottom"/>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vertAlign w:val="subscript"/>
              </w:rPr>
              <w:t>Ltd.</w:t>
            </w:r>
            <w:r>
              <w:rPr>
                <w:rFonts w:ascii="Arial" w:cs="Arial" w:eastAsia="Arial" w:hAnsi="Arial"/>
                <w:sz w:val="6"/>
                <w:szCs w:val="6"/>
                <w:color w:val="auto"/>
              </w:rPr>
              <w:t>(31)</w:t>
            </w:r>
          </w:p>
        </w:tc>
        <w:tc>
          <w:tcPr>
            <w:tcW w:w="780" w:type="dxa"/>
            <w:vAlign w:val="bottom"/>
            <w:gridSpan w:val="2"/>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1"/>
                <w:szCs w:val="11"/>
                <w:color w:val="auto"/>
              </w:rPr>
              <w:t>Saba II AIV LP</w:t>
            </w:r>
            <w:r>
              <w:rPr>
                <w:rFonts w:ascii="Arial" w:cs="Arial" w:eastAsia="Arial" w:hAnsi="Arial"/>
                <w:sz w:val="14"/>
                <w:szCs w:val="14"/>
                <w:color w:val="auto"/>
                <w:vertAlign w:val="superscript"/>
              </w:rPr>
              <w:t>(32)</w:t>
            </w:r>
          </w:p>
        </w:tc>
        <w:tc>
          <w:tcPr>
            <w:tcW w:w="780" w:type="dxa"/>
            <w:vAlign w:val="bottom"/>
            <w:tcBorders>
              <w:bottom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1,691,863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1,691,863</w:t>
            </w:r>
          </w:p>
        </w:tc>
        <w:tc>
          <w:tcPr>
            <w:tcW w:w="800" w:type="dxa"/>
            <w:vAlign w:val="bottom"/>
            <w:tcBorders>
              <w:bottom w:val="single" w:sz="8" w:color="auto"/>
            </w:tcBorders>
          </w:tcPr>
          <w:p>
            <w:pPr>
              <w:ind w:left="7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1700" w:type="dxa"/>
            <w:vAlign w:val="bottom"/>
            <w:shd w:val="clear" w:color="auto" w:fill="CCEEFF"/>
          </w:tcPr>
          <w:p>
            <w:pPr>
              <w:ind w:left="20"/>
              <w:spacing w:after="0" w:line="88" w:lineRule="exact"/>
              <w:rPr>
                <w:sz w:val="20"/>
                <w:szCs w:val="20"/>
                <w:color w:val="auto"/>
              </w:rPr>
            </w:pPr>
            <w:r>
              <w:rPr>
                <w:rFonts w:ascii="Arial" w:cs="Arial" w:eastAsia="Arial" w:hAnsi="Arial"/>
                <w:sz w:val="10"/>
                <w:szCs w:val="10"/>
                <w:color w:val="auto"/>
              </w:rPr>
              <w:t>Shutfut Menayot Chool - Phoenix</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887,937</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7"/>
                <w:szCs w:val="7"/>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887,937</w:t>
            </w:r>
          </w:p>
        </w:tc>
        <w:tc>
          <w:tcPr>
            <w:tcW w:w="800" w:type="dxa"/>
            <w:vAlign w:val="bottom"/>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Amitim</w:t>
            </w:r>
            <w:r>
              <w:rPr>
                <w:rFonts w:ascii="Arial" w:cs="Arial" w:eastAsia="Arial" w:hAnsi="Arial"/>
                <w:sz w:val="14"/>
                <w:szCs w:val="14"/>
                <w:color w:val="auto"/>
                <w:vertAlign w:val="superscript"/>
              </w:rPr>
              <w:t>(33)</w:t>
            </w:r>
          </w:p>
        </w:tc>
        <w:tc>
          <w:tcPr>
            <w:tcW w:w="7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ind w:left="20"/>
              <w:spacing w:after="0" w:line="155" w:lineRule="exact"/>
              <w:rPr>
                <w:sz w:val="20"/>
                <w:szCs w:val="20"/>
                <w:color w:val="auto"/>
              </w:rPr>
            </w:pPr>
            <w:r>
              <w:rPr>
                <w:rFonts w:ascii="Arial" w:cs="Arial" w:eastAsia="Arial" w:hAnsi="Arial"/>
                <w:sz w:val="11"/>
                <w:szCs w:val="11"/>
                <w:color w:val="auto"/>
              </w:rPr>
              <w:t>Snita Holding BV</w:t>
            </w:r>
            <w:r>
              <w:rPr>
                <w:rFonts w:ascii="Arial" w:cs="Arial" w:eastAsia="Arial" w:hAnsi="Arial"/>
                <w:sz w:val="14"/>
                <w:szCs w:val="14"/>
                <w:color w:val="auto"/>
                <w:vertAlign w:val="superscript"/>
              </w:rPr>
              <w:t>(34)</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w w:val="99"/>
              </w:rPr>
              <w:t>1,018,792,462</w:t>
            </w:r>
          </w:p>
        </w:tc>
        <w:tc>
          <w:tcPr>
            <w:tcW w:w="800" w:type="dxa"/>
            <w:vAlign w:val="bottom"/>
          </w:tcPr>
          <w:p>
            <w:pPr>
              <w:jc w:val="right"/>
              <w:spacing w:after="0"/>
              <w:rPr>
                <w:sz w:val="20"/>
                <w:szCs w:val="20"/>
                <w:color w:val="auto"/>
              </w:rPr>
            </w:pPr>
            <w:r>
              <w:rPr>
                <w:rFonts w:ascii="Arial" w:cs="Arial" w:eastAsia="Arial" w:hAnsi="Arial"/>
                <w:sz w:val="11"/>
                <w:szCs w:val="11"/>
                <w:color w:val="auto"/>
              </w:rPr>
              <w:t>47.7 %</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814,219,838</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49.6 %</w:t>
            </w:r>
          </w:p>
        </w:tc>
        <w:tc>
          <w:tcPr>
            <w:tcW w:w="80" w:type="dxa"/>
            <w:vAlign w:val="bottom"/>
          </w:tcPr>
          <w:p>
            <w:pPr>
              <w:spacing w:after="0"/>
              <w:rPr>
                <w:sz w:val="13"/>
                <w:szCs w:val="13"/>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w w:val="85"/>
              </w:rPr>
              <w:t>1,097,084,054</w:t>
            </w:r>
          </w:p>
        </w:tc>
        <w:tc>
          <w:tcPr>
            <w:tcW w:w="1020" w:type="dxa"/>
            <w:vAlign w:val="bottom"/>
            <w:gridSpan w:val="2"/>
          </w:tcPr>
          <w:p>
            <w:pPr>
              <w:ind w:left="480"/>
              <w:spacing w:after="0"/>
              <w:rPr>
                <w:sz w:val="20"/>
                <w:szCs w:val="20"/>
                <w:color w:val="auto"/>
              </w:rPr>
            </w:pPr>
            <w:r>
              <w:rPr>
                <w:rFonts w:ascii="Arial" w:cs="Arial" w:eastAsia="Arial" w:hAnsi="Arial"/>
                <w:sz w:val="11"/>
                <w:szCs w:val="11"/>
                <w:color w:val="auto"/>
              </w:rPr>
              <w:t xml:space="preserve">47.8 % </w:t>
            </w:r>
            <w:r>
              <w:rPr>
                <w:rFonts w:ascii="Arial" w:cs="Arial" w:eastAsia="Arial" w:hAnsi="Arial"/>
                <w:sz w:val="7"/>
                <w:szCs w:val="7"/>
                <w:color w:val="auto"/>
              </w:rPr>
              <w:t>(35)</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Sycomore L/S Opportunities</w:t>
            </w:r>
            <w:r>
              <w:rPr>
                <w:rFonts w:ascii="Arial" w:cs="Arial" w:eastAsia="Arial" w:hAnsi="Arial"/>
                <w:sz w:val="14"/>
                <w:szCs w:val="14"/>
                <w:color w:val="auto"/>
                <w:vertAlign w:val="superscript"/>
              </w:rPr>
              <w:t>(36)</w:t>
            </w:r>
          </w:p>
        </w:tc>
        <w:tc>
          <w:tcPr>
            <w:tcW w:w="780" w:type="dxa"/>
            <w:vAlign w:val="bottom"/>
            <w:tcBorders>
              <w:top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417,853</w:t>
            </w:r>
          </w:p>
        </w:tc>
        <w:tc>
          <w:tcPr>
            <w:tcW w:w="80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417,853</w:t>
            </w:r>
          </w:p>
        </w:tc>
        <w:tc>
          <w:tcPr>
            <w:tcW w:w="8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1700" w:type="dxa"/>
            <w:vAlign w:val="bottom"/>
          </w:tcPr>
          <w:p>
            <w:pPr>
              <w:ind w:left="20"/>
              <w:spacing w:after="0" w:line="88" w:lineRule="exact"/>
              <w:rPr>
                <w:sz w:val="20"/>
                <w:szCs w:val="20"/>
                <w:color w:val="auto"/>
              </w:rPr>
            </w:pPr>
            <w:r>
              <w:rPr>
                <w:rFonts w:ascii="Arial" w:cs="Arial" w:eastAsia="Arial" w:hAnsi="Arial"/>
                <w:sz w:val="10"/>
                <w:szCs w:val="10"/>
                <w:color w:val="auto"/>
              </w:rPr>
              <w:t>The Phoenix Insurance Company</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156,695</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7"/>
                <w:szCs w:val="7"/>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156,695</w:t>
            </w:r>
          </w:p>
        </w:tc>
        <w:tc>
          <w:tcPr>
            <w:tcW w:w="80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7"/>
                <w:szCs w:val="7"/>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8"/>
                <w:szCs w:val="18"/>
                <w:color w:val="auto"/>
                <w:vertAlign w:val="subscript"/>
              </w:rPr>
              <w:t>LTD</w:t>
            </w:r>
            <w:r>
              <w:rPr>
                <w:rFonts w:ascii="Arial" w:cs="Arial" w:eastAsia="Arial" w:hAnsi="Arial"/>
                <w:sz w:val="6"/>
                <w:szCs w:val="6"/>
                <w:color w:val="auto"/>
              </w:rPr>
              <w:t>(37)</w:t>
            </w:r>
          </w:p>
        </w:tc>
        <w:tc>
          <w:tcPr>
            <w:tcW w:w="780" w:type="dxa"/>
            <w:vAlign w:val="bottom"/>
            <w:tcBorders>
              <w:bottom w:val="single" w:sz="8" w:color="CCEEFF"/>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gridSpan w:val="2"/>
            <w:vMerge w:val="continue"/>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w w:val="95"/>
              </w:rPr>
              <w:t>Union Square Park Partners, LP</w:t>
            </w:r>
            <w:r>
              <w:rPr>
                <w:rFonts w:ascii="Arial" w:cs="Arial" w:eastAsia="Arial" w:hAnsi="Arial"/>
                <w:sz w:val="14"/>
                <w:szCs w:val="14"/>
                <w:color w:val="auto"/>
                <w:w w:val="95"/>
                <w:vertAlign w:val="superscript"/>
              </w:rPr>
              <w:t>(38)</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592,149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261,159</w:t>
            </w:r>
          </w:p>
        </w:tc>
        <w:tc>
          <w:tcPr>
            <w:tcW w:w="8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330,990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00" w:type="dxa"/>
            <w:vAlign w:val="bottom"/>
          </w:tcPr>
          <w:p>
            <w:pPr>
              <w:ind w:left="20"/>
              <w:spacing w:after="0" w:line="155" w:lineRule="exact"/>
              <w:rPr>
                <w:sz w:val="20"/>
                <w:szCs w:val="20"/>
                <w:color w:val="auto"/>
              </w:rPr>
            </w:pPr>
            <w:r>
              <w:rPr>
                <w:rFonts w:ascii="Arial" w:cs="Arial" w:eastAsia="Arial" w:hAnsi="Arial"/>
                <w:sz w:val="11"/>
                <w:szCs w:val="11"/>
                <w:color w:val="auto"/>
              </w:rPr>
              <w:t>West Investments VIII LLC</w:t>
            </w:r>
            <w:r>
              <w:rPr>
                <w:rFonts w:ascii="Arial" w:cs="Arial" w:eastAsia="Arial" w:hAnsi="Arial"/>
                <w:sz w:val="14"/>
                <w:szCs w:val="14"/>
                <w:color w:val="auto"/>
                <w:vertAlign w:val="superscript"/>
              </w:rPr>
              <w:t>(39)</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512,223</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1,012,223</w:t>
            </w:r>
          </w:p>
        </w:tc>
        <w:tc>
          <w:tcPr>
            <w:tcW w:w="1020" w:type="dxa"/>
            <w:vAlign w:val="bottom"/>
            <w:gridSpan w:val="2"/>
          </w:tcPr>
          <w:p>
            <w:pPr>
              <w:ind w:left="7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(40)</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20" w:type="dxa"/>
            <w:vAlign w:val="bottom"/>
            <w:gridSpan w:val="5"/>
          </w:tcPr>
          <w:p>
            <w:pPr>
              <w:jc w:val="center"/>
              <w:spacing w:after="0"/>
              <w:rPr>
                <w:sz w:val="20"/>
                <w:szCs w:val="20"/>
                <w:color w:val="auto"/>
              </w:rPr>
            </w:pPr>
            <w:r>
              <w:rPr>
                <w:rFonts w:ascii="Arial" w:cs="Arial" w:eastAsia="Arial" w:hAnsi="Arial"/>
                <w:sz w:val="11"/>
                <w:szCs w:val="11"/>
                <w:b w:val="1"/>
                <w:bCs w:val="1"/>
                <w:color w:val="auto"/>
                <w:w w:val="87"/>
              </w:rPr>
              <w:t>Securities Beneficially</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Securities</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87"/>
              </w:rPr>
              <w:t>Securities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20" w:type="dxa"/>
            <w:vAlign w:val="bottom"/>
            <w:gridSpan w:val="4"/>
          </w:tcPr>
          <w:p>
            <w:pPr>
              <w:jc w:val="center"/>
              <w:ind w:left="626"/>
              <w:spacing w:after="0" w:line="108" w:lineRule="exact"/>
              <w:rPr>
                <w:sz w:val="20"/>
                <w:szCs w:val="20"/>
                <w:color w:val="auto"/>
              </w:rPr>
            </w:pPr>
            <w:r>
              <w:rPr>
                <w:rFonts w:ascii="Arial" w:cs="Arial" w:eastAsia="Arial" w:hAnsi="Arial"/>
                <w:sz w:val="11"/>
                <w:szCs w:val="11"/>
                <w:b w:val="1"/>
                <w:bCs w:val="1"/>
                <w:color w:val="auto"/>
                <w:w w:val="89"/>
              </w:rPr>
              <w:t>Owned Prior to This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6"/>
              </w:rPr>
              <w:t>to be Sold</w:t>
            </w: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6"/>
          </w:tcPr>
          <w:p>
            <w:pPr>
              <w:jc w:val="center"/>
              <w:spacing w:after="0" w:line="108" w:lineRule="exact"/>
              <w:rPr>
                <w:sz w:val="20"/>
                <w:szCs w:val="20"/>
                <w:color w:val="auto"/>
              </w:rPr>
            </w:pPr>
            <w:r>
              <w:rPr>
                <w:rFonts w:ascii="Arial" w:cs="Arial" w:eastAsia="Arial" w:hAnsi="Arial"/>
                <w:sz w:val="11"/>
                <w:szCs w:val="11"/>
                <w:b w:val="1"/>
                <w:bCs w:val="1"/>
                <w:color w:val="auto"/>
                <w:w w:val="89"/>
              </w:rPr>
              <w:t>Beneficially Owned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Offering</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in This Offering</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center"/>
              <w:spacing w:after="0"/>
              <w:rPr>
                <w:sz w:val="20"/>
                <w:szCs w:val="20"/>
                <w:color w:val="auto"/>
              </w:rPr>
            </w:pPr>
            <w:r>
              <w:rPr>
                <w:rFonts w:ascii="Arial" w:cs="Arial" w:eastAsia="Arial" w:hAnsi="Arial"/>
                <w:sz w:val="11"/>
                <w:szCs w:val="11"/>
                <w:b w:val="1"/>
                <w:bCs w:val="1"/>
                <w:color w:val="auto"/>
                <w:w w:val="92"/>
              </w:rPr>
              <w:t>After This Offering</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8"/>
              </w:rPr>
              <w:t>Percentage of</w:t>
            </w: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8"/>
              </w:rPr>
              <w:t>Percentage of</w:t>
            </w: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64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Name of Selling</w:t>
            </w:r>
          </w:p>
        </w:tc>
        <w:tc>
          <w:tcPr>
            <w:tcW w:w="80" w:type="dxa"/>
            <w:vAlign w:val="bottom"/>
          </w:tcPr>
          <w:p>
            <w:pPr>
              <w:spacing w:after="0"/>
              <w:rPr>
                <w:sz w:val="8"/>
                <w:szCs w:val="8"/>
                <w:color w:val="auto"/>
              </w:rPr>
            </w:pPr>
          </w:p>
        </w:tc>
        <w:tc>
          <w:tcPr>
            <w:tcW w:w="70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Class A</w:t>
            </w:r>
          </w:p>
        </w:tc>
        <w:tc>
          <w:tcPr>
            <w:tcW w:w="78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w w:val="93"/>
              </w:rPr>
              <w:t>Percentage of</w:t>
            </w:r>
          </w:p>
        </w:tc>
        <w:tc>
          <w:tcPr>
            <w:tcW w:w="80" w:type="dxa"/>
            <w:vAlign w:val="bottom"/>
          </w:tcPr>
          <w:p>
            <w:pPr>
              <w:spacing w:after="0"/>
              <w:rPr>
                <w:sz w:val="8"/>
                <w:szCs w:val="8"/>
                <w:color w:val="auto"/>
              </w:rPr>
            </w:pPr>
          </w:p>
        </w:tc>
        <w:tc>
          <w:tcPr>
            <w:tcW w:w="76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9"/>
              </w:rPr>
              <w:t>Class B</w:t>
            </w:r>
          </w:p>
        </w:tc>
        <w:tc>
          <w:tcPr>
            <w:tcW w:w="70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w w:val="82"/>
              </w:rPr>
              <w:t>Percentage of</w:t>
            </w:r>
          </w:p>
        </w:tc>
        <w:tc>
          <w:tcPr>
            <w:tcW w:w="80" w:type="dxa"/>
            <w:vAlign w:val="bottom"/>
          </w:tcPr>
          <w:p>
            <w:pPr>
              <w:spacing w:after="0"/>
              <w:rPr>
                <w:sz w:val="8"/>
                <w:szCs w:val="8"/>
                <w:color w:val="auto"/>
              </w:rPr>
            </w:pPr>
          </w:p>
        </w:tc>
        <w:tc>
          <w:tcPr>
            <w:tcW w:w="580" w:type="dxa"/>
            <w:vAlign w:val="bottom"/>
          </w:tcPr>
          <w:p>
            <w:pPr>
              <w:jc w:val="right"/>
              <w:ind w:right="66"/>
              <w:spacing w:after="0" w:line="102" w:lineRule="exact"/>
              <w:rPr>
                <w:sz w:val="20"/>
                <w:szCs w:val="20"/>
                <w:color w:val="auto"/>
              </w:rPr>
            </w:pPr>
            <w:r>
              <w:rPr>
                <w:rFonts w:ascii="Arial" w:cs="Arial" w:eastAsia="Arial" w:hAnsi="Arial"/>
                <w:sz w:val="11"/>
                <w:szCs w:val="11"/>
                <w:b w:val="1"/>
                <w:bCs w:val="1"/>
                <w:color w:val="auto"/>
              </w:rPr>
              <w:t>Class C</w:t>
            </w:r>
          </w:p>
        </w:tc>
        <w:tc>
          <w:tcPr>
            <w:tcW w:w="800" w:type="dxa"/>
            <w:vAlign w:val="bottom"/>
            <w:gridSpan w:val="2"/>
            <w:vMerge w:val="continue"/>
          </w:tcPr>
          <w:p>
            <w:pPr>
              <w:spacing w:after="0"/>
              <w:rPr>
                <w:sz w:val="8"/>
                <w:szCs w:val="8"/>
                <w:color w:val="auto"/>
              </w:rPr>
            </w:pPr>
          </w:p>
        </w:tc>
        <w:tc>
          <w:tcPr>
            <w:tcW w:w="70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Class A</w:t>
            </w:r>
          </w:p>
        </w:tc>
        <w:tc>
          <w:tcPr>
            <w:tcW w:w="9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Percentage of</w:t>
            </w:r>
          </w:p>
        </w:tc>
        <w:tc>
          <w:tcPr>
            <w:tcW w:w="600" w:type="dxa"/>
            <w:vAlign w:val="bottom"/>
          </w:tcPr>
          <w:p>
            <w:pPr>
              <w:jc w:val="right"/>
              <w:ind w:right="66"/>
              <w:spacing w:after="0" w:line="102" w:lineRule="exact"/>
              <w:rPr>
                <w:sz w:val="20"/>
                <w:szCs w:val="20"/>
                <w:color w:val="auto"/>
              </w:rPr>
            </w:pPr>
            <w:r>
              <w:rPr>
                <w:rFonts w:ascii="Arial" w:cs="Arial" w:eastAsia="Arial" w:hAnsi="Arial"/>
                <w:sz w:val="11"/>
                <w:szCs w:val="11"/>
                <w:b w:val="1"/>
                <w:bCs w:val="1"/>
                <w:color w:val="auto"/>
              </w:rPr>
              <w:t>Class C</w:t>
            </w:r>
          </w:p>
        </w:tc>
        <w:tc>
          <w:tcPr>
            <w:tcW w:w="780" w:type="dxa"/>
            <w:vAlign w:val="bottom"/>
            <w:gridSpan w:val="2"/>
            <w:vMerge w:val="continue"/>
          </w:tcPr>
          <w:p>
            <w:pPr>
              <w:spacing w:after="0"/>
              <w:rPr>
                <w:sz w:val="8"/>
                <w:szCs w:val="8"/>
                <w:color w:val="auto"/>
              </w:rPr>
            </w:pPr>
          </w:p>
        </w:tc>
        <w:tc>
          <w:tcPr>
            <w:tcW w:w="560" w:type="dxa"/>
            <w:vAlign w:val="bottom"/>
          </w:tcPr>
          <w:p>
            <w:pPr>
              <w:jc w:val="right"/>
              <w:ind w:right="46"/>
              <w:spacing w:after="0" w:line="102" w:lineRule="exact"/>
              <w:rPr>
                <w:sz w:val="20"/>
                <w:szCs w:val="20"/>
                <w:color w:val="auto"/>
              </w:rPr>
            </w:pPr>
            <w:r>
              <w:rPr>
                <w:rFonts w:ascii="Arial" w:cs="Arial" w:eastAsia="Arial" w:hAnsi="Arial"/>
                <w:sz w:val="11"/>
                <w:szCs w:val="11"/>
                <w:b w:val="1"/>
                <w:bCs w:val="1"/>
                <w:color w:val="auto"/>
              </w:rPr>
              <w:t>Class A</w:t>
            </w:r>
          </w:p>
        </w:tc>
        <w:tc>
          <w:tcPr>
            <w:tcW w:w="420" w:type="dxa"/>
            <w:vAlign w:val="bottom"/>
            <w:gridSpan w:val="3"/>
            <w:vMerge w:val="restart"/>
          </w:tcPr>
          <w:p>
            <w:pPr>
              <w:jc w:val="right"/>
              <w:ind w:right="4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52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Class C</w:t>
            </w:r>
          </w:p>
        </w:tc>
        <w:tc>
          <w:tcPr>
            <w:tcW w:w="40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0"/>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Securityholders</w:t>
            </w:r>
          </w:p>
        </w:tc>
        <w:tc>
          <w:tcPr>
            <w:tcW w:w="80" w:type="dxa"/>
            <w:vAlign w:val="bottom"/>
          </w:tcPr>
          <w:p>
            <w:pPr>
              <w:spacing w:after="0"/>
              <w:rPr>
                <w:sz w:val="12"/>
                <w:szCs w:val="12"/>
                <w:color w:val="auto"/>
              </w:rPr>
            </w:pP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ADSs</w:t>
            </w:r>
          </w:p>
        </w:tc>
        <w:tc>
          <w:tcPr>
            <w:tcW w:w="78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Class A ADSs#</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ADSs</w:t>
            </w: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w w:val="82"/>
              </w:rPr>
              <w:t>Class B ADSs</w:t>
            </w:r>
          </w:p>
        </w:tc>
        <w:tc>
          <w:tcPr>
            <w:tcW w:w="8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ADSs</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Class C ADSs</w:t>
            </w: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ADSs</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Class A ADSs##</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Class C ADSs</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ADSs</w:t>
            </w:r>
          </w:p>
        </w:tc>
        <w:tc>
          <w:tcPr>
            <w:tcW w:w="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ADSs</w:t>
            </w: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Northpole GLY 1 LP</w:t>
            </w:r>
            <w:r>
              <w:rPr>
                <w:rFonts w:ascii="Arial" w:cs="Arial" w:eastAsia="Arial" w:hAnsi="Arial"/>
                <w:sz w:val="14"/>
                <w:szCs w:val="14"/>
                <w:color w:val="auto"/>
                <w:vertAlign w:val="superscript"/>
              </w:rPr>
              <w:t>(41)</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6,106,660</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7,891,875</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(42)</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GLY New Mobility 1. LP</w:t>
            </w:r>
            <w:r>
              <w:rPr>
                <w:rFonts w:ascii="Arial" w:cs="Arial" w:eastAsia="Arial" w:hAnsi="Arial"/>
                <w:sz w:val="14"/>
                <w:szCs w:val="14"/>
                <w:color w:val="auto"/>
                <w:vertAlign w:val="superscript"/>
              </w:rPr>
              <w:t>(43)</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12,106,514</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13,222,273</w:t>
            </w:r>
          </w:p>
        </w:tc>
        <w:tc>
          <w:tcPr>
            <w:tcW w:w="980" w:type="dxa"/>
            <w:vAlign w:val="bottom"/>
            <w:gridSpan w:val="2"/>
          </w:tcPr>
          <w:p>
            <w:pPr>
              <w:ind w:left="7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(44)</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6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w w:val="98"/>
              </w:rPr>
              <w:t>Zibo Financial Holding Group Co.</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shd w:val="clear" w:color="auto" w:fill="CCEEFF"/>
          </w:tcPr>
          <w:p>
            <w:pPr>
              <w:ind w:left="180"/>
              <w:spacing w:after="0" w:line="104" w:lineRule="exact"/>
              <w:rPr>
                <w:sz w:val="20"/>
                <w:szCs w:val="20"/>
                <w:color w:val="auto"/>
              </w:rPr>
            </w:pPr>
            <w:r>
              <w:rPr>
                <w:rFonts w:ascii="Arial" w:cs="Arial" w:eastAsia="Arial" w:hAnsi="Arial"/>
                <w:sz w:val="11"/>
                <w:szCs w:val="11"/>
                <w:color w:val="auto"/>
                <w:w w:val="81"/>
              </w:rPr>
              <w:t>Ltd. (</w:t>
            </w:r>
            <w:r>
              <w:rPr>
                <w:rFonts w:ascii="SimSun" w:cs="SimSun" w:eastAsia="SimSun" w:hAnsi="SimSun"/>
                <w:sz w:val="11"/>
                <w:szCs w:val="11"/>
                <w:color w:val="auto"/>
                <w:w w:val="81"/>
              </w:rPr>
              <w:t>淄博市财金控股集团有限 公司</w:t>
            </w:r>
            <w:r>
              <w:rPr>
                <w:rFonts w:ascii="Arial" w:cs="Arial" w:eastAsia="Arial" w:hAnsi="Arial"/>
                <w:sz w:val="11"/>
                <w:szCs w:val="11"/>
                <w:color w:val="auto"/>
                <w:w w:val="81"/>
              </w:rPr>
              <w:t>)</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19,129,693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20,691,756</w:t>
            </w: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(46)</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4"/>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7"/>
                <w:szCs w:val="7"/>
                <w:color w:val="auto"/>
              </w:rPr>
              <w:t>(45)</w:t>
            </w:r>
          </w:p>
        </w:tc>
        <w:tc>
          <w:tcPr>
            <w:tcW w:w="780" w:type="dxa"/>
            <w:vAlign w:val="bottom"/>
            <w:tcBorders>
              <w:bottom w:val="single" w:sz="8" w:color="CCEEFF"/>
            </w:tcBorders>
            <w:gridSpan w:val="2"/>
            <w:vMerge w:val="continue"/>
            <w:shd w:val="clear" w:color="auto" w:fill="CCEEFF"/>
          </w:tcPr>
          <w:p>
            <w:pPr>
              <w:spacing w:after="0"/>
              <w:rPr>
                <w:sz w:val="9"/>
                <w:szCs w:val="9"/>
                <w:color w:val="auto"/>
              </w:rPr>
            </w:pPr>
          </w:p>
        </w:tc>
        <w:tc>
          <w:tcPr>
            <w:tcW w:w="78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gridSpan w:val="2"/>
            <w:vMerge w:val="continue"/>
            <w:shd w:val="clear" w:color="auto" w:fill="CCEEFF"/>
          </w:tcPr>
          <w:p>
            <w:pPr>
              <w:spacing w:after="0"/>
              <w:rPr>
                <w:sz w:val="9"/>
                <w:szCs w:val="9"/>
                <w:color w:val="auto"/>
              </w:rPr>
            </w:pPr>
          </w:p>
        </w:tc>
        <w:tc>
          <w:tcPr>
            <w:tcW w:w="70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720" w:type="dxa"/>
            <w:vAlign w:val="bottom"/>
            <w:tcBorders>
              <w:bottom w:val="single" w:sz="8" w:color="auto"/>
            </w:tcBorders>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700" w:type="dxa"/>
            <w:vAlign w:val="bottom"/>
            <w:tcBorders>
              <w:bottom w:val="single" w:sz="8" w:color="CCEEFF"/>
            </w:tcBorders>
            <w:vMerge w:val="continue"/>
            <w:shd w:val="clear" w:color="auto" w:fill="CCEEFF"/>
          </w:tcPr>
          <w:p>
            <w:pPr>
              <w:spacing w:after="0"/>
              <w:rPr>
                <w:sz w:val="9"/>
                <w:szCs w:val="9"/>
                <w:color w:val="auto"/>
              </w:rPr>
            </w:pPr>
          </w:p>
        </w:tc>
        <w:tc>
          <w:tcPr>
            <w:tcW w:w="980" w:type="dxa"/>
            <w:vAlign w:val="bottom"/>
            <w:tcBorders>
              <w:bottom w:val="single" w:sz="8" w:color="CCEEFF"/>
            </w:tcBorders>
            <w:gridSpan w:val="2"/>
            <w:vMerge w:val="continue"/>
            <w:shd w:val="clear" w:color="auto" w:fill="CCEEFF"/>
          </w:tcPr>
          <w:p>
            <w:pPr>
              <w:spacing w:after="0"/>
              <w:rPr>
                <w:sz w:val="9"/>
                <w:szCs w:val="9"/>
                <w:color w:val="auto"/>
              </w:rPr>
            </w:pPr>
          </w:p>
        </w:tc>
        <w:tc>
          <w:tcPr>
            <w:tcW w:w="600" w:type="dxa"/>
            <w:vAlign w:val="bottom"/>
            <w:tcBorders>
              <w:bottom w:val="single" w:sz="8" w:color="CCEEFF"/>
            </w:tcBorders>
            <w:vMerge w:val="continue"/>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gridSpan w:val="2"/>
            <w:vMerge w:val="continue"/>
            <w:shd w:val="clear" w:color="auto" w:fill="CCEEFF"/>
          </w:tcPr>
          <w:p>
            <w:pPr>
              <w:spacing w:after="0"/>
              <w:rPr>
                <w:sz w:val="9"/>
                <w:szCs w:val="9"/>
                <w:color w:val="auto"/>
              </w:rPr>
            </w:pPr>
          </w:p>
        </w:tc>
        <w:tc>
          <w:tcPr>
            <w:tcW w:w="52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640" w:type="dxa"/>
            <w:vAlign w:val="bottom"/>
          </w:tcPr>
          <w:p>
            <w:pPr>
              <w:ind w:left="20"/>
              <w:spacing w:after="0" w:line="160" w:lineRule="exact"/>
              <w:rPr>
                <w:sz w:val="20"/>
                <w:szCs w:val="20"/>
                <w:color w:val="auto"/>
              </w:rPr>
            </w:pPr>
            <w:r>
              <w:rPr>
                <w:rFonts w:ascii="Arial" w:cs="Arial" w:eastAsia="Arial" w:hAnsi="Arial"/>
                <w:sz w:val="11"/>
                <w:szCs w:val="11"/>
                <w:color w:val="auto"/>
              </w:rPr>
              <w:t>PSD Investment Limited</w:t>
            </w:r>
            <w:r>
              <w:rPr>
                <w:rFonts w:ascii="Arial" w:cs="Arial" w:eastAsia="Arial" w:hAnsi="Arial"/>
                <w:sz w:val="14"/>
                <w:szCs w:val="14"/>
                <w:color w:val="auto"/>
                <w:vertAlign w:val="superscript"/>
              </w:rPr>
              <w:t>(47)</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828,013,737</w:t>
            </w:r>
          </w:p>
        </w:tc>
        <w:tc>
          <w:tcPr>
            <w:tcW w:w="780" w:type="dxa"/>
            <w:vAlign w:val="bottom"/>
          </w:tcPr>
          <w:p>
            <w:pPr>
              <w:jc w:val="right"/>
              <w:spacing w:after="0"/>
              <w:rPr>
                <w:sz w:val="20"/>
                <w:szCs w:val="20"/>
                <w:color w:val="auto"/>
              </w:rPr>
            </w:pPr>
            <w:r>
              <w:rPr>
                <w:rFonts w:ascii="Arial" w:cs="Arial" w:eastAsia="Arial" w:hAnsi="Arial"/>
                <w:sz w:val="11"/>
                <w:szCs w:val="11"/>
                <w:color w:val="auto"/>
              </w:rPr>
              <w:t>38.8 %</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828,013,737</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50.4 %</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895,626,403</w:t>
            </w: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 xml:space="preserve">39.1 % </w:t>
            </w:r>
            <w:r>
              <w:rPr>
                <w:rFonts w:ascii="Arial" w:cs="Arial" w:eastAsia="Arial" w:hAnsi="Arial"/>
                <w:sz w:val="7"/>
                <w:szCs w:val="7"/>
                <w:color w:val="auto"/>
              </w:rPr>
              <w:t>(48)</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6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Zibo High-Tech Industrial</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w w:val="87"/>
              </w:rPr>
              <w:t>Investment Co., Ltd. (</w:t>
            </w:r>
            <w:r>
              <w:rPr>
                <w:rFonts w:ascii="SimSun" w:cs="SimSun" w:eastAsia="SimSun" w:hAnsi="SimSun"/>
                <w:sz w:val="11"/>
                <w:szCs w:val="11"/>
                <w:color w:val="auto"/>
                <w:w w:val="87"/>
              </w:rPr>
              <w:t>淄博高新产业投</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19,129,693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20,691,756</w:t>
            </w: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(50)</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ind w:left="180"/>
              <w:spacing w:after="0" w:line="149" w:lineRule="exact"/>
              <w:rPr>
                <w:sz w:val="20"/>
                <w:szCs w:val="20"/>
                <w:color w:val="auto"/>
              </w:rPr>
            </w:pPr>
            <w:r>
              <w:rPr>
                <w:rFonts w:ascii="SimSun" w:cs="SimSun" w:eastAsia="SimSun" w:hAnsi="SimSun"/>
                <w:sz w:val="11"/>
                <w:szCs w:val="11"/>
                <w:color w:val="auto"/>
              </w:rPr>
              <w:t>资有限 公司</w:t>
            </w:r>
            <w:r>
              <w:rPr>
                <w:rFonts w:ascii="Arial" w:cs="Arial" w:eastAsia="Arial" w:hAnsi="Arial"/>
                <w:sz w:val="11"/>
                <w:szCs w:val="11"/>
                <w:color w:val="auto"/>
              </w:rPr>
              <w:t xml:space="preserve">) </w:t>
            </w:r>
            <w:r>
              <w:rPr>
                <w:rFonts w:ascii="Arial" w:cs="Arial" w:eastAsia="Arial" w:hAnsi="Arial"/>
                <w:sz w:val="14"/>
                <w:szCs w:val="14"/>
                <w:color w:val="auto"/>
                <w:vertAlign w:val="superscript"/>
              </w:rPr>
              <w:t>(49)</w:t>
            </w:r>
          </w:p>
        </w:tc>
        <w:tc>
          <w:tcPr>
            <w:tcW w:w="78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640" w:type="dxa"/>
            <w:vAlign w:val="bottom"/>
            <w:tcBorders>
              <w:top w:val="single" w:sz="8" w:color="CCEEFF"/>
            </w:tcBorders>
          </w:tcPr>
          <w:p>
            <w:pPr>
              <w:ind w:left="20"/>
              <w:spacing w:after="0" w:line="105" w:lineRule="exact"/>
              <w:rPr>
                <w:sz w:val="20"/>
                <w:szCs w:val="20"/>
                <w:color w:val="auto"/>
              </w:rPr>
            </w:pPr>
            <w:r>
              <w:rPr>
                <w:rFonts w:ascii="Arial" w:cs="Arial" w:eastAsia="Arial" w:hAnsi="Arial"/>
                <w:sz w:val="11"/>
                <w:szCs w:val="11"/>
                <w:color w:val="auto"/>
              </w:rPr>
              <w:t>Chongqing Chengxing Equity</w:t>
            </w:r>
          </w:p>
        </w:tc>
        <w:tc>
          <w:tcPr>
            <w:tcW w:w="8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tcPr>
          <w:p>
            <w:pPr>
              <w:spacing w:after="0"/>
              <w:rPr>
                <w:sz w:val="9"/>
                <w:szCs w:val="9"/>
                <w:color w:val="auto"/>
              </w:rPr>
            </w:pPr>
          </w:p>
        </w:tc>
        <w:tc>
          <w:tcPr>
            <w:tcW w:w="76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56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5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180"/>
              <w:spacing w:after="0" w:line="108" w:lineRule="exact"/>
              <w:rPr>
                <w:sz w:val="20"/>
                <w:szCs w:val="20"/>
                <w:color w:val="auto"/>
              </w:rPr>
            </w:pPr>
            <w:r>
              <w:rPr>
                <w:rFonts w:ascii="Arial" w:cs="Arial" w:eastAsia="Arial" w:hAnsi="Arial"/>
                <w:sz w:val="11"/>
                <w:szCs w:val="11"/>
                <w:color w:val="auto"/>
                <w:w w:val="90"/>
              </w:rPr>
              <w:t>Investment Fund Partnership (</w:t>
            </w:r>
            <w:r>
              <w:rPr>
                <w:rFonts w:ascii="SimSun" w:cs="SimSun" w:eastAsia="SimSun" w:hAnsi="SimSun"/>
                <w:sz w:val="11"/>
                <w:szCs w:val="11"/>
                <w:color w:val="auto"/>
                <w:w w:val="90"/>
              </w:rPr>
              <w:t>重</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ind w:left="180"/>
              <w:spacing w:after="0" w:line="105" w:lineRule="exact"/>
              <w:rPr>
                <w:sz w:val="20"/>
                <w:szCs w:val="20"/>
                <w:color w:val="auto"/>
              </w:rPr>
            </w:pPr>
            <w:r>
              <w:rPr>
                <w:rFonts w:ascii="SimSun" w:cs="SimSun" w:eastAsia="SimSun" w:hAnsi="SimSun"/>
                <w:sz w:val="11"/>
                <w:szCs w:val="11"/>
                <w:color w:val="auto"/>
                <w:w w:val="81"/>
              </w:rPr>
              <w:t>庆承星股权投资基金合伙企业有限合</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76,518,769</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3.6 %</w:t>
            </w: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82,767,020</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 xml:space="preserve">3.6 % </w:t>
            </w:r>
            <w:r>
              <w:rPr>
                <w:rFonts w:ascii="Arial" w:cs="Arial" w:eastAsia="Arial" w:hAnsi="Arial"/>
                <w:sz w:val="7"/>
                <w:szCs w:val="7"/>
                <w:color w:val="auto"/>
              </w:rPr>
              <w:t>(52)</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SimSun" w:cs="SimSun" w:eastAsia="SimSun" w:hAnsi="SimSun"/>
                <w:sz w:val="16"/>
                <w:szCs w:val="16"/>
                <w:color w:val="auto"/>
                <w:vertAlign w:val="subscript"/>
              </w:rPr>
              <w:t>伙</w:t>
            </w:r>
            <w:r>
              <w:rPr>
                <w:rFonts w:ascii="Arial" w:cs="Arial" w:eastAsia="Arial" w:hAnsi="Arial"/>
                <w:sz w:val="16"/>
                <w:szCs w:val="16"/>
                <w:color w:val="auto"/>
                <w:vertAlign w:val="subscript"/>
              </w:rPr>
              <w:t>)</w:t>
            </w:r>
            <w:r>
              <w:rPr>
                <w:rFonts w:ascii="Arial" w:cs="Arial" w:eastAsia="Arial" w:hAnsi="Arial"/>
                <w:sz w:val="6"/>
                <w:szCs w:val="6"/>
                <w:color w:val="auto"/>
              </w:rPr>
              <w:t>(51)</w:t>
            </w:r>
          </w:p>
        </w:tc>
        <w:tc>
          <w:tcPr>
            <w:tcW w:w="78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Oakwise Innovation Fund SPC-</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3,062,206</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tcBorders>
            <w:vMerge w:val="restart"/>
            <w:shd w:val="clear" w:color="auto" w:fill="CCEEFF"/>
          </w:tcPr>
          <w:p>
            <w:pPr>
              <w:spacing w:after="0"/>
              <w:rPr>
                <w:sz w:val="8"/>
                <w:szCs w:val="8"/>
                <w:color w:val="auto"/>
              </w:rPr>
            </w:pPr>
          </w:p>
        </w:tc>
        <w:tc>
          <w:tcPr>
            <w:tcW w:w="70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3,062,206</w:t>
            </w:r>
          </w:p>
        </w:tc>
        <w:tc>
          <w:tcPr>
            <w:tcW w:w="760" w:type="dxa"/>
            <w:vAlign w:val="bottom"/>
            <w:tcBorders>
              <w:top w:val="single" w:sz="8" w:color="auto"/>
            </w:tcBorders>
            <w:vMerge w:val="restart"/>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4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7"/>
                <w:szCs w:val="17"/>
                <w:color w:val="auto"/>
                <w:vertAlign w:val="subscript"/>
              </w:rPr>
              <w:t>SP5</w:t>
            </w:r>
            <w:r>
              <w:rPr>
                <w:rFonts w:ascii="Arial" w:cs="Arial" w:eastAsia="Arial" w:hAnsi="Arial"/>
                <w:sz w:val="6"/>
                <w:szCs w:val="6"/>
                <w:color w:val="auto"/>
              </w:rPr>
              <w:t>(53)</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40" w:type="dxa"/>
            <w:vAlign w:val="bottom"/>
          </w:tcPr>
          <w:p>
            <w:pPr>
              <w:ind w:left="20"/>
              <w:spacing w:after="0" w:line="102" w:lineRule="exact"/>
              <w:rPr>
                <w:sz w:val="20"/>
                <w:szCs w:val="20"/>
                <w:color w:val="auto"/>
              </w:rPr>
            </w:pPr>
            <w:r>
              <w:rPr>
                <w:rFonts w:ascii="Arial" w:cs="Arial" w:eastAsia="Arial" w:hAnsi="Arial"/>
                <w:sz w:val="11"/>
                <w:szCs w:val="11"/>
                <w:color w:val="auto"/>
                <w:w w:val="91"/>
              </w:rPr>
              <w:t>Oakwise Innovation Fund SPC-New</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765,551</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765,551</w:t>
            </w:r>
          </w:p>
        </w:tc>
        <w:tc>
          <w:tcPr>
            <w:tcW w:w="760" w:type="dxa"/>
            <w:vAlign w:val="bottom"/>
            <w:vMerge w:val="restart"/>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8"/>
                <w:szCs w:val="8"/>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640" w:type="dxa"/>
            <w:vAlign w:val="bottom"/>
          </w:tcPr>
          <w:p>
            <w:pPr>
              <w:ind w:left="180"/>
              <w:spacing w:after="0" w:line="149" w:lineRule="exact"/>
              <w:rPr>
                <w:sz w:val="20"/>
                <w:szCs w:val="20"/>
                <w:color w:val="auto"/>
              </w:rPr>
            </w:pPr>
            <w:r>
              <w:rPr>
                <w:rFonts w:ascii="Arial" w:cs="Arial" w:eastAsia="Arial" w:hAnsi="Arial"/>
                <w:sz w:val="11"/>
                <w:szCs w:val="11"/>
                <w:color w:val="auto"/>
              </w:rPr>
              <w:t>Technology SP</w:t>
            </w:r>
            <w:r>
              <w:rPr>
                <w:rFonts w:ascii="Arial" w:cs="Arial" w:eastAsia="Arial" w:hAnsi="Arial"/>
                <w:sz w:val="14"/>
                <w:szCs w:val="14"/>
                <w:color w:val="auto"/>
                <w:vertAlign w:val="superscript"/>
              </w:rPr>
              <w:t>(54)</w:t>
            </w:r>
          </w:p>
        </w:tc>
        <w:tc>
          <w:tcPr>
            <w:tcW w:w="780" w:type="dxa"/>
            <w:vAlign w:val="bottom"/>
            <w:gridSpan w:val="2"/>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B.W. Holding Limited</w:t>
            </w:r>
            <w:r>
              <w:rPr>
                <w:rFonts w:ascii="Arial" w:cs="Arial" w:eastAsia="Arial" w:hAnsi="Arial"/>
                <w:sz w:val="14"/>
                <w:szCs w:val="14"/>
                <w:color w:val="auto"/>
                <w:vertAlign w:val="superscript"/>
              </w:rPr>
              <w:t>(55)</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512,261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512,261</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Han Tongli</w:t>
            </w:r>
            <w:r>
              <w:rPr>
                <w:rFonts w:ascii="Arial" w:cs="Arial" w:eastAsia="Arial" w:hAnsi="Arial"/>
                <w:sz w:val="14"/>
                <w:szCs w:val="14"/>
                <w:color w:val="auto"/>
                <w:vertAlign w:val="superscript"/>
              </w:rPr>
              <w:t>(56)</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64,033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64,033</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Chi-Lan Janet Cheng</w:t>
            </w:r>
            <w:r>
              <w:rPr>
                <w:rFonts w:ascii="Arial" w:cs="Arial" w:eastAsia="Arial" w:hAnsi="Arial"/>
                <w:sz w:val="14"/>
                <w:szCs w:val="14"/>
                <w:color w:val="auto"/>
                <w:vertAlign w:val="superscript"/>
              </w:rPr>
              <w:t>(57)</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26,666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26,666</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Chai Shan Jovin Chim</w:t>
            </w:r>
            <w:r>
              <w:rPr>
                <w:rFonts w:ascii="Arial" w:cs="Arial" w:eastAsia="Arial" w:hAnsi="Arial"/>
                <w:sz w:val="14"/>
                <w:szCs w:val="14"/>
                <w:color w:val="auto"/>
                <w:vertAlign w:val="superscript"/>
              </w:rPr>
              <w:t>(58)</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399,995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399,995</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Jumpex Worldwide Limited</w:t>
            </w:r>
            <w:r>
              <w:rPr>
                <w:rFonts w:ascii="Arial" w:cs="Arial" w:eastAsia="Arial" w:hAnsi="Arial"/>
                <w:sz w:val="14"/>
                <w:szCs w:val="14"/>
                <w:color w:val="auto"/>
                <w:vertAlign w:val="superscript"/>
              </w:rPr>
              <w:t>(59)</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1,333,315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1,333,315</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KV Catalyst EV1 LLC</w:t>
            </w:r>
            <w:r>
              <w:rPr>
                <w:rFonts w:ascii="Arial" w:cs="Arial" w:eastAsia="Arial" w:hAnsi="Arial"/>
                <w:sz w:val="14"/>
                <w:szCs w:val="14"/>
                <w:color w:val="auto"/>
                <w:vertAlign w:val="superscript"/>
              </w:rPr>
              <w:t>(60)</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723,569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723,569</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1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Raffles Fund VCC – PoleStar</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6,021,633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6,021,633</w:t>
            </w:r>
          </w:p>
        </w:tc>
        <w:tc>
          <w:tcPr>
            <w:tcW w:w="760" w:type="dxa"/>
            <w:vAlign w:val="bottom"/>
            <w:vMerge w:val="restart"/>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7"/>
                <w:szCs w:val="17"/>
                <w:color w:val="auto"/>
                <w:vertAlign w:val="subscript"/>
              </w:rPr>
              <w:t>RFO</w:t>
            </w:r>
            <w:r>
              <w:rPr>
                <w:rFonts w:ascii="Arial" w:cs="Arial" w:eastAsia="Arial" w:hAnsi="Arial"/>
                <w:sz w:val="6"/>
                <w:szCs w:val="6"/>
                <w:color w:val="auto"/>
              </w:rPr>
              <w:t>(61)</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Hsin Tung Samuel Chou</w:t>
            </w:r>
            <w:r>
              <w:rPr>
                <w:rFonts w:ascii="Arial" w:cs="Arial" w:eastAsia="Arial" w:hAnsi="Arial"/>
                <w:sz w:val="14"/>
                <w:szCs w:val="14"/>
                <w:color w:val="auto"/>
                <w:vertAlign w:val="superscript"/>
              </w:rPr>
              <w:t>(62)</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533,326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533,326</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Sky Ever Best Limited</w:t>
            </w:r>
            <w:r>
              <w:rPr>
                <w:rFonts w:ascii="Arial" w:cs="Arial" w:eastAsia="Arial" w:hAnsi="Arial"/>
                <w:sz w:val="14"/>
                <w:szCs w:val="14"/>
                <w:color w:val="auto"/>
                <w:vertAlign w:val="superscript"/>
              </w:rPr>
              <w:t>(63)</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1,283,359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1,283,359</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640" w:type="dxa"/>
            <w:vAlign w:val="bottom"/>
          </w:tcPr>
          <w:p>
            <w:pPr>
              <w:ind w:left="20"/>
              <w:spacing w:after="0" w:line="102" w:lineRule="exact"/>
              <w:rPr>
                <w:sz w:val="20"/>
                <w:szCs w:val="20"/>
                <w:color w:val="auto"/>
              </w:rPr>
            </w:pPr>
            <w:r>
              <w:rPr>
                <w:rFonts w:ascii="Arial" w:cs="Arial" w:eastAsia="Arial" w:hAnsi="Arial"/>
                <w:sz w:val="11"/>
                <w:szCs w:val="11"/>
                <w:color w:val="auto"/>
              </w:rPr>
              <w:t>Synergis Capital China Venture</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512,261</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512,261</w:t>
            </w:r>
          </w:p>
        </w:tc>
        <w:tc>
          <w:tcPr>
            <w:tcW w:w="760" w:type="dxa"/>
            <w:vAlign w:val="bottom"/>
            <w:vMerge w:val="restart"/>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8"/>
                <w:szCs w:val="8"/>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640" w:type="dxa"/>
            <w:vAlign w:val="bottom"/>
          </w:tcPr>
          <w:p>
            <w:pPr>
              <w:ind w:left="180"/>
              <w:spacing w:after="0" w:line="149" w:lineRule="exact"/>
              <w:rPr>
                <w:sz w:val="20"/>
                <w:szCs w:val="20"/>
                <w:color w:val="auto"/>
              </w:rPr>
            </w:pPr>
            <w:r>
              <w:rPr>
                <w:rFonts w:ascii="Arial" w:cs="Arial" w:eastAsia="Arial" w:hAnsi="Arial"/>
                <w:sz w:val="17"/>
                <w:szCs w:val="17"/>
                <w:color w:val="auto"/>
                <w:vertAlign w:val="subscript"/>
              </w:rPr>
              <w:t>Fund</w:t>
            </w:r>
            <w:r>
              <w:rPr>
                <w:rFonts w:ascii="Arial" w:cs="Arial" w:eastAsia="Arial" w:hAnsi="Arial"/>
                <w:sz w:val="6"/>
                <w:szCs w:val="6"/>
                <w:color w:val="auto"/>
              </w:rPr>
              <w:t>(64)</w:t>
            </w:r>
          </w:p>
        </w:tc>
        <w:tc>
          <w:tcPr>
            <w:tcW w:w="780" w:type="dxa"/>
            <w:vAlign w:val="bottom"/>
            <w:gridSpan w:val="2"/>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Talent Desire Limited</w:t>
            </w:r>
            <w:r>
              <w:rPr>
                <w:rFonts w:ascii="Arial" w:cs="Arial" w:eastAsia="Arial" w:hAnsi="Arial"/>
                <w:sz w:val="14"/>
                <w:szCs w:val="14"/>
                <w:color w:val="auto"/>
                <w:vertAlign w:val="superscript"/>
              </w:rPr>
              <w:t>(65)</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517,672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517,672</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James John McCarvill Jr</w:t>
            </w:r>
            <w:r>
              <w:rPr>
                <w:rFonts w:ascii="Arial" w:cs="Arial" w:eastAsia="Arial" w:hAnsi="Arial"/>
                <w:sz w:val="14"/>
                <w:szCs w:val="14"/>
                <w:color w:val="auto"/>
                <w:vertAlign w:val="superscript"/>
              </w:rPr>
              <w:t>(66)</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8,370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8,370</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Lawrence Seah</w:t>
            </w:r>
            <w:r>
              <w:rPr>
                <w:rFonts w:ascii="Arial" w:cs="Arial" w:eastAsia="Arial" w:hAnsi="Arial"/>
                <w:sz w:val="14"/>
                <w:szCs w:val="14"/>
                <w:color w:val="auto"/>
                <w:vertAlign w:val="superscript"/>
              </w:rPr>
              <w:t>(67)</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41,851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41,851</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Ma Weiying</w:t>
            </w:r>
            <w:r>
              <w:rPr>
                <w:rFonts w:ascii="Arial" w:cs="Arial" w:eastAsia="Arial" w:hAnsi="Arial"/>
                <w:sz w:val="14"/>
                <w:szCs w:val="14"/>
                <w:color w:val="auto"/>
                <w:vertAlign w:val="superscript"/>
              </w:rPr>
              <w:t>(68)</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251,110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251,110</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Raffles Fund SPC – GX Equity</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418,516</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418,516</w:t>
            </w:r>
          </w:p>
        </w:tc>
        <w:tc>
          <w:tcPr>
            <w:tcW w:w="760" w:type="dxa"/>
            <w:vAlign w:val="bottom"/>
            <w:vMerge w:val="restart"/>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4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7"/>
                <w:szCs w:val="17"/>
                <w:color w:val="auto"/>
                <w:vertAlign w:val="subscript"/>
              </w:rPr>
              <w:t>SP</w:t>
            </w:r>
            <w:r>
              <w:rPr>
                <w:rFonts w:ascii="Arial" w:cs="Arial" w:eastAsia="Arial" w:hAnsi="Arial"/>
                <w:sz w:val="6"/>
                <w:szCs w:val="6"/>
                <w:color w:val="auto"/>
              </w:rPr>
              <w:t>(69)</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40" w:type="dxa"/>
            <w:vAlign w:val="bottom"/>
          </w:tcPr>
          <w:p>
            <w:pPr>
              <w:ind w:left="20"/>
              <w:spacing w:after="0" w:line="102" w:lineRule="exact"/>
              <w:rPr>
                <w:sz w:val="20"/>
                <w:szCs w:val="20"/>
                <w:color w:val="auto"/>
              </w:rPr>
            </w:pPr>
            <w:r>
              <w:rPr>
                <w:rFonts w:ascii="Arial" w:cs="Arial" w:eastAsia="Arial" w:hAnsi="Arial"/>
                <w:sz w:val="11"/>
                <w:szCs w:val="11"/>
                <w:color w:val="auto"/>
              </w:rPr>
              <w:t>Saxo Capital Markets HK</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224,122</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224,122</w:t>
            </w:r>
          </w:p>
        </w:tc>
        <w:tc>
          <w:tcPr>
            <w:tcW w:w="760" w:type="dxa"/>
            <w:vAlign w:val="bottom"/>
            <w:vMerge w:val="restart"/>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8"/>
                <w:szCs w:val="8"/>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640" w:type="dxa"/>
            <w:vAlign w:val="bottom"/>
          </w:tcPr>
          <w:p>
            <w:pPr>
              <w:ind w:left="180"/>
              <w:spacing w:after="0" w:line="149" w:lineRule="exact"/>
              <w:rPr>
                <w:sz w:val="20"/>
                <w:szCs w:val="20"/>
                <w:color w:val="auto"/>
              </w:rPr>
            </w:pPr>
            <w:r>
              <w:rPr>
                <w:rFonts w:ascii="Arial" w:cs="Arial" w:eastAsia="Arial" w:hAnsi="Arial"/>
                <w:sz w:val="11"/>
                <w:szCs w:val="11"/>
                <w:color w:val="auto"/>
              </w:rPr>
              <w:t>Limited</w:t>
            </w:r>
            <w:r>
              <w:rPr>
                <w:rFonts w:ascii="Arial" w:cs="Arial" w:eastAsia="Arial" w:hAnsi="Arial"/>
                <w:sz w:val="14"/>
                <w:szCs w:val="14"/>
                <w:color w:val="auto"/>
                <w:vertAlign w:val="superscript"/>
              </w:rPr>
              <w:t>(70)</w:t>
            </w:r>
          </w:p>
        </w:tc>
        <w:tc>
          <w:tcPr>
            <w:tcW w:w="780" w:type="dxa"/>
            <w:vAlign w:val="bottom"/>
            <w:gridSpan w:val="2"/>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w w:val="96"/>
              </w:rPr>
              <w:t>Saxo Capital Markets Pte. Ltd.</w:t>
            </w:r>
            <w:r>
              <w:rPr>
                <w:rFonts w:ascii="Arial" w:cs="Arial" w:eastAsia="Arial" w:hAnsi="Arial"/>
                <w:sz w:val="14"/>
                <w:szCs w:val="14"/>
                <w:color w:val="auto"/>
                <w:w w:val="96"/>
                <w:vertAlign w:val="superscript"/>
              </w:rPr>
              <w:t>(71)</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758,900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758,900</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Shinhan Securities Co., Ltd.</w:t>
            </w:r>
            <w:r>
              <w:rPr>
                <w:rFonts w:ascii="Arial" w:cs="Arial" w:eastAsia="Arial" w:hAnsi="Arial"/>
                <w:sz w:val="14"/>
                <w:szCs w:val="14"/>
                <w:color w:val="auto"/>
                <w:vertAlign w:val="superscript"/>
              </w:rPr>
              <w:t>(72)</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309,702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309,702</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Skyviews Investments AG</w:t>
            </w:r>
            <w:r>
              <w:rPr>
                <w:rFonts w:ascii="Arial" w:cs="Arial" w:eastAsia="Arial" w:hAnsi="Arial"/>
                <w:sz w:val="14"/>
                <w:szCs w:val="14"/>
                <w:color w:val="auto"/>
                <w:vertAlign w:val="superscript"/>
              </w:rPr>
              <w:t>(73)</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20,926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20,926</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w w:val="93"/>
              </w:rPr>
              <w:t>Union Bancaire Privee Ref: 928</w:t>
            </w:r>
            <w:r>
              <w:rPr>
                <w:rFonts w:ascii="Arial" w:cs="Arial" w:eastAsia="Arial" w:hAnsi="Arial"/>
                <w:sz w:val="14"/>
                <w:szCs w:val="14"/>
                <w:color w:val="auto"/>
                <w:w w:val="93"/>
                <w:vertAlign w:val="superscript"/>
              </w:rPr>
              <w:t>(74)</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20,926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20,926</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Additional Selling</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984,866</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111,549</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984,866</w:t>
            </w:r>
          </w:p>
        </w:tc>
        <w:tc>
          <w:tcPr>
            <w:tcW w:w="760" w:type="dxa"/>
            <w:vAlign w:val="bottom"/>
            <w:vMerge w:val="restart"/>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Securityholders</w:t>
            </w:r>
            <w:r>
              <w:rPr>
                <w:rFonts w:ascii="Arial" w:cs="Arial" w:eastAsia="Arial" w:hAnsi="Arial"/>
                <w:sz w:val="14"/>
                <w:szCs w:val="14"/>
                <w:color w:val="auto"/>
                <w:vertAlign w:val="superscript"/>
              </w:rPr>
              <w:t>(75)</w:t>
            </w:r>
          </w:p>
        </w:tc>
        <w:tc>
          <w:tcPr>
            <w:tcW w:w="7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40" w:type="dxa"/>
            <w:vAlign w:val="bottom"/>
          </w:tcPr>
          <w:p>
            <w:pPr>
              <w:ind w:left="20"/>
              <w:spacing w:after="0"/>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w w:val="99"/>
              </w:rPr>
              <w:t>2,058,550,551</w:t>
            </w:r>
          </w:p>
        </w:tc>
        <w:tc>
          <w:tcPr>
            <w:tcW w:w="780" w:type="dxa"/>
            <w:vAlign w:val="bottom"/>
          </w:tcPr>
          <w:p>
            <w:pPr>
              <w:jc w:val="right"/>
              <w:spacing w:after="0"/>
              <w:rPr>
                <w:sz w:val="20"/>
                <w:szCs w:val="20"/>
                <w:color w:val="auto"/>
              </w:rPr>
            </w:pPr>
            <w:r>
              <w:rPr>
                <w:rFonts w:ascii="Arial" w:cs="Arial" w:eastAsia="Arial" w:hAnsi="Arial"/>
                <w:sz w:val="11"/>
                <w:szCs w:val="11"/>
                <w:color w:val="auto"/>
              </w:rPr>
              <w:t>96.4 %</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w w:val="99"/>
              </w:rPr>
              <w:t>1,642,233,575</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100 %</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9,000,000</w:t>
            </w:r>
          </w:p>
        </w:tc>
        <w:tc>
          <w:tcPr>
            <w:tcW w:w="720" w:type="dxa"/>
            <w:vAlign w:val="bottom"/>
          </w:tcPr>
          <w:p>
            <w:pPr>
              <w:jc w:val="right"/>
              <w:spacing w:after="0"/>
              <w:rPr>
                <w:sz w:val="20"/>
                <w:szCs w:val="20"/>
                <w:color w:val="auto"/>
              </w:rPr>
            </w:pPr>
            <w:r>
              <w:rPr>
                <w:rFonts w:ascii="Arial" w:cs="Arial" w:eastAsia="Arial" w:hAnsi="Arial"/>
                <w:sz w:val="11"/>
                <w:szCs w:val="11"/>
                <w:color w:val="auto"/>
              </w:rPr>
              <w:t>36.0 %</w:t>
            </w: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w w:val="88"/>
              </w:rPr>
              <w:t>2,212,977,609</w:t>
            </w:r>
          </w:p>
        </w:tc>
        <w:tc>
          <w:tcPr>
            <w:tcW w:w="760" w:type="dxa"/>
            <w:vAlign w:val="bottom"/>
          </w:tcPr>
          <w:p>
            <w:pPr>
              <w:jc w:val="right"/>
              <w:spacing w:after="0"/>
              <w:rPr>
                <w:sz w:val="20"/>
                <w:szCs w:val="20"/>
                <w:color w:val="auto"/>
              </w:rPr>
            </w:pPr>
            <w:r>
              <w:rPr>
                <w:rFonts w:ascii="Arial" w:cs="Arial" w:eastAsia="Arial" w:hAnsi="Arial"/>
                <w:sz w:val="11"/>
                <w:szCs w:val="11"/>
                <w:color w:val="auto"/>
              </w:rPr>
              <w:t>96.5 %</w:t>
            </w:r>
          </w:p>
        </w:tc>
        <w:tc>
          <w:tcPr>
            <w:tcW w:w="2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9,000,000</w:t>
            </w:r>
          </w:p>
        </w:tc>
        <w:tc>
          <w:tcPr>
            <w:tcW w:w="700" w:type="dxa"/>
            <w:vAlign w:val="bottom"/>
          </w:tcPr>
          <w:p>
            <w:pPr>
              <w:jc w:val="right"/>
              <w:spacing w:after="0"/>
              <w:rPr>
                <w:sz w:val="20"/>
                <w:szCs w:val="20"/>
                <w:color w:val="auto"/>
              </w:rPr>
            </w:pPr>
            <w:r>
              <w:rPr>
                <w:rFonts w:ascii="Arial" w:cs="Arial" w:eastAsia="Arial" w:hAnsi="Arial"/>
                <w:sz w:val="11"/>
                <w:szCs w:val="11"/>
                <w:color w:val="auto"/>
              </w:rPr>
              <w:t>36.0 %</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4,250,551</w:t>
            </w:r>
          </w:p>
        </w:tc>
        <w:tc>
          <w:tcPr>
            <w:tcW w:w="4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less than one percent</w:t>
      </w: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Based on 2,135,147,788 Class A ADSs, which is assuming the conversion of all currently issued and outstanding Class B ADSs and Class C ADSs into Class A ADSs</w:t>
      </w:r>
    </w:p>
    <w:p>
      <w:pPr>
        <w:spacing w:after="0" w:line="15"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Based on 2,293,325,397 Class A ADSs, which is assuming the conversion of all currently issued and outstanding Class B ADSs and Class C ADSs into Class A ADSs, as well as the issuance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of all Earn Out Class A Shares and Earn Out Class B Shares</w:t>
      </w:r>
    </w:p>
    <w:p>
      <w:pPr>
        <w:spacing w:after="0" w:line="6" w:lineRule="exact"/>
        <w:rPr>
          <w:sz w:val="20"/>
          <w:szCs w:val="20"/>
          <w:color w:val="auto"/>
        </w:rPr>
      </w:pPr>
    </w:p>
    <w:p>
      <w:pPr>
        <w:ind w:left="340" w:right="120" w:hanging="332"/>
        <w:spacing w:after="0" w:line="266"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8" w:name="page59"/>
    <w:bookmarkEnd w:id="58"/>
    <w:p>
      <w:pPr>
        <w:ind w:left="332" w:right="80" w:hanging="332"/>
        <w:spacing w:after="0" w:line="259" w:lineRule="auto"/>
        <w:tabs>
          <w:tab w:leader="none" w:pos="3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4,039,701 Class A ADSs issuable upon the conversion of certain Class C-1 ADSs.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ind w:left="332" w:right="80" w:hanging="332"/>
        <w:spacing w:after="0" w:line="258" w:lineRule="auto"/>
        <w:tabs>
          <w:tab w:leader="none" w:pos="3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w:t>
      </w:r>
    </w:p>
    <w:p>
      <w:pPr>
        <w:spacing w:after="0" w:line="1" w:lineRule="exact"/>
        <w:rPr>
          <w:rFonts w:ascii="Arial" w:cs="Arial" w:eastAsia="Arial" w:hAnsi="Arial"/>
          <w:sz w:val="14"/>
          <w:szCs w:val="14"/>
          <w:color w:val="auto"/>
        </w:rPr>
      </w:pPr>
    </w:p>
    <w:p>
      <w:pPr>
        <w:ind w:left="332" w:hanging="332"/>
        <w:spacing w:after="0" w:line="298" w:lineRule="auto"/>
        <w:tabs>
          <w:tab w:leader="none" w:pos="3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92"/>
          </w:cols>
          <w:pgMar w:left="328" w:top="1417" w:right="379" w:bottom="1440" w:gutter="0" w:footer="0" w:header="0"/>
        </w:sectPr>
      </w:pPr>
    </w:p>
    <w:bookmarkStart w:id="59" w:name="page60"/>
    <w:bookmarkEnd w:id="59"/>
    <w:p>
      <w:pPr>
        <w:ind w:left="332"/>
        <w:spacing w:after="0"/>
        <w:rPr>
          <w:sz w:val="20"/>
          <w:szCs w:val="20"/>
          <w:color w:val="auto"/>
        </w:rPr>
      </w:pPr>
      <w:r>
        <w:rPr>
          <w:rFonts w:ascii="Arial" w:cs="Arial" w:eastAsia="Arial" w:hAnsi="Arial"/>
          <w:sz w:val="14"/>
          <w:szCs w:val="14"/>
          <w:color w:val="auto"/>
        </w:rPr>
        <w:t>therein, directly or indirectly. The business address of this Selling Securityholder is Klara Sodra Kyrkogata 18, 11388 Stockholm, Sweden.</w:t>
      </w:r>
    </w:p>
    <w:p>
      <w:pPr>
        <w:spacing w:after="0" w:line="21" w:lineRule="exact"/>
        <w:rPr>
          <w:sz w:val="20"/>
          <w:szCs w:val="20"/>
          <w:color w:val="auto"/>
        </w:rPr>
      </w:pPr>
    </w:p>
    <w:p>
      <w:pPr>
        <w:ind w:left="332" w:right="320" w:hanging="332"/>
        <w:spacing w:after="0" w:line="276"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1,925,192 Class A ADSs purchased pursuant to a PIPE Subscription Agreement and 3,919,561 Class A ADSs that were purchased in the open market.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w:t>
      </w:r>
    </w:p>
    <w:p>
      <w:pPr>
        <w:ind w:left="332" w:right="240" w:hanging="332"/>
        <w:spacing w:after="0" w:line="261"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100,000 Class A ADSs issued upon the conversion of certain shares of GGI Class F Common Stock. Charles Pacheco is a Member of Gores Guggenheim Sponsor, LLC. The business address of this Selling Securityholder is 170 N Normandie Ave, Los Angeles, CA 90004.</w:t>
      </w:r>
    </w:p>
    <w:p>
      <w:pPr>
        <w:ind w:left="332" w:right="20" w:hanging="332"/>
        <w:spacing w:after="0" w:line="274"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w:t>
      </w:r>
    </w:p>
    <w:p>
      <w:pPr>
        <w:ind w:left="332" w:right="40" w:hanging="332"/>
        <w:spacing w:after="0" w:line="277"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 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w:t>
      </w:r>
    </w:p>
    <w:p>
      <w:pPr>
        <w:spacing w:after="0" w:line="1" w:lineRule="exact"/>
        <w:rPr>
          <w:rFonts w:ascii="Arial" w:cs="Arial" w:eastAsia="Arial" w:hAnsi="Arial"/>
          <w:sz w:val="13"/>
          <w:szCs w:val="13"/>
          <w:color w:val="auto"/>
        </w:rPr>
      </w:pPr>
    </w:p>
    <w:p>
      <w:pPr>
        <w:ind w:left="332" w:hanging="332"/>
        <w:spacing w:after="0" w:line="256"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3,129,202 Class A ADSs acquired in connection with the conversion of certain convertible notes of Former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w:t>
      </w:r>
    </w:p>
    <w:p>
      <w:pPr>
        <w:spacing w:after="0" w:line="1" w:lineRule="exact"/>
        <w:rPr>
          <w:rFonts w:ascii="Arial" w:cs="Arial" w:eastAsia="Arial" w:hAnsi="Arial"/>
          <w:sz w:val="14"/>
          <w:szCs w:val="14"/>
          <w:color w:val="auto"/>
        </w:rPr>
      </w:pPr>
    </w:p>
    <w:p>
      <w:pPr>
        <w:ind w:left="332" w:right="80" w:hanging="332"/>
        <w:spacing w:after="0" w:line="261"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150,949 Class A ADSs purchased pursuant to a PIPE Subscription Agreement and 112,500 Class A ADSs issuable upon the conversion of certain Class C-1 ADSs. The business address of this Selling Securityholder is 3130 N Harwood St Apt 1901, Dallas, TX 75201.</w:t>
      </w:r>
    </w:p>
    <w:p>
      <w:pPr>
        <w:ind w:left="332" w:right="120" w:hanging="332"/>
        <w:spacing w:after="0" w:line="255"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w:t>
      </w:r>
    </w:p>
    <w:p>
      <w:pPr>
        <w:ind w:left="332" w:right="100" w:hanging="332"/>
        <w:spacing w:after="0" w:line="257"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2" w:lineRule="exact"/>
        <w:rPr>
          <w:rFonts w:ascii="Arial" w:cs="Arial" w:eastAsia="Arial" w:hAnsi="Arial"/>
          <w:sz w:val="14"/>
          <w:szCs w:val="14"/>
          <w:color w:val="auto"/>
        </w:rPr>
      </w:pPr>
    </w:p>
    <w:p>
      <w:pPr>
        <w:ind w:left="332" w:right="100" w:hanging="332"/>
        <w:spacing w:after="0" w:line="265"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12"/>
          </w:cols>
          <w:pgMar w:left="328" w:top="1417" w:right="359" w:bottom="1440" w:gutter="0" w:footer="0" w:header="0"/>
        </w:sectPr>
      </w:pPr>
    </w:p>
    <w:bookmarkStart w:id="60" w:name="page61"/>
    <w:bookmarkEnd w:id="60"/>
    <w:p>
      <w:pPr>
        <w:ind w:left="332" w:right="80" w:hanging="332"/>
        <w:spacing w:after="0" w:line="259"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w:t>
      </w:r>
    </w:p>
    <w:p>
      <w:pPr>
        <w:ind w:left="332" w:right="160" w:hanging="332"/>
        <w:spacing w:after="0" w:line="258"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4,446,041 Class A ADSs issued upon the conversion of certain shares of GGI Class F Common Stock.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1" w:lineRule="exact"/>
        <w:rPr>
          <w:rFonts w:ascii="Arial" w:cs="Arial" w:eastAsia="Arial" w:hAnsi="Arial"/>
          <w:sz w:val="14"/>
          <w:szCs w:val="14"/>
          <w:color w:val="auto"/>
        </w:rPr>
      </w:pPr>
    </w:p>
    <w:p>
      <w:pPr>
        <w:ind w:left="332" w:right="20" w:hanging="332"/>
        <w:spacing w:after="0" w:line="279"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Consists of (i) 8,813,656 Class A ADSs issued upon the conversion of certain shares of GGI Class F Common Stock and (ii) 4,500,000 Class A ADSs issuable upon the conversion of certain Class C-1 ADSs. Andrew Rosenfield is the Sole Manager of such Selling Securityholder and, as such, may be deemed to be 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227 W. Monroe, Chicago, IL 60606.</w:t>
      </w:r>
    </w:p>
    <w:p>
      <w:pPr>
        <w:spacing w:after="0" w:line="1" w:lineRule="exact"/>
        <w:rPr>
          <w:rFonts w:ascii="Arial" w:cs="Arial" w:eastAsia="Arial" w:hAnsi="Arial"/>
          <w:sz w:val="13"/>
          <w:szCs w:val="13"/>
          <w:color w:val="auto"/>
        </w:rPr>
      </w:pPr>
    </w:p>
    <w:p>
      <w:pPr>
        <w:ind w:left="332" w:right="80" w:hanging="332"/>
        <w:spacing w:after="0" w:line="276"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Consists of (i) 4,524,468 Class A ADSs issued upon the conversion of certain shares of GGI Class F Common Stock and (ii) 925,158 Class A ADSs purchased pursuant to a PIPE Subscription Agreement. Gores PIPE,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each may have therein, directly or indirectly. The business address of this Selling Securityholder is 6260 Lookout Road, Boulder, CO 80301.</w:t>
      </w:r>
    </w:p>
    <w:p>
      <w:pPr>
        <w:ind w:left="332" w:right="280" w:hanging="332"/>
        <w:spacing w:after="0" w:line="255"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522,316 Class A ADSs purchased pursuant to a PIPE Subscription Agreement. The business address of this Selling Securityholder is 1 York St Suite 1900, Toronto, ON M5J 0B6.</w:t>
      </w:r>
    </w:p>
    <w:p>
      <w:pPr>
        <w:ind w:left="332" w:right="40" w:hanging="332"/>
        <w:spacing w:after="0" w:line="277"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Consists of 150,949 Class A ADSs purchased pursuant to a PIPE Subscription Agreement and 236,250 Class A ADSs issuable upon the conversion of certain Class C-1 ADSs. Mark Stone is the Chief Executive Officer of Gores Guggenheim, Inc. The business address of this Selling Securityholder is 1425 Brickell Ave, Apt 68A, Miami, FL 33131.</w:t>
      </w:r>
    </w:p>
    <w:p>
      <w:pPr>
        <w:ind w:left="332" w:right="200" w:hanging="332"/>
        <w:spacing w:after="0" w:line="256"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w:t>
      </w:r>
    </w:p>
    <w:p>
      <w:pPr>
        <w:spacing w:after="0" w:line="1" w:lineRule="exact"/>
        <w:rPr>
          <w:rFonts w:ascii="Arial" w:cs="Arial" w:eastAsia="Arial" w:hAnsi="Arial"/>
          <w:sz w:val="14"/>
          <w:szCs w:val="14"/>
          <w:color w:val="auto"/>
        </w:rPr>
      </w:pPr>
    </w:p>
    <w:p>
      <w:pPr>
        <w:ind w:left="332" w:hanging="332"/>
        <w:spacing w:after="0" w:line="258"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w:t>
      </w:r>
    </w:p>
    <w:p>
      <w:pPr>
        <w:spacing w:after="0" w:line="1" w:lineRule="exact"/>
        <w:rPr>
          <w:rFonts w:ascii="Arial" w:cs="Arial" w:eastAsia="Arial" w:hAnsi="Arial"/>
          <w:sz w:val="14"/>
          <w:szCs w:val="14"/>
          <w:color w:val="auto"/>
        </w:rPr>
      </w:pPr>
    </w:p>
    <w:p>
      <w:pPr>
        <w:ind w:left="332" w:right="40" w:hanging="332"/>
        <w:spacing w:after="0" w:line="259"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1" w:lineRule="exact"/>
        <w:rPr>
          <w:rFonts w:ascii="Arial" w:cs="Arial" w:eastAsia="Arial" w:hAnsi="Arial"/>
          <w:sz w:val="14"/>
          <w:szCs w:val="14"/>
          <w:color w:val="auto"/>
        </w:rPr>
      </w:pPr>
    </w:p>
    <w:p>
      <w:pPr>
        <w:jc w:val="both"/>
        <w:ind w:left="332" w:right="80" w:hanging="332"/>
        <w:spacing w:after="0" w:line="262"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32"/>
          </w:cols>
          <w:pgMar w:left="328" w:top="1417" w:right="339" w:bottom="1440" w:gutter="0" w:footer="0" w:header="0"/>
        </w:sectPr>
      </w:pPr>
    </w:p>
    <w:bookmarkStart w:id="61" w:name="page62"/>
    <w:bookmarkEnd w:id="61"/>
    <w:p>
      <w:pPr>
        <w:ind w:left="332" w:hanging="332"/>
        <w:spacing w:after="0" w:line="259"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ind w:left="332" w:hanging="332"/>
        <w:spacing w:after="0" w:line="258"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1" w:lineRule="exact"/>
        <w:rPr>
          <w:rFonts w:ascii="Arial" w:cs="Arial" w:eastAsia="Arial" w:hAnsi="Arial"/>
          <w:sz w:val="14"/>
          <w:szCs w:val="14"/>
          <w:color w:val="auto"/>
        </w:rPr>
      </w:pPr>
    </w:p>
    <w:p>
      <w:pPr>
        <w:ind w:left="332" w:hanging="332"/>
        <w:spacing w:after="0" w:line="279" w:lineRule="auto"/>
        <w:tabs>
          <w:tab w:leader="none" w:pos="332"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1" w:lineRule="exact"/>
        <w:rPr>
          <w:rFonts w:ascii="Arial" w:cs="Arial" w:eastAsia="Arial" w:hAnsi="Arial"/>
          <w:sz w:val="13"/>
          <w:szCs w:val="13"/>
          <w:color w:val="auto"/>
        </w:rPr>
      </w:pPr>
    </w:p>
    <w:p>
      <w:pPr>
        <w:ind w:left="332" w:hanging="332"/>
        <w:spacing w:after="0" w:line="277" w:lineRule="auto"/>
        <w:tabs>
          <w:tab w:leader="none" w:pos="332"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668,167 Class A ADSs acquired in connection with the conversion of certain convertible notes of Former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Geely Wanyuan is 100% owned by Beijing Geely Kaisheng International Investment Co., Ltd. (“Beijing Geely Kaisheng”), (v) Beijing Geely Kaisheng is 100% owned by Zhejiang Geely, and (vi) Geely is</w:t>
      </w:r>
    </w:p>
    <w:p>
      <w:pPr>
        <w:spacing w:after="0" w:line="1" w:lineRule="exact"/>
        <w:rPr>
          <w:rFonts w:ascii="Arial" w:cs="Arial" w:eastAsia="Arial" w:hAnsi="Arial"/>
          <w:sz w:val="13"/>
          <w:szCs w:val="13"/>
          <w:color w:val="auto"/>
        </w:rPr>
      </w:pPr>
    </w:p>
    <w:p>
      <w:pPr>
        <w:ind w:left="332" w:right="20"/>
        <w:spacing w:after="0" w:line="254" w:lineRule="auto"/>
        <w:rPr>
          <w:rFonts w:ascii="Arial" w:cs="Arial" w:eastAsia="Arial" w:hAnsi="Arial"/>
          <w:sz w:val="13"/>
          <w:szCs w:val="13"/>
          <w:color w:val="auto"/>
        </w:rPr>
      </w:pPr>
      <w:r>
        <w:rPr>
          <w:rFonts w:ascii="Arial" w:cs="Arial" w:eastAsia="Arial" w:hAnsi="Arial"/>
          <w:sz w:val="14"/>
          <w:szCs w:val="14"/>
          <w:color w:val="auto"/>
        </w:rPr>
        <w:t>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w:t>
      </w:r>
    </w:p>
    <w:p>
      <w:pPr>
        <w:spacing w:after="0" w:line="1" w:lineRule="exact"/>
        <w:rPr>
          <w:rFonts w:ascii="Arial" w:cs="Arial" w:eastAsia="Arial" w:hAnsi="Arial"/>
          <w:sz w:val="13"/>
          <w:szCs w:val="13"/>
          <w:color w:val="auto"/>
        </w:rPr>
      </w:pPr>
    </w:p>
    <w:p>
      <w:pPr>
        <w:ind w:left="332" w:right="460" w:hanging="332"/>
        <w:spacing w:after="0" w:line="261"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25,000 Class A ADSs issued upon the conversion of certain shares of GGI Class F Common Stock. The business address of this Selling Securityholder is 406 28th Street, Manhattan Beach, CA 90266.</w:t>
      </w:r>
    </w:p>
    <w:p>
      <w:pPr>
        <w:ind w:left="332" w:right="20" w:hanging="332"/>
        <w:spacing w:after="0" w:line="257"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2" w:lineRule="exact"/>
        <w:rPr>
          <w:rFonts w:ascii="Arial" w:cs="Arial" w:eastAsia="Arial" w:hAnsi="Arial"/>
          <w:sz w:val="14"/>
          <w:szCs w:val="14"/>
          <w:color w:val="auto"/>
        </w:rPr>
      </w:pPr>
    </w:p>
    <w:p>
      <w:pPr>
        <w:ind w:left="332" w:right="20" w:hanging="332"/>
        <w:spacing w:after="0" w:line="257"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2" w:lineRule="exact"/>
        <w:rPr>
          <w:rFonts w:ascii="Arial" w:cs="Arial" w:eastAsia="Arial" w:hAnsi="Arial"/>
          <w:sz w:val="14"/>
          <w:szCs w:val="14"/>
          <w:color w:val="auto"/>
        </w:rPr>
      </w:pPr>
    </w:p>
    <w:p>
      <w:pPr>
        <w:jc w:val="both"/>
        <w:ind w:left="332" w:right="20" w:hanging="332"/>
        <w:spacing w:after="0" w:line="262"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12"/>
          </w:cols>
          <w:pgMar w:left="328" w:top="1417" w:right="359" w:bottom="1440" w:gutter="0" w:footer="0" w:header="0"/>
        </w:sectPr>
      </w:pPr>
    </w:p>
    <w:bookmarkStart w:id="62" w:name="page63"/>
    <w:bookmarkEnd w:id="62"/>
    <w:p>
      <w:pPr>
        <w:ind w:left="332" w:right="420"/>
        <w:spacing w:after="0" w:line="266" w:lineRule="auto"/>
        <w:rPr>
          <w:sz w:val="20"/>
          <w:szCs w:val="20"/>
          <w:color w:val="auto"/>
        </w:rPr>
      </w:pPr>
      <w:r>
        <w:rPr>
          <w:rFonts w:ascii="Arial" w:cs="Arial" w:eastAsia="Arial" w:hAnsi="Arial"/>
          <w:sz w:val="14"/>
          <w:szCs w:val="14"/>
          <w:color w:val="auto"/>
        </w:rPr>
        <w:t>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1" w:lineRule="exact"/>
        <w:rPr>
          <w:sz w:val="20"/>
          <w:szCs w:val="20"/>
          <w:color w:val="auto"/>
        </w:rPr>
      </w:pPr>
    </w:p>
    <w:p>
      <w:pPr>
        <w:ind w:left="332" w:right="100" w:hanging="332"/>
        <w:spacing w:after="0" w:line="257"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2" w:lineRule="exact"/>
        <w:rPr>
          <w:rFonts w:ascii="Arial" w:cs="Arial" w:eastAsia="Arial" w:hAnsi="Arial"/>
          <w:sz w:val="14"/>
          <w:szCs w:val="14"/>
          <w:color w:val="auto"/>
        </w:rPr>
      </w:pPr>
    </w:p>
    <w:p>
      <w:pPr>
        <w:ind w:left="332" w:hanging="332"/>
        <w:spacing w:after="0"/>
        <w:tabs>
          <w:tab w:leader="none" w:pos="3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Consists of 887,937 Class A ADSs purchased pursuant to a PIPE Subscription Agreement. The business address of this Selling Securityholder is Derech Hashalom 53, Givatayim, Israel.</w:t>
      </w:r>
    </w:p>
    <w:p>
      <w:pPr>
        <w:spacing w:after="0" w:line="17" w:lineRule="exact"/>
        <w:rPr>
          <w:rFonts w:ascii="Arial" w:cs="Arial" w:eastAsia="Arial" w:hAnsi="Arial"/>
          <w:sz w:val="13"/>
          <w:szCs w:val="13"/>
          <w:color w:val="auto"/>
        </w:rPr>
      </w:pPr>
    </w:p>
    <w:p>
      <w:pPr>
        <w:ind w:left="332" w:right="20" w:hanging="332"/>
        <w:spacing w:after="0" w:line="277" w:lineRule="auto"/>
        <w:tabs>
          <w:tab w:leader="none" w:pos="3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Consists of (a) 58,882,610 Class A ADSs issued upon conversion of the Volvo Cars Preference Subscription Shares and 1,117,390 Class A ADSs issued to this Securityholder pursuant to the Volvo Cars PIPE Subscription Agreement, and (b) 958,792,462 Class A ADSs (including 814,219,838 Class A ADSs issuable to Snita assuming Snita elects to convert the 814,219,838 Class B ADSs it holds into Class A ADSs) and 814,219,838 Class B ADSs transferred to Snita in connection with the liquidation of Former Parent. (i) Snita is 100% owned by Volvo Car Corporation (“Volvo Cars”), (ii) Volvo Cars is 100% owned by Volvo Car AB (“VCAB”), (iii) VCAB is approximately 82% owned by Geely Sweden Holdings AB (“Geely Sweden”) and approximately 18% owned by stock exchange investors, (iv) Geely Sweden is 100% owned by Shanghai Geely, (v) Shanghai Geely is 60.96% owned by Beijing Geely Wanyuan and</w:t>
      </w:r>
    </w:p>
    <w:p>
      <w:pPr>
        <w:spacing w:after="0" w:line="1" w:lineRule="exact"/>
        <w:rPr>
          <w:rFonts w:ascii="Arial" w:cs="Arial" w:eastAsia="Arial" w:hAnsi="Arial"/>
          <w:sz w:val="13"/>
          <w:szCs w:val="13"/>
          <w:color w:val="auto"/>
        </w:rPr>
      </w:pPr>
    </w:p>
    <w:p>
      <w:pPr>
        <w:ind w:left="332" w:right="40"/>
        <w:spacing w:after="0" w:line="257" w:lineRule="auto"/>
        <w:rPr>
          <w:rFonts w:ascii="Arial" w:cs="Arial" w:eastAsia="Arial" w:hAnsi="Arial"/>
          <w:sz w:val="13"/>
          <w:szCs w:val="13"/>
          <w:color w:val="auto"/>
        </w:rPr>
      </w:pPr>
      <w:r>
        <w:rPr>
          <w:rFonts w:ascii="Arial" w:cs="Arial" w:eastAsia="Arial" w:hAnsi="Arial"/>
          <w:sz w:val="14"/>
          <w:szCs w:val="14"/>
          <w:color w:val="auto"/>
        </w:rPr>
        <w:t>39.04% owned by Geely, (vi) Beijing Geely Wanyuan is 100% owned by Beijing Geely Kaisheng, (vii) Beijing Geely Kaisheng is 100% owned by Geely, and (viii) Geely is 91.9% owned by Shufu Li. Since voting and dispositive decisions with respect to the securities held by Snita are ultimately made by Li Shufu, he is deemed to have beneficial ownership over the securities held by Snita. Li Shufu disclaims beneficial ownership of these securities except to the extent of any pecuniary interest therein. The business address of this Selling Securityholder is Stationsweg 2, Beesd, 4153 RD, Netherlands. The business address of Li Shufu is Room 303, Building 12, No. 980 Mingzhou Road, Xinqi Street, Beilun District, Ningbo, Zhejiang, China.</w:t>
      </w:r>
    </w:p>
    <w:p>
      <w:pPr>
        <w:spacing w:after="0" w:line="2" w:lineRule="exact"/>
        <w:rPr>
          <w:rFonts w:ascii="Arial" w:cs="Arial" w:eastAsia="Arial" w:hAnsi="Arial"/>
          <w:sz w:val="13"/>
          <w:szCs w:val="13"/>
          <w:color w:val="auto"/>
        </w:rPr>
      </w:pPr>
    </w:p>
    <w:p>
      <w:pPr>
        <w:ind w:left="332" w:right="100" w:hanging="332"/>
        <w:spacing w:after="0" w:line="257"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Assumes (i) the issuance of 66,486,305 Earn Out Class B Shares and 11,805,287 Earn Out Class A Shares to this Selling Securityholder and (ii) the conversion of all Class B ADSs held by this Selling Securityholder after such earn out share issuances to Class A ADSs.</w:t>
      </w:r>
    </w:p>
    <w:p>
      <w:pPr>
        <w:ind w:left="332" w:right="100" w:hanging="332"/>
        <w:spacing w:after="0" w:line="277" w:lineRule="auto"/>
        <w:tabs>
          <w:tab w:leader="none" w:pos="3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w:t>
      </w:r>
    </w:p>
    <w:p>
      <w:pPr>
        <w:ind w:left="332" w:hanging="332"/>
        <w:spacing w:after="0"/>
        <w:tabs>
          <w:tab w:leader="none" w:pos="3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Consists of 156,695 Class A ADSs purchased pursuant to a PIPE Subscription Agreement. The business address of this Selling Securityholder is Derech Hashalom 53, Givatayim, Israel.</w:t>
      </w:r>
    </w:p>
    <w:p>
      <w:pPr>
        <w:spacing w:after="0" w:line="20" w:lineRule="exact"/>
        <w:rPr>
          <w:rFonts w:ascii="Arial" w:cs="Arial" w:eastAsia="Arial" w:hAnsi="Arial"/>
          <w:sz w:val="13"/>
          <w:szCs w:val="13"/>
          <w:color w:val="auto"/>
        </w:rPr>
      </w:pPr>
    </w:p>
    <w:p>
      <w:pPr>
        <w:ind w:left="332" w:right="60" w:hanging="332"/>
        <w:spacing w:after="0" w:line="257"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261,159 Class A ADSs purchased pursuant to a PIPE Subscription Agreement and 330,990 Class A ADSs that were purchased in the open market.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w:t>
      </w:r>
    </w:p>
    <w:p>
      <w:pPr>
        <w:spacing w:after="0" w:line="2" w:lineRule="exact"/>
        <w:rPr>
          <w:rFonts w:ascii="Arial" w:cs="Arial" w:eastAsia="Arial" w:hAnsi="Arial"/>
          <w:sz w:val="14"/>
          <w:szCs w:val="14"/>
          <w:color w:val="auto"/>
        </w:rPr>
      </w:pPr>
    </w:p>
    <w:p>
      <w:pPr>
        <w:jc w:val="both"/>
        <w:ind w:left="332" w:right="80" w:hanging="332"/>
        <w:spacing w:after="0" w:line="305" w:lineRule="auto"/>
        <w:tabs>
          <w:tab w:leader="none" w:pos="332"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Consists of 12,223 Class A ADSs acquired in connection with the conversion of certain convertible notes of Former Parent and 500,000 Class A ADSs issued upon the conversion of certain shares of GGI Class F Common Stock.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w:t>
      </w:r>
    </w:p>
    <w:p>
      <w:pPr>
        <w:ind w:left="332"/>
        <w:spacing w:after="0"/>
        <w:rPr>
          <w:rFonts w:ascii="Arial" w:cs="Arial" w:eastAsia="Arial" w:hAnsi="Arial"/>
          <w:sz w:val="12"/>
          <w:szCs w:val="12"/>
          <w:color w:val="auto"/>
        </w:rPr>
      </w:pPr>
      <w:r>
        <w:rPr>
          <w:rFonts w:ascii="Arial" w:cs="Arial" w:eastAsia="Arial" w:hAnsi="Arial"/>
          <w:sz w:val="14"/>
          <w:szCs w:val="14"/>
          <w:color w:val="auto"/>
        </w:rPr>
        <w:t>Hrtica may have therein, directly or indirectly. The business address of this Selling Securityholder is 9255 W Sunset Blvd Ste 615, West Hollywood, CA 90069.</w:t>
      </w:r>
    </w:p>
    <w:p>
      <w:pPr>
        <w:spacing w:after="0" w:line="6" w:lineRule="exact"/>
        <w:rPr>
          <w:rFonts w:ascii="Arial" w:cs="Arial" w:eastAsia="Arial" w:hAnsi="Arial"/>
          <w:sz w:val="12"/>
          <w:szCs w:val="12"/>
          <w:color w:val="auto"/>
        </w:rPr>
      </w:pPr>
    </w:p>
    <w:p>
      <w:pPr>
        <w:ind w:left="332" w:hanging="332"/>
        <w:spacing w:after="0"/>
        <w:tabs>
          <w:tab w:leader="none" w:pos="332" w:val="left"/>
        </w:tabs>
        <w:numPr>
          <w:ilvl w:val="0"/>
          <w:numId w:val="43"/>
        </w:numPr>
        <w:rPr>
          <w:rFonts w:ascii="Arial" w:cs="Arial" w:eastAsia="Arial" w:hAnsi="Arial"/>
          <w:sz w:val="12"/>
          <w:szCs w:val="12"/>
          <w:color w:val="auto"/>
        </w:rPr>
      </w:pPr>
      <w:r>
        <w:rPr>
          <w:rFonts w:ascii="Arial" w:cs="Arial" w:eastAsia="Arial" w:hAnsi="Arial"/>
          <w:sz w:val="12"/>
          <w:szCs w:val="12"/>
          <w:color w:val="auto"/>
        </w:rPr>
        <w:t>Assumes the issuance of up to 500,000 Class A ADSs to this Selling Securityholder in exchange for the performance of marketing consulting services, as further described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32"/>
          </w:cols>
          <w:pgMar w:left="328" w:top="1417" w:right="339" w:bottom="1440" w:gutter="0" w:footer="0" w:header="0"/>
        </w:sectPr>
      </w:pPr>
    </w:p>
    <w:bookmarkStart w:id="63" w:name="page64"/>
    <w:bookmarkEnd w:id="63"/>
    <w:p>
      <w:pPr>
        <w:ind w:left="340" w:hanging="332"/>
        <w:spacing w:after="0" w:line="25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6,106,660 Class A ADSs issued to Northpole GLY 1 LP in connection with the liquidation of Former Parent and subsequent distribution of certain of Northpole GLY 1 LP’s holdings to its limited partners. Northpole GLY 1 LP is managed by Northpole GLY GPl, its General Partner. Geely Financials owns approximately 86.0% of GLy Capital Management Partners (Cayman) Limited, which controls Northpole GLY GPI. (i) Geely Financials is 100% owned by Geely Sweden, (ii) Geely Sweden is 100% owned by Shanghai Geely, (iii) Shanghai Geely is 60.96% owned by Beijing Geely Wanyuan and 39.04% owned by Geely, (iv) Beijing Geely Wanyuan is 100% owned by Beijing Geely Kaisheng, (v) Beijing Geely Kaisheng is 100% owned by Zhejiang Geely, and (vi) Geely is 91.9% owned by Shufu Li. Therefore, Shufu Li is deemed to have voting and dispositive power with respect to the Class A ADSs directly held by Northpole GLY 1 LP. Shufu Li disclaims any beneficial ownership of the securities reported by Northpole GLY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pacing w:after="0" w:line="4"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Assumes the issuance of 1,785,215 Earn Out Class A Shares to this Selling Securityholder.</w:t>
      </w:r>
    </w:p>
    <w:p>
      <w:pPr>
        <w:spacing w:after="0" w:line="9" w:lineRule="exact"/>
        <w:rPr>
          <w:rFonts w:ascii="Arial" w:cs="Arial" w:eastAsia="Arial" w:hAnsi="Arial"/>
          <w:sz w:val="14"/>
          <w:szCs w:val="14"/>
          <w:color w:val="auto"/>
        </w:rPr>
      </w:pPr>
    </w:p>
    <w:p>
      <w:pPr>
        <w:ind w:left="340" w:hanging="332"/>
        <w:spacing w:after="0" w:line="277"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Consists of 12,106,514 Class A ADSs issued to GLY New Mobility 1. LP in connection with the liquidation of Former Parent and subsequent distribution of certain of GLY New Mobility 1. LP’s holdings to its limited partners. GLY New Mobility 1. LP is managed by GLY New Mobility GPl, its General Partner. Geely Financials International Limited (“Geely Financials”) owns approximately 86.0% of GLy Capital Management Partners (Cayman) Limited, which controls GLY New Mobility GPl.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Geely Wanyuan is 100% owned by Beijing Geely Kaisheng International Investment Co., Ltd. (“Beijing Geely Kaisheng”), (v) Beijing Geely Kaisheng is 100% owned by Zhejiang Geely, and (vi) Geely is 91.9% owned by Shufu Li. Therefore, Shufu Li is deemed to have voting and dispositive power with respect to the Class A ADSs directly held by GLY New Mobility 1. LP. Shufu Li disclaims any beneficial ownership of the securities reported by GLY New Mobility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Assumes the issuance of 1,115,759 Earn Out Class A Shares to this Selling Securityholder.</w:t>
      </w:r>
    </w:p>
    <w:p>
      <w:pPr>
        <w:spacing w:after="0" w:line="9" w:lineRule="exact"/>
        <w:rPr>
          <w:rFonts w:ascii="Arial" w:cs="Arial" w:eastAsia="Arial" w:hAnsi="Arial"/>
          <w:sz w:val="14"/>
          <w:szCs w:val="14"/>
          <w:color w:val="auto"/>
        </w:rPr>
      </w:pPr>
    </w:p>
    <w:p>
      <w:pPr>
        <w:ind w:left="340" w:right="160" w:hanging="332"/>
        <w:spacing w:after="0" w:line="174" w:lineRule="exact"/>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19,129,693 Class A ADSs issued to Zibo Financial Holding Group Co. Ltd. (</w:t>
      </w:r>
      <w:r>
        <w:rPr>
          <w:rFonts w:ascii="SimSun" w:cs="SimSun" w:eastAsia="SimSun" w:hAnsi="SimSun"/>
          <w:sz w:val="14"/>
          <w:szCs w:val="14"/>
          <w:color w:val="auto"/>
        </w:rPr>
        <w:t>淄博市财金控股 集团有限公司</w:t>
      </w:r>
      <w:r>
        <w:rPr>
          <w:rFonts w:ascii="Arial" w:cs="Arial" w:eastAsia="Arial" w:hAnsi="Arial"/>
          <w:sz w:val="14"/>
          <w:szCs w:val="14"/>
          <w:color w:val="auto"/>
        </w:rPr>
        <w:t>) in connection with the liquidation of Former Parent. Zibo Financial Holding Group Co. Ltd. (</w:t>
      </w:r>
      <w:r>
        <w:rPr>
          <w:rFonts w:ascii="SimSun" w:cs="SimSun" w:eastAsia="SimSun" w:hAnsi="SimSun"/>
          <w:sz w:val="14"/>
          <w:szCs w:val="14"/>
          <w:color w:val="auto"/>
        </w:rPr>
        <w:t>淄博 市财金控股集团有限公司</w:t>
      </w:r>
      <w:r>
        <w:rPr>
          <w:rFonts w:ascii="Arial" w:cs="Arial" w:eastAsia="Arial" w:hAnsi="Arial"/>
          <w:sz w:val="14"/>
          <w:szCs w:val="14"/>
          <w:color w:val="auto"/>
        </w:rPr>
        <w:t>) is a wholly state-owned enterprise registered in China. Zibo Financial Holding Group Co. Ltd. (</w:t>
      </w:r>
      <w:r>
        <w:rPr>
          <w:rFonts w:ascii="SimSun" w:cs="SimSun" w:eastAsia="SimSun" w:hAnsi="SimSun"/>
          <w:sz w:val="14"/>
          <w:szCs w:val="14"/>
          <w:color w:val="auto"/>
        </w:rPr>
        <w:t>淄博市财金控股集团有限公司</w:t>
      </w:r>
      <w:r>
        <w:rPr>
          <w:rFonts w:ascii="Arial" w:cs="Arial" w:eastAsia="Arial" w:hAnsi="Arial"/>
          <w:sz w:val="14"/>
          <w:szCs w:val="14"/>
          <w:color w:val="auto"/>
        </w:rPr>
        <w:t>) has a board of directors of 3 members that makes voting and dispositive decisions with respect to the securities that it holds. The business address of this Selling Securityholder is 19/F Financial Building, No. 228 Renmin West Road, Zhangdian District, Zibo, China.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Assumes the issuance of 1,562,063 Earn Out Class A Shares to this Selling Securityholder.</w:t>
      </w:r>
    </w:p>
    <w:p>
      <w:pPr>
        <w:spacing w:after="0" w:line="9"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828,013,737 Class A ADSs (assuming PSD Investment Limited converts the 828,013,737 Class B ADSs it holds into Class A ADSs) and 828,013,737 Class B ADSs issued to PSD Investment Limited in connection with the liquidation of Former Parent. PSD Investment Limited is 100% owned by PSD Capital Limited (“PSD Capital”), and PSD Capital is 100% owned by Li Shufu. Since voting and dispositive decisions with respect to the securities held by PSD Investment Limited are ultimately made by Li Shufu, he is deemed to have beneficial ownership over the securities held by PSD Investment Limited. Li Shufu disclaims beneficial ownership of these securities except to the extent of any pecuniary interest therein. The business address of this Selling Securityholder is Craigmuir Chambers, Road Town, Tortola, VG 1110, British Virgin Islands. The business address of Li Shufu is Room 303, Building 12, No. 980 Mingzhou Road, Xinqi Street, Beilun District, Ningbo, Zhejiang, China.</w:t>
      </w:r>
    </w:p>
    <w:p>
      <w:pPr>
        <w:spacing w:after="0" w:line="1" w:lineRule="exact"/>
        <w:rPr>
          <w:rFonts w:ascii="Arial" w:cs="Arial" w:eastAsia="Arial" w:hAnsi="Arial"/>
          <w:sz w:val="14"/>
          <w:szCs w:val="14"/>
          <w:color w:val="auto"/>
        </w:rPr>
      </w:pPr>
    </w:p>
    <w:p>
      <w:pPr>
        <w:ind w:left="340" w:right="200" w:hanging="332"/>
        <w:spacing w:after="0" w:line="26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Assumes the issuance of 67,612,666 Earn Out Class B Shares to this Selling Securityholder and the conversion of all Class B ADSs held by this Selling Securityholder after such earn out share issuance to Class A ADSs.</w:t>
      </w:r>
    </w:p>
    <w:p>
      <w:pPr>
        <w:ind w:left="340" w:right="40" w:hanging="332"/>
        <w:spacing w:after="0" w:line="172" w:lineRule="exact"/>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19,129,693 Class A ADSs issued to Zibo High-tech Industrial Investment Co., Ltd. (</w:t>
      </w:r>
      <w:r>
        <w:rPr>
          <w:rFonts w:ascii="SimSun" w:cs="SimSun" w:eastAsia="SimSun" w:hAnsi="SimSun"/>
          <w:sz w:val="14"/>
          <w:szCs w:val="14"/>
          <w:color w:val="auto"/>
        </w:rPr>
        <w:t>淄博高新产业投资有限公司</w:t>
      </w:r>
      <w:r>
        <w:rPr>
          <w:rFonts w:ascii="Arial" w:cs="Arial" w:eastAsia="Arial" w:hAnsi="Arial"/>
          <w:sz w:val="14"/>
          <w:szCs w:val="14"/>
          <w:color w:val="auto"/>
        </w:rPr>
        <w:t>) in connection with the liquidation of Former Parent. Zibo High-tech State-owned Capital Investment Co., Ltd. (</w:t>
      </w:r>
      <w:r>
        <w:rPr>
          <w:rFonts w:ascii="SimSun" w:cs="SimSun" w:eastAsia="SimSun" w:hAnsi="SimSun"/>
          <w:sz w:val="14"/>
          <w:szCs w:val="14"/>
          <w:color w:val="auto"/>
        </w:rPr>
        <w:t>淄博高新国有资本投资有限公司</w:t>
      </w:r>
      <w:r>
        <w:rPr>
          <w:rFonts w:ascii="Arial" w:cs="Arial" w:eastAsia="Arial" w:hAnsi="Arial"/>
          <w:sz w:val="14"/>
          <w:szCs w:val="14"/>
          <w:color w:val="auto"/>
        </w:rPr>
        <w:t>) is the controlling shareholder of, and exert controlling influence over, Zibo High-tech Industrial Investment Co., Ltd. (</w:t>
      </w:r>
      <w:r>
        <w:rPr>
          <w:rFonts w:ascii="SimSun" w:cs="SimSun" w:eastAsia="SimSun" w:hAnsi="SimSun"/>
          <w:sz w:val="14"/>
          <w:szCs w:val="14"/>
          <w:color w:val="auto"/>
        </w:rPr>
        <w:t>淄博高新产业投资有限公司</w:t>
      </w:r>
      <w:r>
        <w:rPr>
          <w:rFonts w:ascii="Arial" w:cs="Arial" w:eastAsia="Arial" w:hAnsi="Arial"/>
          <w:sz w:val="14"/>
          <w:szCs w:val="14"/>
          <w:color w:val="auto"/>
        </w:rPr>
        <w:t>). Zibo High-tech State-owned Capital Investment Co., Ltd. (</w:t>
      </w:r>
      <w:r>
        <w:rPr>
          <w:rFonts w:ascii="SimSun" w:cs="SimSun" w:eastAsia="SimSun" w:hAnsi="SimSun"/>
          <w:sz w:val="14"/>
          <w:szCs w:val="14"/>
          <w:color w:val="auto"/>
        </w:rPr>
        <w:t>淄博高新国有资本投资有限公司</w:t>
      </w:r>
      <w:r>
        <w:rPr>
          <w:rFonts w:ascii="Arial" w:cs="Arial" w:eastAsia="Arial" w:hAnsi="Arial"/>
          <w:sz w:val="14"/>
          <w:szCs w:val="14"/>
          <w:color w:val="auto"/>
        </w:rPr>
        <w:t>) is a wholly state-owned enterprise registered in China and has a board of directors of 7 members that makes voting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17" w:right="339" w:bottom="1440" w:gutter="0" w:footer="0" w:header="0"/>
        </w:sectPr>
      </w:pPr>
    </w:p>
    <w:bookmarkStart w:id="64" w:name="page65"/>
    <w:bookmarkEnd w:id="64"/>
    <w:p>
      <w:pPr>
        <w:ind w:left="332" w:right="220"/>
        <w:spacing w:after="0" w:line="179" w:lineRule="exact"/>
        <w:rPr>
          <w:sz w:val="20"/>
          <w:szCs w:val="20"/>
          <w:color w:val="auto"/>
        </w:rPr>
      </w:pPr>
      <w:r>
        <w:rPr>
          <w:rFonts w:ascii="Arial" w:cs="Arial" w:eastAsia="Arial" w:hAnsi="Arial"/>
          <w:sz w:val="13"/>
          <w:szCs w:val="13"/>
          <w:color w:val="auto"/>
        </w:rPr>
        <w:t>dispositive decisions with respect to the securities that Zibo High-Tech Industrial Investment Co., Ltd. (</w:t>
      </w:r>
      <w:r>
        <w:rPr>
          <w:rFonts w:ascii="SimSun" w:cs="SimSun" w:eastAsia="SimSun" w:hAnsi="SimSun"/>
          <w:sz w:val="13"/>
          <w:szCs w:val="13"/>
          <w:color w:val="auto"/>
        </w:rPr>
        <w:t>淄 博高新产业投资有限公司</w:t>
      </w:r>
      <w:r>
        <w:rPr>
          <w:rFonts w:ascii="Arial" w:cs="Arial" w:eastAsia="Arial" w:hAnsi="Arial"/>
          <w:sz w:val="13"/>
          <w:szCs w:val="13"/>
          <w:color w:val="auto"/>
        </w:rPr>
        <w:t xml:space="preserve"> holds. The 7 directors include 4 executive directors and 3 independent Directors. The business address of this Selling Securityholder is No. 2007, Building A, Polymer Materials Park, No. 51 Lutai Avenue, High tech Zone, Zibo, China.</w:t>
      </w:r>
    </w:p>
    <w:p>
      <w:pPr>
        <w:spacing w:after="0" w:line="1" w:lineRule="exact"/>
        <w:rPr>
          <w:sz w:val="20"/>
          <w:szCs w:val="20"/>
          <w:color w:val="auto"/>
        </w:rPr>
      </w:pPr>
    </w:p>
    <w:p>
      <w:pPr>
        <w:ind w:left="332" w:hanging="332"/>
        <w:spacing w:after="0"/>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Assumes the issuance of 1,562,063 Earn Out Class A Shares to this Selling Securityholder.</w:t>
      </w:r>
    </w:p>
    <w:p>
      <w:pPr>
        <w:spacing w:after="0" w:line="6" w:lineRule="exact"/>
        <w:rPr>
          <w:rFonts w:ascii="Arial" w:cs="Arial" w:eastAsia="Arial" w:hAnsi="Arial"/>
          <w:sz w:val="14"/>
          <w:szCs w:val="14"/>
          <w:color w:val="auto"/>
        </w:rPr>
      </w:pPr>
    </w:p>
    <w:p>
      <w:pPr>
        <w:ind w:left="332" w:hanging="332"/>
        <w:spacing w:after="0" w:line="173" w:lineRule="exact"/>
        <w:tabs>
          <w:tab w:leader="none" w:pos="332"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Consists of 76,518,769 Class A ADSs issued to Chongqing Chengxing Equity Investment Fund Partnership (</w:t>
      </w:r>
      <w:r>
        <w:rPr>
          <w:rFonts w:ascii="SimSun" w:cs="SimSun" w:eastAsia="SimSun" w:hAnsi="SimSun"/>
          <w:sz w:val="13"/>
          <w:szCs w:val="13"/>
          <w:color w:val="auto"/>
        </w:rPr>
        <w:t>重庆承星股权投资基金合伙企业有限合伙</w:t>
      </w:r>
      <w:r>
        <w:rPr>
          <w:rFonts w:ascii="Arial" w:cs="Arial" w:eastAsia="Arial" w:hAnsi="Arial"/>
          <w:sz w:val="13"/>
          <w:szCs w:val="13"/>
          <w:color w:val="auto"/>
        </w:rPr>
        <w:t>) in connection with the liquidation of Former Parent. Pursuant to the partnership agreement of this Selling Securityholder, the business and affairs of Chongqing Chengxing Equity Investment Fund Partnership (</w:t>
      </w:r>
      <w:r>
        <w:rPr>
          <w:rFonts w:ascii="SimSun" w:cs="SimSun" w:eastAsia="SimSun" w:hAnsi="SimSun"/>
          <w:sz w:val="13"/>
          <w:szCs w:val="13"/>
          <w:color w:val="auto"/>
        </w:rPr>
        <w:t>重庆承星股权投资基金合伙企业有限合伙</w:t>
      </w:r>
      <w:r>
        <w:rPr>
          <w:rFonts w:ascii="Arial" w:cs="Arial" w:eastAsia="Arial" w:hAnsi="Arial"/>
          <w:sz w:val="13"/>
          <w:szCs w:val="13"/>
          <w:color w:val="auto"/>
        </w:rPr>
        <w:t>) shall be jointly determined by its general partner, Chongqing Chengyun Enterprise Management Co., Ltd. (</w:t>
      </w:r>
      <w:r>
        <w:rPr>
          <w:rFonts w:ascii="SimSun" w:cs="SimSun" w:eastAsia="SimSun" w:hAnsi="SimSun"/>
          <w:sz w:val="13"/>
          <w:szCs w:val="13"/>
          <w:color w:val="auto"/>
        </w:rPr>
        <w:t>重庆承 运企业管理有限公司</w:t>
      </w:r>
      <w:r>
        <w:rPr>
          <w:rFonts w:ascii="Arial" w:cs="Arial" w:eastAsia="Arial" w:hAnsi="Arial"/>
          <w:sz w:val="13"/>
          <w:szCs w:val="13"/>
          <w:color w:val="auto"/>
        </w:rPr>
        <w:t xml:space="preserve">) and its sole limited partner, Chongqing Liangjiang New Area Development &amp; Investment Group Co., Ltd. </w:t>
      </w:r>
      <w:r>
        <w:rPr>
          <w:rFonts w:ascii="SimSun" w:cs="SimSun" w:eastAsia="SimSun" w:hAnsi="SimSun"/>
          <w:sz w:val="13"/>
          <w:szCs w:val="13"/>
          <w:color w:val="auto"/>
        </w:rPr>
        <w:t>（重庆两江新区开发投资集团有限公司）</w:t>
      </w:r>
      <w:r>
        <w:rPr>
          <w:rFonts w:ascii="Arial" w:cs="Arial" w:eastAsia="Arial" w:hAnsi="Arial"/>
          <w:sz w:val="13"/>
          <w:szCs w:val="13"/>
          <w:color w:val="auto"/>
        </w:rPr>
        <w:t>. Chongqing Liangjiang Equity Investment Fund Management Co., Ltd. (</w:t>
      </w:r>
      <w:r>
        <w:rPr>
          <w:rFonts w:ascii="SimSun" w:cs="SimSun" w:eastAsia="SimSun" w:hAnsi="SimSun"/>
          <w:sz w:val="13"/>
          <w:szCs w:val="13"/>
          <w:color w:val="auto"/>
        </w:rPr>
        <w:t>重庆两江股权投资基金管理有限公司</w:t>
      </w:r>
      <w:r>
        <w:rPr>
          <w:rFonts w:ascii="Arial" w:cs="Arial" w:eastAsia="Arial" w:hAnsi="Arial"/>
          <w:sz w:val="13"/>
          <w:szCs w:val="13"/>
          <w:color w:val="auto"/>
        </w:rPr>
        <w:t>) is the controlling shareholder of, and exerts controlling influence over, Chongqing Chengyun Enterprise Management Co., Ltd. (</w:t>
      </w:r>
      <w:r>
        <w:rPr>
          <w:rFonts w:ascii="SimSun" w:cs="SimSun" w:eastAsia="SimSun" w:hAnsi="SimSun"/>
          <w:sz w:val="13"/>
          <w:szCs w:val="13"/>
          <w:color w:val="auto"/>
        </w:rPr>
        <w:t>重庆承运企业管理有限公司</w:t>
      </w:r>
      <w:r>
        <w:rPr>
          <w:rFonts w:ascii="Arial" w:cs="Arial" w:eastAsia="Arial" w:hAnsi="Arial"/>
          <w:sz w:val="13"/>
          <w:szCs w:val="13"/>
          <w:color w:val="auto"/>
        </w:rPr>
        <w:t>). Chongqing Liangjiang Equity Investment Fund Management Co., Ltd. (</w:t>
      </w:r>
      <w:r>
        <w:rPr>
          <w:rFonts w:ascii="SimSun" w:cs="SimSun" w:eastAsia="SimSun" w:hAnsi="SimSun"/>
          <w:sz w:val="13"/>
          <w:szCs w:val="13"/>
          <w:color w:val="auto"/>
        </w:rPr>
        <w:t>重庆两江股权投资基金管理有限公司</w:t>
      </w:r>
      <w:r>
        <w:rPr>
          <w:rFonts w:ascii="Arial" w:cs="Arial" w:eastAsia="Arial" w:hAnsi="Arial"/>
          <w:sz w:val="13"/>
          <w:szCs w:val="13"/>
          <w:color w:val="auto"/>
        </w:rPr>
        <w:t>) is a wholly state-owned enterprise registered in China. Chongqing Liangjiang Equity Investment Fund Management Co., Ltd. (</w:t>
      </w:r>
      <w:r>
        <w:rPr>
          <w:rFonts w:ascii="SimSun" w:cs="SimSun" w:eastAsia="SimSun" w:hAnsi="SimSun"/>
          <w:sz w:val="13"/>
          <w:szCs w:val="13"/>
          <w:color w:val="auto"/>
        </w:rPr>
        <w:t>重庆两江股权投资基金管理有限 公司</w:t>
      </w:r>
      <w:r>
        <w:rPr>
          <w:rFonts w:ascii="Arial" w:cs="Arial" w:eastAsia="Arial" w:hAnsi="Arial"/>
          <w:sz w:val="13"/>
          <w:szCs w:val="13"/>
          <w:color w:val="auto"/>
        </w:rPr>
        <w:t>) has a management committee of 3 members that makes voting and dispositive decisions with respect to the securities held by Chongqing Chengxing Equity Investment Fund Partnership (</w:t>
      </w:r>
      <w:r>
        <w:rPr>
          <w:rFonts w:ascii="SimSun" w:cs="SimSun" w:eastAsia="SimSun" w:hAnsi="SimSun"/>
          <w:sz w:val="13"/>
          <w:szCs w:val="13"/>
          <w:color w:val="auto"/>
        </w:rPr>
        <w:t>重庆承星股权投资 基金合伙企业有限合伙</w:t>
      </w:r>
      <w:r>
        <w:rPr>
          <w:rFonts w:ascii="Arial" w:cs="Arial" w:eastAsia="Arial" w:hAnsi="Arial"/>
          <w:sz w:val="13"/>
          <w:szCs w:val="13"/>
          <w:color w:val="auto"/>
        </w:rPr>
        <w:t>). Chongqing Liangjiang New Area Development &amp; Investment Group Co., Ltd. (</w:t>
      </w:r>
      <w:r>
        <w:rPr>
          <w:rFonts w:ascii="SimSun" w:cs="SimSun" w:eastAsia="SimSun" w:hAnsi="SimSun"/>
          <w:sz w:val="13"/>
          <w:szCs w:val="13"/>
          <w:color w:val="auto"/>
        </w:rPr>
        <w:t>重庆两江新区开发投资集团有限公司）</w:t>
      </w:r>
      <w:r>
        <w:rPr>
          <w:rFonts w:ascii="Arial" w:cs="Arial" w:eastAsia="Arial" w:hAnsi="Arial"/>
          <w:sz w:val="13"/>
          <w:szCs w:val="13"/>
          <w:color w:val="auto"/>
        </w:rPr>
        <w:t xml:space="preserve"> is a wholly state- owned enterprise registered in China and has a board of directors of 6 members that makes voting and dispositive decisions with respect to the securities held by Chongqing Chengxing Equity Investment Fund Partnership (</w:t>
      </w:r>
      <w:r>
        <w:rPr>
          <w:rFonts w:ascii="SimSun" w:cs="SimSun" w:eastAsia="SimSun" w:hAnsi="SimSun"/>
          <w:sz w:val="13"/>
          <w:szCs w:val="13"/>
          <w:color w:val="auto"/>
        </w:rPr>
        <w:t>重庆承星股权投资基金合伙企业有 限合伙</w:t>
      </w:r>
      <w:r>
        <w:rPr>
          <w:rFonts w:ascii="Arial" w:cs="Arial" w:eastAsia="Arial" w:hAnsi="Arial"/>
          <w:sz w:val="13"/>
          <w:szCs w:val="13"/>
          <w:color w:val="auto"/>
        </w:rPr>
        <w:t>). The business address of this Selling Securityholder is Floor 5, Block A, Xingguang Mansion, No. 1 Xingguang Avenue, Liangjiang New Area, Chongqing, China.</w:t>
      </w:r>
    </w:p>
    <w:p>
      <w:pPr>
        <w:ind w:left="332" w:hanging="332"/>
        <w:spacing w:after="0"/>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Assumes the issuance of 6,248,251 Earn Out Class A Shares to this Selling Securityholder.</w:t>
      </w:r>
    </w:p>
    <w:p>
      <w:pPr>
        <w:spacing w:after="0" w:line="14" w:lineRule="exact"/>
        <w:rPr>
          <w:rFonts w:ascii="Arial" w:cs="Arial" w:eastAsia="Arial" w:hAnsi="Arial"/>
          <w:sz w:val="14"/>
          <w:szCs w:val="14"/>
          <w:color w:val="auto"/>
        </w:rPr>
      </w:pPr>
    </w:p>
    <w:p>
      <w:pPr>
        <w:ind w:left="332" w:right="60" w:hanging="332"/>
        <w:spacing w:after="0" w:line="257"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3,062,206 Class A ADSs distributed by Northpole GLY 1 LP to Oakwise Innovation Fund SPC-SP5 in connection with the transfer of Northpole GLY 1 LP’s holdings in the Company. Oakwise Innovation Fund SPC-SP5 is managed by Oakwise Capital Management Limited, its investment manager. Fengyu Wang is the director of Oakwise Capital Management Limited and, as such, may be deemed to be 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w:t>
      </w:r>
    </w:p>
    <w:p>
      <w:pPr>
        <w:spacing w:after="0" w:line="2" w:lineRule="exact"/>
        <w:rPr>
          <w:rFonts w:ascii="Arial" w:cs="Arial" w:eastAsia="Arial" w:hAnsi="Arial"/>
          <w:sz w:val="14"/>
          <w:szCs w:val="14"/>
          <w:color w:val="auto"/>
        </w:rPr>
      </w:pPr>
    </w:p>
    <w:p>
      <w:pPr>
        <w:ind w:left="332" w:right="100" w:hanging="332"/>
        <w:spacing w:after="0" w:line="257"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765,551 Class A ADSs distributed by Northpole GLY 1 LP to Oakwise Innovation Fund SPC-New Technology SP in connection with the transfer of Northpole GLY 1 LP’s holdings in the Company. Oakwise Innovation Fund SPC-New Technology SP is managed by Oakwise Asset Management Limited, its investment manager. Fengyu Wang is the director of Oakwise Asset Management Limited and, as such, may be deemed to be 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w:t>
      </w:r>
    </w:p>
    <w:p>
      <w:pPr>
        <w:spacing w:after="0" w:line="2" w:lineRule="exact"/>
        <w:rPr>
          <w:rFonts w:ascii="Arial" w:cs="Arial" w:eastAsia="Arial" w:hAnsi="Arial"/>
          <w:sz w:val="14"/>
          <w:szCs w:val="14"/>
          <w:color w:val="auto"/>
        </w:rPr>
      </w:pPr>
    </w:p>
    <w:p>
      <w:pPr>
        <w:ind w:left="332" w:right="20" w:hanging="332"/>
        <w:spacing w:after="0" w:line="257"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512,261 Class A ADSs distributed by Northpole GLY 1 LP to B.W. Holding Limited in connection with the transfer of Northpole GLY 1 LP’s holdings in the Company. B.W. Holding Limited is managed by its director Wai Yue Wong. Wai Yue may be deemed to be beneficial owners of the securities reported by this Selling Securityholder. The business address of this Selling Securityholder is 21/F, Block 1, Tai Ping Industrial Centre, 57 Ting Kok Road, Tai Po, New Territories, Hong Kong.</w:t>
      </w:r>
    </w:p>
    <w:p>
      <w:pPr>
        <w:spacing w:after="0" w:line="1" w:lineRule="exact"/>
        <w:rPr>
          <w:rFonts w:ascii="Arial" w:cs="Arial" w:eastAsia="Arial" w:hAnsi="Arial"/>
          <w:sz w:val="14"/>
          <w:szCs w:val="14"/>
          <w:color w:val="auto"/>
        </w:rPr>
      </w:pPr>
    </w:p>
    <w:p>
      <w:pPr>
        <w:ind w:left="332" w:right="40" w:hanging="332"/>
        <w:spacing w:after="0" w:line="257"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64,033 Class A ADSs distributed by Northpole GLY 1 LP to Han Tongli in connection with the transfer of Northpole GLY 1 LP’s holdings in the Company. The business address of this Selling Securityholder is 25B, Tower 1, Larvotto, Praya Road 8, Ap Lei Chau, Hong Kong.</w:t>
      </w:r>
    </w:p>
    <w:p>
      <w:pPr>
        <w:ind w:left="332" w:right="460" w:hanging="332"/>
        <w:spacing w:after="0" w:line="261"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26,666 Class A ADSs distributed by Northpole GLY 1 LP to Chi-Lan Janet Cheng in connection with the transfer of Northpole GLY 1 LP’s holdings in the Company. The business address of this Selling Securityholder is Flat 9A, Tower 1, Eden Gate, 11 Ede Road, Kowloon Tong, Hong Kong.</w:t>
      </w:r>
    </w:p>
    <w:p>
      <w:pPr>
        <w:ind w:left="332" w:right="300" w:hanging="332"/>
        <w:spacing w:after="0" w:line="263"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399,995 Class A ADSs distributed by Northpole GLY 1 LP to Chai Shan Jovin Chim in connection with the transfer of Northpole GLY 1 LP’s holdings in the Company. The business address of this Selling Securityholder is Flat A1, Floor 1, Villa De Moorsom, 12 Boyce Road, Jardine’s Lookout Hong Kong.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32"/>
          </w:cols>
          <w:pgMar w:left="328" w:top="1417" w:right="339" w:bottom="1440" w:gutter="0" w:footer="0" w:header="0"/>
        </w:sectPr>
      </w:pPr>
    </w:p>
    <w:bookmarkStart w:id="65" w:name="page66"/>
    <w:bookmarkEnd w:id="65"/>
    <w:p>
      <w:pPr>
        <w:ind w:left="332" w:right="140" w:hanging="332"/>
        <w:spacing w:after="0" w:line="259"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1,333,315 Class A ADSs distributed by Northpole GLY 1 LP to Jumpex Worldwide Limited in connection with the transfer of Northpole GLY 1 LP’s holdings in the Company. Jumpex Worldwide Limited is managed by its directors Chang Wa Shan, Cheung Wing Har Linda and Chang Chi Sheung Flossie. Jumpex Worldwide Limited is solely owned by Cheung Wing Har Linda, and therefore, Cheung Wing Har Linda is deemed to be the ultimate beneficial owner of the securities reported by the Selling Securityholder. The business address of this Selling Securityholder is Room 701, Dina House, Ruttonjee Centre, 11 Duddell Street, Central, Hong Kong.</w:t>
      </w:r>
    </w:p>
    <w:p>
      <w:pPr>
        <w:ind w:left="332" w:right="140" w:hanging="332"/>
        <w:spacing w:after="0" w:line="257"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723,569 Class A ADSs distributed by Northpole GLY 1 LP to KV Catalyst EV1 LLC in connection with the transfer of Northpole GLY 1 LP’s holdings in the Company. KV Catalyst EV1 LLC is managed by KV Catalyst Manager 1 LLC, its investment manager. Justin Milberg and John Adair are the managing members of KV Catalyst Manager 1 LLC and, as such, may be deemed to be beneficial owners of the securities reported by this Selling Securityholder. Each of Messrs. Milberg and Adair disclaims any beneficial ownership of the securities reported by such Selling Securityholder other than to the extent of any pecuniary interest they may have therein, directly or indirectly. The business address of this Selling Securityholder is 2373 Broadway #1621, New York, New York.</w:t>
      </w:r>
    </w:p>
    <w:p>
      <w:pPr>
        <w:spacing w:after="0" w:line="2" w:lineRule="exact"/>
        <w:rPr>
          <w:rFonts w:ascii="Arial" w:cs="Arial" w:eastAsia="Arial" w:hAnsi="Arial"/>
          <w:sz w:val="14"/>
          <w:szCs w:val="14"/>
          <w:color w:val="auto"/>
        </w:rPr>
      </w:pPr>
    </w:p>
    <w:p>
      <w:pPr>
        <w:ind w:left="332" w:right="240" w:hanging="332"/>
        <w:spacing w:after="0" w:line="281" w:lineRule="auto"/>
        <w:tabs>
          <w:tab w:leader="none" w:pos="332"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Consists of 6,021,633 Class A ADSs distributed by Northpole GLY 1 LP to Raffles Fund VCC-PoleStar RFO in connection with the transfer of Northpole GLY 1 LP’s holdings in the Company. Raffles Fund VCC-PoleStar RFO is a Singapore Variable Capital Companies with Kendrick Lee Yen Hui &amp; Lin Jiadong acting as the directors. The sole Management Share is held by Lin Jiadong. The business address of this Selling Securityholder is Unit 2306-2313, 23/F, The Center, 99 Queen’s Road, Central, Hong Kong.</w:t>
      </w:r>
    </w:p>
    <w:p>
      <w:pPr>
        <w:spacing w:after="0" w:line="1" w:lineRule="exact"/>
        <w:rPr>
          <w:rFonts w:ascii="Arial" w:cs="Arial" w:eastAsia="Arial" w:hAnsi="Arial"/>
          <w:sz w:val="13"/>
          <w:szCs w:val="13"/>
          <w:color w:val="auto"/>
        </w:rPr>
      </w:pPr>
    </w:p>
    <w:p>
      <w:pPr>
        <w:ind w:left="332" w:right="180" w:hanging="332"/>
        <w:spacing w:after="0" w:line="25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533,326 Class A ADSs distributed by Northpole GLY 1 LP to Hsin Tung Samuel Chou in connection with the transfer of Northpole GLY 1 LP’s holdings in the Company. The business address of this Selling Securityholder is14/F, No. 17, Block C, Fontana Gardens, Ka Ning Path, Causeway Bay, Hong Kong.</w:t>
      </w:r>
    </w:p>
    <w:p>
      <w:pPr>
        <w:ind w:left="332" w:right="180" w:hanging="332"/>
        <w:spacing w:after="0" w:line="258"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1,283,359 Class A ADSs distributed by Northpole GLY 1 LP to Sky Ever Best Limited in connection with the transfer of Northpole GLY 1 LP’s holdings in the Company. Sky Ever Best Limited is managed by its directors Geoffrey Kai Chun Kwok, Lesley Wai-San Kwok and Jonathan Kai Ho Kwok. Geoffrey Kwok, Lesley Kwok and Jonathan Kwok are the ultimate beneficial owners in equal share of Sky Ever Best Limited. The business address of this Selling Securityholder is Suite 906, 9/F, Great Eagle Centre, 23 Harbor Road, Wanchai, Hong Kong.</w:t>
      </w:r>
    </w:p>
    <w:p>
      <w:pPr>
        <w:spacing w:after="0" w:line="1" w:lineRule="exact"/>
        <w:rPr>
          <w:rFonts w:ascii="Arial" w:cs="Arial" w:eastAsia="Arial" w:hAnsi="Arial"/>
          <w:sz w:val="14"/>
          <w:szCs w:val="14"/>
          <w:color w:val="auto"/>
        </w:rPr>
      </w:pPr>
    </w:p>
    <w:p>
      <w:pPr>
        <w:ind w:left="332" w:hanging="332"/>
        <w:spacing w:after="0" w:line="257"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512,261 Class A ADSs distributed by Northpole GLY 1 LP to Synergis Capital China Venture Fund in connection with the transfer of Northpole GLY 1 LP’s holdings in the Company. Synergis Capital China Venture Fund I, LP is managed by Synergis Capital GP Limited, its General Partner. Tongzhou Shi is the director of Synergis Capital GP Limited and, as such, may be deemed to be the beneficial owners of the securities reported by this Selling Securityholder. Tongzhou Shi disclaims any beneficial ownership of the securities reported by such Selling Securityholder other than to the extent of any pecuniary interest each may have therein, directly or indirectly. The business address of this Selling Securityholder is 292 Holmes Avenue, Toronto, Ontario, Canada.</w:t>
      </w:r>
    </w:p>
    <w:p>
      <w:pPr>
        <w:spacing w:after="0" w:line="2" w:lineRule="exact"/>
        <w:rPr>
          <w:rFonts w:ascii="Arial" w:cs="Arial" w:eastAsia="Arial" w:hAnsi="Arial"/>
          <w:sz w:val="14"/>
          <w:szCs w:val="14"/>
          <w:color w:val="auto"/>
        </w:rPr>
      </w:pPr>
    </w:p>
    <w:p>
      <w:pPr>
        <w:ind w:left="332" w:right="140" w:hanging="332"/>
        <w:spacing w:after="0" w:line="259"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517,672 Class A ADSs distributed by Northpole GLY 1 LP to Talent Desire Limited in connection with the transfer of Northpole GLY 1 LP’s holdings in the Company. Talent Desire Limited is managed by its director Mico Cho Yee Chung. Mico may be deemed to be beneficial owners of the securities reported by this Selling Securityholder. Mico disclaims any beneficial ownership of the securities reported by such Selling Securityholder other than to the extent of any pecuniary interest they may have therein, directly or indirectly. The business address of this Selling Securityholder is 31/F, Bank of America Tower, 12 Harcourt Road, Central, Hong Kong.</w:t>
      </w:r>
    </w:p>
    <w:p>
      <w:pPr>
        <w:spacing w:after="0" w:line="1" w:lineRule="exact"/>
        <w:rPr>
          <w:rFonts w:ascii="Arial" w:cs="Arial" w:eastAsia="Arial" w:hAnsi="Arial"/>
          <w:sz w:val="14"/>
          <w:szCs w:val="14"/>
          <w:color w:val="auto"/>
        </w:rPr>
      </w:pPr>
    </w:p>
    <w:p>
      <w:pPr>
        <w:ind w:left="332" w:right="20" w:hanging="332"/>
        <w:spacing w:after="0" w:line="25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8,370 Class A ADSs distributed by GLY New Mobility 1. LP to James John McCarvill Jr. in connection with the transfer of GLY New Mobility 1. LP’s holdings in the Company. The business address of this Selling Securityholder is 76 Ivy Way, Port Washington, NY 11050.</w:t>
      </w:r>
    </w:p>
    <w:p>
      <w:pPr>
        <w:ind w:left="332" w:right="260" w:hanging="332"/>
        <w:spacing w:after="0" w:line="26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41,851 Class A ADSs distributed by GLY New Mobility 1. LP to Lawrence Seah in connection with the transfer of GLY New Mobility 1. LP’s holdings in the Company. The business address of this Selling Securityholder is 88 Hua Guan Avenue, Singapore 589185.</w:t>
      </w:r>
    </w:p>
    <w:p>
      <w:pPr>
        <w:ind w:left="332" w:right="320" w:hanging="332"/>
        <w:spacing w:after="0" w:line="255"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251,110 Class A ADSs distributed by GLY New Mobility 1. LP to Ma Wei Ying in connection with the transfer of GLY New Mobility 1. LP’s holdings in the Company. The business address of this Selling Securityholder is Room 1002, Building 4, North District CofCo Xiangyun Town, Shunyi District, Beijing.</w:t>
      </w:r>
    </w:p>
    <w:p>
      <w:pPr>
        <w:ind w:left="332" w:right="200" w:hanging="332"/>
        <w:spacing w:after="0" w:line="275"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418,516 Class A ADSs distributed by GLY new Mobility 1. LP to Raffles Fund SPC – GX Equity SP in connection with the transfer of GLY New Mobility 1. LP’s holdings in the Company. Raffles Fund SPC – GX Equity SP is a Cayman Islands Segregated Portfolio Company with Chi Man Kwan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32"/>
          </w:cols>
          <w:pgMar w:left="328" w:top="1417" w:right="339" w:bottom="1440" w:gutter="0" w:footer="0" w:header="0"/>
        </w:sectPr>
      </w:pPr>
    </w:p>
    <w:bookmarkStart w:id="66" w:name="page67"/>
    <w:bookmarkEnd w:id="66"/>
    <w:p>
      <w:pPr>
        <w:jc w:val="both"/>
        <w:ind w:left="332" w:right="40"/>
        <w:spacing w:after="0" w:line="260" w:lineRule="auto"/>
        <w:rPr>
          <w:sz w:val="20"/>
          <w:szCs w:val="20"/>
          <w:color w:val="auto"/>
        </w:rPr>
      </w:pPr>
      <w:r>
        <w:rPr>
          <w:rFonts w:ascii="Arial" w:cs="Arial" w:eastAsia="Arial" w:hAnsi="Arial"/>
          <w:sz w:val="14"/>
          <w:szCs w:val="14"/>
          <w:color w:val="auto"/>
        </w:rPr>
        <w:t>Chun Wing Ray Tam acting as the directors. The Management Shares of Raffles Fund SPC – GX Equity SP are held by Chi Man Kwan and Chun Wing Ray Tam and Raffles FUND SPC – GX Equity SP is controlled by Chi Man Kwan and Chung Wing Ray Tam. As such, they may be deemed to be the beneficial owners of the securities held by Raffles Fund SPC – GX Equity SP. The business address of this Selling Securityholder is Unit 2306-2313, 23/F, The Center, 99 Queen’s Road Central, Hong Kong.</w:t>
      </w:r>
    </w:p>
    <w:p>
      <w:pPr>
        <w:spacing w:after="0" w:line="2" w:lineRule="exact"/>
        <w:rPr>
          <w:sz w:val="20"/>
          <w:szCs w:val="20"/>
          <w:color w:val="auto"/>
        </w:rPr>
      </w:pPr>
    </w:p>
    <w:p>
      <w:pPr>
        <w:ind w:left="332" w:hanging="332"/>
        <w:spacing w:after="0" w:line="278" w:lineRule="auto"/>
        <w:tabs>
          <w:tab w:leader="none" w:pos="332"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Consists of 224,122 Class A ADSs, of which 99,607 Class A ADSs were received by Saxo Capital Markets HK Limited (“Saxo HK”) in connection with an in-kind distribution of securities by GLY New Mobility 1. LP and 124,515 Class A ADSs were received by Saxo HK in connection with an in-kind distribution of securities by Northpole GLY 2 LP. These 224,122 Class A ADSs are held by Saxo HK on behalf of the following clients: (1) Wai Ming Jeff Wong, (2) Atlas Multi-Strategies Fund Ltd, (3) Ching Tong Tommy Poon, (4) Kahn Hetrakul, (5) Chana Hetrakul, (6) Louis Chi Kong Wong, (7) Yee Eot Chee, (8) Kin Nang Kong, and (9) Saxo Capital Markets HK Limited. Saxo HK disclaims any beneficial ownership of the securities held by it on behalf of its clients other than to the extent of any pecuniary interest he may have therein, directly or indirectly. Saxo HK is the beneficial owner of 3 Class A ADSs directly held by it. Saxo HK is 100% owned by Saxo Bank A/S (“Saxo Bank”), which is 50.89% owned and controlled by Geely Financials Denmark A/S. Geely Financials Denmark A/S is 51% owned and controlled by Geely Group Limited, which is 100% owned by Shufu Li. Therefore, Shufu Li is deemed to have voting and dispositive power with respect to the Class A ADSs directly held by Saxo HK. Shufu Li disclaims any beneficial ownership of the securities directly held by Saxo HK other than to the extent of any pecuniary interest he may have therein, directly or indirectly. The business address of this Selling Securityholder is 19th Floor, Shanghai Commercial Bank Tower, 12 Queen’s Road Central, Hong Kong.</w:t>
      </w:r>
    </w:p>
    <w:p>
      <w:pPr>
        <w:spacing w:after="0" w:line="2" w:lineRule="exact"/>
        <w:rPr>
          <w:rFonts w:ascii="Arial" w:cs="Arial" w:eastAsia="Arial" w:hAnsi="Arial"/>
          <w:sz w:val="13"/>
          <w:szCs w:val="13"/>
          <w:color w:val="auto"/>
        </w:rPr>
      </w:pPr>
    </w:p>
    <w:p>
      <w:pPr>
        <w:ind w:left="332" w:hanging="332"/>
        <w:spacing w:after="0" w:line="277" w:lineRule="auto"/>
        <w:tabs>
          <w:tab w:leader="none" w:pos="332"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Consists of 758,900 Class A ADSs, of which 386,541 were received by Saxo Capital Markets Pte. Ltd (“Saxo SG”) in connection with an in-kind distribution of securities by GLY New Mobility 1. LP and 372,359 were received by Saxo SG in connection with an in-kind distribution of securities by Northpole GLY 2 LP. These 758,900 Class A ADSs are held by Saxo SG on behalf of the following clients: (1) Rasmus Houmann Korfits Andersen, (2) Hua Bin, (3) Kong Han Xiang Justin, (4) Leif Mathias Fryksten and/or Maria Jelen Fryksten, (5) Foo Wen Teh Vincent, (6) Thomas Julian Gravers, (7) Thomas Qvistgaard Hansen, (8) Srivatsa Kumar Krishna Kishore &amp; Nupur Joshi, (9) Hsi Han Pin, (10) Kuehn Wolfgang Rudi, (11) Tony O Mahony, (12) Ngooi Yoke Siam, (13) Tat Lee Koh, (14) Grant Gregory William, (15) Yang Yam Seong, (16) Lowe Richard, (17) Warren Antony Michael, (18) Hadi Zamani Garakani, (19) Seck Sam Tan, (20) Richard Howard Douglas, (21) Andreas Peter Illum Wildfang Von Scholten, (22) Andrew Leo Kirby, (23) Ee Boon Ian Lim, (24) Shahrul Fahmy Bin Mohamed Rashef, (25) Maurizio Garavello, (26) Teng Jingbin, (27) Patrick Philippe Chung, (28) Ho Eng Keong, (29) Laurie Ann Pearson, (30) Pei-En Tan, (31) Sanjay Anil Kothary/Sandhya DO N J Doshi, (32) Damian Hitchen, (33) Chee Yong Lum, (34) Tak Loong CHANG, (35) Soegiarto Handoko, (36) Shenhua WU, (37) Chung Wee Lee, (38) Adam James Reynolds, (39) Moh Chin Hong (40) Richard Mark Hurst, (41) Druk Holding and Investments Limited, and (42) Saxo Capital Markets Pte. Ltd. Saxo SG disclaims any beneficial ownership of the securities held by it on behalf of its clients other than to the extent of any pecuniary interest he may have therein, directly or indirectly. Saxo SG is the beneficial owner of 14 Class A ADSs directly held by it. Saxo SG is 100% owned by Saxo Bank, which is 50.89% owned and controlled by Geely Financials Denmark A/S. Geely Financials Denmark A/S is 51% owned and controlled by Geely Group Limited, which is 100% owned by Shufu Li. Therefore, Shufu Li is deemed to have voting and dispositive power with respect to the Class A ADSs directly held by Saxo SG. Shufu Li disclaims any beneficial ownership of the securities directly held by Saxo SG other than to the extent of any pecuniary interest he may have therein, directly or indirectly. The business address of this Selling Securityholder is 88 Market Street, #31-01 Capita Spring Singapore 048948.</w:t>
      </w:r>
    </w:p>
    <w:p>
      <w:pPr>
        <w:ind w:left="332" w:right="140" w:hanging="332"/>
        <w:spacing w:after="0" w:line="257"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309,702 Class A ADSs distributed by GLY New Mobility 1. LP to Shinhan Securities Co., Ltd. in connection with the transfer of GLY New Mobility 1. LP’s holdings in the Company. Shinhan Securities Co., Ltd. is managed by Byung Koo Lee, who is the managing director of the Investment Department. Byung Koo Lee is the managing director of Shinhan Securities Co., Ltd. and, as such, may be deemed to be the beneficial owner of the securities reported by this Selling Securityholder. Byung Koo Lee disclaims any beneficial ownership of the securities reported by such Selling Securityholder other than to the extent of any pecuniary interest they may have therein, directly or indirectly. The business address of this selling securityholder is 70, Yeoui-daero, Yeongdeungpo-gu, Seoul (Yeouido-dong).</w:t>
      </w:r>
    </w:p>
    <w:p>
      <w:pPr>
        <w:spacing w:after="0" w:line="2" w:lineRule="exact"/>
        <w:rPr>
          <w:rFonts w:ascii="Arial" w:cs="Arial" w:eastAsia="Arial" w:hAnsi="Arial"/>
          <w:sz w:val="14"/>
          <w:szCs w:val="14"/>
          <w:color w:val="auto"/>
        </w:rPr>
      </w:pPr>
    </w:p>
    <w:p>
      <w:pPr>
        <w:ind w:left="332" w:right="180" w:hanging="332"/>
        <w:spacing w:after="0" w:line="262"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20,926 Class A ADSs distributed by GLY New Mobility 1. LP to Skyviews Investments AG in connection with the transfer of GLY New Mobility 1. LP’s holdings in the Company. Skyviews Investments AG is fully held by TPIO Holding AG which is fully owned by Boris Collardi. The business address of this selling securityholder is Poststrasse 26, 6300 Zug,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32"/>
          </w:cols>
          <w:pgMar w:left="328" w:top="1417" w:right="339" w:bottom="1440" w:gutter="0" w:footer="0" w:header="0"/>
        </w:sectPr>
      </w:pPr>
    </w:p>
    <w:bookmarkStart w:id="67" w:name="page68"/>
    <w:bookmarkEnd w:id="67"/>
    <w:p>
      <w:pPr>
        <w:jc w:val="both"/>
        <w:ind w:left="340" w:hanging="332"/>
        <w:spacing w:after="0" w:line="260"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20,926 Class A ADSs distributed by GLY New Mobility 1. LP to Union Bancaire Privee Ref: 928 in connection with the transfer of GLY New Mobility 1. LP’s holdings in the Company. Mr. Fredy Pangerc is the ultimate beneficial owner of the securities reported by this Selling Securityholder. The business address of this Selling Securityholder is 96-98, Rue du Rhône, Case Postale 1320, CH-1211 Genève 1.</w:t>
      </w:r>
    </w:p>
    <w:p>
      <w:pPr>
        <w:spacing w:after="0" w:line="1" w:lineRule="exact"/>
        <w:rPr>
          <w:rFonts w:ascii="Arial" w:cs="Arial" w:eastAsia="Arial" w:hAnsi="Arial"/>
          <w:sz w:val="14"/>
          <w:szCs w:val="14"/>
          <w:color w:val="auto"/>
        </w:rPr>
      </w:pPr>
    </w:p>
    <w:p>
      <w:pPr>
        <w:ind w:left="340" w:right="40" w:hanging="332"/>
        <w:spacing w:after="0" w:line="275"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disclosure with respect to the remaining Selling Securityholders is being made on an aggregate basis, as opposed to an individual basis, because their aggregate holdings are less than 1% of the outstanding Class A ADSs.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and Agreements with the Selling Securityholders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information on relationships and agreements between us and certain of the selling shareholders, see “</w:t>
      </w:r>
      <w:r>
        <w:rPr>
          <w:rFonts w:ascii="Arial" w:cs="Arial" w:eastAsia="Arial" w:hAnsi="Arial"/>
          <w:sz w:val="18"/>
          <w:szCs w:val="18"/>
          <w:i w:val="1"/>
          <w:iCs w:val="1"/>
          <w:color w:val="auto"/>
        </w:rPr>
        <w:t>Item 7. Major Shareholders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 B. Related Party Transactions</w:t>
      </w:r>
      <w:r>
        <w:rPr>
          <w:rFonts w:ascii="Arial" w:cs="Arial" w:eastAsia="Arial" w:hAnsi="Arial"/>
          <w:sz w:val="18"/>
          <w:szCs w:val="18"/>
          <w:color w:val="auto"/>
        </w:rPr>
        <w:t>” in our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1417" w:right="499" w:bottom="1440" w:gutter="0" w:footer="0" w:header="0"/>
        </w:sectPr>
      </w:pPr>
    </w:p>
    <w:bookmarkStart w:id="68" w:name="page69"/>
    <w:bookmarkEnd w:id="6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ELIGIBLE FOR FUTURE SALE</w:t>
      </w:r>
    </w:p>
    <w:p>
      <w:pPr>
        <w:spacing w:after="0" w:line="17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As of the date of this prospectus, the following securities were issued and outstanding: 467,914,248 Class A ADSs, 1,642,233,575 Class B ADSs, 20,499,965 Class C-1 ADSs and 4,500,000 Class C-2 ADSs. The Class C ADSs entitle the holder to purchase one Class A ADS per Class C ADS at an exercise price of $11.50 per Class A ADS, subject to adjustments, as further described in this prospectus.</w:t>
      </w:r>
    </w:p>
    <w:p>
      <w:pPr>
        <w:spacing w:after="0" w:line="11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On December 17, 2021, the parties to the Registration Rights Agreement entered into the Registration Rights Agreement Amendment to provide for certain administrative changes to reflect the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the Amendment No. 2 to the Business Combination Agreement and the March PIPE Subscription Agreements.</w:t>
      </w:r>
    </w:p>
    <w:p>
      <w:pPr>
        <w:spacing w:after="0" w:line="11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also granted the GGI Sponsor, the PIPE Investors, Snita, the Former Parent Convertible Notes Holders and West Investments VIII, LLC certain customary registration rights for the Class A ADSs they purchased in a private placement pursuant to the Sponsor Subscription Agreement, the PIPE Subscription Agreements, the Volvo Cars PIPE Subscription Agreement, the Volvo Cars Preference Subscription Agreement and a consulting marketing services agreement, as applicable.</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registering the offer and sale of the securities covered by this prospectus to satisfy these registration rights. On April 26, 2023, the parties to the Registration Rights Agreement entered into the Registration Rights Agreement Amendment No. 3 to grant Snita certain registration rights in connection with the issuance of any Conversion Shares (as defined in the Snita Term Loan Facility) in connection with the Snita Term Loan Facility. The offer and sale of the Conversion Shares issuable pursuant to the Snita Term Loan Facility, none of which have been issued to date, have not been registered and such securities and transactions are not covered by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Pursuant to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Persons who have beneficially owned restricted Class A ADSs or Class C ADSs for at least six months but who are our affiliates at the time of, or at any time during the three months preceding, a sale, would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69" w:name="page70"/>
    <w:bookmarkEnd w:id="69"/>
    <w:p>
      <w:pPr>
        <w:ind w:right="180"/>
        <w:spacing w:after="0" w:line="277" w:lineRule="auto"/>
        <w:rPr>
          <w:sz w:val="20"/>
          <w:szCs w:val="20"/>
          <w:color w:val="auto"/>
        </w:rPr>
      </w:pPr>
      <w:r>
        <w:rPr>
          <w:rFonts w:ascii="Arial" w:cs="Arial" w:eastAsia="Arial" w:hAnsi="Arial"/>
          <w:sz w:val="18"/>
          <w:szCs w:val="18"/>
          <w:color w:val="auto"/>
        </w:rPr>
        <w:t>additional restrictions, by which such person would be entitled to sell within any three-month period only a number of securities that does not exceed the greater of:</w:t>
      </w:r>
    </w:p>
    <w:p>
      <w:pPr>
        <w:spacing w:after="0" w:line="11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 percent (1%) of the total number of Class A ADSs then issued and outstanding; or</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applicable ADSs during the four calendar weeks preceding the filing of a notice on Form 144 with respect to the sale.</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0"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Form 20-F type information with the SEC, which we filed on June 29, 2022, reflecting its status as an entity that is not a shell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general, under Rule 701 of the Securities Act as currently in effect, to the extent we adhere to the requirements of Rule 701 in issuing such securities, each of our employees, consultants or advisors who purchases equity shares from us in connection with a compensatory stock plan or other written agreement executed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1421" w:right="379" w:bottom="1440" w:gutter="0" w:footer="0" w:header="0"/>
        </w:sectPr>
      </w:pPr>
    </w:p>
    <w:bookmarkStart w:id="70" w:name="page71"/>
    <w:bookmarkEnd w:id="70"/>
    <w:p>
      <w:pPr>
        <w:ind w:right="140"/>
        <w:spacing w:after="0" w:line="263" w:lineRule="auto"/>
        <w:rPr>
          <w:sz w:val="20"/>
          <w:szCs w:val="20"/>
          <w:color w:val="auto"/>
        </w:rPr>
      </w:pPr>
      <w:r>
        <w:rPr>
          <w:rFonts w:ascii="Arial" w:cs="Arial" w:eastAsia="Arial" w:hAnsi="Arial"/>
          <w:sz w:val="18"/>
          <w:szCs w:val="18"/>
          <w:color w:val="auto"/>
        </w:rPr>
        <w:t>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 Out</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described in the Business Combination Agreement, the Former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Business Combination Closing.</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Earn Out Shares will be issued by the Company to the Former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 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Business Combination Closing, the Company will not be required to issue the Earn Out Shares in respect of such Volume Weighted Average ADS Price threshold. The Former Parent Shareholders will be entitled to Earn Out Shares in the event an acceleration event (as described in the Business Combination Agreement)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1421" w:right="39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This section describes the material U.S. federal income tax considerations to U.S. Holders (as defined below)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103"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brokers or 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person subject to the base erosion and anti-abuse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investors subject to the U.S. “anti-inversion”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tax-exempt organizations (including private foundations), qualified retirement plans, individual retirement accounts or other tax deferred accounts;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banks or other financial institutions, underwriters, insurance companies, real estate investment trusts or regulated investment companies;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persons that own (directly, indirectly, or by attribution) 5% or more (by vote or value) of any class of AD securities or of the Company in the aggregate;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persons holding AD securities as part of a straddle, hedging or conversion transaction, constructive sale, or other arrangement involving more than one position;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persons who purchased Subscription Shares as part of the Subscription Investments or the Volvo Cars Preference Subscription Investment;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GGI Sponsor and the initial independent directors of GGI;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persons that received AD securities as compensation for services;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336" w:right="359" w:bottom="1440" w:gutter="0" w:footer="0" w:header="0"/>
        </w:sectPr>
      </w:pPr>
    </w:p>
    <w:bookmarkStart w:id="72" w:name="page73"/>
    <w:bookmarkEnd w:id="72"/>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w:t>
      </w:r>
    </w:p>
    <w:p>
      <w:pPr>
        <w:spacing w:after="0" w:line="13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w:t>
      </w:r>
    </w:p>
    <w:p>
      <w:pPr>
        <w:spacing w:after="0" w:line="12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ALL HOLDERS OF AD SECURITIES ARE URGED TO CONSULT THEIR TAX ADVISORS REGARDING THE TAX CONSIDERATIONS RELATING TO THE OWNERSHIP AND DISPOSITION OF AD SECURITIES, INCLUDING THE EFFECTS OF U.S. FEDERAL, STATE, AND LOCAL AND NON-U.S. TAX 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Treatment of the Company</w:t>
      </w:r>
    </w:p>
    <w:p>
      <w:pPr>
        <w:spacing w:after="0" w:line="171"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 “Section 7874 ownership percentage”) is at least 80% (by either vote or value) (this test is referred to as the “80% ownership test” and the three-prong test described in clauses (i)–(iii) above is referred to as the “Section 7874(b) expatriation test”).</w:t>
      </w:r>
    </w:p>
    <w:p>
      <w:pPr>
        <w:spacing w:after="0" w:line="12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178" w:right="359" w:bottom="1440" w:gutter="0" w:footer="0" w:header="0"/>
        </w:sectPr>
      </w:pPr>
    </w:p>
    <w:bookmarkStart w:id="73" w:name="page74"/>
    <w:bookmarkEnd w:id="73"/>
    <w:p>
      <w:pPr>
        <w:spacing w:after="0" w:line="255" w:lineRule="auto"/>
        <w:rPr>
          <w:sz w:val="20"/>
          <w:szCs w:val="20"/>
          <w:color w:val="auto"/>
        </w:rPr>
      </w:pPr>
      <w:r>
        <w:rPr>
          <w:rFonts w:ascii="Arial" w:cs="Arial" w:eastAsia="Arial" w:hAnsi="Arial"/>
          <w:sz w:val="18"/>
          <w:szCs w:val="18"/>
          <w:color w:val="auto"/>
        </w:rPr>
        <w:t>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Based upon the terms of the Business Combination and Pre-Closing Reorganization, the rules for determining share ownership under Section 7874 of the Code and the Treasury Regulations promulgated thereunder, and certain factual assumptions, we believe that the Section 7874 ownership percentage was less than 60% after the Business Combination. Accordingly, we do not believe the Company will be treated as a U.S. corporation for U.S. federal income tax purposes, dividends paid by the Company may be “qualified dividends” (subject to the discussion below regarding the passive foreign investment company rules and other applicable requirements under Section 1 of the Code) and we do not expect the U.S. subsidiaries of the Company to be subject to the limitations and other rules described above under Section 7874 of the Code. However, the rules for determining ownership under Section 7874 of the Code are complex and unclear and there is no assurance the IRS will agree with our determination that the Section 7874 ownership percentage was less than 60% following the Business Combination.</w:t>
      </w:r>
    </w:p>
    <w:p>
      <w:pPr>
        <w:spacing w:after="0" w:line="124" w:lineRule="exact"/>
        <w:rPr>
          <w:sz w:val="20"/>
          <w:szCs w:val="20"/>
          <w:color w:val="auto"/>
        </w:rPr>
      </w:pPr>
    </w:p>
    <w:p>
      <w:pPr>
        <w:jc w:val="both"/>
        <w:ind w:right="560"/>
        <w:spacing w:after="0" w:line="287" w:lineRule="auto"/>
        <w:rPr>
          <w:sz w:val="20"/>
          <w:szCs w:val="20"/>
          <w:color w:val="auto"/>
        </w:rPr>
      </w:pPr>
      <w:r>
        <w:rPr>
          <w:rFonts w:ascii="Arial" w:cs="Arial" w:eastAsia="Arial" w:hAnsi="Arial"/>
          <w:sz w:val="16"/>
          <w:szCs w:val="16"/>
          <w:color w:val="auto"/>
        </w:rPr>
        <w:t>If the IRS successfully asserts that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Depositary Shares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remainder of this discussion assumes that, for U.S. federal income tax purposes, ownership of AD securities will be treated as ownership of the underlying Class A Shares or Class C Shares (as applicable).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means a beneficial owner of AD securities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178" w:right="359" w:bottom="1440" w:gutter="0" w:footer="0" w:header="0"/>
        </w:sectPr>
      </w:pPr>
    </w:p>
    <w:bookmarkStart w:id="74" w:name="page75"/>
    <w:bookmarkEnd w:id="74"/>
    <w:p>
      <w:pPr>
        <w:ind w:left="660" w:right="2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Holders of Class A ADSs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Distributions on Class A ADSs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Sale, Exchange, Redemption or Other Taxable Disposition of Class A ADSs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 (ii) 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3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 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178" w:right="339" w:bottom="1440" w:gutter="0" w:footer="0" w:header="0"/>
        </w:sectPr>
      </w:pPr>
    </w:p>
    <w:bookmarkStart w:id="75" w:name="page76"/>
    <w:bookmarkEnd w:id="75"/>
    <w:p>
      <w:pPr>
        <w:spacing w:after="0" w:line="270" w:lineRule="auto"/>
        <w:rPr>
          <w:sz w:val="20"/>
          <w:szCs w:val="20"/>
          <w:color w:val="auto"/>
        </w:rPr>
      </w:pPr>
      <w:r>
        <w:rPr>
          <w:rFonts w:ascii="Arial" w:cs="Arial" w:eastAsia="Arial" w:hAnsi="Arial"/>
          <w:sz w:val="17"/>
          <w:szCs w:val="17"/>
          <w:color w:val="auto"/>
        </w:rPr>
        <w:t>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the redemption does not qualify as a sale of stock under Section 302 of the Code, then the U.S. Holder will be treated as receiving a distribution as described above in “—Distributions on Class A ADSs.”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Holders of Class C ADSs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However, holders of Class C ADSs are urged to consult their tax advisors regarding the U.S. federal income tax considerations relating to the ownership, conversion, or disposition of Class C ADSs.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Class C ADSs Treated as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assumes that the Class C ADSs are treated as stock for applicable U.S. federal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Sale, Exchange, Redemption or Other Taxable Disposition of Class C ADSs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Class C ADSs are treated as stock for U.S. federal income tax purposes, then the consequences of a sale, exchange, redemption or other taxable disposition of a Class C ADSs are the same as described above under the heading “—Sale, Exchange, Redemption or Other Taxable Disposition of Class A ADSs.”</w:t>
      </w:r>
    </w:p>
    <w:p>
      <w:pPr>
        <w:spacing w:after="0" w:line="130"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Conversion of a Class C ADS</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178" w:right="359" w:bottom="1440" w:gutter="0" w:footer="0" w:header="0"/>
        </w:sectPr>
      </w:pPr>
    </w:p>
    <w:bookmarkStart w:id="76" w:name="page77"/>
    <w:bookmarkEnd w:id="76"/>
    <w:p>
      <w:pPr>
        <w:ind w:right="20"/>
        <w:spacing w:after="0" w:line="289" w:lineRule="auto"/>
        <w:rPr>
          <w:sz w:val="20"/>
          <w:szCs w:val="20"/>
          <w:color w:val="auto"/>
        </w:rPr>
      </w:pPr>
      <w:r>
        <w:rPr>
          <w:rFonts w:ascii="Arial" w:cs="Arial" w:eastAsia="Arial" w:hAnsi="Arial"/>
          <w:sz w:val="16"/>
          <w:szCs w:val="16"/>
          <w:color w:val="auto"/>
        </w:rPr>
        <w:t>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 Accordingly, U.S. Holders are urged to consult their tax advisors regarding the tax consequences of a conversion of Class C ADSs or redemption of Class C ADSs for Class A ADSs.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Class C ADS Treated as Warrants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Sale, Exchange, Redemption or Other Taxable Disposition of Class C ADSs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Class C ADSs are treated as warrants for U.S. federal income tax purposes, then the consequences of a sale, exchange, redemption or other taxable disposition of a Class C ADSs are the same as described above under the heading “—Sale, Exchange, Redemption or Other Taxable Disposition of Class A ADSs.”</w:t>
      </w:r>
    </w:p>
    <w:p>
      <w:pPr>
        <w:spacing w:after="0" w:line="130"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Conversion of a Class C ADS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Arial" w:cs="Arial" w:eastAsia="Arial" w:hAnsi="Arial"/>
          <w:sz w:val="18"/>
          <w:szCs w:val="18"/>
          <w:i w:val="1"/>
          <w:iCs w:val="1"/>
          <w:color w:val="auto"/>
        </w:rPr>
        <w:t>—Class C ADSs Treated as Stock</w:t>
      </w:r>
      <w:r>
        <w:rPr>
          <w:rFonts w:ascii="Arial" w:cs="Arial" w:eastAsia="Arial" w:hAnsi="Arial"/>
          <w:sz w:val="18"/>
          <w:szCs w:val="18"/>
          <w:color w:val="auto"/>
        </w:rPr>
        <w:t>.”</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“surrendered Class C ADSs”).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178" w:right="339" w:bottom="1440" w:gutter="0" w:footer="0" w:header="0"/>
        </w:sectPr>
      </w:pPr>
    </w:p>
    <w:bookmarkStart w:id="77" w:name="page78"/>
    <w:bookmarkEnd w:id="77"/>
    <w:p>
      <w:pPr>
        <w:jc w:val="both"/>
        <w:ind w:right="560"/>
        <w:spacing w:after="0" w:line="263" w:lineRule="auto"/>
        <w:rPr>
          <w:sz w:val="20"/>
          <w:szCs w:val="20"/>
          <w:color w:val="auto"/>
        </w:rPr>
      </w:pPr>
      <w:r>
        <w:rPr>
          <w:rFonts w:ascii="Arial" w:cs="Arial" w:eastAsia="Arial" w:hAnsi="Arial"/>
          <w:sz w:val="18"/>
          <w:szCs w:val="18"/>
          <w:color w:val="auto"/>
        </w:rPr>
        <w:t>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Further, under certain conditions, the Company has the right to redeem Class C ADSs for cash or for Class A ADSs, as discussed in the sections titled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of Class C Shares for Cash</w:t>
      </w:r>
      <w:r>
        <w:rPr>
          <w:rFonts w:ascii="Arial" w:cs="Arial" w:eastAsia="Arial" w:hAnsi="Arial"/>
          <w:sz w:val="18"/>
          <w:szCs w:val="18"/>
          <w:color w:val="auto"/>
        </w:rPr>
        <w:t>,” and “</w:t>
      </w:r>
      <w:r>
        <w:rPr>
          <w:rFonts w:ascii="Arial" w:cs="Arial" w:eastAsia="Arial" w:hAnsi="Arial"/>
          <w:sz w:val="18"/>
          <w:szCs w:val="18"/>
          <w:i w:val="1"/>
          <w:iCs w:val="1"/>
          <w:color w:val="auto"/>
        </w:rPr>
        <w:t>—Redemption of Class C Shares for Class A ADSs</w:t>
      </w:r>
      <w:r>
        <w:rPr>
          <w:rFonts w:ascii="Arial" w:cs="Arial" w:eastAsia="Arial" w:hAnsi="Arial"/>
          <w:sz w:val="18"/>
          <w:szCs w:val="18"/>
          <w:color w:val="auto"/>
        </w:rPr>
        <w:t>,” respectively. If the Class C ADSs are redeemed for</w:t>
      </w:r>
      <w:r>
        <w:rPr>
          <w:rFonts w:ascii="Arial" w:cs="Arial" w:eastAsia="Arial" w:hAnsi="Arial"/>
          <w:sz w:val="18"/>
          <w:szCs w:val="18"/>
          <w:i w:val="1"/>
          <w:iCs w:val="1"/>
          <w:color w:val="auto"/>
        </w:rPr>
        <w:t xml:space="preserve"> </w:t>
      </w:r>
      <w:r>
        <w:rPr>
          <w:rFonts w:ascii="Arial" w:cs="Arial" w:eastAsia="Arial" w:hAnsi="Arial"/>
          <w:sz w:val="18"/>
          <w:szCs w:val="18"/>
          <w:color w:val="auto"/>
        </w:rPr>
        <w:t>cash, the tax consequences generally will be as described in the section titled “</w:t>
      </w:r>
      <w:r>
        <w:rPr>
          <w:rFonts w:ascii="Arial" w:cs="Arial" w:eastAsia="Arial" w:hAnsi="Arial"/>
          <w:sz w:val="18"/>
          <w:szCs w:val="18"/>
          <w:i w:val="1"/>
          <w:iCs w:val="1"/>
          <w:color w:val="auto"/>
        </w:rPr>
        <w:t>—Sale, Exchange, Redemption or Other Taxable Disposition of Class A</w:t>
      </w:r>
      <w:r>
        <w:rPr>
          <w:rFonts w:ascii="Arial" w:cs="Arial" w:eastAsia="Arial" w:hAnsi="Arial"/>
          <w:sz w:val="18"/>
          <w:szCs w:val="18"/>
          <w:color w:val="auto"/>
        </w:rPr>
        <w:t xml:space="preserve"> </w:t>
      </w:r>
      <w:r>
        <w:rPr>
          <w:rFonts w:ascii="Arial" w:cs="Arial" w:eastAsia="Arial" w:hAnsi="Arial"/>
          <w:sz w:val="18"/>
          <w:szCs w:val="18"/>
          <w:i w:val="1"/>
          <w:iCs w:val="1"/>
          <w:color w:val="auto"/>
        </w:rPr>
        <w:t>ADSs</w:t>
      </w:r>
      <w:r>
        <w:rPr>
          <w:rFonts w:ascii="Arial" w:cs="Arial" w:eastAsia="Arial" w:hAnsi="Arial"/>
          <w:sz w:val="18"/>
          <w:szCs w:val="18"/>
          <w:color w:val="auto"/>
        </w:rPr>
        <w:t>.”</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 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Arial" w:cs="Arial" w:eastAsia="Arial" w:hAnsi="Arial"/>
          <w:sz w:val="16"/>
          <w:szCs w:val="16"/>
          <w:i w:val="1"/>
          <w:iCs w:val="1"/>
          <w:color w:val="auto"/>
        </w:rPr>
        <w:t>—Distributions on Class A ADSs</w:t>
      </w:r>
      <w:r>
        <w:rPr>
          <w:rFonts w:ascii="Arial" w:cs="Arial" w:eastAsia="Arial" w:hAnsi="Arial"/>
          <w:sz w:val="16"/>
          <w:szCs w:val="16"/>
          <w:color w:val="auto"/>
        </w:rPr>
        <w:t>” above. Such constructive distributions would be subject to tax as described under that section in the same manner as if the U.S. holder received a cash distribution from the Company equal to the fair market value of such increased interest.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7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treatment of U.S. Holders of the AD securities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2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2022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178" w:right="339" w:bottom="1440" w:gutter="0" w:footer="0" w:header="0"/>
        </w:sectPr>
      </w:pPr>
    </w:p>
    <w:bookmarkStart w:id="78" w:name="page79"/>
    <w:bookmarkEnd w:id="78"/>
    <w:p>
      <w:pPr>
        <w:ind w:right="20"/>
        <w:spacing w:after="0" w:line="257" w:lineRule="auto"/>
        <w:rPr>
          <w:sz w:val="20"/>
          <w:szCs w:val="20"/>
          <w:color w:val="auto"/>
        </w:rPr>
      </w:pPr>
      <w:r>
        <w:rPr>
          <w:rFonts w:ascii="Arial" w:cs="Arial" w:eastAsia="Arial" w:hAnsi="Arial"/>
          <w:sz w:val="18"/>
          <w:szCs w:val="18"/>
          <w:color w:val="auto"/>
        </w:rPr>
        <w:t>If the Company is or becomes a PFIC during any year in which a U.S. Holder holds AD securities and such U.S. Holder does not make 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13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the period during which the U.S. Holder held its AD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allocated to the current taxable year will be treated as ordinary income; and</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lieu of being subject to the special tax rules discussed above with regard to its Class A ADSs, a U.S. Holder may make a mark-to-market election with respect to its AD securities and with respect to its Class C ADSs if treated as stock. A U.S. Holder may make 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U.S. Holders are urged to consult their tax advisors concerning the U.S. federal income tax consequences of holding AD securities in the event that the Company is considered a PFIC in any taxable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are subject to information reporting and may be subject to backup withholding. Backup withholding generally will not apply, however, to a U.S. Holder if (i) the U.S. Holder is a corporation or other exempt recipient or (ii) in the case of backup withholding, the U.S. Holder provides a correct taxpayer identification number and certifies that it is not subject to backup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178" w:right="339" w:bottom="1440" w:gutter="0" w:footer="0" w:header="0"/>
        </w:sectPr>
      </w:pPr>
    </w:p>
    <w:bookmarkStart w:id="79" w:name="page80"/>
    <w:bookmarkEnd w:id="79"/>
    <w:p>
      <w:pPr>
        <w:ind w:right="140"/>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Kingdom Tax Considerations</w:t>
      </w:r>
    </w:p>
    <w:p>
      <w:pPr>
        <w:spacing w:after="0" w:line="1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Withholding Tax</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paid by the Company in respect of Class A Shares and Class C Shares should not be subject to any withholding or deduction for or on account of United Kingdom income tax.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and Stamp Duty Reserve Tax—Transfers of AD securities</w:t>
      </w:r>
    </w:p>
    <w:p>
      <w:pPr>
        <w:spacing w:after="0" w:line="17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w:t>
      </w:r>
    </w:p>
    <w:p>
      <w:pPr>
        <w:spacing w:after="0" w:line="1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178"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The prospectus also covers any additional securities that may become issuable by reason of share splits, share dividends or similar transactions.</w:t>
      </w:r>
    </w:p>
    <w:p>
      <w:pPr>
        <w:spacing w:after="0" w:line="11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Selling Securityholders may offer and sell, from time to time, some or all of the securities covered by this prospectus. As used herein, “Selling Securityholders” means the persons referenced or listed in the tables in the section “</w:t>
      </w:r>
      <w:r>
        <w:rPr>
          <w:rFonts w:ascii="Arial" w:cs="Arial" w:eastAsia="Arial" w:hAnsi="Arial"/>
          <w:sz w:val="17"/>
          <w:szCs w:val="17"/>
          <w:i w:val="1"/>
          <w:iCs w:val="1"/>
          <w:color w:val="auto"/>
        </w:rPr>
        <w:t>Selling Securityholders</w:t>
      </w:r>
      <w:r>
        <w:rPr>
          <w:rFonts w:ascii="Arial" w:cs="Arial" w:eastAsia="Arial" w:hAnsi="Arial"/>
          <w:sz w:val="17"/>
          <w:szCs w:val="17"/>
          <w:color w:val="auto"/>
        </w:rPr>
        <w:t>”,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w:t>
      </w:r>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w:t>
      </w:r>
    </w:p>
    <w:p>
      <w:pPr>
        <w:spacing w:after="0" w:line="130"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applicable exchange;</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36" w:right="339" w:bottom="1440" w:gutter="0" w:footer="0" w:header="0"/>
        </w:sectPr>
      </w:pPr>
    </w:p>
    <w:bookmarkStart w:id="81" w:name="page82"/>
    <w:bookmarkEnd w:id="81"/>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and/or warrant;</w:t>
      </w:r>
    </w:p>
    <w:p>
      <w:pPr>
        <w:spacing w:after="0" w:line="171"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through the distribution by any Selling Securityholder to its employees, partners (including limited partners), members or stockholders;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whereby broker-dealers may agree with the Selling Securityholders to sell a specified number of such shares at a stipulated price per share;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delayed delivery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 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To our knowledge, the Selling Securityholders have not entered into any agreements, understandings or arrangements with any broker-dealers regarding the sale of the securities covered by this prospectus.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Underwriters, broker-dealers or agents may facilitate the marketing of an offering online directly or through one of their affiliates. In those cases,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178" w:right="339" w:bottom="1440" w:gutter="0" w:footer="0" w:header="0"/>
        </w:sectPr>
      </w:pPr>
    </w:p>
    <w:bookmarkStart w:id="82" w:name="page83"/>
    <w:bookmarkEnd w:id="82"/>
    <w:p>
      <w:pPr>
        <w:ind w:right="40"/>
        <w:spacing w:after="0" w:line="277" w:lineRule="auto"/>
        <w:rPr>
          <w:sz w:val="20"/>
          <w:szCs w:val="20"/>
          <w:color w:val="auto"/>
        </w:rPr>
      </w:pPr>
      <w:r>
        <w:rPr>
          <w:rFonts w:ascii="Arial" w:cs="Arial" w:eastAsia="Arial" w:hAnsi="Arial"/>
          <w:sz w:val="18"/>
          <w:szCs w:val="18"/>
          <w:color w:val="auto"/>
        </w:rPr>
        <w:t>prospective investors may view offering terms and a prospectus online and, depending upon the particular underwriter, broker-dealer or agent, place orders online or through their financial advisors.</w:t>
      </w:r>
    </w:p>
    <w:p>
      <w:pPr>
        <w:spacing w:after="0" w:line="1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 and who acquired such securities in connection with such transactions, will be deemed to have been made pursuant to a distribution and therefore made by an “underwriter” within the meaning of the Securities Act.</w:t>
      </w:r>
    </w:p>
    <w:p>
      <w:pPr>
        <w:spacing w:after="0" w:line="133"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Any discounts, commissions, concessions or profit underwriters earn on any resale of those securities may be underwriting discounts and commissions under the Securities Act.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Selling Securityholders have the sole and absolute discretion not to accept any purchase offer or make any sale of securities if they deem the purchase price to be unsatisfactory at any particular time.</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Selling Securityholder that is an entity may elect to make a pro rata in-kind distribution of securities to its members, partners or shareholders pursuant to the registration statement of which this prospectus is a part by delivering a prospectus with a plan of distribution.</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13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name of the participating 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specific securities involved;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initial price at which such securities are to be sold;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commissions paid or discounts or concessions allowed to such broker-dealer(s), where applicable;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178" w:right="379" w:bottom="1440" w:gutter="0" w:footer="0" w:header="0"/>
        </w:sectPr>
      </w:pPr>
    </w:p>
    <w:bookmarkStart w:id="83" w:name="page84"/>
    <w:bookmarkEnd w:id="83"/>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sell the securities short and redeliver the securities to close out such short positions.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Selling Securityholders may also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the Selling Securityholders pay for solicitation of these contracts.</w:t>
      </w:r>
    </w:p>
    <w:p>
      <w:pPr>
        <w:spacing w:after="0" w:line="13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Selling Securityholders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Securityholders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178" w:right="339" w:bottom="1440" w:gutter="0" w:footer="0" w:header="0"/>
        </w:sectPr>
      </w:pPr>
    </w:p>
    <w:bookmarkStart w:id="84" w:name="page85"/>
    <w:bookmarkEnd w:id="84"/>
    <w:p>
      <w:pPr>
        <w:ind w:right="180"/>
        <w:spacing w:after="0" w:line="277" w:lineRule="auto"/>
        <w:rPr>
          <w:sz w:val="20"/>
          <w:szCs w:val="20"/>
          <w:color w:val="auto"/>
        </w:rPr>
      </w:pPr>
      <w:r>
        <w:rPr>
          <w:rFonts w:ascii="Arial" w:cs="Arial" w:eastAsia="Arial" w:hAnsi="Arial"/>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compliance with the guidelines of the FINRA, the aggregate maximum discount, commission, fees or other items constituting underwriting compensation to be received by any FINRA member or independent broker-dealer will not exceed 9% of the gross proceeds of any offering pursuant to this prospectus and any applicable prospectus supplement.</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will make copies of this prospectus available to the Selling Securityholders for the purpose of satisfying the prospectus delivery requirements of the Securities Act. We and/or the Selling Securityholders, as applicable, may indemnify any agent, broker-dealer or underwriter that participates in transactions involving the sale of the securities against certain liabilities, including liabilities arising under the Securities Act.</w:t>
      </w:r>
    </w:p>
    <w:p>
      <w:pPr>
        <w:spacing w:after="0" w:line="1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33"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Selling Securityholders and any other persons participating in the sale or distribution of the securities will be subject to applicable provisions of the Securities Act and the Exchange Act, and the rules and regulations thereunder. These provisions may restrict certain activities of, and limit the timing of purchases and sales of any of the securities by, us, the Selling Securityholders or any other person, which limitations may affect the marketability of the shares of the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w:t>
      </w:r>
    </w:p>
    <w:p>
      <w:pPr>
        <w:spacing w:after="0" w:line="13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any underwriters for any such offer; or</w:t>
      </w:r>
    </w:p>
    <w:p>
      <w:pPr>
        <w:spacing w:after="0" w:line="116" w:lineRule="exact"/>
        <w:rPr>
          <w:rFonts w:ascii="Arial" w:cs="Arial" w:eastAsia="Arial" w:hAnsi="Arial"/>
          <w:sz w:val="18"/>
          <w:szCs w:val="18"/>
          <w:color w:val="auto"/>
        </w:rPr>
      </w:pPr>
    </w:p>
    <w:p>
      <w:pPr>
        <w:jc w:val="both"/>
        <w:ind w:left="660" w:right="4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securities shall require us or the representatives to publish a prospectus pursuant to Article 3 of the Prospectus Regulation or supplement a prospectus pursuant to Article 23 of the Prospectus Regulation.</w:t>
      </w:r>
    </w:p>
    <w:p>
      <w:pPr>
        <w:spacing w:after="0" w:line="13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1178" w:right="379" w:bottom="1440" w:gutter="0" w:footer="0" w:header="0"/>
        </w:sectPr>
      </w:pPr>
    </w:p>
    <w:bookmarkStart w:id="85" w:name="page86"/>
    <w:bookmarkEnd w:id="85"/>
    <w:p>
      <w:pPr>
        <w:ind w:right="20"/>
        <w:spacing w:after="0" w:line="259" w:lineRule="auto"/>
        <w:rPr>
          <w:sz w:val="20"/>
          <w:szCs w:val="20"/>
          <w:color w:val="auto"/>
        </w:rPr>
      </w:pPr>
      <w:r>
        <w:rPr>
          <w:rFonts w:ascii="Arial" w:cs="Arial" w:eastAsia="Arial" w:hAnsi="Arial"/>
          <w:sz w:val="18"/>
          <w:szCs w:val="18"/>
          <w:color w:val="auto"/>
        </w:rPr>
        <w:t>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w:t>
      </w:r>
    </w:p>
    <w:p>
      <w:pPr>
        <w:spacing w:after="0" w:line="13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the representatives and each of our and the representatives’ affiliates will rely upon the truth and accuracy of the foregoing representations, acknowledgements and agreements.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MiFID II Product Governance</w:t>
      </w:r>
    </w:p>
    <w:p>
      <w:pPr>
        <w:spacing w:after="0" w:line="17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7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No Class A Shares or Class C Shares or ADSs have been offered or will be offered, pursuant to any offering contemplated hereby, to the public in the United Kingdom prior to the publication of a prospectus in relation to such Class A Shares or Class C Shares or ADSs which has been approved by the Financial Conduct Authority, except that the Class A Shares or Class C Shares may be offered to the public in the United Kingdom at any time:</w:t>
      </w:r>
    </w:p>
    <w:p>
      <w:pPr>
        <w:spacing w:after="0" w:line="9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any underwriters for any such offer; or</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provided that no such offer of the Class A Shares or Class C Shares or ADSs shall require the Company or any underwriter to publish a prospectus pursuant to Section 85 of the FSMA or supplement a prospectus pursuant to Article 23 of the UK Prospectus Regulation.</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the Class A Shares or Class C Shares and ADSs in the United Kingdom means the communication in any form and by any means of sufficient information on the terms of the offer and any Class A Shares or Class C Shares to be offered so as to enable an investor to decide to purchase or subscribe for any Class A Shares or Class C Shares or ADSs and the expression “UK Prospectus Regulation” means Regulation (EU) 2017/1129 as it forms part of domestic law by virtue of the European Union (Withdrawal) Act 2018.</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178" w:right="359" w:bottom="1440" w:gutter="0" w:footer="0" w:header="0"/>
        </w:sectPr>
      </w:pPr>
    </w:p>
    <w:bookmarkStart w:id="86" w:name="page87"/>
    <w:bookmarkEnd w:id="8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THE OFFERING</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estimate the following expenses in connection with the offer and sale of our Class A ADSs and Class C-2 ADSs by the Selling Securityholders. With the exception of the SEC Registration Fee, all amounts are estimates.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2,074,885</w:t>
            </w:r>
          </w:p>
        </w:tc>
        <w:tc>
          <w:tcPr>
            <w:tcW w:w="260" w:type="dxa"/>
            <w:vAlign w:val="bottom"/>
            <w:shd w:val="clear" w:color="auto" w:fill="CCEEFF"/>
          </w:tcPr>
          <w:p>
            <w:pPr>
              <w:spacing w:after="0"/>
              <w:rPr>
                <w:sz w:val="19"/>
                <w:szCs w:val="19"/>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9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Accountants’ fees and expenses</w:t>
            </w:r>
          </w:p>
        </w:tc>
        <w:tc>
          <w:tcPr>
            <w:tcW w:w="3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expenses</w:t>
            </w:r>
          </w:p>
        </w:tc>
        <w:tc>
          <w:tcPr>
            <w:tcW w:w="3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Transfer agent fees and expenses</w:t>
            </w:r>
          </w:p>
        </w:tc>
        <w:tc>
          <w:tcPr>
            <w:tcW w:w="3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costs</w:t>
            </w:r>
          </w:p>
        </w:tc>
        <w:tc>
          <w:tcPr>
            <w:tcW w:w="39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These fees are calculated based on the securities offered and the number of issuances and accordingly cannot be defined at this time.</w:t>
      </w:r>
    </w:p>
    <w:p>
      <w:pPr>
        <w:spacing w:after="0" w:line="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Estimated solely for purposes of this section. Actual expenses may vary.</w:t>
      </w:r>
    </w:p>
    <w:p>
      <w:pPr>
        <w:spacing w:after="0" w:line="1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validity of Class A Shares and Class C Shares shall be passed on by Kirkland &amp; Ellis International LLP, as our counsel with respect to certain legal matters as to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00"/>
          </w:cols>
          <w:pgMar w:left="320" w:top="1440" w:right="679" w:bottom="1440" w:gutter="0" w:footer="0" w:header="0"/>
        </w:sectPr>
      </w:pPr>
    </w:p>
    <w:bookmarkStart w:id="88" w:name="page89"/>
    <w:bookmarkEnd w:id="88"/>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of Polestar Automotive Holding UK PLC (formerly known as Polestar Automotive Holding UK Limited) as of December 31, 2022 and 2021 and for each of the three years in the period ended December 31, 2022, incorporated by reference in this prospectus, have been audited by Deloitte AB,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1440" w:right="459" w:bottom="1440" w:gutter="0" w:footer="0" w:header="0"/>
        </w:sectPr>
      </w:pPr>
    </w:p>
    <w:bookmarkStart w:id="89" w:name="page90"/>
    <w:bookmarkEnd w:id="89"/>
    <w:p>
      <w:pPr>
        <w:spacing w:after="0" w:line="14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INTERESTS OF EXPERTS AND COUNSEL</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 named expert of or counselor to us was employed on a contingent basis, or owns an amount of our securities (or those of our subsidiaries) which is material to that person, or has a material, direct or indirect economic interest in us or that depends on the success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40"/>
          </w:cols>
          <w:pgMar w:left="320" w:top="1440" w:right="739" w:bottom="1440" w:gutter="0" w:footer="0" w:header="0"/>
        </w:sectPr>
      </w:pPr>
    </w:p>
    <w:bookmarkStart w:id="90" w:name="page91"/>
    <w:bookmarkEnd w:id="9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required to file quarterly reports on Form 10-Q or current reports on Form 8-K under the Exchange Act. The SEC maintains a website at http://www.sec.gov that contains reports and other information that we file with or furnish electronically with the SEC.</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mailing address of Polestar’s principal executive office is Assar Gabrielssons Väg 9, 405 31 Gothenburg,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Polestar or any other entity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lowerRoman"/>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2"/>
    </w:lvl>
  </w:abstractNum>
  <w:abstractNum w:abstractNumId="15">
    <w:nsid w:val="2D517796"/>
    <w:multiLevelType w:val="hybridMultilevel"/>
    <w:lvl w:ilvl="0">
      <w:lvlJc w:val="left"/>
      <w:lvlText w:val="%1)"/>
      <w:numFmt w:val="lowerLetter"/>
      <w:start w:val="1"/>
    </w:lvl>
    <w:lvl w:ilvl="1">
      <w:lvlJc w:val="left"/>
      <w:lvlText w:val="•"/>
      <w:numFmt w:val="bullet"/>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2"/>
    </w:lvl>
  </w:abstractNum>
  <w:abstractNum w:abstractNumId="39">
    <w:nsid w:val="75C6C33A"/>
    <w:multiLevelType w:val="hybridMultilevel"/>
    <w:lvl w:ilvl="0">
      <w:lvlJc w:val="left"/>
      <w:lvlText w:val="(%1)"/>
      <w:numFmt w:val="decimal"/>
      <w:start w:val="5"/>
    </w:lvl>
  </w:abstractNum>
  <w:abstractNum w:abstractNumId="40">
    <w:nsid w:val="12E685FB"/>
    <w:multiLevelType w:val="hybridMultilevel"/>
    <w:lvl w:ilvl="0">
      <w:lvlJc w:val="left"/>
      <w:lvlText w:val="(%1)"/>
      <w:numFmt w:val="decimal"/>
      <w:start w:val="14"/>
    </w:lvl>
  </w:abstractNum>
  <w:abstractNum w:abstractNumId="41">
    <w:nsid w:val="70C6A529"/>
    <w:multiLevelType w:val="hybridMultilevel"/>
    <w:lvl w:ilvl="0">
      <w:lvlJc w:val="left"/>
      <w:lvlText w:val="(%1)"/>
      <w:numFmt w:val="decimal"/>
      <w:start w:val="24"/>
    </w:lvl>
  </w:abstractNum>
  <w:abstractNum w:abstractNumId="42">
    <w:nsid w:val="520EEDD1"/>
    <w:multiLevelType w:val="hybridMultilevel"/>
    <w:lvl w:ilvl="0">
      <w:lvlJc w:val="left"/>
      <w:lvlText w:val="(%1)"/>
      <w:numFmt w:val="decimal"/>
      <w:start w:val="32"/>
    </w:lvl>
  </w:abstractNum>
  <w:abstractNum w:abstractNumId="43">
    <w:nsid w:val="374A3FE6"/>
    <w:multiLevelType w:val="hybridMultilevel"/>
    <w:lvl w:ilvl="0">
      <w:lvlJc w:val="left"/>
      <w:lvlText w:val="(%1)"/>
      <w:numFmt w:val="decimal"/>
      <w:start w:val="41"/>
    </w:lvl>
  </w:abstractNum>
  <w:abstractNum w:abstractNumId="44">
    <w:nsid w:val="4F4EF005"/>
    <w:multiLevelType w:val="hybridMultilevel"/>
    <w:lvl w:ilvl="0">
      <w:lvlJc w:val="left"/>
      <w:lvlText w:val="(%1)"/>
      <w:numFmt w:val="decimal"/>
      <w:start w:val="50"/>
    </w:lvl>
  </w:abstractNum>
  <w:abstractNum w:abstractNumId="45">
    <w:nsid w:val="23F9C13C"/>
    <w:multiLevelType w:val="hybridMultilevel"/>
    <w:lvl w:ilvl="0">
      <w:lvlJc w:val="left"/>
      <w:lvlText w:val="(%1)"/>
      <w:numFmt w:val="decimal"/>
      <w:start w:val="59"/>
    </w:lvl>
  </w:abstractNum>
  <w:abstractNum w:abstractNumId="46">
    <w:nsid w:val="649BB77C"/>
    <w:multiLevelType w:val="hybridMultilevel"/>
    <w:lvl w:ilvl="0">
      <w:lvlJc w:val="left"/>
      <w:lvlText w:val="(%1)"/>
      <w:numFmt w:val="decimal"/>
      <w:start w:val="70"/>
    </w:lvl>
  </w:abstractNum>
  <w:abstractNum w:abstractNumId="47">
    <w:nsid w:val="275AC794"/>
    <w:multiLevelType w:val="hybridMultilevel"/>
    <w:lvl w:ilvl="0">
      <w:lvlJc w:val="left"/>
      <w:lvlText w:val="(%1)"/>
      <w:numFmt w:val="decimal"/>
      <w:start w:val="74"/>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lowerRoman"/>
      <w:start w:val="2"/>
    </w:lvl>
  </w:abstractNum>
  <w:abstractNum w:abstractNumId="55">
    <w:nsid w:val="741226BB"/>
    <w:multiLevelType w:val="hybridMultilevel"/>
    <w:lvl w:ilvl="0">
      <w:lvlJc w:val="left"/>
      <w:lvlText w:val="%1."/>
      <w:numFmt w:val="lowerRoman"/>
      <w:start w:val="2"/>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jpe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12" Type="http://schemas.openxmlformats.org/officeDocument/2006/relationships/hyperlink" Target="https://www.sec.gov/ix?doc=/Archives/edgar/data/0001884082/000188408223000008/psny-20221231.htm" TargetMode="External"/><Relationship Id="rId13" Type="http://schemas.openxmlformats.org/officeDocument/2006/relationships/hyperlink" Target="https://www.sec.gov/Archives/edgar/data/1884082/000188408223000008/polestar-ex211descriptiono.htm" TargetMode="External"/><Relationship Id="rId14" Type="http://schemas.openxmlformats.org/officeDocument/2006/relationships/hyperlink" Target="https://www.sec.gov/Archives/edgar/data/1884082/000119312523141502/d502584d6k.htm" TargetMode="External"/><Relationship Id="rId15" Type="http://schemas.openxmlformats.org/officeDocument/2006/relationships/hyperlink" Target="https://www.sec.gov/Archives/edgar/data/1884082/000119312523169493/d484116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2023-07-18T07:07:09Z</dcterms:created>
  <dcterms:modified xsi:type="dcterms:W3CDTF">2023-07-18T07:07:09Z</dcterms:modified>
</cp:coreProperties>
</file>