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July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40"/>
        <w:spacing w:after="0" w:line="207" w:lineRule="exact"/>
        <w:tabs>
          <w:tab w:leader="none" w:pos="59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Closing of PSD Equity Investment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previously announced issuance and sale of 190,476,190 Class A American Depositary Shares (such issuance and sale, the “Sale” and such shares, the “Class A ADS Shares”) to PSD Investment Limited (“PSD Investment”) by Polestar Automotive Holding UK PLC (“Polestar”), pursuant to the Securities Purchase Agreement entered into by Polestar and PSD Investment on June 16, 2025 (the “Purchase Agreement”), was completed on July 23, 2025. Additionally, the conversion of 20,000,000 Class B American Depositary Shares into Class A ADS Shares by PSD Investment, to ensure PSD Investment’s voting power of its Polestar shareholdings remains below 50%, was completed on the day prior to the closing of the Sale.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23, 2025, Polestar entered into a registration rights agreement (the “Registration Rights Agreement”) with PSD Investment, in accordance with the Purchase Agreement. The Registration Rights Agreement requires Polestar to, as soon as practicable, but no later than 90 days after the agreement date, file a Registration Statement under the Securities Act so that the Class A ADS Shares may be resold. The Registration Rights Agreement grants PSD Investment customary registration rights with respect to the Class A ADS Shares. All definitions used herein, but not defined, have the respective meanings given to them in the Registration Rights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copy of the Registration Rights Agreement is included in this Report on Form 6-K as Exhibit 10.1, and the foregoing description of the Registration Rights Agreement is qualified in its entirety by reference thereto.</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Report on Form 6-K and Exhibit 10.1 shall be deemed to be incorporated by reference into Polestar’s registration statement on Form S-8 (File No. 333-267146), registration statement on Form F-3 (File No. 333-266101) and registration statement on Form F-3 (File No. 333-274918) and to be a part thereof from the date on which this report is submitted,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60" w:type="dxa"/>
            <w:vAlign w:val="bottom"/>
            <w:gridSpan w:val="2"/>
          </w:tcPr>
          <w:p>
            <w:pPr>
              <w:ind w:left="29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20" w:type="dxa"/>
            <w:vAlign w:val="bottom"/>
          </w:tcPr>
          <w:p>
            <w:pPr>
              <w:spacing w:after="0"/>
              <w:rPr>
                <w:sz w:val="24"/>
                <w:szCs w:val="24"/>
                <w:color w:val="auto"/>
              </w:rPr>
            </w:pPr>
          </w:p>
        </w:tc>
        <w:tc>
          <w:tcPr>
            <w:tcW w:w="9260" w:type="dxa"/>
            <w:vAlign w:val="bottom"/>
            <w:gridSpan w:val="2"/>
          </w:tcPr>
          <w:p>
            <w:pPr>
              <w:ind w:left="34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Registration Rights Agreement, dated July 23, 2025, by and between Polestar Automotive Holding UK PLC and PSD Investment</w:t>
            </w:r>
          </w:p>
        </w:tc>
      </w:tr>
      <w:tr>
        <w:trPr>
          <w:trHeight w:val="196"/>
        </w:trPr>
        <w:tc>
          <w:tcPr>
            <w:tcW w:w="320" w:type="dxa"/>
            <w:vAlign w:val="bottom"/>
            <w:tcBorders>
              <w:top w:val="single" w:sz="8" w:color="0000EE"/>
            </w:tcBorders>
          </w:tcPr>
          <w:p>
            <w:pPr>
              <w:spacing w:after="0"/>
              <w:rPr>
                <w:sz w:val="17"/>
                <w:szCs w:val="17"/>
                <w:color w:val="auto"/>
              </w:rPr>
            </w:pPr>
          </w:p>
        </w:tc>
        <w:tc>
          <w:tcPr>
            <w:tcW w:w="1040" w:type="dxa"/>
            <w:vAlign w:val="bottom"/>
          </w:tcPr>
          <w:p>
            <w:pPr>
              <w:spacing w:after="0"/>
              <w:rPr>
                <w:sz w:val="17"/>
                <w:szCs w:val="17"/>
                <w:color w:val="auto"/>
              </w:rPr>
            </w:pPr>
          </w:p>
        </w:tc>
        <w:tc>
          <w:tcPr>
            <w:tcW w:w="93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Limited.</w:t>
            </w:r>
          </w:p>
        </w:tc>
        <w:tc>
          <w:tcPr>
            <w:tcW w:w="560" w:type="dxa"/>
            <w:vAlign w:val="bottom"/>
          </w:tcPr>
          <w:p>
            <w:pPr>
              <w:spacing w:after="0"/>
              <w:rPr>
                <w:sz w:val="17"/>
                <w:szCs w:val="17"/>
                <w:color w:val="auto"/>
              </w:rPr>
            </w:pPr>
          </w:p>
        </w:tc>
      </w:tr>
      <w:tr>
        <w:trPr>
          <w:trHeight w:val="696"/>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8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July 23, 2025</w:t>
            </w: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Lohscheller</w:t>
            </w:r>
          </w:p>
        </w:tc>
      </w:tr>
      <w:tr>
        <w:trPr>
          <w:trHeight w:val="191"/>
        </w:trPr>
        <w:tc>
          <w:tcPr>
            <w:tcW w:w="3580" w:type="dxa"/>
            <w:vAlign w:val="bottom"/>
          </w:tcPr>
          <w:p>
            <w:pPr>
              <w:spacing w:after="0"/>
              <w:rPr>
                <w:sz w:val="16"/>
                <w:szCs w:val="16"/>
                <w:color w:val="auto"/>
              </w:rPr>
            </w:pPr>
          </w:p>
        </w:tc>
        <w:tc>
          <w:tcPr>
            <w:tcW w:w="2720" w:type="dxa"/>
            <w:vAlign w:val="bottom"/>
          </w:tcPr>
          <w:p>
            <w:pPr>
              <w:ind w:left="21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Lohscheller</w:t>
            </w:r>
          </w:p>
        </w:tc>
      </w:tr>
      <w:tr>
        <w:trPr>
          <w:trHeight w:val="234"/>
        </w:trPr>
        <w:tc>
          <w:tcPr>
            <w:tcW w:w="3580" w:type="dxa"/>
            <w:vAlign w:val="bottom"/>
          </w:tcPr>
          <w:p>
            <w:pPr>
              <w:spacing w:after="0"/>
              <w:rPr>
                <w:sz w:val="20"/>
                <w:szCs w:val="20"/>
                <w:color w:val="auto"/>
              </w:rPr>
            </w:pP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80" w:type="dxa"/>
            <w:vAlign w:val="bottom"/>
          </w:tcPr>
          <w:p>
            <w:pPr>
              <w:spacing w:after="0"/>
              <w:rPr>
                <w:sz w:val="24"/>
                <w:szCs w:val="24"/>
                <w:color w:val="auto"/>
              </w:rPr>
            </w:pP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r>
      <w:tr>
        <w:trPr>
          <w:trHeight w:val="191"/>
        </w:trPr>
        <w:tc>
          <w:tcPr>
            <w:tcW w:w="3580" w:type="dxa"/>
            <w:vAlign w:val="bottom"/>
          </w:tcPr>
          <w:p>
            <w:pPr>
              <w:spacing w:after="0"/>
              <w:rPr>
                <w:sz w:val="16"/>
                <w:szCs w:val="16"/>
                <w:color w:val="auto"/>
              </w:rPr>
            </w:pPr>
          </w:p>
        </w:tc>
        <w:tc>
          <w:tcPr>
            <w:tcW w:w="2720" w:type="dxa"/>
            <w:vAlign w:val="bottom"/>
          </w:tcPr>
          <w:p>
            <w:pPr>
              <w:ind w:left="21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Jean-François Mady</w:t>
            </w:r>
          </w:p>
        </w:tc>
      </w:tr>
      <w:tr>
        <w:trPr>
          <w:trHeight w:val="234"/>
        </w:trPr>
        <w:tc>
          <w:tcPr>
            <w:tcW w:w="3580" w:type="dxa"/>
            <w:vAlign w:val="bottom"/>
          </w:tcPr>
          <w:p>
            <w:pPr>
              <w:spacing w:after="0"/>
              <w:rPr>
                <w:sz w:val="20"/>
                <w:szCs w:val="20"/>
                <w:color w:val="auto"/>
              </w:rPr>
            </w:pP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July 23, 2025, by and among Polestar Automotive Holding UK PLC, a public limited company organized under the laws of England and Wales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PSD Investment Limited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The Purchaser and any person or entity who hereafter becomes a party to this Agreement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this Agreement are each referred to herein as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WHEREAS, in connection with the Securities Purchase Agreement, dated as of June 16, 2025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by and among the Company and the Purchaser, the Company sold, upon the terms and conditions stated in the Purchase Agreement, an aggregate of 190,476,190 class A American depositary shares (“</w:t>
      </w:r>
      <w:r>
        <w:rPr>
          <w:rFonts w:ascii="Times New Roman" w:cs="Times New Roman" w:eastAsia="Times New Roman" w:hAnsi="Times New Roman"/>
          <w:sz w:val="18"/>
          <w:szCs w:val="18"/>
          <w:u w:val="single" w:color="auto"/>
          <w:color w:val="auto"/>
        </w:rPr>
        <w:t>Class A ADSs</w:t>
      </w:r>
      <w:r>
        <w:rPr>
          <w:rFonts w:ascii="Times New Roman" w:cs="Times New Roman" w:eastAsia="Times New Roman" w:hAnsi="Times New Roman"/>
          <w:sz w:val="18"/>
          <w:szCs w:val="18"/>
          <w:color w:val="auto"/>
        </w:rPr>
        <w:t>”) of the Company in restricted form, each Class A ADS representing one class A ordinary share of $0.01 each in the capital of the Company (each, a “</w:t>
      </w:r>
      <w:r>
        <w:rPr>
          <w:rFonts w:ascii="Times New Roman" w:cs="Times New Roman" w:eastAsia="Times New Roman" w:hAnsi="Times New Roman"/>
          <w:sz w:val="18"/>
          <w:szCs w:val="18"/>
          <w:u w:val="single" w:color="auto"/>
          <w:color w:val="auto"/>
        </w:rPr>
        <w:t>Class A Ordinary Share</w:t>
      </w:r>
      <w:r>
        <w:rPr>
          <w:rFonts w:ascii="Times New Roman" w:cs="Times New Roman" w:eastAsia="Times New Roman" w:hAnsi="Times New Roman"/>
          <w:sz w:val="18"/>
          <w:szCs w:val="18"/>
          <w:color w:val="auto"/>
        </w:rPr>
        <w:t>”), as more fully described in the Purchase Agreement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WHEREAS, to cause the Purchaser to enter into the Purchase Agreement, the Company has agreed to provide certain registration rights under the U.S. Securities Act of 1933, as amended (collectively,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applicable state securities laws.</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promises herein made, and in consideration of the representations, warranties and covenants herein contained, the receipt and sufficiency of which the parties hereto hereby acknowledge, the parties hereto hereby agree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Capitalized terms used in this Agreement have the meanings set forth below.</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Adverse Disclosure</w:t>
      </w:r>
      <w:r>
        <w:rPr>
          <w:rFonts w:ascii="Times New Roman" w:cs="Times New Roman" w:eastAsia="Times New Roman" w:hAnsi="Times New Roman"/>
          <w:sz w:val="18"/>
          <w:szCs w:val="18"/>
          <w:color w:val="auto"/>
        </w:rPr>
        <w:t>” means any public disclosure of material non-public information (including information with respect to a potential financing, acquisition, disposition, merger, reorganization or similar transaction), which disclosure, in the good faith judgment of the Board or Chief Executive Officer or Chief Financial Officer of the Company, after consultation with counsel to the Company, (a) would be required to be made in any Registration Statement or Prospectus in order for the applicable Registration Statement or Prospectus not to contain any Misstatement, (b) would not be required to be made at such time if the Registration Statement were not being filed, declared effective or used, as the case may be, and (c) the Company has a bona fide business purpose for not making such information public.</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Blackout Period</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2.7(d)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 Trade</w:t>
      </w:r>
      <w:r>
        <w:rPr>
          <w:rFonts w:ascii="Times New Roman" w:cs="Times New Roman" w:eastAsia="Times New Roman" w:hAnsi="Times New Roman"/>
          <w:sz w:val="18"/>
          <w:szCs w:val="18"/>
          <w:color w:val="auto"/>
        </w:rPr>
        <w:t>” means an offering or sale of Registrable Securities by any Holder on an underwritten basis (whether firm commitment or otherwise) without substantial marketing efforts prior to pricing and is commonly known as a “block trade,” including a same-day trade, overnight trade or similar transaction.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a Saturday or Sunday or (b) any other day on which banks located in (i) New York, New York, United States of America, (ii) Hong Kong, China, (iii) Singapore, (iv) Stockholm, Sweden or (v) London, United Kingdom are required or authorized by law to be closed for business.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ADS</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Ordinary Shares</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 Guidance</w:t>
      </w:r>
      <w:r>
        <w:rPr>
          <w:rFonts w:ascii="Times New Roman" w:cs="Times New Roman" w:eastAsia="Times New Roman" w:hAnsi="Times New Roman"/>
          <w:sz w:val="18"/>
          <w:szCs w:val="18"/>
          <w:color w:val="auto"/>
        </w:rPr>
        <w:t>” means (a) any publicly-available written or oral guidance of the Commission staff, or any comments, requirements or requests of the Commission staff and (b) the Securities Act.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Shelf Take Down Notice</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Demanding Holder</w:t>
      </w:r>
      <w:r>
        <w:rPr>
          <w:rFonts w:ascii="Times New Roman" w:cs="Times New Roman" w:eastAsia="Times New Roman" w:hAnsi="Times New Roman"/>
          <w:sz w:val="18"/>
          <w:szCs w:val="18"/>
          <w:color w:val="auto"/>
        </w:rPr>
        <w:t xml:space="preserve">” means, as applicable, (a) the applicable Holders making a written demand for the Registration of Registrable Securities pursuant to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or (b) the applicable Holders making a written demand for a Shelf Underwritten Offering of Registrable Securities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means the Deposit Agreement, dated as of June 23, 2022, by and among the Company, Depositary and the Holders and beneficial owners of the Company’s American depositary shares issued thereunder, as it may be amended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 Bank</w:t>
      </w:r>
      <w:r>
        <w:rPr>
          <w:rFonts w:ascii="Times New Roman" w:cs="Times New Roman" w:eastAsia="Times New Roman" w:hAnsi="Times New Roman"/>
          <w:sz w:val="18"/>
          <w:szCs w:val="18"/>
          <w:color w:val="auto"/>
        </w:rPr>
        <w:t>” means Citibank, N.A., as the depositary pursuant to the Deposit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Deadline</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Exempted Registration Statement</w:t>
      </w:r>
      <w:r>
        <w:rPr>
          <w:rFonts w:ascii="Times New Roman" w:cs="Times New Roman" w:eastAsia="Times New Roman" w:hAnsi="Times New Roman"/>
          <w:sz w:val="18"/>
          <w:szCs w:val="18"/>
          <w:color w:val="auto"/>
        </w:rPr>
        <w:t xml:space="preserve">” means a Registration Statement (a) filed in connection with any employee stock option or other benefit plan, including a Registration Statement on Form S-8 (or similar successor form), (b) for an exchange offer or offering of securities solely to the Company’s existing shareholders, (c) filed on a Registration Statement on Form S-4 or Form F-4 (or similar successor forms), (d) for an offering of debt that is convertible into equity securities of the Company, (e) for a dividend reinvestment plan, or (f) filed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F-1 Shelf</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F-3 Shelf</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Number of Securities</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Amount</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Misstatement</w:t>
      </w:r>
      <w:r>
        <w:rPr>
          <w:rFonts w:ascii="Times New Roman" w:cs="Times New Roman" w:eastAsia="Times New Roman" w:hAnsi="Times New Roman"/>
          <w:sz w:val="18"/>
          <w:szCs w:val="18"/>
          <w:color w:val="auto"/>
        </w:rPr>
        <w:t>” means an untrue statement of a material fact or an omission to state a material fact required to be stated therein, or necessary to make the statements therein (in the case of any Prospectus and any preliminary Prospectus, in the light of the circumstances under which they were made) not misleading.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any Registration Statement, as supplemented by any and all prospectus supplements and as amended by any and all post-effective amendments and including all material incorporated by reference in such prospectus.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Security</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firstLine="980"/>
        <w:spacing w:after="0" w:line="266" w:lineRule="auto"/>
        <w:tabs>
          <w:tab w:leader="none" w:pos="122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Class A Ordinary Shares represented by Class A ADSs issued at the closings of the Transaction pursuant to the Purchase Agreement (including, without limitation, any Class A Ordinary Shares represented by Class A ADSs issued pursuant to the Purchase Agreement) to Holders and that have, in each case, been deposited with the Depositary Bank in accordance with the Deposit Agreement; and</w:t>
      </w:r>
    </w:p>
    <w:p>
      <w:pPr>
        <w:spacing w:after="0" w:line="175" w:lineRule="exact"/>
        <w:rPr>
          <w:rFonts w:ascii="Times New Roman" w:cs="Times New Roman" w:eastAsia="Times New Roman" w:hAnsi="Times New Roman"/>
          <w:sz w:val="18"/>
          <w:szCs w:val="18"/>
          <w:color w:val="auto"/>
        </w:rPr>
      </w:pPr>
    </w:p>
    <w:p>
      <w:pPr>
        <w:jc w:val="both"/>
        <w:ind w:firstLine="980"/>
        <w:spacing w:after="0" w:line="266" w:lineRule="auto"/>
        <w:tabs>
          <w:tab w:leader="none" w:pos="124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Class A Ordinary Shares issued or issuable with respect to the securities referred to in the foregoing clause (a) by way of a stock dividend or stock split or in connection with a combination of shares, recapitalization, merger, consolidation or other reorganization or otherwise to be represented by Class A ADSs issued in accordance with the Deposit Agreement; and</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1220" w:hanging="240"/>
        <w:spacing w:after="0"/>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any Class A ADSs representing</w:t>
      </w:r>
      <w:r>
        <w:rPr>
          <w:rFonts w:ascii="Times New Roman" w:cs="Times New Roman" w:eastAsia="Times New Roman" w:hAnsi="Times New Roman"/>
          <w:sz w:val="18"/>
          <w:szCs w:val="18"/>
          <w:color w:val="auto"/>
        </w:rPr>
        <w:t xml:space="preserve"> Class A Ordinary Shares </w:t>
      </w:r>
      <w:r>
        <w:rPr>
          <w:rFonts w:ascii="Times New Roman" w:cs="Times New Roman" w:eastAsia="Times New Roman" w:hAnsi="Times New Roman"/>
          <w:sz w:val="18"/>
          <w:szCs w:val="18"/>
          <w:u w:val="single" w:color="auto"/>
          <w:color w:val="auto"/>
        </w:rPr>
        <w:t>described in the foregoing clauses (a) and (b) (as the case may be);</w:t>
      </w:r>
    </w:p>
    <w:p>
      <w:pPr>
        <w:spacing w:after="0" w:line="225"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as to any particular Registrable Security,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the Class A Ordinary Shares and Class A ADSs described in foregoing clauses (a), (b) and (c) shall have been otherwise transferred, new certificates for such securities not bearing (or book entry positions not subject to) a legend restricting further transfer shall have been delivered by the Company and subsequent public distribution of such securities shall not require registration under the Securities Act; (iii) such securities shall have ceased to be outstanding; or (iv) such securities have been sold to, or through, a broker, dealer or underwriter in a public distribution or other public securities transaction.</w:t>
      </w:r>
    </w:p>
    <w:p>
      <w:pPr>
        <w:spacing w:after="0" w:line="18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means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means the out-of-pocket expenses of a Registration, including the following:</w:t>
      </w:r>
    </w:p>
    <w:p>
      <w:pPr>
        <w:spacing w:after="0" w:line="225" w:lineRule="exact"/>
        <w:rPr>
          <w:sz w:val="20"/>
          <w:szCs w:val="20"/>
          <w:color w:val="auto"/>
        </w:rPr>
      </w:pPr>
    </w:p>
    <w:p>
      <w:pPr>
        <w:ind w:firstLine="980"/>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and filing fees (including fees with respect to filings required to be made with the U.S. Financial Industry Regulatory Authority, Inc.) and any securities exchange on which the Registrable Securities are then listed;</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2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61"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printing, messenger, telephone, delivery and reasonable road show or other reasonable marketing expenses;</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counsel for the Company;</w:t>
      </w:r>
    </w:p>
    <w:p>
      <w:pPr>
        <w:spacing w:after="0" w:line="225" w:lineRule="exact"/>
        <w:rPr>
          <w:rFonts w:ascii="Times New Roman" w:cs="Times New Roman" w:eastAsia="Times New Roman" w:hAnsi="Times New Roman"/>
          <w:sz w:val="18"/>
          <w:szCs w:val="18"/>
          <w:color w:val="auto"/>
        </w:rPr>
      </w:pPr>
    </w:p>
    <w:p>
      <w:pPr>
        <w:ind w:firstLine="980"/>
        <w:spacing w:after="0" w:line="282" w:lineRule="auto"/>
        <w:tabs>
          <w:tab w:leader="none" w:pos="12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all independent registered public accountants of the Company incurred specifically in connection with such Registration;</w:t>
      </w:r>
    </w:p>
    <w:p>
      <w:pPr>
        <w:spacing w:after="0" w:line="161" w:lineRule="exact"/>
        <w:rPr>
          <w:rFonts w:ascii="Times New Roman" w:cs="Times New Roman" w:eastAsia="Times New Roman" w:hAnsi="Times New Roman"/>
          <w:sz w:val="18"/>
          <w:szCs w:val="18"/>
          <w:color w:val="auto"/>
        </w:rPr>
      </w:pPr>
    </w:p>
    <w:p>
      <w:pPr>
        <w:jc w:val="both"/>
        <w:ind w:firstLine="980"/>
        <w:spacing w:after="0" w:line="261" w:lineRule="auto"/>
        <w:tabs>
          <w:tab w:leader="none" w:pos="12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reasonable fees and expenses of one (1) legal counsel selected by either (i) the majority-in-interest of the Demanding Holders (and any local or foreign counsel) initiating a Demand Registration or Shelf Underwritten Offering (including a Block Trade), or (ii) of a majority-in-interest of participating Holders under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if the Registration was initiated by the Company for its own account or that of a Company stockholder other than pursuant to rights under this Agreement, in each case to be registered for offer and sale in the applicable Registration; and</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980"/>
        <w:spacing w:after="0"/>
        <w:rPr>
          <w:sz w:val="20"/>
          <w:szCs w:val="20"/>
          <w:color w:val="auto"/>
        </w:rPr>
      </w:pPr>
      <w:r>
        <w:rPr>
          <w:rFonts w:ascii="Times New Roman" w:cs="Times New Roman" w:eastAsia="Times New Roman" w:hAnsi="Times New Roman"/>
          <w:sz w:val="18"/>
          <w:szCs w:val="18"/>
          <w:color w:val="auto"/>
        </w:rPr>
        <w:t>(g) Depositary issuance fees.</w:t>
      </w:r>
    </w:p>
    <w:p>
      <w:pPr>
        <w:spacing w:after="0" w:line="225"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 The term Registration Statement shall include any registration statement on Form F-6, or any successor form, necessary to register Class A ADSs representing Class A Ordinary Shares issued in accordance with the Deposit Agreement).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Removed Securities</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Requesting Holder</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Take Down Notice</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Underwritten Offering</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to, directly or indirectly,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any interest owned by a person or any interest (including a beneficial interest) in, or the ownership, control or possession of, any interest owned by a person.</w:t>
      </w:r>
    </w:p>
    <w:p>
      <w:pPr>
        <w:spacing w:after="0" w:line="180"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 means a securities dealer who purchases any Registrable Securities as principal in an Underwritten Offering and not as part of such dealer’s market-making activities.</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means a Registration in which securities of the Company are sold to an Underwriter in a firm commitment underwriting for distribution to the public.</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REGISTRATIONS</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Shelf Registration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980"/>
        <w:spacing w:after="0" w:line="252" w:lineRule="auto"/>
        <w:tabs>
          <w:tab w:leader="none" w:pos="121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as soon as practicable, but in any event no later than ninety (90) calendar days after the date hereof, file a Registration Statement under the Securities Act to permit the public resale by the Holders of all the Registrable Securities held by the Holders from time to time as permitted by Rule 415 under the Securities Act (or any successor or similar provision adopted by the Commission then in effect) on the terms and conditions specified in this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and shall use its commercially reasonable efforts to cause such Registration Statement to be declared effective as soon as practicable after the filing thereof, but in no event later than ninety (90) calendar days following the filing deadline (the “</w:t>
      </w:r>
      <w:r>
        <w:rPr>
          <w:rFonts w:ascii="Times New Roman" w:cs="Times New Roman" w:eastAsia="Times New Roman" w:hAnsi="Times New Roman"/>
          <w:sz w:val="18"/>
          <w:szCs w:val="18"/>
          <w:u w:val="single" w:color="auto"/>
          <w:color w:val="auto"/>
        </w:rPr>
        <w:t>Effectiveness Deadline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Effectiveness Deadline shall be extended to one hundred and twenty (120) calendar days after the filing deadline if the Registration Statement is reviewed by, and receives comments from, the Commission. The Registration Statement filed with the Commission pursuant to this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shall be on a shelf Registration Statement on Form F-3 (“</w:t>
      </w:r>
      <w:r>
        <w:rPr>
          <w:rFonts w:ascii="Times New Roman" w:cs="Times New Roman" w:eastAsia="Times New Roman" w:hAnsi="Times New Roman"/>
          <w:sz w:val="18"/>
          <w:szCs w:val="18"/>
          <w:u w:val="single" w:color="auto"/>
          <w:color w:val="auto"/>
        </w:rPr>
        <w:t>Form F-3 Shelf</w:t>
      </w:r>
      <w:r>
        <w:rPr>
          <w:rFonts w:ascii="Times New Roman" w:cs="Times New Roman" w:eastAsia="Times New Roman" w:hAnsi="Times New Roman"/>
          <w:sz w:val="18"/>
          <w:szCs w:val="18"/>
          <w:color w:val="auto"/>
        </w:rPr>
        <w:t>”) or Form F-1 (“</w:t>
      </w:r>
      <w:r>
        <w:rPr>
          <w:rFonts w:ascii="Times New Roman" w:cs="Times New Roman" w:eastAsia="Times New Roman" w:hAnsi="Times New Roman"/>
          <w:sz w:val="18"/>
          <w:szCs w:val="18"/>
          <w:u w:val="single" w:color="auto"/>
          <w:color w:val="auto"/>
        </w:rPr>
        <w:t>Form F-1 Shelf</w:t>
      </w:r>
      <w:r>
        <w:rPr>
          <w:rFonts w:ascii="Times New Roman" w:cs="Times New Roman" w:eastAsia="Times New Roman" w:hAnsi="Times New Roman"/>
          <w:sz w:val="18"/>
          <w:szCs w:val="18"/>
          <w:color w:val="auto"/>
        </w:rPr>
        <w:t xml:space="preserve">”), as applicable, or such other form of Registration Statement as is then available to effect a registration for resale of such Registrable Securities, covering such Registrable Securities, and 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A Registration Statement filed pursuant to this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shall provide for the resale pursuant to any method or combination of methods legally available to, and requested by, the Holders. The Company shall use its commercially reasonable efforts to cause a Registration Statement filed pursuant to this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to remain effective, and to be supplemented and amended to the extent necessary to ensure that such Registration Statement is available or, if not available, that another Registration Statement is available, for the resale of all the Registrable Securities held by the Holders until all such Registrable Securities have ceased to be Registrable Securities. When effective, a Registration Statement filed pursuant to this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(including the documents incorporated therein by reference) will comply as to form in all material respects with all applicable requirements of the Securities Act and the Exchange Act and will not contain an untrue statement of a material fact or omit to state a material fact required to be stated therein or necessary to make the statements therein not misleading (in the case of any Prospectus contained in such Registration Statement, in the light of the circumstances under which such statement is made).</w:t>
      </w:r>
    </w:p>
    <w:p>
      <w:pPr>
        <w:spacing w:after="0" w:line="189" w:lineRule="exact"/>
        <w:rPr>
          <w:rFonts w:ascii="Times New Roman" w:cs="Times New Roman" w:eastAsia="Times New Roman" w:hAnsi="Times New Roman"/>
          <w:sz w:val="18"/>
          <w:szCs w:val="18"/>
          <w:color w:val="auto"/>
        </w:rPr>
      </w:pPr>
    </w:p>
    <w:p>
      <w:pPr>
        <w:jc w:val="both"/>
        <w:ind w:firstLine="980"/>
        <w:spacing w:after="0" w:line="253" w:lineRule="auto"/>
        <w:tabs>
          <w:tab w:leader="none" w:pos="123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limitations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at any time and from time to time following the effectiveness of the shelf Registration Statement required by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a majority in interest of the then-outstanding number of Registrable Securities held by the Holders (the “</w:t>
      </w:r>
      <w:r>
        <w:rPr>
          <w:rFonts w:ascii="Times New Roman" w:cs="Times New Roman" w:eastAsia="Times New Roman" w:hAnsi="Times New Roman"/>
          <w:sz w:val="18"/>
          <w:szCs w:val="18"/>
          <w:u w:val="single" w:color="auto"/>
          <w:color w:val="auto"/>
        </w:rPr>
        <w:t>Demanding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may request to sell all or a portion of their Registrable Securities in an underwritten offering that is registered pursuant to such shelf Registration Statement, including a Block Trade (a “</w:t>
      </w:r>
      <w:r>
        <w:rPr>
          <w:rFonts w:ascii="Times New Roman" w:cs="Times New Roman" w:eastAsia="Times New Roman" w:hAnsi="Times New Roman"/>
          <w:sz w:val="18"/>
          <w:szCs w:val="18"/>
          <w:u w:val="single" w:color="auto"/>
          <w:color w:val="auto"/>
        </w:rPr>
        <w:t>Shelf Underwritten Offering</w:t>
      </w:r>
      <w:r>
        <w:rPr>
          <w:rFonts w:ascii="Times New Roman" w:cs="Times New Roman" w:eastAsia="Times New Roman" w:hAnsi="Times New Roman"/>
          <w:sz w:val="18"/>
          <w:szCs w:val="18"/>
          <w:color w:val="auto"/>
        </w:rPr>
        <w:t>”) provided that the Demanding Holders (i) reasonably expect to sell Registrable Securities yielding aggregate gross proceeds in excess of $50,000,000 from such Shelf Underwritten Offering or (ii) reasonably expect to sell all of the Registrable Securities held by such Holders in such Shelf Underwritten Offering (the amount of Registrable Securities pursuant to the foregoing clause</w:t>
      </w:r>
    </w:p>
    <w:p>
      <w:pPr>
        <w:spacing w:after="0" w:line="5" w:lineRule="exact"/>
        <w:rPr>
          <w:rFonts w:ascii="Times New Roman" w:cs="Times New Roman" w:eastAsia="Times New Roman" w:hAnsi="Times New Roman"/>
          <w:sz w:val="18"/>
          <w:szCs w:val="18"/>
          <w:color w:val="auto"/>
        </w:rPr>
      </w:pPr>
    </w:p>
    <w:p>
      <w:pPr>
        <w:jc w:val="both"/>
        <w:ind w:firstLine="8"/>
        <w:spacing w:after="0" w:line="250" w:lineRule="auto"/>
        <w:tabs>
          <w:tab w:leader="none" w:pos="2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as applicable, the “</w:t>
      </w:r>
      <w:r>
        <w:rPr>
          <w:rFonts w:ascii="Times New Roman" w:cs="Times New Roman" w:eastAsia="Times New Roman" w:hAnsi="Times New Roman"/>
          <w:sz w:val="18"/>
          <w:szCs w:val="18"/>
          <w:u w:val="single" w:color="auto"/>
          <w:color w:val="auto"/>
        </w:rPr>
        <w:t>Minimum Amount</w:t>
      </w:r>
      <w:r>
        <w:rPr>
          <w:rFonts w:ascii="Times New Roman" w:cs="Times New Roman" w:eastAsia="Times New Roman" w:hAnsi="Times New Roman"/>
          <w:sz w:val="18"/>
          <w:szCs w:val="18"/>
          <w:color w:val="auto"/>
        </w:rPr>
        <w:t>”). All requests for a Shelf Underwritten Offering shall be made by giving written notice to the Company (the “</w:t>
      </w:r>
      <w:r>
        <w:rPr>
          <w:rFonts w:ascii="Times New Roman" w:cs="Times New Roman" w:eastAsia="Times New Roman" w:hAnsi="Times New Roman"/>
          <w:sz w:val="18"/>
          <w:szCs w:val="18"/>
          <w:u w:val="single" w:color="auto"/>
          <w:color w:val="auto"/>
        </w:rPr>
        <w:t>Shelf Take Down Notice</w:t>
      </w:r>
      <w:r>
        <w:rPr>
          <w:rFonts w:ascii="Times New Roman" w:cs="Times New Roman" w:eastAsia="Times New Roman" w:hAnsi="Times New Roman"/>
          <w:sz w:val="18"/>
          <w:szCs w:val="18"/>
          <w:color w:val="auto"/>
        </w:rPr>
        <w:t>”). Each Shelf Takedown Notice shall specify the approximate number of Registrable Securities proposed to be sold in the Shelf Underwritten Offering and the expected price range (net of underwriting discounts and commissions) of such Shelf Underwritten Offering. Within five (5) Business Days after receipt of any Shelf Take Down Notice, the Company shall give written notice of such requested Shelf Underwritten Offering to all other Holders of Registrable Securities (the “</w:t>
      </w:r>
      <w:r>
        <w:rPr>
          <w:rFonts w:ascii="Times New Roman" w:cs="Times New Roman" w:eastAsia="Times New Roman" w:hAnsi="Times New Roman"/>
          <w:sz w:val="18"/>
          <w:szCs w:val="18"/>
          <w:u w:val="single" w:color="auto"/>
          <w:color w:val="auto"/>
        </w:rPr>
        <w:t>Company Shelf Takedown Notice</w:t>
      </w:r>
      <w:r>
        <w:rPr>
          <w:rFonts w:ascii="Times New Roman" w:cs="Times New Roman" w:eastAsia="Times New Roman" w:hAnsi="Times New Roman"/>
          <w:sz w:val="18"/>
          <w:szCs w:val="18"/>
          <w:color w:val="auto"/>
        </w:rPr>
        <w:t xml:space="preserve">”) and, subject to the provisions of </w:t>
      </w:r>
      <w:r>
        <w:rPr>
          <w:rFonts w:ascii="Times New Roman" w:cs="Times New Roman" w:eastAsia="Times New Roman" w:hAnsi="Times New Roman"/>
          <w:sz w:val="18"/>
          <w:szCs w:val="18"/>
          <w:u w:val="single" w:color="auto"/>
          <w:color w:val="auto"/>
        </w:rPr>
        <w:t>Section 2.2(d)</w:t>
      </w:r>
      <w:r>
        <w:rPr>
          <w:rFonts w:ascii="Times New Roman" w:cs="Times New Roman" w:eastAsia="Times New Roman" w:hAnsi="Times New Roman"/>
          <w:sz w:val="18"/>
          <w:szCs w:val="18"/>
          <w:color w:val="auto"/>
        </w:rPr>
        <w:t xml:space="preserve"> shall include in such Shelf Underwritten Offering all Registrable Securities with respect to which the Company has received written requests for inclusion therein, within five</w:t>
      </w:r>
    </w:p>
    <w:p>
      <w:pPr>
        <w:spacing w:after="0" w:line="2"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 Business Days after sending the Company Shelf Takedown Notice, or, in the case of a Block Trade, as provided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The Company shall enter into an underwriting agreement in a form as is customary in Underwritten Offerings of securities by the Company with the managing Underwriter or Underwriters selected by the Holders and reasonably acceptable to the Company and shall take all such other reasonable actions as are requested by the managing Underwriter or Underwriters in order to expedite or facilitate the disposition of such Registrable Securities. In connection with any Shelf Underwritten Offering contemplated by this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the underwriting agreement into which each Holder and the Company shall enter shall contain such representations, covenants, indemnities and other rights and obligations as are customary in underwritten offerings of securities by the Company. Any Shelf Underwritten Offering effected pursuant to this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shall be counted as a Registration for purposes of the limit on the number of Registrations that can be effected under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Demand Registration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980"/>
        <w:spacing w:after="0" w:line="252" w:lineRule="auto"/>
        <w:tabs>
          <w:tab w:leader="none" w:pos="12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at any time and from time to time on or after the closing of the Transaction, each of Demanding Holders, may make a written demand for Registration of all or part of their Registrable Securities on (i) Form F-3 or (ii) if not eligible to use Form F-3, Form F-1, which in the case of either clause (i) or (ii), may be a shelf Registration Statement filed pursuant to Rule 415 under the Securities Act, which written demand shall describe the amount and type of securities to be included in such Registration and the intended method(s) of distribution thereof (such written demand a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 The Company shall, promptly following the Company’s receipt of a Demand Registration (and, in any event, within twenty (20) days of its receipt of such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Times New Roman" w:cs="Times New Roman" w:eastAsia="Times New Roman" w:hAnsi="Times New Roman"/>
          <w:sz w:val="18"/>
          <w:szCs w:val="18"/>
          <w:u w:val="single" w:color="auto"/>
          <w:color w:val="auto"/>
        </w:rPr>
        <w:t>Requesting Holder</w:t>
      </w:r>
      <w:r>
        <w:rPr>
          <w:rFonts w:ascii="Times New Roman" w:cs="Times New Roman" w:eastAsia="Times New Roman" w:hAnsi="Times New Roman"/>
          <w:sz w:val="18"/>
          <w:szCs w:val="18"/>
          <w:color w:val="auto"/>
        </w:rPr>
        <w:t xml:space="preserve">”) shall so notify the Company, in writing, within ten (10) days after the receipt by the Holder of the notice from the Company. For the avoidance of doubt, to the extent a Requesting Holder also separately possesses Demand Registration rights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but is not the Holder who exercises such Demand Registration rights, the exercise by such Requesting Holder of its rights pursuant to the foregoing sentence shall not count as the exercise by it of one of its Demand Registration rights. Upon receipt by the Company of any such written notification from a Requesting Holder(s) to the Company, subject to </w:t>
      </w:r>
      <w:r>
        <w:rPr>
          <w:rFonts w:ascii="Times New Roman" w:cs="Times New Roman" w:eastAsia="Times New Roman" w:hAnsi="Times New Roman"/>
          <w:sz w:val="18"/>
          <w:szCs w:val="18"/>
          <w:u w:val="single" w:color="auto"/>
          <w:color w:val="auto"/>
        </w:rPr>
        <w:t>Section 2.2(d)</w:t>
      </w:r>
      <w:r>
        <w:rPr>
          <w:rFonts w:ascii="Times New Roman" w:cs="Times New Roman" w:eastAsia="Times New Roman" w:hAnsi="Times New Roman"/>
          <w:sz w:val="18"/>
          <w:szCs w:val="18"/>
          <w:color w:val="auto"/>
        </w:rPr>
        <w:t>, such Requesting Holder(s) shall be entitled to have their Registrable Securities included in a Registration pursuant to a Demand Registration and the Company shall effect, as soon thereafter as practicable, the Registration of all Registrable Securities requested by the Demanding Holders and Requesting Holders pursuant to such Demand Registration.</w:t>
      </w:r>
    </w:p>
    <w:p>
      <w:pPr>
        <w:spacing w:after="0" w:line="195" w:lineRule="exact"/>
        <w:rPr>
          <w:rFonts w:ascii="Times New Roman" w:cs="Times New Roman" w:eastAsia="Times New Roman" w:hAnsi="Times New Roman"/>
          <w:sz w:val="18"/>
          <w:szCs w:val="18"/>
          <w:color w:val="auto"/>
        </w:rPr>
      </w:pPr>
    </w:p>
    <w:p>
      <w:pPr>
        <w:jc w:val="both"/>
        <w:ind w:firstLine="980"/>
        <w:spacing w:after="0" w:line="253" w:lineRule="auto"/>
        <w:tabs>
          <w:tab w:leader="none" w:pos="12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of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ten (10) days after the removal, rescission or other termination of such stop order or injunction, of such election;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shall not be obligated or required to file another Registration Statement until the Registration Statement that has been previously filed with respect to a Registration pursuant to a Demand Registration by the same Demand Holder becomes effective or is subsequently terminated.</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firstLine="980"/>
        <w:spacing w:after="0" w:line="254" w:lineRule="auto"/>
        <w:tabs>
          <w:tab w:leader="none" w:pos="122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2.2(d)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shall enter into an underwriting agreement in customary form with the Company and the Underwriter or Underwriters, as applicable, selected for such Underwritten Offering by the majority-in-interest of the Demanding Holders initiating the Demand Registration, which Underwriter or Underwriters, as applicable, shall be reasonably satisfactory to the Company.</w:t>
      </w:r>
    </w:p>
    <w:p>
      <w:pPr>
        <w:spacing w:after="0" w:line="191" w:lineRule="exact"/>
        <w:rPr>
          <w:rFonts w:ascii="Times New Roman" w:cs="Times New Roman" w:eastAsia="Times New Roman" w:hAnsi="Times New Roman"/>
          <w:sz w:val="18"/>
          <w:szCs w:val="18"/>
          <w:color w:val="auto"/>
        </w:rPr>
      </w:pPr>
    </w:p>
    <w:p>
      <w:pPr>
        <w:jc w:val="both"/>
        <w:ind w:firstLine="980"/>
        <w:spacing w:after="0" w:line="252" w:lineRule="auto"/>
        <w:tabs>
          <w:tab w:leader="none" w:pos="12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Demand Registration is to be an Underwritten Offering and the managing Underwriter or Underwriters, in good faith, advises the Company, the Demanding Holders and the Requesting Holders (if any) in writing that, in its opinion, the dollar amount or number of Registrable Securities that the Demanding Holders and the Requesting Holders (if any) desire to sell, taken together with all other Registrable Securities or other equity securities that the Company desires to sell for its own account and the Registrable Securities, if any, as to which a Registration has been requested pursuant to separate written contractual piggyback registration rights held by any other stockholders of the Company who desire to sell, exceeds the maximum dollar amount or maximum number of equity securities that can be sold in such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8"/>
          <w:szCs w:val="18"/>
          <w:u w:val="single" w:color="auto"/>
          <w:color w:val="auto"/>
        </w:rPr>
        <w:t>Maximum Number of Securities</w:t>
      </w:r>
      <w:r>
        <w:rPr>
          <w:rFonts w:ascii="Times New Roman" w:cs="Times New Roman" w:eastAsia="Times New Roman" w:hAnsi="Times New Roman"/>
          <w:sz w:val="18"/>
          <w:szCs w:val="18"/>
          <w:color w:val="auto"/>
        </w:rPr>
        <w:t>”), then the Company shall include in such Underwritten Offering, as follows: (i) first, the Registrable Securities of the Demanding Holders and the Requesting Holders (if any) (pro rata based on the total amount of Registrable Securities held by each such Demanding Holder and Requesting Holder (if any) (such proportion is referred to herein as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that can be sold without exceeding the Maximum Number of Securities; (ii) second, to the extent that the Maximum Number of Securities has not been reached under the foregoing clause (i), the Registrable Securities or other equity securities that the Company desires to sell for its own account, which can be sold without exceeding the Maximum Number of Securities; and (iii) third, to the extent that the Maximum Number of Securities has not been reached under the foregoing clauses (i) and (ii), the Registrable Securities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972"/>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Withdrawal of Securities</w:t>
      </w:r>
      <w:r>
        <w:rPr>
          <w:rFonts w:ascii="Times New Roman" w:cs="Times New Roman" w:eastAsia="Times New Roman" w:hAnsi="Times New Roman"/>
          <w:sz w:val="18"/>
          <w:szCs w:val="18"/>
          <w:color w:val="auto"/>
        </w:rPr>
        <w:t>. A Demanding Holder or a Requesting Holder shall have the right to withdraw all or a portion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Registrable Securities included in a Demand Registration pursuant to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or a Shelf Underwritten Offering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for any or no reason whatsoever upon written notification to the Company and the Underwriter or Underwriters (if any) of its intention to so withdraw at any time prior to (i) in the case of a Demand Registration not involving an Underwritten Offering, the effectiveness of the applicable Registration Statement or (ii) in the case of any Demand Registration involving an Underwritten Offering or any Shelf Underwritten Offering, prior to the pricing of such Underwritten Offering or Shelf Underwritten Offering; provided, however, that upon withdrawal by a majority-in-interest of the Demanding Holders initiating a Demand Registration (or in the case of a Shelf Underwritten Offering, withdrawal of an amount of Registrable Securities included by the Holders in such Shelf Underwritten Offering, in their capacity as Demanding Holders, being less than the Minimum Amount), the Company shall cease all efforts to secure effectiveness of the applicable Registration Statement or complete the Underwritten Offering, as applicable. Notwithstanding anything to the contrary in this Agreement, the Company shall be responsible for the Registration Expenses incurred in connection with a Registration pursuant to a Demand Registration or a Shelf Underwritten Offering prior to and including its withdrawal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Piggyback Registration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980"/>
        <w:spacing w:after="0" w:line="251" w:lineRule="auto"/>
        <w:tabs>
          <w:tab w:leader="none" w:pos="12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other than an Exempted Registration Statement, then the Company shall give written notice of such proposed filing to all of the Holders of Registrable Securities as soon as practicable but not less than ten (10) days (or, in the case of a Block Trade, five (5) Business Days) before the anticipated filing date of such Registration Statement, which notice shall (i) describe the amount and type of securities to be included in such offering, the intended method(s) of distribution (including whether such registration will be pursuant to a shelf Registration Statement), and the proposed price and name of the proposed managing Underwriter or Underwriters, if any, in such offering, (ii) such Holders’ rights under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(iii) offer to all of the Holders of Registrable Securities the opportunity to register the sale of such number of Registrable Securities as such Holders may request in writing within five (5) days after receipt of such written notice (or in the case of a Block Trade, within two (2) Business Days) (such Registration a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xml:space="preserve">”). The Company shall, in good faith, cause such Registrable Securities identified in a Holder’s response notice described in the foregoing sentence to be included in such Piggyback Registration and shall use its commercially reasonable efforts to cause the managing Underwriter or Underwriters of a proposed Underwritten Offering, if any, to permit the Registrable Securities requested by the Holders pursuant to this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to be included in a Piggyback Registration on the same terms and conditions as any similar securities of the Company or Company stockholder or stockholders, applicable, for whose account the Registration Statement is to be filed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enter into an underwriting agreement in customary form with the Underwriter(s) selected for such Underwritten Offering by the Company or Company stockholder or stockholders, as applicable, for whose account the Registration Statement is to be filed. For purposes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 filing by the Company of an automatic shelf Registration Statement for offerings pursuant to Rule 415(a) that omits information with respect to any specific offering pursuant to Rule 430B shall not trigger any notification or participation rights hereunder until such time as the Company amends or supplements such Registration Statement to include information with respect to a specific offering of Securities (and such amendment or supplement shall trigger the notice and participation rights provided for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ind w:firstLine="980"/>
        <w:spacing w:after="0" w:line="255" w:lineRule="auto"/>
        <w:tabs>
          <w:tab w:leader="none" w:pos="12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Piggyback Registration is to be an Underwritten Offering and the managing Underwriter or Underwriters, in good faith, advises the Company and the Holders of Registrable Securities participating in the Piggyback Registration in writing that, in its opinion, the dollar amount or number of the Registrable Securities that the Company desires to sell, taken together with (x) the Registrable Securities, if any, as to which Registration has been demanded pursuant to separate written contractual arrangements with persons or entities other than the Holders of Registrable Securities hereunder, (y) the Registrable Securities as to which registration has been requested pursuant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and (z) the Registrable Securities, if any, as to which Registration has been requested pursuant to separate written contractual piggyback registration rights of other stockholders of the Company, exceeds the Maximum Number of Securities, then:</w:t>
      </w:r>
    </w:p>
    <w:p>
      <w:pPr>
        <w:spacing w:after="0" w:line="189" w:lineRule="exact"/>
        <w:rPr>
          <w:sz w:val="20"/>
          <w:szCs w:val="20"/>
          <w:color w:val="auto"/>
        </w:rPr>
      </w:pPr>
    </w:p>
    <w:p>
      <w:pPr>
        <w:jc w:val="both"/>
        <w:ind w:firstLine="980"/>
        <w:spacing w:after="0" w:line="254" w:lineRule="auto"/>
        <w:tabs>
          <w:tab w:leader="none" w:pos="11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Registration is undertaken for the Company’s account, the Company shall include in any such Registration (1) first, the Registrable Securities or other equity securities that the Company desires to sell for its own account, which can be sold without exceeding the Maximum Number of Securities, (2) second, to the extent that the Maximum Number of Securities has not been reached under the foregoing clause (1),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Pro Rata, which can be sold without exceeding the Maximum Number of Securities and (3) third, to the extent that the Maximum Number of Securities has not been reached under the foregoing clauses</w:t>
      </w:r>
    </w:p>
    <w:p>
      <w:pPr>
        <w:spacing w:after="0" w:line="3" w:lineRule="exact"/>
        <w:rPr>
          <w:rFonts w:ascii="Times New Roman" w:cs="Times New Roman" w:eastAsia="Times New Roman" w:hAnsi="Times New Roman"/>
          <w:sz w:val="18"/>
          <w:szCs w:val="18"/>
          <w:color w:val="auto"/>
        </w:rPr>
      </w:pPr>
    </w:p>
    <w:p>
      <w:pPr>
        <w:ind w:firstLine="8"/>
        <w:spacing w:after="0" w:line="260" w:lineRule="auto"/>
        <w:tabs>
          <w:tab w:leader="none" w:pos="2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(2), the Registrable Securities, if any, as to which Registration has been requested pursuant to written contractual piggyback registration rights of other stockholders of the Company, which can be sold without exceeding the Maximum Number of Securities; and</w:t>
      </w:r>
    </w:p>
    <w:p>
      <w:pPr>
        <w:spacing w:after="0" w:line="181" w:lineRule="exact"/>
        <w:rPr>
          <w:rFonts w:ascii="Times New Roman" w:cs="Times New Roman" w:eastAsia="Times New Roman" w:hAnsi="Times New Roman"/>
          <w:sz w:val="18"/>
          <w:szCs w:val="18"/>
          <w:color w:val="auto"/>
        </w:rPr>
      </w:pPr>
    </w:p>
    <w:p>
      <w:pPr>
        <w:jc w:val="both"/>
        <w:ind w:firstLine="980"/>
        <w:spacing w:after="0" w:line="253" w:lineRule="auto"/>
        <w:tabs>
          <w:tab w:leader="none" w:pos="124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Registration is pursuant to a request by persons or entities other than the Holders of Registrable Securities, then the Company shall include in any such Registration (1) first, the Registrable Securities or other equity securities, if any, of such requesting persons or entities, other than the Holders of Registrable Securities, which can be sold without exceeding the Maximum Number of Securities, (2) second, to the extent that the Maximum Number of Securities has not been reached under the foregoing clause (1), the Registrable Securities of Holders exercising their rights to register their Registrable Securities pursuant to this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Pro Rata, which can be sold without exceeding the Maximum Number of Securities, (3) third, to the extent that the Maximum Number of Securities has not been reached under the foregoing clauses (1) and (2), the Registrable Securities or other equity securities that the Company desires to sell for its own account, which can be sold without exceeding the Maximum Number of Securities and (4) fourth, to the extent that the Maximum Number of Securities has not been reached under the foregoing clauses (1), (2) and (3), the Registrable Securities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980"/>
        <w:spacing w:after="0" w:line="253" w:lineRule="auto"/>
        <w:tabs>
          <w:tab w:leader="none" w:pos="12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Holder of Registrable Securities shall have the right to withdraw all or any portion of its Registrable Securities in a Piggyback Registration for any or no reason whatsoever upon written notification to the Company and the Underwriter or Underwriters (if any) of his, her or its intention to withdraw such Registrable Securities from such Piggyback Registration prior to (i) in the case of a Piggyback Registration not involving an Underwritten Offering or Shelf Underwritten Offering, the effectiveness of the applicable Registration Statement or (ii), in the case of any Piggyback Registration involving an Underwritten Offering or any Shelf Underwritten Offering, prior to the pricing of such Underwritten Offering or Shelf Underwritten Offering.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and including its withdrawal under this </w:t>
      </w:r>
      <w:r>
        <w:rPr>
          <w:rFonts w:ascii="Times New Roman" w:cs="Times New Roman" w:eastAsia="Times New Roman" w:hAnsi="Times New Roman"/>
          <w:sz w:val="18"/>
          <w:szCs w:val="18"/>
          <w:u w:val="single" w:color="auto"/>
          <w:color w:val="auto"/>
        </w:rPr>
        <w:t>Section 2.4(c)</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firstLine="980"/>
        <w:spacing w:after="0" w:line="282" w:lineRule="auto"/>
        <w:tabs>
          <w:tab w:leader="none" w:pos="12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clarity, any Registration effected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not be counted as a Registration pursuant to a Demand Registration effected under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a Shelf Underwritten Offering effected under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Block Trades</w:t>
      </w:r>
      <w:r>
        <w:rPr>
          <w:rFonts w:ascii="Times New Roman" w:cs="Times New Roman" w:eastAsia="Times New Roman" w:hAnsi="Times New Roman"/>
          <w:sz w:val="18"/>
          <w:szCs w:val="18"/>
          <w:color w:val="auto"/>
        </w:rPr>
        <w:t>. Subject to Section 2.7, if the Holders desire to effect a Block Trade, then notwithstanding any other time periods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Article II, the Holders shall provide written notice to the Company at least five (5) Business Days prior to the date such Block Trade will commence. As expeditiously as possible, the Company shall use its commercially reasonable efforts to facilitate such Block Trade. The Holders shall use reasonable best efforts to work with the Company and the Underwriters (including by disclosing the maximum number of Registrable Securities proposed to be the subject of such Block Trade) in order to facilitate preparation of the Registration Statement, Prospectus and other offering documentation related to the Block Trade and any related due diligence and comfort procedures. In the event of a Block Trade, and after consultation with the Company, the Demanding Holders and the Requesting Holders (if any) shall determine the Maximum Number of Securities, the underwriter or underwriters and share price of such offering.</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972"/>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Rule 415; Removal</w:t>
      </w:r>
      <w:r>
        <w:rPr>
          <w:rFonts w:ascii="Times New Roman" w:cs="Times New Roman" w:eastAsia="Times New Roman" w:hAnsi="Times New Roman"/>
          <w:sz w:val="18"/>
          <w:szCs w:val="18"/>
          <w:color w:val="auto"/>
        </w:rPr>
        <w:t>. If at any time, the Commission takes the position that the offering of some or all of the Registrable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Securities in a Registration Statement on Form F-3 filed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is not eligible to be made on a delayed or continuous basis under the provisions of Rule 415 under the Securities Act (provided, however, the Company shall be obligated to use diligent efforts to advocate with the Commission for the registration of all of the Registrable Securities in accordance with the Commission Guidance, including Compliance and Disclosure Interpretation 612.09) or requires a Holder to be named as an “underwriter,” the Company shall (a) promptly notify each holder of Registrable Securities thereof (or in the case of the Commission requiring a Holder to be named as an “underwriter,” the Holder) and (b) use commercially reasonable efforts to persuade the Commission that the offering contemplated by such Registration Statement is a valid secondary offering and not an offering “by or on behalf of the issuer” as defined in Rule 415 and that none of the Holders is an “underwriter.” The Holders shall have the right to select one legal counsel designated by the holders of a majority of the Registrable Securities subject to such Registration Statement to review and oversee any registration or matters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including participation in any meetings or discussions with the Commission regarding the Commission’s position and to comment on any written submission made to the Commission with respect thereto. No such written submission with respect to this matter shall be made to the Commission to which the applicable Holders’ counsel reasonably objects. In the event that, despite the Company’s commercially reasonable efforts and compliance with the terms of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the Commission refuses to alter its position, the Company shall (a) remove from such Registration Statement such portion of the Registrable Securities (the “</w:t>
      </w:r>
      <w:r>
        <w:rPr>
          <w:rFonts w:ascii="Times New Roman" w:cs="Times New Roman" w:eastAsia="Times New Roman" w:hAnsi="Times New Roman"/>
          <w:sz w:val="18"/>
          <w:szCs w:val="18"/>
          <w:u w:val="single" w:color="auto"/>
          <w:color w:val="auto"/>
        </w:rPr>
        <w:t>Removed Securities</w:t>
      </w:r>
      <w:r>
        <w:rPr>
          <w:rFonts w:ascii="Times New Roman" w:cs="Times New Roman" w:eastAsia="Times New Roman" w:hAnsi="Times New Roman"/>
          <w:sz w:val="18"/>
          <w:szCs w:val="18"/>
          <w:color w:val="auto"/>
        </w:rPr>
        <w:t xml:space="preserve">”) or (b) agree to such restrictions and limitations on the registration and resale of the Registrable Securities as the Commission may require to assure the Company’s compliance with the requirements of Rule 415;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agree to name any Holder as an “underwriter” in such Registration Statement without the prior written consent of such Holder. In the event of a share removal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the Company shall give the applicable Holders at least five (5) days prior written notice along with the calculations as to such Holder’s allotment. Subject to the Company’s obligations under the Purchase Agreement, any removal of Class A Ordinary Shares represented by Class A ADSs of the Holders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shall first be applied to Holders other than the Holders with securities registered for resale under the applicable Registration Statement and thereafter allocated between the Holders on a Pro Rata basis based on the aggregate amount of Registrable Securities held by the Holders. In the event of a share removal of the Holders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the Company shall promptly register the resale of any Removed Securities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In the case of a Form F-1 Shelf filed to register the resale of Removed Securities, upon such date as the Company becomes eligible to register all of the Removed Securities for resale on a Form F-3 Shelf pursuant to the Commission Guidance and, if applicable, without a requirement that any of the Holders be named as an “underwriter” therein, the Company shall use its commercially reasonable efforts to file a Form F-3 Shelf as promptly as practicable to replace the applicable Form F-1 Shelf and have the Form F-3 Shelf declared effective as promptly as practicable and to cause such Form F-3 Shelf to remain effective, and to be supplemented and amended to the extent necessary to ensure that such Registration Statement is available or, if not available, that another Registration Statement is available, for the resale of all the Registrable Securities thereunder held by the applicable Holders until all such Registrable Securities have ceased to be Registrable Securities.</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Restrictions on Registration and Block Trade Rights; Suspension of Sales; Adverse Disclosure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980"/>
        <w:spacing w:after="0" w:line="258" w:lineRule="auto"/>
        <w:tabs>
          <w:tab w:leader="none" w:pos="122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in no event will the Holders be entitled, on a collective basis, to initiate more than (i) an aggregate of ten (10) Registrations pursuant to a Demand Registration, (ii) more than four (4) Shelf Underwritten Offerings in any twelve-month period or (iii) more than four (4) Block Trades in any twelve month period, provided that the estimated proceeds of any such Block Trade shall not be less than $25,000,000, in each of the foregoing clauses (i), (ii) and (iii)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Registration shall not be counted for such purposes unless a Registration Statement that may be available at such time has become effective.</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firstLine="980"/>
        <w:spacing w:after="0" w:line="254" w:lineRule="auto"/>
        <w:tabs>
          <w:tab w:leader="none" w:pos="12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upon receipt of written notice from the Company that a Registration Statement or Prospectus contains a Misstatement, or in the opinion of counsel for the Company it is necessary to supplement or amend such Prospectus to comply with law, each of the Holders shall forthwith discontinue disposition of Registrable Securities until it has received copies of a supplemented or amended Prospectus correcting the Misstatement or including the information counsel for the Company believes to be necessary to comply with law (it being understood that the Company hereby covenants to prepare and file such supplement or amendment as soon as practicable after the time of such notice such that the Registration Statement or Prospectus, as so amended or supplemented, as applicable, will not include a Misstatement and complies with law), or until it is advised in writing by the Company that the use of the Prospectus may be resumed. The Company shall promptly notify the Holders of the expiration of any period during which it exercised its rights under this </w:t>
      </w:r>
      <w:r>
        <w:rPr>
          <w:rFonts w:ascii="Times New Roman" w:cs="Times New Roman" w:eastAsia="Times New Roman" w:hAnsi="Times New Roman"/>
          <w:sz w:val="18"/>
          <w:szCs w:val="18"/>
          <w:u w:val="single" w:color="auto"/>
          <w:color w:val="auto"/>
        </w:rPr>
        <w:t>Section 2.7(c)</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980"/>
        <w:spacing w:after="0" w:line="252" w:lineRule="auto"/>
        <w:tabs>
          <w:tab w:leader="none" w:pos="12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the Company shall not be obligated to (i) effect any Demand Registration or Underwritten Offering or (ii) file a Registration Statement (or any amendment thereto) or effect an Underwritten Offering (or, if the Company has filed a Registration Statement that includes Registrable Securities, the Company shall be entitled to suspend the offer and sale of Registrable Securities pursuant to such Registration Statement) for a period of up to forty-five (45) days if the Company has determined that the sale of Registrable Securities pursuant a Registration Statement would require the Company to make an Adverse Disclosure, would require the inclusion in such Registration Statement of financial statements that are unavailable to the Company for reasons beyond the Company’s control or in the good faith judgment of the Board would be materially detrimental to the Company (any such period, a “</w:t>
      </w:r>
      <w:r>
        <w:rPr>
          <w:rFonts w:ascii="Times New Roman" w:cs="Times New Roman" w:eastAsia="Times New Roman" w:hAnsi="Times New Roman"/>
          <w:sz w:val="18"/>
          <w:szCs w:val="18"/>
          <w:u w:val="single" w:color="auto"/>
          <w:color w:val="auto"/>
        </w:rPr>
        <w:t>Blackout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no event shall any Blackout Period together with other Blackout Periods exceed an aggregate of one hundred and twenty (120) days in any twelve (12)-month period. In the event the Company exercises its rights under this </w:t>
      </w:r>
      <w:r>
        <w:rPr>
          <w:rFonts w:ascii="Times New Roman" w:cs="Times New Roman" w:eastAsia="Times New Roman" w:hAnsi="Times New Roman"/>
          <w:sz w:val="18"/>
          <w:szCs w:val="18"/>
          <w:u w:val="single" w:color="auto"/>
          <w:color w:val="auto"/>
        </w:rPr>
        <w:t>Section 2.7(d)</w:t>
      </w:r>
      <w:r>
        <w:rPr>
          <w:rFonts w:ascii="Times New Roman" w:cs="Times New Roman" w:eastAsia="Times New Roman" w:hAnsi="Times New Roman"/>
          <w:sz w:val="18"/>
          <w:szCs w:val="18"/>
          <w:color w:val="auto"/>
        </w:rPr>
        <w:t xml:space="preserve">, the Holders agree to suspend, immediately upon their receipt of the notice referred to above, their use of any Prospectus relating to any Registration in connection with any sale or offer to sell Registrable Securities. The Company shall promptly notify the Holders of the expiration of any period during which it exercised its rights under this </w:t>
      </w:r>
      <w:r>
        <w:rPr>
          <w:rFonts w:ascii="Times New Roman" w:cs="Times New Roman" w:eastAsia="Times New Roman" w:hAnsi="Times New Roman"/>
          <w:sz w:val="18"/>
          <w:szCs w:val="18"/>
          <w:u w:val="single" w:color="auto"/>
          <w:color w:val="auto"/>
        </w:rPr>
        <w:t>Section 2.7(d)</w:t>
      </w:r>
      <w:r>
        <w:rPr>
          <w:rFonts w:ascii="Times New Roman" w:cs="Times New Roman" w:eastAsia="Times New Roman" w:hAnsi="Times New Roman"/>
          <w:sz w:val="18"/>
          <w:szCs w:val="18"/>
          <w:color w:val="auto"/>
        </w:rPr>
        <w:t>. The Holders receiving notice of a Blackout Period (and the expiration thereof) shall maintain the confidentiality of the existence (and circumstances, to the extent known) of a Blackout Period. In connection with any notice of a Blackout Period, the Company may not deliver any material non-public information, and, for avoidance of doubt, solely the receipt of notice of a Blackout Period without additional information shall not constitute material non-public information.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PROCEDURES</w:t>
      </w:r>
    </w:p>
    <w:p>
      <w:pPr>
        <w:spacing w:after="0" w:line="203" w:lineRule="exact"/>
        <w:rPr>
          <w:sz w:val="20"/>
          <w:szCs w:val="20"/>
          <w:color w:val="auto"/>
        </w:rPr>
      </w:pPr>
    </w:p>
    <w:p>
      <w:pPr>
        <w:jc w:val="both"/>
        <w:ind w:firstLine="97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General Procedures</w:t>
      </w:r>
      <w:r>
        <w:rPr>
          <w:rFonts w:ascii="Times New Roman" w:cs="Times New Roman" w:eastAsia="Times New Roman" w:hAnsi="Times New Roman"/>
          <w:sz w:val="18"/>
          <w:szCs w:val="18"/>
          <w:color w:val="auto"/>
        </w:rPr>
        <w:t>. If the Company is required to effect the Registration of Registrable Securities, the Company shall use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commercially reasonable efforts to effect such Registration to permit the sale of such Registrable Securities in accordance with the intended method of distribution thereof, and pursuant thereto the Company shall, as expeditiously as reasonably possible:</w:t>
      </w:r>
    </w:p>
    <w:p>
      <w:pPr>
        <w:spacing w:after="0" w:line="175" w:lineRule="exact"/>
        <w:rPr>
          <w:sz w:val="20"/>
          <w:szCs w:val="20"/>
          <w:color w:val="auto"/>
        </w:rPr>
      </w:pPr>
    </w:p>
    <w:p>
      <w:pPr>
        <w:jc w:val="both"/>
        <w:ind w:firstLine="980"/>
        <w:spacing w:after="0" w:line="266" w:lineRule="auto"/>
        <w:tabs>
          <w:tab w:leader="none" w:pos="12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Commission as soon as reasonably practicable a Registration Statement with respect to such Registrable Securities and use its commercially reasonable efforts to cause such Registration Statement to become effective and remain effective until all Registrable Securities covered by such Registration Statement have been sold;</w:t>
      </w:r>
    </w:p>
    <w:p>
      <w:pPr>
        <w:spacing w:after="0" w:line="175" w:lineRule="exact"/>
        <w:rPr>
          <w:rFonts w:ascii="Times New Roman" w:cs="Times New Roman" w:eastAsia="Times New Roman" w:hAnsi="Times New Roman"/>
          <w:sz w:val="18"/>
          <w:szCs w:val="18"/>
          <w:color w:val="auto"/>
        </w:rPr>
      </w:pPr>
    </w:p>
    <w:p>
      <w:pPr>
        <w:jc w:val="both"/>
        <w:ind w:firstLine="980"/>
        <w:spacing w:after="0" w:line="261" w:lineRule="auto"/>
        <w:tabs>
          <w:tab w:leader="none" w:pos="12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Commission such amendments and post-effective amendments to the Registration Statement, and such supplements to the Prospectus as may be required by the Securities Act or rules and regulations thereunder to keep the Registration Statement effective until all Registrable Securities covered by such Registration Statement are sold in accordance with the intended method of distribution set forth in such Registration Statement or supplement to the Prospectus;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980"/>
        <w:spacing w:after="0" w:line="256" w:lineRule="auto"/>
        <w:tabs>
          <w:tab w:leader="none" w:pos="12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reasonably request in order to facilitate the disposition of the Registrable Securities owned by such Holders;</w:t>
      </w:r>
    </w:p>
    <w:p>
      <w:pPr>
        <w:spacing w:after="0" w:line="187" w:lineRule="exact"/>
        <w:rPr>
          <w:rFonts w:ascii="Times New Roman" w:cs="Times New Roman" w:eastAsia="Times New Roman" w:hAnsi="Times New Roman"/>
          <w:sz w:val="18"/>
          <w:szCs w:val="18"/>
          <w:color w:val="auto"/>
        </w:rPr>
      </w:pPr>
    </w:p>
    <w:p>
      <w:pPr>
        <w:jc w:val="both"/>
        <w:ind w:firstLine="980"/>
        <w:spacing w:after="0" w:line="253" w:lineRule="auto"/>
        <w:tabs>
          <w:tab w:leader="none" w:pos="12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any public offering of Registrable Securities, but in any case no later than the effective date of the applicable Registration Statement,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method of distribution) may reasonably request and to keep such registration or qualification in effect for so long as such Registration Statement remains in effect and (ii) take such action as may be necessary to cause such Registrable Securities covered by the Registration Statement to be registered with or approved by such other governmental authorities as may be necessary by virtue of the business and operations of the Company or otherwise and do any and all other acts and things that may be necessary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94"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all such Registrable Securities to be listed on the Nasdaq Global Select Market no later than the effective date of such Registration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w:t>
      </w:r>
    </w:p>
    <w:p>
      <w:pPr>
        <w:spacing w:after="0" w:line="206"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such Registrable Securities no later than the effective date of such Registration Statement;</w:t>
      </w:r>
    </w:p>
    <w:p>
      <w:pPr>
        <w:spacing w:after="0" w:line="225" w:lineRule="exact"/>
        <w:rPr>
          <w:rFonts w:ascii="Times New Roman" w:cs="Times New Roman" w:eastAsia="Times New Roman" w:hAnsi="Times New Roman"/>
          <w:sz w:val="18"/>
          <w:szCs w:val="18"/>
          <w:color w:val="auto"/>
        </w:rPr>
      </w:pPr>
    </w:p>
    <w:p>
      <w:pPr>
        <w:jc w:val="both"/>
        <w:ind w:firstLine="980"/>
        <w:spacing w:after="0" w:line="259" w:lineRule="auto"/>
        <w:tabs>
          <w:tab w:leader="none" w:pos="12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seller of Registrable Securities covered by such Registration Statement such number of conformed copies of such Registration Statement and of each such amendment and supplement thereto (in each case including all exhibits), such number of copies of the Prospectus contained in such Registration Statement (including each preliminary Prospectus and any summary Prospectus) and any other Prospectus filed under Rule 424 under the Securities Act, in conformity with the requirements of the Securities Act, and such other documents as such seller may reasonably request;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980"/>
        <w:spacing w:after="0" w:line="261" w:lineRule="auto"/>
        <w:tabs>
          <w:tab w:leader="none" w:pos="123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each seller of such Registrable Securities, promptly after it shall receive notice or obtain knowledge thereof, of the issuance of any stop order by the Commission suspending the effectiveness of such Registration Statement or Prospectus the initiation or threatening of any proceeding for such purpose and promptly use its commercially reasonable efforts to amend or supplement such Registration Statement or Prospectus or prevent the issuance of any stop order or to obtain its withdrawal if such stop order should be issued, as applicable;</w:t>
      </w:r>
    </w:p>
    <w:p>
      <w:pPr>
        <w:spacing w:after="0" w:line="179" w:lineRule="exact"/>
        <w:rPr>
          <w:rFonts w:ascii="Times New Roman" w:cs="Times New Roman" w:eastAsia="Times New Roman" w:hAnsi="Times New Roman"/>
          <w:sz w:val="18"/>
          <w:szCs w:val="18"/>
          <w:color w:val="auto"/>
        </w:rPr>
      </w:pPr>
    </w:p>
    <w:p>
      <w:pPr>
        <w:jc w:val="both"/>
        <w:ind w:firstLine="980"/>
        <w:spacing w:after="0" w:line="266" w:lineRule="auto"/>
        <w:tabs>
          <w:tab w:leader="none" w:pos="11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each Holder of Registrable Securities covered by such Registration Statement, promptly after the Company receives notice thereof, of the time when such Registration Statement has been declared effective or a supplement to any Prospectus forming a part of such Registration Statement has been filed;</w:t>
      </w:r>
    </w:p>
    <w:p>
      <w:pPr>
        <w:spacing w:after="0" w:line="175" w:lineRule="exact"/>
        <w:rPr>
          <w:rFonts w:ascii="Times New Roman" w:cs="Times New Roman" w:eastAsia="Times New Roman" w:hAnsi="Times New Roman"/>
          <w:sz w:val="18"/>
          <w:szCs w:val="18"/>
          <w:color w:val="auto"/>
        </w:rPr>
      </w:pPr>
    </w:p>
    <w:p>
      <w:pPr>
        <w:jc w:val="both"/>
        <w:ind w:firstLine="980"/>
        <w:spacing w:after="0" w:line="255" w:lineRule="auto"/>
        <w:tabs>
          <w:tab w:leader="none" w:pos="119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the Holders at any time when a Prospectus relating to such Registration Statement is required to be delivered under the Securities Act, of the happening of any event or the existence of any condition as a result of which the Prospectus included in such Registration Statement, as then in effect, includes a Misstatement, or in the opinion of counsel for the Company it is necessary to supplement or amend such Prospectus to comply with law, and then to correct such Misstatement or include such information as is necessary to comply with law, in each case as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at the request of any such Holder promptly prepare and furnish to such Holder a reasonable number of copies of a supplement to or an amendment of such Prospectus as may be necessary so that, as thereafter delivered to the purchasers of such securities, such Prospectus shall not include a Misstatement or such Prospectus, as supplemented or amended, shall comply with law;</w:t>
      </w:r>
    </w:p>
    <w:p>
      <w:pPr>
        <w:spacing w:after="0" w:line="188" w:lineRule="exact"/>
        <w:rPr>
          <w:rFonts w:ascii="Times New Roman" w:cs="Times New Roman" w:eastAsia="Times New Roman" w:hAnsi="Times New Roman"/>
          <w:sz w:val="18"/>
          <w:szCs w:val="18"/>
          <w:color w:val="auto"/>
        </w:rPr>
      </w:pPr>
    </w:p>
    <w:p>
      <w:pPr>
        <w:jc w:val="both"/>
        <w:ind w:firstLine="980"/>
        <w:spacing w:after="0" w:line="254" w:lineRule="auto"/>
        <w:tabs>
          <w:tab w:leader="none" w:pos="12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for inspection, at such place and in such manner as determined by the Company in its sole discretion, permit a representative of the Holders, the Underwriters, if any, and any attorney or accountant retained by such Holders or Underwriter access to the Company’s books and records and such opportunities to discuss the business, finances and accounts of the Company and its subsidiaries with its officers, directors and the independent public accountants who have certified its financial statements as shall be necessary, in the opinion of such Holders’ and such Underwriters’ respective counsel, to conduct a reasonable investigation within the meaning of the Securities Act, and will cause the Company’s officers, directors and employees to supply all information reasonably requested by any such representative, Underwriter, attorney or accountant in connection with the Registration; provided, however, that (i) if requested by the Company, such representatives, Holders or Underwriters enter into a confidentiality agreement, in form and substance reasonably satisfactory to the Company, prior to the release or disclosure of any such information and (ii) any records, information or documents that are furnished by the Company and that are non-public shall be used only in connection with the Registration;</w:t>
      </w:r>
    </w:p>
    <w:p>
      <w:pPr>
        <w:spacing w:after="0" w:line="188" w:lineRule="exact"/>
        <w:rPr>
          <w:rFonts w:ascii="Times New Roman" w:cs="Times New Roman" w:eastAsia="Times New Roman" w:hAnsi="Times New Roman"/>
          <w:sz w:val="18"/>
          <w:szCs w:val="18"/>
          <w:color w:val="auto"/>
        </w:rPr>
      </w:pPr>
    </w:p>
    <w:p>
      <w:pPr>
        <w:jc w:val="both"/>
        <w:ind w:firstLine="980"/>
        <w:spacing w:after="0" w:line="266" w:lineRule="auto"/>
        <w:tabs>
          <w:tab w:leader="none" w:pos="121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“comfort” letter from the Company’s independent registered public accountants in the event of an Underwritten Offering, in customary form and covering such matters of the type customarily covered by “comfort” letters as the managing Underwriter may reasonably request, and reasonably satisfactory to a majority-in-interest of the participating Holders and any Underwriter;</w:t>
      </w:r>
    </w:p>
    <w:p>
      <w:pPr>
        <w:spacing w:after="0" w:line="175" w:lineRule="exact"/>
        <w:rPr>
          <w:rFonts w:ascii="Times New Roman" w:cs="Times New Roman" w:eastAsia="Times New Roman" w:hAnsi="Times New Roman"/>
          <w:sz w:val="18"/>
          <w:szCs w:val="18"/>
          <w:color w:val="auto"/>
        </w:rPr>
      </w:pPr>
    </w:p>
    <w:p>
      <w:pPr>
        <w:jc w:val="both"/>
        <w:ind w:firstLine="980"/>
        <w:spacing w:after="0" w:line="261" w:lineRule="auto"/>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the Registrable Securities are delivered for sale pursuant to such Registration, obtain an opinion and negative assurance letter, dated such date, of counsel representing the Company for the purposes of such Registration, addressed to the placement agent or sales agent, if any, and the Underwriters, if any, covering such legal matters with respect to the Registration as are customarily included in such opinions and negative assurance letters;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firstLine="980"/>
        <w:spacing w:after="0" w:line="282" w:lineRule="auto"/>
        <w:tabs>
          <w:tab w:leader="none" w:pos="12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Underwritten Offering, enter into an underwriting agreement, in usual and customary form, with the managing Underwriter of such offering;</w:t>
      </w:r>
    </w:p>
    <w:p>
      <w:pPr>
        <w:spacing w:after="0" w:line="161" w:lineRule="exact"/>
        <w:rPr>
          <w:rFonts w:ascii="Times New Roman" w:cs="Times New Roman" w:eastAsia="Times New Roman" w:hAnsi="Times New Roman"/>
          <w:sz w:val="18"/>
          <w:szCs w:val="18"/>
          <w:color w:val="auto"/>
        </w:rPr>
      </w:pPr>
    </w:p>
    <w:p>
      <w:pPr>
        <w:jc w:val="both"/>
        <w:ind w:firstLine="980"/>
        <w:spacing w:after="0" w:line="261" w:lineRule="auto"/>
        <w:tabs>
          <w:tab w:leader="none" w:pos="12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its commercially reasonable efforts to comply with all applicable rules and regulations of the Commission, and to make available to its security holders, as soon as reasonably practicable, an earnings statement covering a period of at least twelve (12) months which satisfies the</w:t>
      </w:r>
    </w:p>
    <w:p>
      <w:pPr>
        <w:ind w:right="20"/>
        <w:spacing w:after="0" w:line="260" w:lineRule="auto"/>
        <w:rPr>
          <w:sz w:val="20"/>
          <w:szCs w:val="20"/>
          <w:color w:val="auto"/>
        </w:rPr>
      </w:pPr>
      <w:r>
        <w:rPr>
          <w:rFonts w:ascii="Times New Roman" w:cs="Times New Roman" w:eastAsia="Times New Roman" w:hAnsi="Times New Roman"/>
          <w:sz w:val="18"/>
          <w:szCs w:val="18"/>
          <w:color w:val="auto"/>
        </w:rPr>
        <w:t>provisions of Section 11(a) of the Securities Act and the rules and regulations thereunder, including Rule 158 thereunder (or any successor rule promulgated thereafter by the Commission);</w:t>
      </w:r>
    </w:p>
    <w:p>
      <w:pPr>
        <w:spacing w:after="0" w:line="181" w:lineRule="exact"/>
        <w:rPr>
          <w:sz w:val="20"/>
          <w:szCs w:val="20"/>
          <w:color w:val="auto"/>
        </w:rPr>
      </w:pPr>
    </w:p>
    <w:p>
      <w:pPr>
        <w:ind w:firstLine="980"/>
        <w:spacing w:after="0" w:line="282" w:lineRule="auto"/>
        <w:tabs>
          <w:tab w:leader="none" w:pos="122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efforts to make available senior executives of the Company to participate in customary “road show” presentations that may be reasonably requested by the Underwriter in an Underwritten Offering;</w:t>
      </w:r>
    </w:p>
    <w:p>
      <w:pPr>
        <w:spacing w:after="0" w:line="161" w:lineRule="exact"/>
        <w:rPr>
          <w:rFonts w:ascii="Times New Roman" w:cs="Times New Roman" w:eastAsia="Times New Roman" w:hAnsi="Times New Roman"/>
          <w:sz w:val="18"/>
          <w:szCs w:val="18"/>
          <w:color w:val="auto"/>
        </w:rPr>
      </w:pPr>
    </w:p>
    <w:p>
      <w:pPr>
        <w:ind w:right="20" w:firstLine="980"/>
        <w:spacing w:after="0" w:line="282" w:lineRule="auto"/>
        <w:tabs>
          <w:tab w:leader="none" w:pos="123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good faith, cooperate with, and take such customary actions as may reasonably be requested by the Holders, in connection with such Underwritten Offering; and</w:t>
      </w:r>
    </w:p>
    <w:p>
      <w:pPr>
        <w:spacing w:after="0" w:line="161" w:lineRule="exact"/>
        <w:rPr>
          <w:rFonts w:ascii="Times New Roman" w:cs="Times New Roman" w:eastAsia="Times New Roman" w:hAnsi="Times New Roman"/>
          <w:sz w:val="18"/>
          <w:szCs w:val="18"/>
          <w:color w:val="auto"/>
        </w:rPr>
      </w:pPr>
    </w:p>
    <w:p>
      <w:pPr>
        <w:jc w:val="both"/>
        <w:ind w:firstLine="980"/>
        <w:spacing w:after="0" w:line="266" w:lineRule="auto"/>
        <w:tabs>
          <w:tab w:leader="none" w:pos="123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Depositary Bank to maintain an effective registration of the Class A ADSs on Form F-6 in accordance with the Deposit Agreement and cooperate with the Depositary Bank in filing amendments to such Form F-6 sufficient to allow the Holders to exercise its rights hereunder and under the Deposit Agreement to cover the Registerable Securities then outstanding.</w:t>
      </w:r>
    </w:p>
    <w:p>
      <w:pPr>
        <w:spacing w:after="0" w:line="172" w:lineRule="exact"/>
        <w:rPr>
          <w:sz w:val="20"/>
          <w:szCs w:val="20"/>
          <w:color w:val="auto"/>
        </w:rPr>
      </w:pPr>
    </w:p>
    <w:p>
      <w:pPr>
        <w:jc w:val="both"/>
        <w:ind w:firstLine="97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Registration Expenses</w:t>
      </w:r>
      <w:r>
        <w:rPr>
          <w:rFonts w:ascii="Times New Roman" w:cs="Times New Roman" w:eastAsia="Times New Roman" w:hAnsi="Times New Roman"/>
          <w:sz w:val="18"/>
          <w:szCs w:val="18"/>
          <w:color w:val="auto"/>
        </w:rPr>
        <w:t>. The Registration Expenses of all Registrations shall be borne by the Company. It is acknowledged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that the Holders shall bear certain selling expenses relating to the sale of Registrable Securities, such as Underwriters’ commissions and discounts, brokerage fees and, other than as set forth in the definition of “Registration Expenses,” all fees, expenses and disbursements of any legal counsel representing the Holders.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Participation in Underwritten Offerings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980"/>
        <w:spacing w:after="0" w:line="261" w:lineRule="auto"/>
        <w:tabs>
          <w:tab w:leader="none" w:pos="12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indemnities, lock-up agreements, underwriting agreements and other customary documents as may be reasonably required under the terms of such underwriting arrangements.</w:t>
      </w:r>
    </w:p>
    <w:p>
      <w:pPr>
        <w:spacing w:after="0" w:line="179" w:lineRule="exact"/>
        <w:rPr>
          <w:rFonts w:ascii="Times New Roman" w:cs="Times New Roman" w:eastAsia="Times New Roman" w:hAnsi="Times New Roman"/>
          <w:sz w:val="18"/>
          <w:szCs w:val="18"/>
          <w:color w:val="auto"/>
        </w:rPr>
      </w:pPr>
    </w:p>
    <w:p>
      <w:pPr>
        <w:jc w:val="both"/>
        <w:ind w:firstLine="980"/>
        <w:spacing w:after="0" w:line="255" w:lineRule="auto"/>
        <w:tabs>
          <w:tab w:leader="none" w:pos="12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its commercially reasonable efforts to ensure that no Underwriter shall require any Holder to make any representations or warranties to or agreements with the Company or the Underwriters other than representations, warranties or agreements regarding such Holder and such Holder’s intended method of distribution and any other representation required by law, and if, despite the Company’s commercially reasonable efforts, an Underwriter requires any Holder to make additional representation or warranties to or agreements with such Underwriter, such Holder may elect not to participate in such Underwritten Offering (but shall not have any claims against the Company as a result of such election). Any liability of such Holder to any Underwriter or other person under such underwriting agreement shall be limited to an amount equal to the proceeds (net of expenses and underwriting discounts and commissions) that it derives from such registration.</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Additional Covenants of the Company</w:t>
      </w:r>
      <w:r>
        <w:rPr>
          <w:rFonts w:ascii="Times New Roman" w:cs="Times New Roman" w:eastAsia="Times New Roman" w:hAnsi="Times New Roman"/>
          <w:sz w:val="18"/>
          <w:szCs w:val="18"/>
          <w:color w:val="auto"/>
        </w:rPr>
        <w:t>. As long as any Holder shall own Registrable Securities, the Company hereby covenants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agrees:</w:t>
      </w:r>
    </w:p>
    <w:p>
      <w:pPr>
        <w:spacing w:after="0" w:line="207" w:lineRule="exact"/>
        <w:rPr>
          <w:sz w:val="20"/>
          <w:szCs w:val="20"/>
          <w:color w:val="auto"/>
        </w:rPr>
      </w:pPr>
    </w:p>
    <w:p>
      <w:pPr>
        <w:jc w:val="both"/>
        <w:ind w:firstLine="980"/>
        <w:spacing w:after="0" w:line="266" w:lineRule="auto"/>
        <w:tabs>
          <w:tab w:leader="none" w:pos="12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file any Registration Statement or Prospectus included therein with the Commission which refers to any Holder of Registrable Securities by name or otherwise without the prior written approval of such Holder, which may not be unreasonably withheld, conditioned or delayed;</w:t>
      </w:r>
    </w:p>
    <w:p>
      <w:pPr>
        <w:spacing w:after="0" w:line="175" w:lineRule="exact"/>
        <w:rPr>
          <w:rFonts w:ascii="Times New Roman" w:cs="Times New Roman" w:eastAsia="Times New Roman" w:hAnsi="Times New Roman"/>
          <w:sz w:val="18"/>
          <w:szCs w:val="18"/>
          <w:color w:val="auto"/>
        </w:rPr>
      </w:pPr>
    </w:p>
    <w:p>
      <w:pPr>
        <w:jc w:val="both"/>
        <w:ind w:firstLine="980"/>
        <w:spacing w:after="0" w:line="255" w:lineRule="auto"/>
        <w:tabs>
          <w:tab w:leader="none" w:pos="123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while it shall be a reporting company under the Exchange Act, to file timely (or obtain extensions in respect thereof and file within the applicable grace period) all reports required to be filed by the Company after the closings of the Transaction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Registerable Securities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 and</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jc w:val="both"/>
        <w:ind w:firstLine="980"/>
        <w:spacing w:after="0" w:line="266" w:lineRule="auto"/>
        <w:tabs>
          <w:tab w:leader="none" w:pos="122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following the effectiveness of the shelf Registration Statement required by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the Company shall cause the transfer agent to remove any restrictive legends (including any electronic transfer restrictions) from any Class A ADSs held by such Holder and provide or cause any customary opinions of counsel to be delivered to the transfer agent in connection with such removal.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AND CONTRIBUTION</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980"/>
        <w:spacing w:after="0" w:line="253" w:lineRule="auto"/>
        <w:tabs>
          <w:tab w:leader="none" w:pos="122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to the extent permitted by law, each Holder of Registrable Securities, its officers, directors, partners, stockholders or members, employees, agents, investment advisors and each person who controls such Holder (within the meaning of the Securities Act and Exchange Act) from and against all losses, claims, damages, liabilities and expenses (including attorneys’ fees), joint or several (or actions or proceedings, whether commenced or threatened, in respect thereof) (collectively,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to which any such Holder or other persons may become subject, insofar as such Claims arise out of or are based on any untrue or alleged untrue statement of any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and the Company will reimburse such Holder or other person for any legal or any other expenses reasonably incurred by them in connection with investigating or defending any such Claim; except insofar as the Claim or expense arises out of or is based upon an untrue statement or alleged untrue statement or omission or alleged omission made in such filing in reliance upon and in conformity with information furnished in writing to the Company by such Holder expressly for use therein. The Company shall indemnify the Underwriters, their officers and directors and each person who controls such Underwriters (within the meaning of the Securities Act and Exchange Act) to the same extent as provided in the foregoing with respect to the indemnification of the Holder.</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ind w:firstLine="980"/>
        <w:spacing w:after="0" w:line="252" w:lineRule="auto"/>
        <w:tabs>
          <w:tab w:leader="none" w:pos="123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Registration Statement in which a Holder of Registrable Securities is participating, as a condition to including any Registrable Securities in any Registration Statement, the Company shall have received an undertaking reasonably satisfactory to it from such Holder, to indemnify the Company, its directors and officers and agents and each person who controls the Company (within the meaning of the Securities Act and Exchange Act) from and against any Claims, to which any the Company or such other persons may become subject, insofar as such Claims arise out of or are based on any untrue statement of any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furnished in writing by such Holder expressly for use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and Exchange Act) to the same extent as provided in the foregoing with respect to indemnification of the Company and the Company shall use its reasonable best efforts to ensure that no Underwriter shall require any Holder of Registrable Securities to provide any indemnification other than that provided hereinabove in this Section 4.1(b), and, if, despite the Company’s reasonable best efforts, an Underwriter requires any Holder of Registrable Securities to provide additional indemnification, such Holder may elect not to participate in such Underwritten Offering (but shall not have any claim against the Company as a result of such election).</w:t>
      </w:r>
    </w:p>
    <w:p>
      <w:pPr>
        <w:spacing w:after="0" w:line="195" w:lineRule="exact"/>
        <w:rPr>
          <w:rFonts w:ascii="Times New Roman" w:cs="Times New Roman" w:eastAsia="Times New Roman" w:hAnsi="Times New Roman"/>
          <w:sz w:val="18"/>
          <w:szCs w:val="18"/>
          <w:color w:val="auto"/>
        </w:rPr>
      </w:pPr>
    </w:p>
    <w:p>
      <w:pPr>
        <w:jc w:val="both"/>
        <w:ind w:firstLine="980"/>
        <w:spacing w:after="0" w:line="253" w:lineRule="auto"/>
        <w:tabs>
          <w:tab w:leader="none" w:pos="121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(1)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and which settlement includes a statement or admission of fault or culpability on the part of such indemnified party or does not include as an unconditional term thereof the giving by the claimant or plaintiff to such indemnified party of a release from all liability in respect to such claim or litigation.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980"/>
        <w:spacing w:after="0" w:line="266" w:lineRule="auto"/>
        <w:tabs>
          <w:tab w:leader="none" w:pos="122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provided for under this Agreement shall remain in full force and effect regardless of any investigation made by or on behalf of the indemnified party or any officer, director, partners, stockholders or members, employees, agents, investment advisors or controlling person of such indemnified party and shall survive the Transfer of Registrable Securities.</w:t>
      </w:r>
    </w:p>
    <w:p>
      <w:pPr>
        <w:spacing w:after="0" w:line="175" w:lineRule="exact"/>
        <w:rPr>
          <w:rFonts w:ascii="Times New Roman" w:cs="Times New Roman" w:eastAsia="Times New Roman" w:hAnsi="Times New Roman"/>
          <w:sz w:val="18"/>
          <w:szCs w:val="18"/>
          <w:color w:val="auto"/>
        </w:rPr>
      </w:pPr>
    </w:p>
    <w:p>
      <w:pPr>
        <w:jc w:val="both"/>
        <w:ind w:firstLine="980"/>
        <w:spacing w:after="0" w:line="252" w:lineRule="auto"/>
        <w:tabs>
          <w:tab w:leader="none" w:pos="125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indemnification provided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from the indemnifying party is unavailable or insufficient to hold harmless an indemnified party in respect of any Claims, then the indemnifying party, in lieu of indemnifying the indemnified party, shall contribute to the amount paid or payable by the indemnified party as a result of such Claims (i) in such proportion as is appropriate to reflect the relative benefits received by the indemnifying party or parties on the one hand and the indemnified party or parties on the other hand from the offering of the Registrable Securities or (ii) if the allocation provided by clause (i) above is not permitted by applicable law, in such proportion as is appropriate to reflect not only the relative benefits referred to in clause (ii) above but also to reflect the relative fault of the indemnifying party or parties on the other hand in connection with the statements or omissions that resulted in such Claims, as well as any other relevant equitable considerations;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liability of any Holder or any director, officer, employee, agent, investment advisor or controlling person thereof under this </w:t>
      </w:r>
      <w:r>
        <w:rPr>
          <w:rFonts w:ascii="Times New Roman" w:cs="Times New Roman" w:eastAsia="Times New Roman" w:hAnsi="Times New Roman"/>
          <w:sz w:val="18"/>
          <w:szCs w:val="18"/>
          <w:u w:val="single" w:color="auto"/>
          <w:color w:val="auto"/>
        </w:rPr>
        <w:t>Section 4.1(e)</w:t>
      </w:r>
      <w:r>
        <w:rPr>
          <w:rFonts w:ascii="Times New Roman" w:cs="Times New Roman" w:eastAsia="Times New Roman" w:hAnsi="Times New Roman"/>
          <w:sz w:val="18"/>
          <w:szCs w:val="18"/>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Section 4.1(e)</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Section 4.1(e)</w:t>
      </w:r>
      <w:r>
        <w:rPr>
          <w:rFonts w:ascii="Times New Roman" w:cs="Times New Roman" w:eastAsia="Times New Roman" w:hAnsi="Times New Roman"/>
          <w:sz w:val="18"/>
          <w:szCs w:val="18"/>
          <w:color w:val="auto"/>
        </w:rPr>
        <w:t xml:space="preserve">. No person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Section 4.1(e)</w:t>
      </w:r>
      <w:r>
        <w:rPr>
          <w:rFonts w:ascii="Times New Roman" w:cs="Times New Roman" w:eastAsia="Times New Roman" w:hAnsi="Times New Roman"/>
          <w:sz w:val="18"/>
          <w:szCs w:val="18"/>
          <w:color w:val="auto"/>
        </w:rPr>
        <w:t xml:space="preserve"> from any person who was not guilty of such fraudulent misrepresentation.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 writing and shall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have been given when delivered (a) upon personal delivery or (b) by e-mail or other means of electronic transmission (so long as confirmation of transmission is electronically or mechanically generated or sent and kept on file by the sending party, and no “bounceback” or notice of non-delivery is received), and the sender may, in its sole discretion, deliver a copy by prepaid certified or registered mail or by prepaid reputable courier service. Notices shall be given to the respective Parties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980"/>
        <w:spacing w:after="0"/>
        <w:rPr>
          <w:sz w:val="20"/>
          <w:szCs w:val="20"/>
          <w:color w:val="auto"/>
        </w:rPr>
      </w:pPr>
      <w:r>
        <w:rPr>
          <w:rFonts w:ascii="Times New Roman" w:cs="Times New Roman" w:eastAsia="Times New Roman" w:hAnsi="Times New Roman"/>
          <w:sz w:val="18"/>
          <w:szCs w:val="18"/>
          <w:u w:val="single" w:color="auto"/>
          <w:color w:val="auto"/>
        </w:rPr>
        <w:t>If to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Polestar Automotive Holding UK PLC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Assar Gabrielssons Väg 9, 405 31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Göteborg, Sweden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Anna Rudensjö, General Counsel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anna.rudensjo@polestar.com (with a copy to legal@polestar.com)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Alston &amp; Bird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950 F Street NW</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David A. Brown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dave.brown@alston.com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If to Holder: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PSD Investment Limited</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1760 Jiangling Road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Hangzhou, China</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Lan Liujun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Liujun.Lan@geely.com</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Assignment; No Third Party Beneficiaries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980"/>
        <w:spacing w:after="0" w:line="282" w:lineRule="auto"/>
        <w:tabs>
          <w:tab w:leader="none" w:pos="12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rights, duties and obligations of the Company hereunder may not be assigned or delegated by the Company in whole or in part without the prior written consent of the Purchaser.</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24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Agreement, this Agreement and the provisions hereof shall be binding upon and shall inure to the benefit of each of the parties and its successors and the permitted assigns of the applicable Holders.</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2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not confer any rights or benefits on any persons that are not parties hereto, other than as expressly set forth in this Agreement and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980"/>
        <w:spacing w:after="0" w:line="258" w:lineRule="auto"/>
        <w:tabs>
          <w:tab w:leader="none" w:pos="123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assignment by any party hereto of such party’s rights, duties and obligations hereunder shall be binding upon or obligate the Company unless and until the Company shall have received (i) written notice of such assignment as provided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(ii) the written agreement of the assignee, in a form reasonably satisfactory to the Company and in compliance with applicable law, to be bound by the terms and provisions of this Agreement (which may be accomplished by an addendum or certificate of joinder to this Agreement). Any Transfer or assignment made other than as provided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be null and void.</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97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multiple counterparts, each of which when executed and delivered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thereby be deemed to be an original and all of which taken together shall constitute one and the same instrument. Any party hereto may execute and deliver signed counterparts of this Agreement to the other Parties by electronic mail or other electronic transmission in portable document format (.PDF) or any other electronic signature complying with the U.S. ESIGN Act of 2000 (including www.docusign.com), each of which shall be deemed an original.</w:t>
      </w:r>
    </w:p>
    <w:p>
      <w:pPr>
        <w:spacing w:after="0" w:line="176" w:lineRule="exact"/>
        <w:rPr>
          <w:sz w:val="20"/>
          <w:szCs w:val="20"/>
          <w:color w:val="auto"/>
        </w:rPr>
      </w:pPr>
    </w:p>
    <w:p>
      <w:pPr>
        <w:jc w:val="both"/>
        <w:ind w:firstLine="97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and all claims or causes of action based upon, arising out of, or related to this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transactions contemplated herein, shall be governed by, and construed in accordance with, the laws of the State of New York, without giving effect to principles or rules of conflict of laws to the extent such principles or rules would require or permit the application of laws of another jurisdiction.</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u w:val="single" w:color="auto"/>
          <w:color w:val="auto"/>
        </w:rPr>
        <w:t>Jurisdiction</w:t>
      </w:r>
      <w:r>
        <w:rPr>
          <w:rFonts w:ascii="Times New Roman" w:cs="Times New Roman" w:eastAsia="Times New Roman" w:hAnsi="Times New Roman"/>
          <w:sz w:val="18"/>
          <w:szCs w:val="18"/>
          <w:color w:val="auto"/>
        </w:rPr>
        <w:t>. In any action or proceeding arising out of or relating to this Agreement or any of the transactions contemplated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(a) each of the parties hereto hereby irrevocably and unconditionally consents and submits to the exclusive jurisdiction and venue of the state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courts of the State of New York (unless the federal courts have exclusive jurisdiction over the matter, in which case the U.S. District Court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District of New York); (b) each of the parties hereto irrevocably waives and agrees that it will not attempt to deny or defeat such jurisdiction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motion or other request for leave from such court; and (c) each of the parties hereto agrees that it will not bring any such action in any court other than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or federal courts of the State of New York (unless the federal courts have exclusive jurisdiction over the matter, in which case the U.S. District Court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Southern District of New York).</w:t>
      </w:r>
    </w:p>
    <w:p>
      <w:pPr>
        <w:spacing w:after="0" w:line="203" w:lineRule="exact"/>
        <w:rPr>
          <w:sz w:val="20"/>
          <w:szCs w:val="20"/>
          <w:color w:val="auto"/>
        </w:rPr>
      </w:pPr>
    </w:p>
    <w:p>
      <w:pPr>
        <w:jc w:val="both"/>
        <w:ind w:firstLine="972"/>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Section 5.6 </w:t>
      </w:r>
      <w:r>
        <w:rPr>
          <w:rFonts w:ascii="Times New Roman" w:cs="Times New Roman" w:eastAsia="Times New Roman" w:hAnsi="Times New Roman"/>
          <w:sz w:val="17"/>
          <w:szCs w:val="17"/>
          <w:b w:val="1"/>
          <w:bCs w:val="1"/>
          <w:u w:val="single" w:color="auto"/>
          <w:color w:val="auto"/>
        </w:rPr>
        <w:t>WAIVER OF TRIAL BY JURY</w:t>
      </w:r>
      <w:r>
        <w:rPr>
          <w:rFonts w:ascii="Times New Roman" w:cs="Times New Roman" w:eastAsia="Times New Roman" w:hAnsi="Times New Roman"/>
          <w:sz w:val="17"/>
          <w:szCs w:val="17"/>
          <w:color w:val="auto"/>
        </w:rPr>
        <w:t>. TO THE EXTENT PERMITTED BY LAW, EACH PARTY HEREBY KNOWINGLY,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VOLUNTARILY AND INTENTIONALLY WAIVES (AND SHALL CAUSE ITS SUBSIDIARIES AND AFFILIATES TO WAIVE) THE RIGHT TO A TRIAL BY JURY IN RESPECT OF ANY LITIGATION BASED HEREON, ARISING OUT OF, UNDER OR IN CONNECTION WITH THIS AGREEMENT OR THE TRANSACTIONS CONTEMPLATED HEREIN OR ANY COURSE OF CONDUCT, COURSE OF DEALINGS, STATEMENTS (WHETHER VERBAL OR WRITTEN) OR ACTIONS OF ANY PARTY IN CONNECTION HEREWITH. EACH PARTY ACKNOWLEDGES THAT (A) THIS WAIVER IS A MATERIAL INDUCEMENT FOR THE OTHER PARTIES TO ENTER INTO THIS AGREEMENT, AND (B) NO REPRESENTATIVE, AGENT OR ATTORNEY OF ANY OTHER PARTY HAS REPRESENTED, EXPRESSLY OR OTHERWISE, THAT SUCH OTHER PARTY WOULD NOT, IN THE EVENT OF LITIGATION, SEEK TO ENFORCE THAT FOREGOING WAIVER.</w:t>
      </w:r>
    </w:p>
    <w:p>
      <w:pPr>
        <w:spacing w:after="0" w:line="172"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by any rule of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public policy, all other conditions and provisions of this Agreement shall nevertheless remain in full force and effect so long as the economic or legal substance of the transactions contemplated herein is not affected in any manner materially adverse to any party hereto. Upon such determination that any term or other provision is invalid, illegal or incapable of being enforced, the parties hereto shall negotiate in good faith to modify this Agreement so as to effect the original intent of the parties hereto as closely as possible in a mutually acceptable manner in order that the transactions contemplated herein be consummated as originally contemplated to the fullest extent possible.</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ind w:firstLine="97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5.8 </w:t>
      </w:r>
      <w:r>
        <w:rPr>
          <w:rFonts w:ascii="Times New Roman" w:cs="Times New Roman" w:eastAsia="Times New Roman" w:hAnsi="Times New Roman"/>
          <w:sz w:val="18"/>
          <w:szCs w:val="18"/>
          <w:b w:val="1"/>
          <w:bCs w:val="1"/>
          <w:u w:val="single" w:color="auto"/>
          <w:color w:val="auto"/>
        </w:rPr>
        <w:t>Modification or Amendment</w:t>
      </w:r>
      <w:r>
        <w:rPr>
          <w:rFonts w:ascii="Times New Roman" w:cs="Times New Roman" w:eastAsia="Times New Roman" w:hAnsi="Times New Roman"/>
          <w:sz w:val="18"/>
          <w:szCs w:val="18"/>
          <w:color w:val="auto"/>
        </w:rPr>
        <w:t>. Upon the written consent of the Company and the Holders of at least a majority in interest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Registrable Securities at the time in question, compliance with any of the provisions, covenants and conditions set forth in this Agreement may be waived, or any of such provisions, covenants or conditions may be amended or modified;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the foregoing, any amendment hereto or waiver hereof that adversely affects one Holder, solely in its capacity as a holder of Registrable Securities, in a manner that is adverse and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85"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b w:val="1"/>
          <w:bCs w:val="1"/>
          <w:u w:val="single" w:color="auto"/>
          <w:color w:val="auto"/>
        </w:rPr>
        <w:t>Other Registration Rights</w:t>
      </w:r>
      <w:r>
        <w:rPr>
          <w:rFonts w:ascii="Times New Roman" w:cs="Times New Roman" w:eastAsia="Times New Roman" w:hAnsi="Times New Roman"/>
          <w:sz w:val="18"/>
          <w:szCs w:val="18"/>
          <w:color w:val="auto"/>
        </w:rPr>
        <w:t>. Other than pursuant to the terms of the Purchase Agreement, the Company represents and warrants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any other registration rights agreement or agreement with similar terms and conditions among the parties thereto with respect to the Registrable Security and in the event of a conflict between any such agreement or agreements and this Agreement, the terms of this Agreement shall prevail.</w:t>
      </w:r>
    </w:p>
    <w:p>
      <w:pPr>
        <w:spacing w:after="0" w:line="182"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This Agreement shall terminate upon the earlier of the date as of which (a) all of the Registrable Securities have been sold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a Registration Statement (but in no event prior to the applicable period referred to in Section 4(a)(3) of the Securities Act and Rule 174 thereunder (or any successor rule promulgated thereafter by the Commission)) or (b) as to any Holder individually, such Holder is permitted to sell all of such Holder’s Registrable Securities under Rule 144 (or any similar provision) under the Securities Act without limitation on the amount of securities sold or the manner of sale and the reporting requirements of Rule 144(i)(2) are not applicable or has otherwise sold all of the Registrable Securities held by such Holder. The provisions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survive any termination to the extent related to a Claim arising prior to the termination of this Agreement.</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both"/>
        <w:ind w:firstLine="972"/>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5.11 </w:t>
      </w: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color w:val="auto"/>
        </w:rPr>
        <w:t>. The parties hereto have participated jointly in negotiating and drafting this Agreement. If an ambiguity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question of intent or interpretation arises, this Agreement shall be construed as if drafted jointly by the parties hereto, and no presumption or burden of proof shall arise favoring or disfavoring any party hereto by virtue of the authorship of any provision of this Agreement. Whenever the words “include,” “includes” or “including” are used in this Agreement they shall be deemed to be followed by the words “without limitation.” Words in the singular form will be construed to include the plural and vice versa unless the context requires otherwise. Reference to any law means such law as amended, modified, codified, replaced or re-enacted, in whole or in part, from time to time, including rules, regulations, enforcement procedures and any interpretations promulgated thereunder. Underscored references to Articles or Sections shall refer to those portions of this Agreement, and any underscored references to a clause shall, unless otherwise identified, refer to the appropriate clause within the same Section in which such reference occurs. The headings for this Agreement are for reference purposes only and do not affect in any way the meaning or interpretation of this Agreement. The use of the terms “hereunder,” “hereof,” “hereto” and words of similar import shall refer to this Agreement as a whole and not to any particular Article, Section or clause of this Agreement. The word “or” is not exclusive and is deemed to have the meaning “and/or” unless expressly indicated otherwise. Any reference to “days” means calendar days unless Business Days are expressly specified.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immediately following Business Day. References to “writing,” “written” and comparable terms refer to printing, typing and other means of reproducing words (including electronic media) in a visible form. References to a Person are also to its successors and permitted assigns.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Lohscheller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Michael Lohscheller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Jean-Francois Mady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Jean-Francois Mady</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PSD INVESTMENT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Li Shufu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Li Shufu</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lowerLetter"/>
      <w:start w:val="1"/>
    </w:lvl>
  </w:abstractNum>
  <w:abstractNum w:abstractNumId="1">
    <w:nsid w:val="109CF92E"/>
    <w:multiLevelType w:val="hybridMultilevel"/>
    <w:lvl w:ilvl="0">
      <w:lvlJc w:val="left"/>
      <w:lvlText w:val="(%1)"/>
      <w:numFmt w:val="lowerLetter"/>
      <w:start w:val="3"/>
    </w:lvl>
  </w:abstractNum>
  <w:abstractNum w:abstractNumId="2">
    <w:nsid w:val="DED7263"/>
    <w:multiLevelType w:val="hybridMultilevel"/>
    <w:lvl w:ilvl="0">
      <w:lvlJc w:val="left"/>
      <w:lvlText w:val="(%1)"/>
      <w:numFmt w:val="lowerLetter"/>
      <w:start w:val="1"/>
    </w:lvl>
  </w:abstractNum>
  <w:abstractNum w:abstractNumId="3">
    <w:nsid w:val="7FDCC233"/>
    <w:multiLevelType w:val="hybridMultilevel"/>
    <w:lvl w:ilvl="0">
      <w:lvlJc w:val="left"/>
      <w:lvlText w:val="%1"/>
      <w:numFmt w:val="lowerLetter"/>
      <w:start w:val="1"/>
    </w:lvl>
    <w:lvl w:ilvl="1">
      <w:lvlJc w:val="left"/>
      <w:lvlText w:val="(%2)"/>
      <w:numFmt w:val="lowerLetter"/>
      <w:start w:val="1"/>
    </w:lvl>
  </w:abstractNum>
  <w:abstractNum w:abstractNumId="4">
    <w:nsid w:val="1BEFD79F"/>
    <w:multiLevelType w:val="hybridMultilevel"/>
    <w:lvl w:ilvl="0">
      <w:lvlJc w:val="left"/>
      <w:lvlText w:val="(%1)"/>
      <w:numFmt w:val="lowerLetter"/>
      <w:start w:val="9"/>
    </w:lvl>
    <w:lvl w:ilvl="1">
      <w:lvlJc w:val="left"/>
      <w:lvlText w:val="%2"/>
      <w:numFmt w:val="lowerLetter"/>
      <w:start w:val="1"/>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1)"/>
      <w:numFmt w:val="lowerLetter"/>
      <w:start w:val="3"/>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1)"/>
      <w:numFmt w:val="lowerLetter"/>
      <w:start w:val="2"/>
    </w:lvl>
  </w:abstractNum>
  <w:abstractNum w:abstractNumId="9">
    <w:nsid w:val="519B500D"/>
    <w:multiLevelType w:val="hybridMultilevel"/>
    <w:lvl w:ilvl="0">
      <w:lvlJc w:val="left"/>
      <w:lvlText w:val="%1"/>
      <w:numFmt w:val="decimal"/>
      <w:start w:val="1"/>
    </w:lvl>
    <w:lvl w:ilvl="1">
      <w:lvlJc w:val="left"/>
      <w:lvlText w:val="(%2)"/>
      <w:numFmt w:val="lowerRoman"/>
      <w:start w:val="1"/>
    </w:lvl>
  </w:abstractNum>
  <w:abstractNum w:abstractNumId="10">
    <w:nsid w:val="431BD7B7"/>
    <w:multiLevelType w:val="hybridMultilevel"/>
    <w:lvl w:ilvl="0">
      <w:lvlJc w:val="left"/>
      <w:lvlText w:val="(%1)"/>
      <w:numFmt w:val="decimal"/>
      <w:start w:val="1"/>
    </w:lvl>
    <w:lvl w:ilvl="1">
      <w:lvlJc w:val="left"/>
      <w:lvlText w:val="(%2)"/>
      <w:numFmt w:val="lowerRoman"/>
      <w:start w:val="2"/>
    </w:lvl>
  </w:abstractNum>
  <w:abstractNum w:abstractNumId="11">
    <w:nsid w:val="3F2DBA31"/>
    <w:multiLevelType w:val="hybridMultilevel"/>
    <w:lvl w:ilvl="0">
      <w:lvlJc w:val="left"/>
      <w:lvlText w:val="(%1)"/>
      <w:numFmt w:val="lowerLetter"/>
      <w:start w:val="3"/>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1)"/>
      <w:numFmt w:val="lowerLetter"/>
      <w:start w:val="2"/>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1)"/>
      <w:numFmt w:val="lowerLetter"/>
      <w:start w:val="3"/>
    </w:lvl>
  </w:abstractNum>
  <w:abstractNum w:abstractNumId="16">
    <w:nsid w:val="628C895D"/>
    <w:multiLevelType w:val="hybridMultilevel"/>
    <w:lvl w:ilvl="0">
      <w:lvlJc w:val="left"/>
      <w:lvlText w:val="(%1)"/>
      <w:numFmt w:val="lowerLetter"/>
      <w:start w:val="8"/>
    </w:lvl>
  </w:abstractNum>
  <w:abstractNum w:abstractNumId="17">
    <w:nsid w:val="333AB105"/>
    <w:multiLevelType w:val="hybridMultilevel"/>
    <w:lvl w:ilvl="0">
      <w:lvlJc w:val="left"/>
      <w:lvlText w:val="(%1)"/>
      <w:numFmt w:val="lowerLetter"/>
      <w:start w:val="14"/>
    </w:lvl>
  </w:abstractNum>
  <w:abstractNum w:abstractNumId="18">
    <w:nsid w:val="721DA317"/>
    <w:multiLevelType w:val="hybridMultilevel"/>
    <w:lvl w:ilvl="0">
      <w:lvlJc w:val="left"/>
      <w:lvlText w:val="(%1)"/>
      <w:numFmt w:val="lowerLetter"/>
      <w:start w:val="16"/>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lowerLetter"/>
      <w:start w:val="2"/>
    </w:lvl>
  </w:abstractNum>
  <w:abstractNum w:abstractNumId="23">
    <w:nsid w:val="8EDBDAB"/>
    <w:multiLevelType w:val="hybridMultilevel"/>
    <w:lvl w:ilvl="0">
      <w:lvlJc w:val="left"/>
      <w:lvlText w:val="(%1)"/>
      <w:numFmt w:val="lowerLetter"/>
      <w:start w:val="4"/>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2025-07-23T10:19:27Z</dcterms:created>
  <dcterms:modified xsi:type="dcterms:W3CDTF">2025-07-23T10:19:27Z</dcterms:modified>
</cp:coreProperties>
</file>