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13,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Anna Rudensj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Counsel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Polestar Automotive Holding UK PLC</w:t>
      </w:r>
    </w:p>
    <w:p>
      <w:pPr>
        <w:ind w:left="740"/>
        <w:spacing w:after="0"/>
        <w:tabs>
          <w:tab w:leader="none" w:pos="3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Assar Gabrielssons V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g 9</w:t>
      </w:r>
    </w:p>
    <w:p>
      <w:pPr>
        <w:ind w:left="740"/>
        <w:spacing w:after="0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405 31 G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teborg, Sweden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Polestar Automotive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Holding UK PLC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F-3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on October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10, 2023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333-274918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Anna Rudensj</w:t>
        <w:tab/>
        <w:t>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Bradley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Ecker at 202-551-4985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Manufacturing</w:t>
      </w:r>
    </w:p>
    <w:sectPr>
      <w:pgSz w:w="11900" w:h="16838" w:orient="portrait"/>
      <w:cols w:equalWidth="0" w:num="1">
        <w:col w:w="10139"/>
      </w:cols>
      <w:pgMar w:left="320" w:top="22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2023-11-16T23:08:05Z</dcterms:created>
  <dcterms:modified xsi:type="dcterms:W3CDTF">2023-11-16T23:08:05Z</dcterms:modified>
</cp:coreProperties>
</file>