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On May 7, 2026, Polestar Automotive Holding UK PLC (“Polestar”) issued a press release containing selected preliminary unaudited financial and operational information for the fiscal quarter ended March 31, 2026. A copy of the press release is attached hereto as Exhibit 99.1.</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Exhibit 99.1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May 7, 2026.</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500" w:type="dxa"/>
            <w:vAlign w:val="bottom"/>
            <w:tcBorders>
              <w:top w:val="single" w:sz="8" w:color="0000EE"/>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26873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reports Q1 2026 select financial and operational results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Record first quarter volumes of 13,126 cars, a growth of 7% year-on-year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Largest product offensive launched: four new models planned in next three years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Performance impacted by intensified competition, EU and US tariffs, FX and seasonality offsetting continued cost reductions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Strengthened capital structure and improved liquidity position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Cash position of USD 676 million as of end Q1 2026</w:t>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7 May, 2026 </w:t>
      </w:r>
      <w:r>
        <w:rPr>
          <w:rFonts w:ascii="Times New Roman" w:cs="Times New Roman" w:eastAsia="Times New Roman" w:hAnsi="Times New Roman"/>
          <w:sz w:val="18"/>
          <w:szCs w:val="18"/>
          <w:color w:val="auto"/>
        </w:rPr>
        <w:t>– Polestar (Nasdaq: PSNY) reports select unaudited financial and operational results for the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 (Q1 2026).</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Michael Lohscheller, Polestar CEO</w:t>
      </w:r>
      <w:r>
        <w:rPr>
          <w:rFonts w:ascii="Times New Roman" w:cs="Times New Roman" w:eastAsia="Times New Roman" w:hAnsi="Times New Roman"/>
          <w:sz w:val="18"/>
          <w:szCs w:val="18"/>
          <w:color w:val="auto"/>
        </w:rPr>
        <w:t>, said: “The first quarter saw us deliver strong volume growth in a very competitive market. With implemented steps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improve our cost base being offset by more challenging market conditions, we are accelerating efforts to adjust our business model, become leaner and improve manufacturing efficiencies.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“Commercially, our focus remains on scaling our business by expanding our retail network, especially in Europe, with plans to reach 250 sales points globally by the end of 2026. This will help us capitalise on our growing model line-up, which targets wider, more profitable segments. Deliveries of the new Polestar 4 variant are planned to start during the latter part of the year, closely followed by the all-new Polestar 2 in 2027 and thereafter Polestar 7 compact SUV.”</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6873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Key financial highlights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sales, units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(Loss) / Profit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margin, %</w:t>
      </w:r>
    </w:p>
    <w:p>
      <w:pPr>
        <w:spacing w:after="0" w:line="229" w:lineRule="auto"/>
        <w:rPr>
          <w:sz w:val="20"/>
          <w:szCs w:val="20"/>
          <w:color w:val="auto"/>
        </w:rPr>
      </w:pPr>
      <w:r>
        <w:rPr>
          <w:rFonts w:ascii="Times New Roman" w:cs="Times New Roman" w:eastAsia="Times New Roman" w:hAnsi="Times New Roman"/>
          <w:sz w:val="17"/>
          <w:szCs w:val="17"/>
          <w:color w:val="auto"/>
        </w:rPr>
        <w:t xml:space="preserve">Adjusted Gross (Loss) / Profit (non-GAAP) </w:t>
      </w:r>
      <w:r>
        <w:rPr>
          <w:rFonts w:ascii="Times New Roman" w:cs="Times New Roman" w:eastAsia="Times New Roman" w:hAnsi="Times New Roman"/>
          <w:sz w:val="28"/>
          <w:szCs w:val="28"/>
          <w:color w:val="auto"/>
          <w:vertAlign w:val="superscript"/>
        </w:rPr>
        <w:t>1</w:t>
      </w:r>
    </w:p>
    <w:p>
      <w:pPr>
        <w:ind w:left="180"/>
        <w:spacing w:after="0" w:line="194" w:lineRule="auto"/>
        <w:rPr>
          <w:sz w:val="20"/>
          <w:szCs w:val="20"/>
          <w:color w:val="auto"/>
        </w:rPr>
      </w:pPr>
      <w:r>
        <w:rPr>
          <w:rFonts w:ascii="Times New Roman" w:cs="Times New Roman" w:eastAsia="Times New Roman" w:hAnsi="Times New Roman"/>
          <w:sz w:val="18"/>
          <w:szCs w:val="18"/>
          <w:i w:val="1"/>
          <w:iCs w:val="1"/>
          <w:color w:val="auto"/>
        </w:rPr>
        <w:t xml:space="preserve">Adjusted Gross Margin (non-GAAP) </w:t>
      </w: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Adjusted EBITDA (non-GAAP)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4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304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2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Change, %</w:t>
            </w:r>
          </w:p>
        </w:tc>
      </w:tr>
      <w:tr>
        <w:trPr>
          <w:trHeight w:val="230"/>
        </w:trPr>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3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26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7.0</w:t>
            </w:r>
          </w:p>
        </w:tc>
        <w:tc>
          <w:tcPr>
            <w:tcW w:w="60" w:type="dxa"/>
            <w:vAlign w:val="bottom"/>
          </w:tcPr>
          <w:p>
            <w:pPr>
              <w:spacing w:after="0"/>
              <w:rPr>
                <w:sz w:val="19"/>
                <w:szCs w:val="19"/>
                <w:color w:val="auto"/>
              </w:rPr>
            </w:pPr>
          </w:p>
        </w:tc>
      </w:tr>
      <w:tr>
        <w:trPr>
          <w:trHeight w:val="432"/>
        </w:trPr>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633</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0.2</w:t>
            </w:r>
          </w:p>
        </w:tc>
      </w:tr>
      <w:tr>
        <w:trPr>
          <w:trHeight w:val="229"/>
        </w:trPr>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(130.8)</w:t>
            </w:r>
          </w:p>
        </w:tc>
      </w:tr>
      <w:tr>
        <w:trPr>
          <w:trHeight w:val="250"/>
        </w:trPr>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(3.2)%</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10.3%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-13.5 ppts</w:t>
            </w:r>
          </w:p>
        </w:tc>
      </w:tr>
      <w:tr>
        <w:trPr>
          <w:trHeight w:val="270"/>
        </w:trPr>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(132.3)</w:t>
            </w:r>
          </w:p>
        </w:tc>
      </w:tr>
      <w:tr>
        <w:trPr>
          <w:trHeight w:val="250"/>
        </w:trPr>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(3.3)%</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10.3%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-13.6ppts</w:t>
            </w:r>
          </w:p>
        </w:tc>
      </w:tr>
      <w:tr>
        <w:trPr>
          <w:trHeight w:val="250"/>
        </w:trPr>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(383)</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(130.7)</w:t>
            </w:r>
          </w:p>
        </w:tc>
      </w:tr>
      <w:tr>
        <w:trPr>
          <w:trHeight w:val="270"/>
        </w:trPr>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(144.8)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-1096645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-805180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-488315</wp:posOffset>
            </wp:positionV>
            <wp:extent cx="70637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-170815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-1397000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6140" w:space="720"/>
            <w:col w:w="4380"/>
          </w:cols>
          <w:pgMar w:left="320" w:top="1440" w:right="339" w:bottom="1440" w:gutter="0" w:footer="0" w:header="0"/>
        </w:sect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measures. See the reconciliation of non-GAAP metrics to the nearest GAAP measure in Appendix A.</w:t>
      </w:r>
    </w:p>
    <w:p>
      <w:pPr>
        <w:spacing w:after="0" w:line="225" w:lineRule="exact"/>
        <w:rPr>
          <w:rFonts w:ascii="Times New Roman" w:cs="Times New Roman" w:eastAsia="Times New Roman" w:hAnsi="Times New Roman"/>
          <w:sz w:val="18"/>
          <w:szCs w:val="18"/>
          <w:color w:val="auto"/>
        </w:rPr>
      </w:pPr>
    </w:p>
    <w:p>
      <w:pPr>
        <w:ind w:left="640" w:right="20" w:hanging="308"/>
        <w:spacing w:after="0" w:line="281" w:lineRule="auto"/>
        <w:tabs>
          <w:tab w:leader="none" w:pos="64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Retail sales totaled an estimated 13,126 cars, up 7.0% YoY from 12,263 cars a year earlier, supported by continuous retail expansion, an attractive model line-up, and growing sales of Polestar 4.</w:t>
      </w:r>
    </w:p>
    <w:p>
      <w:pPr>
        <w:spacing w:after="0" w:line="162" w:lineRule="exact"/>
        <w:rPr>
          <w:rFonts w:ascii="Arial" w:cs="Arial" w:eastAsia="Arial" w:hAnsi="Arial"/>
          <w:sz w:val="18"/>
          <w:szCs w:val="18"/>
          <w:b w:val="1"/>
          <w:bCs w:val="1"/>
          <w:color w:val="auto"/>
        </w:rPr>
      </w:pPr>
    </w:p>
    <w:p>
      <w:pPr>
        <w:jc w:val="both"/>
        <w:ind w:left="640" w:hanging="308"/>
        <w:spacing w:after="0" w:line="258" w:lineRule="auto"/>
        <w:tabs>
          <w:tab w:leader="none" w:pos="64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of USD 633 million, up 0.2% from USD 632 million in the comparable period, driven predominantly by higher volumes and positive foreign exchange impact related to the pound sterling and euro movements against the U.S. dollar offset mainly by significant pressure on pricing, the product mix, which included fewer Polestar 3 cars but more Polestar 4 vehicles and lower carbon credits sales. Carbon credits sales totaled USD 21 million in the period down from USD 29 million a year earlier, of which USD 17 million was booked as revenue and USD 4 million was booked in other operating income.</w:t>
      </w:r>
    </w:p>
    <w:p>
      <w:pPr>
        <w:spacing w:after="0" w:line="182" w:lineRule="exact"/>
        <w:rPr>
          <w:rFonts w:ascii="Arial" w:cs="Arial" w:eastAsia="Arial" w:hAnsi="Arial"/>
          <w:sz w:val="18"/>
          <w:szCs w:val="18"/>
          <w:b w:val="1"/>
          <w:bCs w:val="1"/>
          <w:color w:val="auto"/>
        </w:rPr>
      </w:pPr>
    </w:p>
    <w:p>
      <w:pPr>
        <w:jc w:val="both"/>
        <w:ind w:left="640" w:hanging="308"/>
        <w:spacing w:after="0" w:line="265" w:lineRule="auto"/>
        <w:tabs>
          <w:tab w:leader="none" w:pos="64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Gross margin at (3.2)%, from 10.3% in Q1 2025, and Adjusted Gross Margin at (3.3)%, from 10.3% in Q1 2025, due mainly to further pressure on pricing, EU and US tariffs, lower carbon credits sales and one-off impacts, partially offset by growth in volumes, an increasing share of higher margin Polestar 4 in the product mix and continued product cost reduction.</w:t>
      </w:r>
    </w:p>
    <w:p>
      <w:pPr>
        <w:spacing w:after="0" w:line="177" w:lineRule="exact"/>
        <w:rPr>
          <w:rFonts w:ascii="Arial" w:cs="Arial" w:eastAsia="Arial" w:hAnsi="Arial"/>
          <w:sz w:val="18"/>
          <w:szCs w:val="18"/>
          <w:b w:val="1"/>
          <w:bCs w:val="1"/>
          <w:color w:val="auto"/>
        </w:rPr>
      </w:pPr>
    </w:p>
    <w:p>
      <w:pPr>
        <w:jc w:val="both"/>
        <w:ind w:left="640" w:hanging="308"/>
        <w:spacing w:after="0" w:line="260" w:lineRule="auto"/>
        <w:tabs>
          <w:tab w:leader="none" w:pos="64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loss of USD (383) million, compared to net loss of USD (166) million a year earlier, driven by gross loss result, and mainly the negative foreign exchange impact related to Chinese yuan movements on operating and financing liabilities. Selling, General and Administrative (SG&amp;A) expenses were impacted by higher sales agent remuneration linked to growth of volumes, one-off personnel-related costs and the timing of marketing events despite ongoing strict cost discipline across SG&amp;A; Research and Development (R&amp;D) expenses were stable.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6873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ind w:left="640" w:right="20" w:hanging="308"/>
        <w:spacing w:after="0" w:line="281" w:lineRule="auto"/>
        <w:tabs>
          <w:tab w:leader="none" w:pos="6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 of USD (235) million, compared to adjusted EBITDA of USD (96) million in the comparable period, due mainly to gross loss result, factors mentioned above and negative foreign exchange movements on operating liabilities.</w:t>
      </w:r>
    </w:p>
    <w:p>
      <w:pPr>
        <w:spacing w:after="0" w:line="162" w:lineRule="exact"/>
        <w:rPr>
          <w:rFonts w:ascii="Arial" w:cs="Arial" w:eastAsia="Arial" w:hAnsi="Arial"/>
          <w:sz w:val="18"/>
          <w:szCs w:val="18"/>
          <w:b w:val="1"/>
          <w:bCs w:val="1"/>
          <w:color w:val="auto"/>
        </w:rPr>
      </w:pPr>
    </w:p>
    <w:p>
      <w:pPr>
        <w:jc w:val="both"/>
        <w:ind w:left="640" w:hanging="308"/>
        <w:spacing w:after="0" w:line="260" w:lineRule="auto"/>
        <w:tabs>
          <w:tab w:leader="none" w:pos="6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Cash position of USD 676 million compared to USD 1,159 million as of December 31, 2025. The change in the cash position was primarily driven by Adjusted EBITDA loss, net negative movement in working capital and net repayment of financing facilities offset by equity proceeds in the first quarter of 2026. While inventory levels reduced, this positive impact on working capital was more than offset by cash outflows from settlement of payables.</w:t>
      </w:r>
    </w:p>
    <w:p>
      <w:pPr>
        <w:spacing w:after="0" w:line="182" w:lineRule="exact"/>
        <w:rPr>
          <w:rFonts w:ascii="Arial" w:cs="Arial" w:eastAsia="Arial" w:hAnsi="Arial"/>
          <w:sz w:val="18"/>
          <w:szCs w:val="18"/>
          <w:b w:val="1"/>
          <w:bCs w:val="1"/>
          <w:color w:val="auto"/>
        </w:rPr>
      </w:pPr>
    </w:p>
    <w:p>
      <w:pPr>
        <w:ind w:left="640" w:hanging="308"/>
        <w:spacing w:after="0"/>
        <w:tabs>
          <w:tab w:leader="none" w:pos="6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Further details are provided in the reconciliation table for non-GAAP measures in Appendix 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operational highlights for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9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Change, %</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Retail sales 1</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13,126</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including external vehicles with repurchase obligations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3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92.3</w:t>
            </w: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including internal vehicles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78.3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Markets2</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+ 1 market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points3,4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44.7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which sales points, excluding China</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49.4</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points5</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4.3</w:t>
            </w:r>
          </w:p>
        </w:tc>
      </w:tr>
      <w:tr>
        <w:trPr>
          <w:trHeight w:val="20"/>
        </w:trPr>
        <w:tc>
          <w:tcPr>
            <w:tcW w:w="69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figures are sales to end customers. Retail Sales include new cars handed over via all sales channels and all sales types, including but not restricted to internal, fleet, retail, rental and leaseholders’ channels across all markets irrespective of their market model and setup and may or may not generate revenue directly for Polestar.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Sales Points, including retail locations which are physical facilities (such as showrooms), actively selling Polestar cars, and pre-space activations, which represent locations with an ongoing project to build a retail location that have already started selling Polestar cars.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68730"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Polestar signed an agreement to terminate the business of the Joint Venture and transfer the PRC distribution rights and certain assets from the JV to Polestar, so as to allow Polestar to resume direct sales, customer service and distribution activities in the Chinese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centers to provide access to customer service points worldwide in support of Polestar’s international expansion.</w:t>
      </w:r>
    </w:p>
    <w:p>
      <w:pPr>
        <w:spacing w:after="0" w:line="225" w:lineRule="exact"/>
        <w:rPr>
          <w:sz w:val="20"/>
          <w:szCs w:val="20"/>
          <w:color w:val="auto"/>
        </w:rPr>
      </w:pPr>
    </w:p>
    <w:p>
      <w:pPr>
        <w:jc w:val="both"/>
        <w:ind w:left="660" w:hanging="328"/>
        <w:spacing w:after="0" w:line="265"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Sales points continue to grow, as the transition to an active selling model continues and we ramp up retail expansion. In Q1 2026, Polestar opened 19 new retail sales points bringing the total to 230 sales points at the end of Q1 2026. During the same period, Polestar signed up 14 new retailers, to reach the total of 172 retail partners, an increase of 8.9% from the end of December 2025.</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increase in external sales with a repurchase obligation is primarily related to the commercial activity in the German market.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Polestar increased sales of internal cars to support its retail network expansion in Europe.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loan facilities and funding highlights</w:t>
      </w:r>
    </w:p>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Over USD 1.4 billion worth of facilities renewed in Q1 2026</w:t>
      </w:r>
    </w:p>
    <w:p>
      <w:pPr>
        <w:spacing w:after="0" w:line="224" w:lineRule="exact"/>
        <w:rPr>
          <w:sz w:val="20"/>
          <w:szCs w:val="20"/>
          <w:color w:val="auto"/>
        </w:rPr>
      </w:pPr>
    </w:p>
    <w:p>
      <w:pPr>
        <w:ind w:left="1300" w:hanging="320"/>
        <w:spacing w:after="0" w:line="264" w:lineRule="auto"/>
        <w:tabs>
          <w:tab w:leader="none" w:pos="1300" w:val="left"/>
        </w:tabs>
        <w:numPr>
          <w:ilvl w:val="1"/>
          <w:numId w:val="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February 2026, Green Trade Finance Facility (TFF) with a syndicate of global banks restructured and renewed for EUR 400 million. Additionally, approximately USD 570 million in working capital loans were renewed.</w:t>
      </w:r>
    </w:p>
    <w:p>
      <w:pPr>
        <w:spacing w:after="0" w:line="176" w:lineRule="exact"/>
        <w:rPr>
          <w:rFonts w:ascii="Courier New" w:cs="Courier New" w:eastAsia="Courier New" w:hAnsi="Courier New"/>
          <w:sz w:val="18"/>
          <w:szCs w:val="18"/>
          <w:color w:val="auto"/>
        </w:rPr>
      </w:pPr>
    </w:p>
    <w:p>
      <w:pPr>
        <w:ind w:left="1300" w:hanging="320"/>
        <w:spacing w:after="0"/>
        <w:tabs>
          <w:tab w:leader="none" w:pos="1300" w:val="left"/>
        </w:tabs>
        <w:numPr>
          <w:ilvl w:val="1"/>
          <w:numId w:val="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March 2026, approx. USD 380 million in working capital facilities were renewed.</w:t>
      </w:r>
    </w:p>
    <w:p>
      <w:pPr>
        <w:spacing w:after="0" w:line="209" w:lineRule="exact"/>
        <w:rPr>
          <w:rFonts w:ascii="Courier New" w:cs="Courier New" w:eastAsia="Courier New" w:hAnsi="Courier New"/>
          <w:sz w:val="18"/>
          <w:szCs w:val="18"/>
          <w:color w:val="auto"/>
        </w:rPr>
      </w:pPr>
    </w:p>
    <w:p>
      <w:pPr>
        <w:ind w:left="66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additional EUR 50 million to Green Trade Finance Facility (TFF) has been credit-approved by Fubon Bank (Hong Kong) Limited, subject to completion of the relevant syndicate documentation.</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previously announced, during Q1 2026, Polestar secured a total of USD 0.7 billion of new equity from several financial institutions. Concurrent with their equity investments, these financial institutions each entered into a put option arrangement with a wholly-owned subsidiary of Geely Sweden Holdings AB. These equity investments consist of the following:</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68730"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ind w:left="1300" w:hanging="320"/>
        <w:spacing w:after="0" w:line="264" w:lineRule="auto"/>
        <w:tabs>
          <w:tab w:leader="none" w:pos="1300" w:val="left"/>
        </w:tabs>
        <w:numPr>
          <w:ilvl w:val="1"/>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February 2026, Polestar secured USD 400 million from Feathertop Funding Limited, a special purpose vehicle consolidated to Sumitomo Mitsui Banking Corporation, and Standard Chartered Bank (Hong Kong) Limited.</w:t>
      </w:r>
    </w:p>
    <w:p>
      <w:pPr>
        <w:spacing w:after="0" w:line="176" w:lineRule="exact"/>
        <w:rPr>
          <w:rFonts w:ascii="Courier New" w:cs="Courier New" w:eastAsia="Courier New" w:hAnsi="Courier New"/>
          <w:sz w:val="18"/>
          <w:szCs w:val="18"/>
          <w:color w:val="auto"/>
        </w:rPr>
      </w:pPr>
    </w:p>
    <w:p>
      <w:pPr>
        <w:ind w:left="1300" w:hanging="320"/>
        <w:spacing w:after="0" w:line="264" w:lineRule="auto"/>
        <w:tabs>
          <w:tab w:leader="none" w:pos="1300" w:val="left"/>
        </w:tabs>
        <w:numPr>
          <w:ilvl w:val="1"/>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March 2026, Polestar secured USD 300 million from investors including Credit Agricole CIB, Vida France S.A., Innovator Limited and Proximaster Holdings Company.</w:t>
      </w:r>
    </w:p>
    <w:p>
      <w:pPr>
        <w:spacing w:after="0" w:line="176" w:lineRule="exact"/>
        <w:rPr>
          <w:rFonts w:ascii="Courier New" w:cs="Courier New" w:eastAsia="Courier New" w:hAnsi="Courier New"/>
          <w:sz w:val="18"/>
          <w:szCs w:val="18"/>
          <w:color w:val="auto"/>
        </w:rPr>
      </w:pPr>
    </w:p>
    <w:p>
      <w:pPr>
        <w:jc w:val="both"/>
        <w:ind w:left="660" w:hanging="328"/>
        <w:spacing w:after="0" w:line="265"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Geely Sweden and Volvo Cars agreed to convert approx. USD 639 million of loans outstanding to Polestar into equity with USD 274 million converted by Volvo Cars on March 31, 2026; Geely Sweden is expected to convert approx. USD 300 million and Volvo Cars is expected to convert approx. USD 65 million later in Q2 2026.</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31, 2026, Volvo Cars extended the remaining USD 726 million shareholder loan to December 2031.</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regarding the Company’s USD 950 million ‘Club loan’, by end of Q1 2026, the revenue and debt-to-asset ratio covenant tests have been agreed upon and amended for Q1 2026 and the remaining test periods of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its covenants as of March 31, 2026.</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With the support from Geely Holding Group, we have implemented significant steps to strengthen our balance sheet and improve our debt and liquidity positions, and we continue to consider new equity and debt funding.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Michael Lohscheller, CEO, and Jean-Francois Mady, CFO, will host a conference call today, May 7, 2026, at 14:00 CET. To join the call, please use this link </w:t>
      </w:r>
      <w:r>
        <w:rPr>
          <w:rFonts w:ascii="Times New Roman" w:cs="Times New Roman" w:eastAsia="Times New Roman" w:hAnsi="Times New Roman"/>
          <w:sz w:val="18"/>
          <w:szCs w:val="18"/>
          <w:u w:val="single" w:color="auto"/>
          <w:color w:val="auto"/>
        </w:rPr>
        <w:t>https://edge.media-server.com/mmc/p/tii8h4jg</w:t>
      </w:r>
      <w:r>
        <w:rPr>
          <w:rFonts w:ascii="Times New Roman" w:cs="Times New Roman" w:eastAsia="Times New Roman" w:hAnsi="Times New Roman"/>
          <w:sz w:val="18"/>
          <w:szCs w:val="18"/>
          <w:color w:val="auto"/>
        </w:rPr>
        <w:t xml:space="preserve"> or follow the instructions available under Events on the Polestar Investor Relations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Publication of UK Annual Report and Accounts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UK  Annual  Report  and  Accounts  has  been  published  and  is  available  to  download  via  the  Investor  Relations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https://investors.polestar.com/financial-information/annual-reports.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6873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figures are in millions of U.S. dollars (USD). Unless stated otherwise, the performance shown in this press release covers the three-month period ended March 31, 2026 (Q1 2026), compared to the three-month period ended March 31, 2025 (Q1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Calendar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expects to report its retail sales volumes for Q2 2026 on July 9,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Polestar has four models in its line-up: Polestar 2, Polestar 3, Polestar 4, and Polestar 5. Planned models include Polestar 4 new variant (to be introduced in the last quarter of 2026), Polestar 2 successor (to be launched early in 2027),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6873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Statement regarding unaudited financial and operational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financial and operational information published in this press release is subject to potential adjustments. Potential adjustments to operational and consolidated financial information may be identified from work performed during Polestar’s year-end audit. This could result in differences from the unaudited operational and financial information published herein. For the avoidance of doubt, the unaudited operational and financial information published in this press release should not be considered a substitute for the financial information filed with the SEC in Polestar’s Annual Reports on Form 20-F.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68730"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firstLine="8"/>
        <w:spacing w:after="0" w:line="250"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environmental laws, regulatory requirements (including existing regulations related to connected vehicles as well as impacts from potential or existing laws and regulations that may prevent the importation of certain electric vehicles into the US), governmental incentives, tariffs (including potentially higher than expected tariffs if customs authorities determine a vehicle does not qualify for a lower tariff due to the origin of component parts)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the conflict with Iran and the conflict in the Red Sea; and</w:t>
      </w:r>
    </w:p>
    <w:p>
      <w:pPr>
        <w:spacing w:after="0" w:line="6" w:lineRule="exact"/>
        <w:rPr>
          <w:rFonts w:ascii="Times New Roman" w:cs="Times New Roman" w:eastAsia="Times New Roman" w:hAnsi="Times New Roman"/>
          <w:sz w:val="18"/>
          <w:szCs w:val="18"/>
          <w:color w:val="auto"/>
        </w:rPr>
      </w:pPr>
    </w:p>
    <w:p>
      <w:pPr>
        <w:jc w:val="both"/>
        <w:ind w:firstLine="8"/>
        <w:spacing w:after="0" w:line="255" w:lineRule="auto"/>
        <w:tabs>
          <w:tab w:leader="none" w:pos="3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68730"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Polestar uses both generally accepted accounting principles ("GAAP," i.e., IFRS) and non-GAAP (i.e., non-IFRS) financial measures to evaluate operating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assessing Polestar's operating performance.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Non-GAAP financial measures used by management are </w:t>
      </w:r>
      <w:r>
        <w:rPr>
          <w:rFonts w:ascii="Times New Roman" w:cs="Times New Roman" w:eastAsia="Times New Roman" w:hAnsi="Times New Roman"/>
          <w:sz w:val="18"/>
          <w:szCs w:val="18"/>
          <w:i w:val="1"/>
          <w:iCs w:val="1"/>
          <w:color w:val="auto"/>
        </w:rPr>
        <w:t>Adjusted EBITDA, Free Cash Flow, Adjusted Gross Profit / (Loss)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Adjusted Gross Margin.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is calculated as net loss, adjusted to exclude:</w:t>
      </w:r>
    </w:p>
    <w:p>
      <w:pPr>
        <w:spacing w:after="0" w:line="22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Fair value change - Earn-out rights and Class C Shares;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Finance expense;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Finance income;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Foreign exchange gains (losses) on financial activities, net;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Income tax benefit (expense);</w:t>
      </w:r>
    </w:p>
    <w:p>
      <w:pPr>
        <w:spacing w:after="0" w:line="227"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Impairment of property, plant and equipment, vehicles under operating leases, and intangibles assets, net of reversals;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68730"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Gains (losses) on disposals of investments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139" w:lineRule="exact"/>
        <w:rPr>
          <w:rFonts w:ascii="Arial" w:cs="Arial" w:eastAsia="Arial" w:hAnsi="Arial"/>
          <w:sz w:val="18"/>
          <w:szCs w:val="18"/>
          <w:b w:val="1"/>
          <w:b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and</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Unusual other operating income and expenses that are considered rare or discrete events and are infrequent in nature.</w:t>
      </w:r>
    </w:p>
    <w:p>
      <w:pPr>
        <w:spacing w:after="0" w:line="22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5"/>
          <w:szCs w:val="15"/>
          <w:color w:val="auto"/>
        </w:rPr>
        <w:t>1 - Depreciation and amortization includes (a) depreciation and amortization capitalized into the carrying value of inventory sold (i.e., part of inventory costs) and (b) depreciation and amortization expense.</w:t>
      </w:r>
    </w:p>
    <w:p>
      <w:pPr>
        <w:spacing w:after="0" w:line="174"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5"/>
          <w:szCs w:val="15"/>
          <w:color w:val="auto"/>
        </w:rPr>
        <w:t>2 - Disposals of investments include disposals, by sales or otherwise, of: (a) debt or equity financial instruments issued by another entity that are held as investments, (b) intangible assets, (c) property, plant, and equipment, and (d) groups of assets and liabilities representing disposal groups that were transferred together as part of individual transactions.</w:t>
      </w:r>
    </w:p>
    <w:p>
      <w:pPr>
        <w:spacing w:after="0" w:line="174"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5"/>
          <w:szCs w:val="15"/>
          <w:color w:val="auto"/>
        </w:rPr>
        <w:t>3 - Restructuring costs include expenses associated with programs that were planned and controlled by management, and materially changed either (a) the scope of a business undertaken by the Group or (b) the manner in which business is conducted.</w:t>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reviews this measure and believes it provides meaningful insight into the core business's underlying operating performance and trends, before the effect of any adjusting items.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Free Cash Flow is calculated as cash used for operating activities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cash used to acquire property, plant and equipment and intangible assets. This measure is reviewed by management and management considers it to be a relevant measure for assessing cash generated by operating activities that are available to repay debts and spend on other strategic initiatives.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Gross Profit / (Loss) and Adjusted Gross Margin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Gross Profit / (Loss) is calculated as gross profit / (loss), adjusted to exclude: (i) expenses arising from the impairment of property, plant and equipment, vehicles under operating leases, and intangible assets; and (ii) unusual other items of income or expense that are considered rare or discrete events and are infrequent in nature. Adjusted Gross Margin is calculated as Adjusted Gross Profit / (Loss) divided by revenue. These measures are reviewed by management and management considers them to be useful measures for assessing Polestar's historical operating performance as they facilitate comparison between periods by excluding the non-cash impairment expense, the measurement of which includes significant assumptions related to future periods, and other items which are considered rare or discrete.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68730"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Non-GAAP measures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38"/>
        </w:trPr>
        <w:tc>
          <w:tcPr>
            <w:tcW w:w="50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0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780" w:type="dxa"/>
            <w:vAlign w:val="bottom"/>
            <w:gridSpan w:val="7"/>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(383)</w:t>
            </w:r>
          </w:p>
        </w:tc>
        <w:tc>
          <w:tcPr>
            <w:tcW w:w="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change - Earn-out rights and Class C shares</w:t>
            </w:r>
          </w:p>
        </w:tc>
        <w:tc>
          <w:tcPr>
            <w:tcW w:w="4780" w:type="dxa"/>
            <w:vAlign w:val="bottom"/>
            <w:gridSpan w:val="7"/>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57"/>
        </w:trPr>
        <w:tc>
          <w:tcPr>
            <w:tcW w:w="506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Finance expense</w:t>
            </w:r>
            <w:r>
              <w:rPr>
                <w:rFonts w:ascii="Times New Roman" w:cs="Times New Roman" w:eastAsia="Times New Roman" w:hAnsi="Times New Roman"/>
                <w:sz w:val="29"/>
                <w:szCs w:val="29"/>
                <w:b w:val="1"/>
                <w:bCs w:val="1"/>
                <w:color w:val="auto"/>
                <w:vertAlign w:val="superscript"/>
              </w:rPr>
              <w:t>1</w:t>
            </w:r>
          </w:p>
        </w:tc>
        <w:tc>
          <w:tcPr>
            <w:tcW w:w="4780" w:type="dxa"/>
            <w:vAlign w:val="bottom"/>
            <w:gridSpan w:val="7"/>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99</w:t>
            </w:r>
          </w:p>
        </w:tc>
        <w:tc>
          <w:tcPr>
            <w:tcW w:w="60" w:type="dxa"/>
            <w:vAlign w:val="bottom"/>
          </w:tcPr>
          <w:p>
            <w:pPr>
              <w:spacing w:after="0"/>
              <w:rPr>
                <w:sz w:val="22"/>
                <w:szCs w:val="22"/>
                <w:color w:val="auto"/>
              </w:rPr>
            </w:pPr>
          </w:p>
        </w:tc>
        <w:tc>
          <w:tcPr>
            <w:tcW w:w="13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93</w:t>
            </w:r>
          </w:p>
        </w:tc>
      </w:tr>
      <w:tr>
        <w:trPr>
          <w:trHeight w:val="257"/>
        </w:trPr>
        <w:tc>
          <w:tcPr>
            <w:tcW w:w="50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Finance income</w:t>
            </w:r>
            <w:r>
              <w:rPr>
                <w:rFonts w:ascii="Times New Roman" w:cs="Times New Roman" w:eastAsia="Times New Roman" w:hAnsi="Times New Roman"/>
                <w:sz w:val="29"/>
                <w:szCs w:val="29"/>
                <w:b w:val="1"/>
                <w:bCs w:val="1"/>
                <w:color w:val="auto"/>
                <w:vertAlign w:val="superscript"/>
              </w:rPr>
              <w:t>1</w:t>
            </w:r>
          </w:p>
        </w:tc>
        <w:tc>
          <w:tcPr>
            <w:tcW w:w="4780" w:type="dxa"/>
            <w:vAlign w:val="bottom"/>
            <w:gridSpan w:val="7"/>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57"/>
        </w:trPr>
        <w:tc>
          <w:tcPr>
            <w:tcW w:w="506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Foreign exchange losses / (gains) on financial activities, net</w:t>
            </w:r>
            <w:r>
              <w:rPr>
                <w:rFonts w:ascii="Times New Roman" w:cs="Times New Roman" w:eastAsia="Times New Roman" w:hAnsi="Times New Roman"/>
                <w:sz w:val="29"/>
                <w:szCs w:val="29"/>
                <w:b w:val="1"/>
                <w:bCs w:val="1"/>
                <w:color w:val="auto"/>
                <w:vertAlign w:val="superscript"/>
              </w:rPr>
              <w:t>1</w:t>
            </w:r>
          </w:p>
        </w:tc>
        <w:tc>
          <w:tcPr>
            <w:tcW w:w="4780" w:type="dxa"/>
            <w:vAlign w:val="bottom"/>
            <w:gridSpan w:val="7"/>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w:t>
            </w:r>
          </w:p>
        </w:tc>
        <w:tc>
          <w:tcPr>
            <w:tcW w:w="60" w:type="dxa"/>
            <w:vAlign w:val="bottom"/>
          </w:tcPr>
          <w:p>
            <w:pPr>
              <w:spacing w:after="0"/>
              <w:rPr>
                <w:sz w:val="22"/>
                <w:szCs w:val="2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 (benefit)</w:t>
            </w:r>
          </w:p>
        </w:tc>
        <w:tc>
          <w:tcPr>
            <w:tcW w:w="4780" w:type="dxa"/>
            <w:vAlign w:val="bottom"/>
            <w:gridSpan w:val="7"/>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780" w:type="dxa"/>
            <w:vAlign w:val="bottom"/>
            <w:gridSpan w:val="7"/>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33</w:t>
            </w:r>
          </w:p>
        </w:tc>
        <w:tc>
          <w:tcPr>
            <w:tcW w:w="60" w:type="dxa"/>
            <w:vAlign w:val="bottom"/>
          </w:tcPr>
          <w:p>
            <w:pPr>
              <w:spacing w:after="0"/>
              <w:rPr>
                <w:sz w:val="18"/>
                <w:szCs w:val="18"/>
                <w:color w:val="auto"/>
              </w:rPr>
            </w:pPr>
          </w:p>
        </w:tc>
        <w:tc>
          <w:tcPr>
            <w:tcW w:w="13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Impairment reversals</w:t>
            </w:r>
          </w:p>
        </w:tc>
        <w:tc>
          <w:tcPr>
            <w:tcW w:w="4780" w:type="dxa"/>
            <w:vAlign w:val="bottom"/>
            <w:gridSpan w:val="7"/>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4780" w:type="dxa"/>
            <w:vAlign w:val="bottom"/>
            <w:gridSpan w:val="7"/>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Pr>
          <w:p>
            <w:pPr>
              <w:spacing w:after="0"/>
              <w:rPr>
                <w:sz w:val="18"/>
                <w:szCs w:val="18"/>
                <w:color w:val="auto"/>
              </w:rPr>
            </w:pPr>
          </w:p>
        </w:tc>
        <w:tc>
          <w:tcPr>
            <w:tcW w:w="13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Unusual other operating income and expense, net</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389"/>
        </w:trPr>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1 - Some values for the period ended March 31, 2025 were re-presented.</w:t>
            </w: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3"/>
        </w:trPr>
        <w:tc>
          <w:tcPr>
            <w:tcW w:w="50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38"/>
        </w:trPr>
        <w:tc>
          <w:tcPr>
            <w:tcW w:w="50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0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 (Loss)</w:t>
            </w:r>
          </w:p>
        </w:tc>
        <w:tc>
          <w:tcPr>
            <w:tcW w:w="3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Gross (Loss) / Profit</w:t>
            </w:r>
          </w:p>
        </w:tc>
        <w:tc>
          <w:tcPr>
            <w:tcW w:w="4780" w:type="dxa"/>
            <w:vAlign w:val="bottom"/>
            <w:gridSpan w:val="7"/>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13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reversals</w:t>
            </w:r>
          </w:p>
        </w:tc>
        <w:tc>
          <w:tcPr>
            <w:tcW w:w="4780" w:type="dxa"/>
            <w:vAlign w:val="bottom"/>
            <w:gridSpan w:val="7"/>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 (Loss)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18"/>
                <w:szCs w:val="18"/>
                <w:color w:val="auto"/>
              </w:rPr>
            </w:pPr>
          </w:p>
        </w:tc>
      </w:tr>
      <w:tr>
        <w:trPr>
          <w:trHeight w:val="403"/>
        </w:trPr>
        <w:tc>
          <w:tcPr>
            <w:tcW w:w="50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7"/>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For the three months</w:t>
            </w:r>
          </w:p>
        </w:tc>
      </w:tr>
      <w:tr>
        <w:trPr>
          <w:trHeight w:val="238"/>
        </w:trPr>
        <w:tc>
          <w:tcPr>
            <w:tcW w:w="50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7"/>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3200" w:type="dxa"/>
            <w:vAlign w:val="bottom"/>
            <w:gridSpan w:val="2"/>
          </w:tcPr>
          <w:p>
            <w:pPr>
              <w:spacing w:after="0"/>
              <w:rPr>
                <w:sz w:val="19"/>
                <w:szCs w:val="19"/>
                <w:color w:val="auto"/>
              </w:rPr>
            </w:pPr>
          </w:p>
        </w:tc>
        <w:tc>
          <w:tcPr>
            <w:tcW w:w="122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3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 (Loss) (a)</w:t>
            </w:r>
          </w:p>
        </w:tc>
        <w:tc>
          <w:tcPr>
            <w:tcW w:w="462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r>
      <w:tr>
        <w:trPr>
          <w:trHeight w:val="22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(b)</w:t>
            </w:r>
          </w:p>
        </w:tc>
        <w:tc>
          <w:tcPr>
            <w:tcW w:w="4620" w:type="dxa"/>
            <w:vAlign w:val="bottom"/>
            <w:gridSpan w:val="6"/>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Margin (a/b)</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642"/>
        </w:trPr>
        <w:tc>
          <w:tcPr>
            <w:tcW w:w="50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23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lvl w:ilvl="1">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lvl w:ilvl="1">
      <w:lvlJc w:val="left"/>
      <w:lvlText w:val="o"/>
      <w:numFmt w:val="bullet"/>
      <w:start w:val="1"/>
    </w:lvl>
  </w:abstractNum>
  <w:abstractNum w:abstractNumId="8">
    <w:nsid w:val="66EF438D"/>
    <w:multiLevelType w:val="hybridMultilevel"/>
    <w:lvl w:ilvl="0">
      <w:lvlJc w:val="left"/>
      <w:lvlText w:val="·"/>
      <w:numFmt w:val="bullet"/>
      <w:start w:val="1"/>
    </w:lvl>
    <w:lvl w:ilvl="1">
      <w:lvlJc w:val="left"/>
      <w:lvlText w:val="o"/>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4"/>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23"/>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2026-05-07T06:08:30Z</dcterms:created>
  <dcterms:modified xsi:type="dcterms:W3CDTF">2026-05-07T06:08:30Z</dcterms:modified>
</cp:coreProperties>
</file>