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05"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424(b)(3)</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333-266101</w:t>
      </w:r>
    </w:p>
    <w:p>
      <w:pPr>
        <w:spacing w:after="0" w:line="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72"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6"/>
          <w:szCs w:val="36"/>
          <w:b w:val="1"/>
          <w:bCs w:val="1"/>
          <w:color w:val="auto"/>
        </w:rPr>
        <w:t>Polestar Automotive Holding UK PLC</w:t>
      </w:r>
    </w:p>
    <w:p>
      <w:pPr>
        <w:spacing w:after="0" w:line="4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0"/>
          <w:szCs w:val="20"/>
          <w:b w:val="1"/>
          <w:bCs w:val="1"/>
          <w:color w:val="auto"/>
        </w:rPr>
        <w:t>UP TO 2,203,977,609 CLASS A ADSs,</w:t>
      </w:r>
    </w:p>
    <w:p>
      <w:pPr>
        <w:jc w:val="center"/>
        <w:ind w:right="-119"/>
        <w:spacing w:after="0"/>
        <w:rPr>
          <w:sz w:val="20"/>
          <w:szCs w:val="20"/>
          <w:color w:val="auto"/>
        </w:rPr>
      </w:pPr>
      <w:r>
        <w:rPr>
          <w:rFonts w:ascii="Times New Roman" w:cs="Times New Roman" w:eastAsia="Times New Roman" w:hAnsi="Times New Roman"/>
          <w:sz w:val="20"/>
          <w:szCs w:val="20"/>
          <w:b w:val="1"/>
          <w:bCs w:val="1"/>
          <w:color w:val="auto"/>
        </w:rPr>
        <w:t>UP TO 24,999,965 CLASS A ADSs ISSUABLE UPON CONVERSION OF CLASS C ADSs AND</w:t>
      </w:r>
    </w:p>
    <w:p>
      <w:pPr>
        <w:jc w:val="center"/>
        <w:ind w:right="-119"/>
        <w:spacing w:after="0"/>
        <w:rPr>
          <w:sz w:val="20"/>
          <w:szCs w:val="20"/>
          <w:color w:val="auto"/>
        </w:rPr>
      </w:pPr>
      <w:r>
        <w:rPr>
          <w:rFonts w:ascii="Times New Roman" w:cs="Times New Roman" w:eastAsia="Times New Roman" w:hAnsi="Times New Roman"/>
          <w:sz w:val="20"/>
          <w:szCs w:val="20"/>
          <w:b w:val="1"/>
          <w:bCs w:val="1"/>
          <w:color w:val="auto"/>
        </w:rPr>
        <w:t>UP TO 9,000,000 Class C-2 ADSs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120015</wp:posOffset>
            </wp:positionV>
            <wp:extent cx="147447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14" w:lineRule="exact"/>
        <w:rPr>
          <w:sz w:val="24"/>
          <w:szCs w:val="24"/>
          <w:color w:val="auto"/>
        </w:rPr>
      </w:pPr>
    </w:p>
    <w:p>
      <w:pPr>
        <w:ind w:left="120" w:right="40"/>
        <w:spacing w:after="0" w:line="225" w:lineRule="auto"/>
        <w:rPr>
          <w:sz w:val="20"/>
          <w:szCs w:val="20"/>
          <w:color w:val="auto"/>
        </w:rPr>
      </w:pPr>
      <w:r>
        <w:rPr>
          <w:rFonts w:ascii="Times New Roman" w:cs="Times New Roman" w:eastAsia="Times New Roman" w:hAnsi="Times New Roman"/>
          <w:sz w:val="14"/>
          <w:szCs w:val="14"/>
          <w:color w:val="auto"/>
        </w:rPr>
        <w:t>This prospectus relates to the offer and sale from time to time by the selling securityholders named in this prospectus (the “Selling Securityholders”) of up to (a) 2,228,977,574 Class A ADSs and (b) 9,000,000 Class C-2 ADSs. The Class A ADSs described in clause (a) of the prior sentence include (i) 294,877,349 Class A ADSs issued to Parent as merger consideration in connection with the Business Combination at an equity consideration value of $10.00 per share, (ii) up to 24,078,638 Class A ADSs which are issuable to Parent and, after the liquidation of Parent and the distribution of the securities held by Parent to its shareholders, the Parent Shareholders as earn out consideration (valued as $10.00 per Class A ADS at the time of the Business Combination) upon the achievement of certain price thresholds for the Class A ADSs, as further described in this prospectus, (iii) up to 1,776,332,546 Class A ADSs issuable upon conversion of Class B ADSs, including up to 134,098,971 Class B ADSs which are issuable to Parent and, after the liquidation of Parent and the distribution of the securities held by Parent to its shareholders, Parent Shareholders as earn out consideration (valued as $10.00 per Class B ADS at the time of the Business Combination) upon the achievement of certain price thresholds for the Class A ADSs, as further described in this prospectus, (iv) 18,459,165 Class A ADSs issued to the GGI Sponsor in connection with the Business Combination in exchange for the 18,459,165 shares of GGI Class F Common Stock that the GGI Sponsor initially purchased at $0.001 per share of GGI Class F Common Stock and that the GGI Sponsor retained after forfeiture of 1,540,835 shares of GGI Class F Common Stock; (v) 26,540,835 Class A ADSs issued to GGI Sponsor, the PIPE Investors and Snita pursuant to the Sponsor Subscription Agreement, the PIPE Subscription Agreements and the Volvo Cars PIPE Subscription Agreement, respectively, at an average cash price of $9.42 per Class A ADS, (vi) 58,882,610 Class A ADSs issued to Snita upon conversion of the Volvo Cars Preference Subscription Shares at the time of the Business Combination at a $10.00 conversion price, (vii) 4,306,466 Class A ADSs that were issued to Parent Convertible Note Holders upon conversion of the Parent Convertible Notes at the time of the Business Combination at a conversion price of $8.18, (viii) up to 500,000 Class A ADSs issuable to a service provider in exchange for the performance of marketing consulting services valued at up to $5,000,000, and (ix) up to 24,999,965 Class A ADSs issuable upon conversion of the Class C ADSs, including up to 9,000,000 Class A ADSs issuable upon conversion of the Class C-2 ADSs held by the GGI Sponsor. The prospectus also covers any additional securities that may become issuable by reason of share splits, share dividends or similar transactions.</w:t>
      </w:r>
    </w:p>
    <w:p>
      <w:pPr>
        <w:spacing w:after="0" w:line="15" w:lineRule="exact"/>
        <w:rPr>
          <w:sz w:val="24"/>
          <w:szCs w:val="24"/>
          <w:color w:val="auto"/>
        </w:rPr>
      </w:pPr>
    </w:p>
    <w:p>
      <w:pPr>
        <w:ind w:left="120" w:right="20"/>
        <w:spacing w:after="0" w:line="233" w:lineRule="auto"/>
        <w:rPr>
          <w:sz w:val="20"/>
          <w:szCs w:val="20"/>
          <w:color w:val="auto"/>
        </w:rPr>
      </w:pPr>
      <w:r>
        <w:rPr>
          <w:rFonts w:ascii="Times New Roman" w:cs="Times New Roman" w:eastAsia="Times New Roman" w:hAnsi="Times New Roman"/>
          <w:sz w:val="14"/>
          <w:szCs w:val="14"/>
          <w:color w:val="auto"/>
        </w:rPr>
        <w:t>The Selling Securityholders may offer all or part of the securities for resale from time to time through public or private transactions, at either prevailing market prices or at privately negotiated prices. The resale of these securities is being registered to permit the Selling Securityholders to sell securities from time to time, in amounts, at prices and on terms determined at the time of offering. The Selling Securityholders may sell these securities through ordinary brokerage transactions, directly to market makers of our shares or through any other means permitted pursuant to applicable law described in the section entitled “Plan of Distribution” herein. In connection with any sales of securities offered hereunder, the Selling Securityholders, any underwriters, agents, brokers or dealers participating in such sales may be deemed to be “underwriters” within the meaning of the Securities Act of 1933, as amended (the “Securities Act”).</w:t>
      </w:r>
    </w:p>
    <w:p>
      <w:pPr>
        <w:spacing w:after="0" w:line="15" w:lineRule="exact"/>
        <w:rPr>
          <w:sz w:val="24"/>
          <w:szCs w:val="24"/>
          <w:color w:val="auto"/>
        </w:rPr>
      </w:pPr>
    </w:p>
    <w:p>
      <w:pPr>
        <w:ind w:left="120" w:right="20"/>
        <w:spacing w:after="0" w:line="241" w:lineRule="auto"/>
        <w:rPr>
          <w:sz w:val="20"/>
          <w:szCs w:val="20"/>
          <w:color w:val="auto"/>
        </w:rPr>
      </w:pPr>
      <w:r>
        <w:rPr>
          <w:rFonts w:ascii="Times New Roman" w:cs="Times New Roman" w:eastAsia="Times New Roman" w:hAnsi="Times New Roman"/>
          <w:sz w:val="14"/>
          <w:szCs w:val="14"/>
          <w:color w:val="auto"/>
        </w:rPr>
        <w:t>We are registering the resale of these securities by the Selling Securityholders, or their donees, pledgees, transferees or other successors-in-interest (as a gift, pledge, partnership distribution or other non-sale related transfer) that may be identified in a supplement to this prospectus or, if required, a post-effective amendment to the registration statement of which this prospectus is a part. See “Plan of Distribution.”</w:t>
      </w:r>
    </w:p>
    <w:p>
      <w:pPr>
        <w:spacing w:after="0" w:line="15" w:lineRule="exact"/>
        <w:rPr>
          <w:sz w:val="24"/>
          <w:szCs w:val="24"/>
          <w:color w:val="auto"/>
        </w:rPr>
      </w:pPr>
    </w:p>
    <w:p>
      <w:pPr>
        <w:ind w:left="120" w:right="40"/>
        <w:spacing w:after="0" w:line="233" w:lineRule="auto"/>
        <w:rPr>
          <w:sz w:val="20"/>
          <w:szCs w:val="20"/>
          <w:color w:val="auto"/>
        </w:rPr>
      </w:pPr>
      <w:r>
        <w:rPr>
          <w:rFonts w:ascii="Times New Roman" w:cs="Times New Roman" w:eastAsia="Times New Roman" w:hAnsi="Times New Roman"/>
          <w:sz w:val="14"/>
          <w:szCs w:val="14"/>
          <w:color w:val="auto"/>
        </w:rPr>
        <w:t>We will not receive any proceeds from the sale of the securities by the Selling Securityholders, except with respect to amounts received by the Company upon exercise of the Class C ADSs to the extent such Class C ADSs are exercised for cash. We believe the likelihood that the holders of our Class C ADSs will exercise their Class C ADSs, and therefore the amount of cash proceeds that we would receive, is dependent upon the market price of our Class A ADSs. When the market price for our Class A ADSs is less than $11.50 per share (i.e., the Class C ADSs are “out of the money”), which it is as of the date of this prospectus, we believe the holders of our Class C ADSs will be unlikely to exercise their Class C ADSs. We will pay certain expenses associated with the registration of the resale of the securities covered by this prospectus, as described in the section titled “Plan of Distribution.”</w:t>
      </w:r>
    </w:p>
    <w:p>
      <w:pPr>
        <w:spacing w:after="0" w:line="15" w:lineRule="exact"/>
        <w:rPr>
          <w:sz w:val="24"/>
          <w:szCs w:val="24"/>
          <w:color w:val="auto"/>
        </w:rPr>
      </w:pPr>
    </w:p>
    <w:p>
      <w:pPr>
        <w:ind w:left="120" w:right="40"/>
        <w:spacing w:after="0" w:line="261" w:lineRule="auto"/>
        <w:rPr>
          <w:sz w:val="20"/>
          <w:szCs w:val="20"/>
          <w:color w:val="auto"/>
        </w:rPr>
      </w:pPr>
      <w:r>
        <w:rPr>
          <w:rFonts w:ascii="Times New Roman" w:cs="Times New Roman" w:eastAsia="Times New Roman" w:hAnsi="Times New Roman"/>
          <w:sz w:val="14"/>
          <w:szCs w:val="14"/>
          <w:color w:val="auto"/>
        </w:rPr>
        <w:t>Our Class A ADSs and Class C-1 ADSs are listed on the Nasdaq Stock Market LLC (“Nasdaq”), under the trading symbols “PSNY” and “PSNYW,” respectively. On September 22, 2022, the closing price for our Class A ADSs on Nasdaq was $6.27. On September 22, 2022, the closing price for our Class C-1 ADSs on Nasdaq was $1.27.</w:t>
      </w:r>
    </w:p>
    <w:p>
      <w:pPr>
        <w:spacing w:after="0" w:line="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4"/>
          <w:szCs w:val="14"/>
          <w:color w:val="auto"/>
        </w:rPr>
        <w:t>In connection with the Business Combination, holders of 16,265,203 shares of GGI Class A Common Stock, or approximately 20.3% of the issued and outstanding shares of GGI Class A</w:t>
      </w:r>
    </w:p>
    <w:p>
      <w:pPr>
        <w:ind w:left="120"/>
        <w:spacing w:after="0" w:line="226" w:lineRule="auto"/>
        <w:rPr>
          <w:sz w:val="20"/>
          <w:szCs w:val="20"/>
          <w:color w:val="auto"/>
        </w:rPr>
      </w:pPr>
      <w:r>
        <w:rPr>
          <w:rFonts w:ascii="Times New Roman" w:cs="Times New Roman" w:eastAsia="Times New Roman" w:hAnsi="Times New Roman"/>
          <w:sz w:val="14"/>
          <w:szCs w:val="14"/>
          <w:color w:val="auto"/>
        </w:rPr>
        <w:t>Common Stock, exercised their right to redeem their shares for cash at a redemption price of approximately $10.00 per share, for an aggregate redemption amount of approximately</w:t>
      </w:r>
    </w:p>
    <w:p>
      <w:pPr>
        <w:ind w:left="120"/>
        <w:spacing w:after="0" w:line="222" w:lineRule="auto"/>
        <w:rPr>
          <w:sz w:val="20"/>
          <w:szCs w:val="20"/>
          <w:color w:val="auto"/>
        </w:rPr>
      </w:pPr>
      <w:r>
        <w:rPr>
          <w:rFonts w:ascii="Times New Roman" w:cs="Times New Roman" w:eastAsia="Times New Roman" w:hAnsi="Times New Roman"/>
          <w:sz w:val="14"/>
          <w:szCs w:val="14"/>
          <w:color w:val="auto"/>
        </w:rPr>
        <w:t>$162,652,030. The Class A ADSs and Class C ADSs being offered for resale in this prospectus (collectively, the “Resale Securities”) represent a substantial percentage of the total outstanding</w:t>
      </w:r>
    </w:p>
    <w:p>
      <w:pPr>
        <w:ind w:left="120"/>
        <w:spacing w:after="0" w:line="221" w:lineRule="auto"/>
        <w:rPr>
          <w:sz w:val="20"/>
          <w:szCs w:val="20"/>
          <w:color w:val="auto"/>
        </w:rPr>
      </w:pPr>
      <w:r>
        <w:rPr>
          <w:rFonts w:ascii="Times New Roman" w:cs="Times New Roman" w:eastAsia="Times New Roman" w:hAnsi="Times New Roman"/>
          <w:sz w:val="14"/>
          <w:szCs w:val="14"/>
          <w:color w:val="auto"/>
        </w:rPr>
        <w:t>ADSs as of the date of this prospectus. The Class A ADSs being offered in this prospectus represent approximately 477.1% of our outstanding Class A ADSs, assuming the Earn Out Shares</w:t>
      </w:r>
    </w:p>
    <w:p>
      <w:pPr>
        <w:ind w:left="120"/>
        <w:spacing w:after="0" w:line="221" w:lineRule="auto"/>
        <w:rPr>
          <w:sz w:val="20"/>
          <w:szCs w:val="20"/>
          <w:color w:val="auto"/>
        </w:rPr>
      </w:pPr>
      <w:r>
        <w:rPr>
          <w:rFonts w:ascii="Times New Roman" w:cs="Times New Roman" w:eastAsia="Times New Roman" w:hAnsi="Times New Roman"/>
          <w:sz w:val="14"/>
          <w:szCs w:val="14"/>
          <w:color w:val="auto"/>
        </w:rPr>
        <w:t>issuable pursuant to the Business Combination Agreement are not outstanding, or approximately 356.5% assuming they are outstanding and converted into Class A ADSs. Additionally, if all</w:t>
      </w:r>
    </w:p>
    <w:p>
      <w:pPr>
        <w:ind w:left="120"/>
        <w:spacing w:after="0" w:line="222" w:lineRule="auto"/>
        <w:rPr>
          <w:sz w:val="20"/>
          <w:szCs w:val="20"/>
          <w:color w:val="auto"/>
        </w:rPr>
      </w:pPr>
      <w:r>
        <w:rPr>
          <w:rFonts w:ascii="Times New Roman" w:cs="Times New Roman" w:eastAsia="Times New Roman" w:hAnsi="Times New Roman"/>
          <w:sz w:val="14"/>
          <w:szCs w:val="14"/>
          <w:color w:val="auto"/>
        </w:rPr>
        <w:t>the Class C ADSs are exercised and all Class A ADSs are issued to a service provider in exchange for the performance of marketing consulting services, the Selling Securityholders would</w:t>
      </w:r>
    </w:p>
    <w:p>
      <w:pPr>
        <w:ind w:left="120"/>
        <w:spacing w:after="0" w:line="221" w:lineRule="auto"/>
        <w:rPr>
          <w:sz w:val="20"/>
          <w:szCs w:val="20"/>
          <w:color w:val="auto"/>
        </w:rPr>
      </w:pPr>
      <w:r>
        <w:rPr>
          <w:rFonts w:ascii="Times New Roman" w:cs="Times New Roman" w:eastAsia="Times New Roman" w:hAnsi="Times New Roman"/>
          <w:sz w:val="14"/>
          <w:szCs w:val="14"/>
          <w:color w:val="auto"/>
        </w:rPr>
        <w:t>own an additional 25,499,965 shares of Class A ADSs, representing an additional 5.5% of the total outstanding Class A ADSs. The sale of all the securities being offered in this prospectus, or</w:t>
      </w:r>
    </w:p>
    <w:p>
      <w:pPr>
        <w:ind w:left="120"/>
        <w:spacing w:after="0" w:line="221" w:lineRule="auto"/>
        <w:rPr>
          <w:sz w:val="20"/>
          <w:szCs w:val="20"/>
          <w:color w:val="auto"/>
        </w:rPr>
      </w:pPr>
      <w:r>
        <w:rPr>
          <w:rFonts w:ascii="Times New Roman" w:cs="Times New Roman" w:eastAsia="Times New Roman" w:hAnsi="Times New Roman"/>
          <w:sz w:val="14"/>
          <w:szCs w:val="14"/>
          <w:color w:val="auto"/>
        </w:rPr>
        <w:t>the perception that these sales could occur, could result in a significant decline in the public trading price of our securities. The frequency of such sales could also cause the market price of our</w:t>
      </w:r>
    </w:p>
    <w:p>
      <w:pPr>
        <w:ind w:left="120"/>
        <w:spacing w:after="0" w:line="222" w:lineRule="auto"/>
        <w:rPr>
          <w:sz w:val="20"/>
          <w:szCs w:val="20"/>
          <w:color w:val="auto"/>
        </w:rPr>
      </w:pPr>
      <w:r>
        <w:rPr>
          <w:rFonts w:ascii="Times New Roman" w:cs="Times New Roman" w:eastAsia="Times New Roman" w:hAnsi="Times New Roman"/>
          <w:sz w:val="14"/>
          <w:szCs w:val="14"/>
          <w:color w:val="auto"/>
        </w:rPr>
        <w:t>securities to decline or increase the volatility in the market price of our securities. For example, certain lock-up restrictions entered into in connection with the Business Combination will</w:t>
      </w:r>
    </w:p>
    <w:p>
      <w:pPr>
        <w:ind w:left="120"/>
        <w:spacing w:after="0" w:line="221" w:lineRule="auto"/>
        <w:rPr>
          <w:sz w:val="20"/>
          <w:szCs w:val="20"/>
          <w:color w:val="auto"/>
        </w:rPr>
      </w:pPr>
      <w:r>
        <w:rPr>
          <w:rFonts w:ascii="Times New Roman" w:cs="Times New Roman" w:eastAsia="Times New Roman" w:hAnsi="Times New Roman"/>
          <w:sz w:val="14"/>
          <w:szCs w:val="14"/>
          <w:color w:val="auto"/>
        </w:rPr>
        <w:t>expire 180 days following closing of the Business Combination, on December 20, 2022, and sales by the GGI Sponsor, Parent or Snita could occur. Despite a significant decline in the public</w:t>
      </w:r>
    </w:p>
    <w:p>
      <w:pPr>
        <w:ind w:left="120"/>
        <w:spacing w:after="0" w:line="222" w:lineRule="auto"/>
        <w:rPr>
          <w:sz w:val="20"/>
          <w:szCs w:val="20"/>
          <w:color w:val="auto"/>
        </w:rPr>
      </w:pPr>
      <w:r>
        <w:rPr>
          <w:rFonts w:ascii="Times New Roman" w:cs="Times New Roman" w:eastAsia="Times New Roman" w:hAnsi="Times New Roman"/>
          <w:sz w:val="14"/>
          <w:szCs w:val="14"/>
          <w:color w:val="auto"/>
        </w:rPr>
        <w:t>trading price of our securities, the Selling Securityholders may still experience a positive rate of return on the securities they purchased due to the differences in the purchase prices described</w:t>
      </w:r>
    </w:p>
    <w:p>
      <w:pPr>
        <w:ind w:left="120"/>
        <w:spacing w:after="0" w:line="221" w:lineRule="auto"/>
        <w:rPr>
          <w:sz w:val="20"/>
          <w:szCs w:val="20"/>
          <w:color w:val="auto"/>
        </w:rPr>
      </w:pPr>
      <w:r>
        <w:rPr>
          <w:rFonts w:ascii="Times New Roman" w:cs="Times New Roman" w:eastAsia="Times New Roman" w:hAnsi="Times New Roman"/>
          <w:sz w:val="14"/>
          <w:szCs w:val="14"/>
          <w:color w:val="auto"/>
        </w:rPr>
        <w:t>above and the public trading price of our securities. Based on the closing price of our Class A ADSs of $6.27 as of September 22, 2022, upon the sale of our Class A ADSs, (a) Parent may</w:t>
      </w:r>
    </w:p>
    <w:p>
      <w:pPr>
        <w:ind w:left="120"/>
        <w:spacing w:after="0" w:line="221" w:lineRule="auto"/>
        <w:rPr>
          <w:sz w:val="20"/>
          <w:szCs w:val="20"/>
          <w:color w:val="auto"/>
        </w:rPr>
      </w:pPr>
      <w:r>
        <w:rPr>
          <w:rFonts w:ascii="Times New Roman" w:cs="Times New Roman" w:eastAsia="Times New Roman" w:hAnsi="Times New Roman"/>
          <w:sz w:val="14"/>
          <w:szCs w:val="14"/>
          <w:color w:val="auto"/>
        </w:rPr>
        <w:t>experience a potential loss of up to $3.73 per Class A ADS, (b) GGI Sponsor, the PIPE Investors and Snita may experience a potential loss of up to $3.15 per Subscription Share, (c) the GGI</w:t>
      </w:r>
    </w:p>
    <w:p>
      <w:pPr>
        <w:ind w:left="120"/>
        <w:spacing w:after="0" w:line="222" w:lineRule="auto"/>
        <w:rPr>
          <w:sz w:val="20"/>
          <w:szCs w:val="20"/>
          <w:color w:val="auto"/>
        </w:rPr>
      </w:pPr>
      <w:r>
        <w:rPr>
          <w:rFonts w:ascii="Times New Roman" w:cs="Times New Roman" w:eastAsia="Times New Roman" w:hAnsi="Times New Roman"/>
          <w:sz w:val="14"/>
          <w:szCs w:val="14"/>
          <w:color w:val="auto"/>
        </w:rPr>
        <w:t>Sponsor may experience a potential profit of approximately $6.27 per Class A ADS issued to the GGI Sponsor upon conversion of the shares of GGI Class F Common Stock, (d) Snita may</w:t>
      </w:r>
    </w:p>
    <w:p>
      <w:pPr>
        <w:ind w:left="120"/>
        <w:spacing w:after="0" w:line="221" w:lineRule="auto"/>
        <w:rPr>
          <w:sz w:val="20"/>
          <w:szCs w:val="20"/>
          <w:color w:val="auto"/>
        </w:rPr>
      </w:pPr>
      <w:r>
        <w:rPr>
          <w:rFonts w:ascii="Times New Roman" w:cs="Times New Roman" w:eastAsia="Times New Roman" w:hAnsi="Times New Roman"/>
          <w:sz w:val="14"/>
          <w:szCs w:val="14"/>
          <w:color w:val="auto"/>
        </w:rPr>
        <w:t>experience a potential loss of up to $3.73 per Class A ADS issued to Snita upon conversion of the Volvo Cars Preference Subscription Shares, (e) the marketing consulting service provider</w:t>
      </w:r>
    </w:p>
    <w:p>
      <w:pPr>
        <w:ind w:left="120"/>
        <w:spacing w:after="0" w:line="222" w:lineRule="auto"/>
        <w:rPr>
          <w:sz w:val="20"/>
          <w:szCs w:val="20"/>
          <w:color w:val="auto"/>
        </w:rPr>
      </w:pPr>
      <w:r>
        <w:rPr>
          <w:rFonts w:ascii="Times New Roman" w:cs="Times New Roman" w:eastAsia="Times New Roman" w:hAnsi="Times New Roman"/>
          <w:sz w:val="14"/>
          <w:szCs w:val="14"/>
          <w:color w:val="auto"/>
        </w:rPr>
        <w:t>may experience a potential loss of up to $3.73 per Class A ADS, and (f) Parent Convertible Note Holders may experience a potential loss of up to $1.91 per Class A ADS. Based on the</w:t>
      </w:r>
    </w:p>
    <w:p>
      <w:pPr>
        <w:ind w:left="120"/>
        <w:spacing w:after="0" w:line="221" w:lineRule="auto"/>
        <w:rPr>
          <w:sz w:val="20"/>
          <w:szCs w:val="20"/>
          <w:color w:val="auto"/>
        </w:rPr>
      </w:pPr>
      <w:r>
        <w:rPr>
          <w:rFonts w:ascii="Times New Roman" w:cs="Times New Roman" w:eastAsia="Times New Roman" w:hAnsi="Times New Roman"/>
          <w:sz w:val="14"/>
          <w:szCs w:val="14"/>
          <w:color w:val="auto"/>
        </w:rPr>
        <w:t>closing price of our Class C-1 ADSs of $1.27 as of September 22, 2022, upon the sale of the Class C-2 ADSs, the GGI Sponsor may experience a potential loss of up to $0.73 per Class C-2</w:t>
      </w:r>
    </w:p>
    <w:p>
      <w:pPr>
        <w:ind w:left="120"/>
        <w:spacing w:after="0"/>
        <w:rPr>
          <w:sz w:val="20"/>
          <w:szCs w:val="20"/>
          <w:color w:val="auto"/>
        </w:rPr>
      </w:pPr>
      <w:r>
        <w:rPr>
          <w:rFonts w:ascii="Times New Roman" w:cs="Times New Roman" w:eastAsia="Times New Roman" w:hAnsi="Times New Roman"/>
          <w:sz w:val="14"/>
          <w:szCs w:val="14"/>
          <w:color w:val="auto"/>
        </w:rPr>
        <w:t>ADS.</w:t>
      </w:r>
    </w:p>
    <w:p>
      <w:pPr>
        <w:spacing w:after="0" w:line="26" w:lineRule="exact"/>
        <w:rPr>
          <w:sz w:val="24"/>
          <w:szCs w:val="24"/>
          <w:color w:val="auto"/>
        </w:rPr>
      </w:pPr>
    </w:p>
    <w:p>
      <w:pPr>
        <w:ind w:left="120" w:right="40"/>
        <w:spacing w:after="0" w:line="261" w:lineRule="auto"/>
        <w:rPr>
          <w:sz w:val="20"/>
          <w:szCs w:val="20"/>
          <w:color w:val="auto"/>
        </w:rPr>
      </w:pPr>
      <w:r>
        <w:rPr>
          <w:rFonts w:ascii="Times New Roman" w:cs="Times New Roman" w:eastAsia="Times New Roman" w:hAnsi="Times New Roman"/>
          <w:sz w:val="14"/>
          <w:szCs w:val="14"/>
          <w:color w:val="auto"/>
        </w:rPr>
        <w:t>We may amend or supplement this prospectus from time to time by filing amendments or supplements as required. You should read this entire prospectus and any amendments or supplements carefully before you make your investment decision.</w:t>
      </w:r>
    </w:p>
    <w:p>
      <w:pPr>
        <w:spacing w:after="0" w:line="1" w:lineRule="exact"/>
        <w:rPr>
          <w:sz w:val="24"/>
          <w:szCs w:val="24"/>
          <w:color w:val="auto"/>
        </w:rPr>
      </w:pPr>
    </w:p>
    <w:p>
      <w:pPr>
        <w:jc w:val="both"/>
        <w:ind w:left="120" w:right="700"/>
        <w:spacing w:after="0" w:line="241" w:lineRule="auto"/>
        <w:rPr>
          <w:sz w:val="20"/>
          <w:szCs w:val="20"/>
          <w:color w:val="auto"/>
        </w:rPr>
      </w:pPr>
      <w:r>
        <w:rPr>
          <w:rFonts w:ascii="Times New Roman" w:cs="Times New Roman" w:eastAsia="Times New Roman" w:hAnsi="Times New Roman"/>
          <w:sz w:val="14"/>
          <w:szCs w:val="14"/>
          <w:color w:val="auto"/>
        </w:rPr>
        <w:t>We are a “foreign private issuer” as defined under the U.S. federal securities laws and, as such, may elect to comply with certain reduced public company disclosure and reporting requirements. We are also a “controlled company” as defined under Nasdaq listing rules and, as such, may elect not to comply with certain corporate governance requirements. See “Prospectus Summary—Foreign Private Issuer” and “Prospectus Summary—Controlled Company.”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66675</wp:posOffset>
            </wp:positionV>
            <wp:extent cx="14744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36" w:lineRule="exact"/>
        <w:rPr>
          <w:sz w:val="24"/>
          <w:szCs w:val="24"/>
          <w:color w:val="auto"/>
        </w:rPr>
      </w:pPr>
    </w:p>
    <w:p>
      <w:pPr>
        <w:ind w:left="120" w:right="240"/>
        <w:spacing w:after="0" w:line="293" w:lineRule="auto"/>
        <w:rPr>
          <w:sz w:val="20"/>
          <w:szCs w:val="20"/>
          <w:color w:val="auto"/>
        </w:rPr>
      </w:pPr>
      <w:r>
        <w:rPr>
          <w:rFonts w:ascii="Times New Roman" w:cs="Times New Roman" w:eastAsia="Times New Roman" w:hAnsi="Times New Roman"/>
          <w:sz w:val="16"/>
          <w:szCs w:val="16"/>
          <w:b w:val="1"/>
          <w:bCs w:val="1"/>
          <w:color w:val="auto"/>
        </w:rPr>
        <w:t>Investing in our securities involves a high degree of risk. You should carefully review the risks and uncertainties described under the heading “</w:t>
      </w:r>
      <w:r>
        <w:rPr>
          <w:rFonts w:ascii="Times New Roman" w:cs="Times New Roman" w:eastAsia="Times New Roman" w:hAnsi="Times New Roman"/>
          <w:sz w:val="16"/>
          <w:szCs w:val="16"/>
          <w:b w:val="1"/>
          <w:bCs w:val="1"/>
          <w:u w:val="single" w:color="auto"/>
          <w:color w:val="0000EE"/>
        </w:rPr>
        <w:t>Risk Factors</w:t>
      </w:r>
      <w:r>
        <w:rPr>
          <w:rFonts w:ascii="Times New Roman" w:cs="Times New Roman" w:eastAsia="Times New Roman" w:hAnsi="Times New Roman"/>
          <w:sz w:val="16"/>
          <w:szCs w:val="16"/>
          <w:b w:val="1"/>
          <w:bCs w:val="1"/>
          <w:color w:val="auto"/>
        </w:rPr>
        <w:t>” beginning on page 14 of this prospectus before you make an investment in the securities.</w:t>
      </w:r>
    </w:p>
    <w:p>
      <w:pPr>
        <w:spacing w:after="0" w:line="1" w:lineRule="exact"/>
        <w:rPr>
          <w:sz w:val="24"/>
          <w:szCs w:val="24"/>
          <w:color w:val="auto"/>
        </w:rPr>
      </w:pPr>
    </w:p>
    <w:p>
      <w:pPr>
        <w:ind w:left="120" w:right="100"/>
        <w:spacing w:after="0" w:line="264" w:lineRule="auto"/>
        <w:rPr>
          <w:sz w:val="20"/>
          <w:szCs w:val="20"/>
          <w:color w:val="auto"/>
        </w:rPr>
      </w:pPr>
      <w:r>
        <w:rPr>
          <w:rFonts w:ascii="Times New Roman" w:cs="Times New Roman" w:eastAsia="Times New Roman" w:hAnsi="Times New Roman"/>
          <w:sz w:val="14"/>
          <w:szCs w:val="14"/>
          <w:b w:val="1"/>
          <w:bCs w:val="1"/>
          <w:color w:val="auto"/>
        </w:rPr>
        <w:t>Neither the U.S. Securities and Exchange Commission (the “SEC”) nor any state or foreign securities commission has approved or disapproved of these securities or determined if this prospectus is truthful or complete.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90805</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166"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Prospectus dated September 22, 2022</w:t>
      </w:r>
    </w:p>
    <w:p>
      <w:pPr>
        <w:sectPr>
          <w:pgSz w:w="11900" w:h="16838" w:orient="portrait"/>
          <w:cols w:equalWidth="0" w:num="1">
            <w:col w:w="11140"/>
          </w:cols>
          <w:pgMar w:left="320" w:top="226" w:right="4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8700" w:type="dxa"/>
            <w:vAlign w:val="bottom"/>
            <w:gridSpan w:val="30"/>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2380" w:type="dxa"/>
            <w:vAlign w:val="bottom"/>
          </w:tcPr>
          <w:p>
            <w:pPr>
              <w:spacing w:after="0"/>
              <w:rPr>
                <w:sz w:val="17"/>
                <w:szCs w:val="17"/>
                <w:color w:val="auto"/>
              </w:rPr>
            </w:pPr>
          </w:p>
        </w:tc>
      </w:tr>
      <w:tr>
        <w:trPr>
          <w:trHeight w:val="533"/>
        </w:trPr>
        <w:tc>
          <w:tcPr>
            <w:tcW w:w="12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80" w:type="dxa"/>
            <w:vAlign w:val="bottom"/>
            <w:gridSpan w:val="6"/>
          </w:tcPr>
          <w:p>
            <w:pPr>
              <w:ind w:left="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380" w:type="dxa"/>
            <w:vAlign w:val="bottom"/>
          </w:tcPr>
          <w:p>
            <w:pPr>
              <w:spacing w:after="0"/>
              <w:rPr>
                <w:sz w:val="24"/>
                <w:szCs w:val="24"/>
                <w:color w:val="auto"/>
              </w:rPr>
            </w:pPr>
          </w:p>
        </w:tc>
      </w:tr>
      <w:tr>
        <w:trPr>
          <w:trHeight w:val="418"/>
        </w:trPr>
        <w:tc>
          <w:tcPr>
            <w:tcW w:w="120" w:type="dxa"/>
            <w:vAlign w:val="bottom"/>
          </w:tcPr>
          <w:p>
            <w:pPr>
              <w:spacing w:after="0"/>
              <w:rPr>
                <w:sz w:val="24"/>
                <w:szCs w:val="24"/>
                <w:color w:val="auto"/>
              </w:rPr>
            </w:pPr>
          </w:p>
        </w:tc>
        <w:tc>
          <w:tcPr>
            <w:tcW w:w="8580" w:type="dxa"/>
            <w:vAlign w:val="bottom"/>
            <w:gridSpan w:val="29"/>
          </w:tcPr>
          <w:p>
            <w:pPr>
              <w:spacing w:after="0"/>
              <w:rPr>
                <w:sz w:val="20"/>
                <w:szCs w:val="20"/>
                <w:color w:val="auto"/>
              </w:rPr>
            </w:pPr>
            <w:r>
              <w:rPr>
                <w:rFonts w:ascii="Times New Roman" w:cs="Times New Roman" w:eastAsia="Times New Roman" w:hAnsi="Times New Roman"/>
                <w:sz w:val="18"/>
                <w:szCs w:val="18"/>
                <w:color w:val="0000EE"/>
              </w:rPr>
              <w:t>TRADEMARKS, SERVICE MARKS AND TRADE NAMES</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ii</w:t>
            </w:r>
          </w:p>
        </w:tc>
      </w:tr>
      <w:tr>
        <w:trPr>
          <w:trHeight w:val="196"/>
        </w:trPr>
        <w:tc>
          <w:tcPr>
            <w:tcW w:w="120" w:type="dxa"/>
            <w:vAlign w:val="bottom"/>
          </w:tcPr>
          <w:p>
            <w:pPr>
              <w:spacing w:after="0"/>
              <w:rPr>
                <w:sz w:val="17"/>
                <w:szCs w:val="17"/>
                <w:color w:val="auto"/>
              </w:rPr>
            </w:pPr>
          </w:p>
        </w:tc>
        <w:tc>
          <w:tcPr>
            <w:tcW w:w="3040" w:type="dxa"/>
            <w:vAlign w:val="bottom"/>
            <w:tcBorders>
              <w:top w:val="single" w:sz="8" w:color="0000EE"/>
              <w:bottom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w w:val="98"/>
              </w:rPr>
              <w:t>CURRENCY AND EXCHANGE RATES</w:t>
            </w:r>
          </w:p>
        </w:tc>
        <w:tc>
          <w:tcPr>
            <w:tcW w:w="1460" w:type="dxa"/>
            <w:vAlign w:val="bottom"/>
            <w:tcBorders>
              <w:top w:val="single" w:sz="8" w:color="0000EE"/>
            </w:tcBorders>
            <w:gridSpan w:val="8"/>
          </w:tcPr>
          <w:p>
            <w:pPr>
              <w:spacing w:after="0"/>
              <w:rPr>
                <w:sz w:val="17"/>
                <w:szCs w:val="17"/>
                <w:color w:val="auto"/>
              </w:rPr>
            </w:pPr>
          </w:p>
        </w:tc>
        <w:tc>
          <w:tcPr>
            <w:tcW w:w="4080" w:type="dxa"/>
            <w:vAlign w:val="bottom"/>
            <w:gridSpan w:val="6"/>
          </w:tcPr>
          <w:p>
            <w:pPr>
              <w:spacing w:after="0"/>
              <w:rPr>
                <w:sz w:val="17"/>
                <w:szCs w:val="17"/>
                <w:color w:val="auto"/>
              </w:rPr>
            </w:pPr>
          </w:p>
        </w:tc>
        <w:tc>
          <w:tcPr>
            <w:tcW w:w="2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ii</w:t>
            </w:r>
          </w:p>
        </w:tc>
      </w:tr>
      <w:tr>
        <w:trPr>
          <w:trHeight w:val="196"/>
        </w:trPr>
        <w:tc>
          <w:tcPr>
            <w:tcW w:w="120" w:type="dxa"/>
            <w:vAlign w:val="bottom"/>
          </w:tcPr>
          <w:p>
            <w:pPr>
              <w:spacing w:after="0"/>
              <w:rPr>
                <w:sz w:val="17"/>
                <w:szCs w:val="17"/>
                <w:color w:val="auto"/>
              </w:rPr>
            </w:pPr>
          </w:p>
        </w:tc>
        <w:tc>
          <w:tcPr>
            <w:tcW w:w="8580" w:type="dxa"/>
            <w:vAlign w:val="bottom"/>
            <w:gridSpan w:val="29"/>
          </w:tcPr>
          <w:p>
            <w:pPr>
              <w:spacing w:after="0" w:line="196" w:lineRule="exact"/>
              <w:rPr>
                <w:sz w:val="20"/>
                <w:szCs w:val="20"/>
                <w:color w:val="auto"/>
              </w:rPr>
            </w:pPr>
            <w:r>
              <w:rPr>
                <w:rFonts w:ascii="Times New Roman" w:cs="Times New Roman" w:eastAsia="Times New Roman" w:hAnsi="Times New Roman"/>
                <w:sz w:val="18"/>
                <w:szCs w:val="18"/>
                <w:color w:val="0000EE"/>
              </w:rPr>
              <w:t>INDUSTRY AND MARKET DATA</w:t>
            </w:r>
          </w:p>
        </w:tc>
        <w:tc>
          <w:tcPr>
            <w:tcW w:w="2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ii</w:t>
            </w:r>
          </w:p>
        </w:tc>
      </w:tr>
      <w:tr>
        <w:trPr>
          <w:trHeight w:val="196"/>
        </w:trPr>
        <w:tc>
          <w:tcPr>
            <w:tcW w:w="120" w:type="dxa"/>
            <w:vAlign w:val="bottom"/>
          </w:tcPr>
          <w:p>
            <w:pPr>
              <w:spacing w:after="0"/>
              <w:rPr>
                <w:sz w:val="17"/>
                <w:szCs w:val="17"/>
                <w:color w:val="auto"/>
              </w:rPr>
            </w:pPr>
          </w:p>
        </w:tc>
        <w:tc>
          <w:tcPr>
            <w:tcW w:w="2640" w:type="dxa"/>
            <w:vAlign w:val="bottom"/>
            <w:tcBorders>
              <w:top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ABOUT THIS PROSPECTUS</w:t>
            </w:r>
          </w:p>
        </w:tc>
        <w:tc>
          <w:tcPr>
            <w:tcW w:w="5940" w:type="dxa"/>
            <w:vAlign w:val="bottom"/>
            <w:gridSpan w:val="15"/>
          </w:tcPr>
          <w:p>
            <w:pPr>
              <w:spacing w:after="0"/>
              <w:rPr>
                <w:sz w:val="17"/>
                <w:szCs w:val="17"/>
                <w:color w:val="auto"/>
              </w:rPr>
            </w:pPr>
          </w:p>
        </w:tc>
        <w:tc>
          <w:tcPr>
            <w:tcW w:w="2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ii</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3880" w:type="dxa"/>
            <w:vAlign w:val="bottom"/>
            <w:tcBorders>
              <w:bottom w:val="single" w:sz="8" w:color="0000EE"/>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EE"/>
                <w:w w:val="98"/>
              </w:rPr>
              <w:t>PRESENTATION OF FINANCIAL INFORMATION</w:t>
            </w:r>
          </w:p>
        </w:tc>
        <w:tc>
          <w:tcPr>
            <w:tcW w:w="4700" w:type="dxa"/>
            <w:vAlign w:val="bottom"/>
            <w:gridSpan w:val="9"/>
          </w:tcPr>
          <w:p>
            <w:pPr>
              <w:spacing w:after="0"/>
              <w:rPr>
                <w:sz w:val="17"/>
                <w:szCs w:val="17"/>
                <w:color w:val="auto"/>
              </w:rPr>
            </w:pPr>
          </w:p>
        </w:tc>
        <w:tc>
          <w:tcPr>
            <w:tcW w:w="2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iv</w:t>
            </w:r>
          </w:p>
        </w:tc>
      </w:tr>
      <w:tr>
        <w:trPr>
          <w:trHeight w:val="196"/>
        </w:trPr>
        <w:tc>
          <w:tcPr>
            <w:tcW w:w="120" w:type="dxa"/>
            <w:vAlign w:val="bottom"/>
          </w:tcPr>
          <w:p>
            <w:pPr>
              <w:spacing w:after="0"/>
              <w:rPr>
                <w:sz w:val="17"/>
                <w:szCs w:val="17"/>
                <w:color w:val="auto"/>
              </w:rPr>
            </w:pPr>
          </w:p>
        </w:tc>
        <w:tc>
          <w:tcPr>
            <w:tcW w:w="8580" w:type="dxa"/>
            <w:vAlign w:val="bottom"/>
            <w:gridSpan w:val="29"/>
          </w:tcPr>
          <w:p>
            <w:pPr>
              <w:spacing w:after="0" w:line="196" w:lineRule="exact"/>
              <w:rPr>
                <w:sz w:val="20"/>
                <w:szCs w:val="20"/>
                <w:color w:val="auto"/>
              </w:rPr>
            </w:pPr>
            <w:r>
              <w:rPr>
                <w:rFonts w:ascii="Times New Roman" w:cs="Times New Roman" w:eastAsia="Times New Roman" w:hAnsi="Times New Roman"/>
                <w:sz w:val="18"/>
                <w:szCs w:val="18"/>
                <w:color w:val="0000EE"/>
              </w:rPr>
              <w:t>CERTAIN DEFINED TERMS</w:t>
            </w:r>
          </w:p>
        </w:tc>
        <w:tc>
          <w:tcPr>
            <w:tcW w:w="2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v</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5780" w:type="dxa"/>
            <w:vAlign w:val="bottom"/>
            <w:tcBorders>
              <w:bottom w:val="single" w:sz="8" w:color="0000EE"/>
            </w:tcBorders>
            <w:gridSpan w:val="28"/>
          </w:tcPr>
          <w:p>
            <w:pPr>
              <w:spacing w:after="0" w:line="196" w:lineRule="exact"/>
              <w:rPr>
                <w:sz w:val="20"/>
                <w:szCs w:val="20"/>
                <w:color w:val="auto"/>
              </w:rPr>
            </w:pPr>
            <w:r>
              <w:rPr>
                <w:rFonts w:ascii="Times New Roman" w:cs="Times New Roman" w:eastAsia="Times New Roman" w:hAnsi="Times New Roman"/>
                <w:sz w:val="18"/>
                <w:szCs w:val="18"/>
                <w:color w:val="0000EE"/>
                <w:w w:val="98"/>
              </w:rPr>
              <w:t>CAUTIONARY NOTE REGARDING FORWARD-LOOKING STATEMENTS</w:t>
            </w:r>
          </w:p>
        </w:tc>
        <w:tc>
          <w:tcPr>
            <w:tcW w:w="2800" w:type="dxa"/>
            <w:vAlign w:val="bottom"/>
          </w:tcPr>
          <w:p>
            <w:pPr>
              <w:spacing w:after="0"/>
              <w:rPr>
                <w:sz w:val="17"/>
                <w:szCs w:val="17"/>
                <w:color w:val="auto"/>
              </w:rPr>
            </w:pPr>
          </w:p>
        </w:tc>
        <w:tc>
          <w:tcPr>
            <w:tcW w:w="2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xiii</w:t>
            </w:r>
          </w:p>
        </w:tc>
      </w:tr>
      <w:tr>
        <w:trPr>
          <w:trHeight w:val="196"/>
        </w:trPr>
        <w:tc>
          <w:tcPr>
            <w:tcW w:w="120" w:type="dxa"/>
            <w:vAlign w:val="bottom"/>
          </w:tcPr>
          <w:p>
            <w:pPr>
              <w:spacing w:after="0"/>
              <w:rPr>
                <w:sz w:val="17"/>
                <w:szCs w:val="17"/>
                <w:color w:val="auto"/>
              </w:rPr>
            </w:pPr>
          </w:p>
        </w:tc>
        <w:tc>
          <w:tcPr>
            <w:tcW w:w="8580" w:type="dxa"/>
            <w:vAlign w:val="bottom"/>
            <w:gridSpan w:val="29"/>
          </w:tcPr>
          <w:p>
            <w:pPr>
              <w:spacing w:after="0" w:line="196" w:lineRule="exact"/>
              <w:rPr>
                <w:sz w:val="20"/>
                <w:szCs w:val="20"/>
                <w:color w:val="auto"/>
              </w:rPr>
            </w:pPr>
            <w:r>
              <w:rPr>
                <w:rFonts w:ascii="Times New Roman" w:cs="Times New Roman" w:eastAsia="Times New Roman" w:hAnsi="Times New Roman"/>
                <w:sz w:val="18"/>
                <w:szCs w:val="18"/>
                <w:color w:val="0000EE"/>
              </w:rPr>
              <w:t>PROSPECTUS SUMMARY</w:t>
            </w:r>
          </w:p>
        </w:tc>
        <w:tc>
          <w:tcPr>
            <w:tcW w:w="2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r>
      <w:tr>
        <w:trPr>
          <w:trHeight w:val="196"/>
        </w:trPr>
        <w:tc>
          <w:tcPr>
            <w:tcW w:w="120" w:type="dxa"/>
            <w:vAlign w:val="bottom"/>
          </w:tcPr>
          <w:p>
            <w:pPr>
              <w:spacing w:after="0"/>
              <w:rPr>
                <w:sz w:val="17"/>
                <w:szCs w:val="17"/>
                <w:color w:val="auto"/>
              </w:rPr>
            </w:pPr>
          </w:p>
        </w:tc>
        <w:tc>
          <w:tcPr>
            <w:tcW w:w="1280" w:type="dxa"/>
            <w:vAlign w:val="bottom"/>
            <w:tcBorders>
              <w:top w:val="single" w:sz="8" w:color="0000EE"/>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8"/>
              </w:rPr>
              <w:t>THE OFFERING</w:t>
            </w:r>
          </w:p>
        </w:tc>
        <w:tc>
          <w:tcPr>
            <w:tcW w:w="800" w:type="dxa"/>
            <w:vAlign w:val="bottom"/>
            <w:tcBorders>
              <w:top w:val="single" w:sz="8" w:color="0000EE"/>
            </w:tcBorders>
            <w:gridSpan w:val="5"/>
          </w:tcPr>
          <w:p>
            <w:pPr>
              <w:spacing w:after="0"/>
              <w:rPr>
                <w:sz w:val="17"/>
                <w:szCs w:val="17"/>
                <w:color w:val="auto"/>
              </w:rPr>
            </w:pPr>
          </w:p>
        </w:tc>
        <w:tc>
          <w:tcPr>
            <w:tcW w:w="6500" w:type="dxa"/>
            <w:vAlign w:val="bottom"/>
            <w:gridSpan w:val="19"/>
          </w:tcPr>
          <w:p>
            <w:pPr>
              <w:spacing w:after="0"/>
              <w:rPr>
                <w:sz w:val="17"/>
                <w:szCs w:val="17"/>
                <w:color w:val="auto"/>
              </w:rPr>
            </w:pPr>
          </w:p>
        </w:tc>
        <w:tc>
          <w:tcPr>
            <w:tcW w:w="2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w:t>
            </w:r>
          </w:p>
        </w:tc>
      </w:tr>
      <w:tr>
        <w:trPr>
          <w:trHeight w:val="196"/>
        </w:trPr>
        <w:tc>
          <w:tcPr>
            <w:tcW w:w="120" w:type="dxa"/>
            <w:vAlign w:val="bottom"/>
          </w:tcPr>
          <w:p>
            <w:pPr>
              <w:spacing w:after="0"/>
              <w:rPr>
                <w:sz w:val="17"/>
                <w:szCs w:val="17"/>
                <w:color w:val="auto"/>
              </w:rPr>
            </w:pPr>
          </w:p>
        </w:tc>
        <w:tc>
          <w:tcPr>
            <w:tcW w:w="8580" w:type="dxa"/>
            <w:vAlign w:val="bottom"/>
            <w:gridSpan w:val="29"/>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2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80" w:type="dxa"/>
            <w:vAlign w:val="bottom"/>
            <w:gridSpan w:val="2"/>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8580" w:type="dxa"/>
            <w:vAlign w:val="bottom"/>
            <w:gridSpan w:val="29"/>
          </w:tcPr>
          <w:p>
            <w:pPr>
              <w:spacing w:after="0" w:line="196" w:lineRule="exact"/>
              <w:rPr>
                <w:sz w:val="20"/>
                <w:szCs w:val="20"/>
                <w:color w:val="auto"/>
              </w:rPr>
            </w:pPr>
            <w:r>
              <w:rPr>
                <w:rFonts w:ascii="Times New Roman" w:cs="Times New Roman" w:eastAsia="Times New Roman" w:hAnsi="Times New Roman"/>
                <w:sz w:val="18"/>
                <w:szCs w:val="18"/>
                <w:color w:val="0000EE"/>
              </w:rPr>
              <w:t>CAPITALIZATION AND INDEBTEDNESS</w:t>
            </w:r>
          </w:p>
        </w:tc>
        <w:tc>
          <w:tcPr>
            <w:tcW w:w="2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75</w:t>
            </w:r>
          </w:p>
        </w:tc>
      </w:tr>
      <w:tr>
        <w:trPr>
          <w:trHeight w:val="196"/>
        </w:trPr>
        <w:tc>
          <w:tcPr>
            <w:tcW w:w="120" w:type="dxa"/>
            <w:vAlign w:val="bottom"/>
          </w:tcPr>
          <w:p>
            <w:pPr>
              <w:spacing w:after="0"/>
              <w:rPr>
                <w:sz w:val="17"/>
                <w:szCs w:val="17"/>
                <w:color w:val="auto"/>
              </w:rPr>
            </w:pPr>
          </w:p>
        </w:tc>
        <w:tc>
          <w:tcPr>
            <w:tcW w:w="1580" w:type="dxa"/>
            <w:vAlign w:val="bottom"/>
            <w:tcBorders>
              <w:top w:val="single" w:sz="8" w:color="0000EE"/>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8"/>
              </w:rPr>
              <w:t>USE OF PROCEEDS</w:t>
            </w:r>
          </w:p>
        </w:tc>
        <w:tc>
          <w:tcPr>
            <w:tcW w:w="1680" w:type="dxa"/>
            <w:vAlign w:val="bottom"/>
            <w:tcBorders>
              <w:top w:val="single" w:sz="8" w:color="0000EE"/>
            </w:tcBorders>
            <w:gridSpan w:val="8"/>
          </w:tcPr>
          <w:p>
            <w:pPr>
              <w:spacing w:after="0"/>
              <w:rPr>
                <w:sz w:val="17"/>
                <w:szCs w:val="17"/>
                <w:color w:val="auto"/>
              </w:rPr>
            </w:pPr>
          </w:p>
        </w:tc>
        <w:tc>
          <w:tcPr>
            <w:tcW w:w="5320" w:type="dxa"/>
            <w:vAlign w:val="bottom"/>
            <w:gridSpan w:val="13"/>
          </w:tcPr>
          <w:p>
            <w:pPr>
              <w:spacing w:after="0"/>
              <w:rPr>
                <w:sz w:val="17"/>
                <w:szCs w:val="17"/>
                <w:color w:val="auto"/>
              </w:rPr>
            </w:pPr>
          </w:p>
        </w:tc>
        <w:tc>
          <w:tcPr>
            <w:tcW w:w="2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76</w:t>
            </w:r>
          </w:p>
        </w:tc>
      </w:tr>
      <w:tr>
        <w:trPr>
          <w:trHeight w:val="196"/>
        </w:trPr>
        <w:tc>
          <w:tcPr>
            <w:tcW w:w="120" w:type="dxa"/>
            <w:vAlign w:val="bottom"/>
          </w:tcPr>
          <w:p>
            <w:pPr>
              <w:spacing w:after="0"/>
              <w:rPr>
                <w:sz w:val="17"/>
                <w:szCs w:val="17"/>
                <w:color w:val="auto"/>
              </w:rPr>
            </w:pPr>
          </w:p>
        </w:tc>
        <w:tc>
          <w:tcPr>
            <w:tcW w:w="8580" w:type="dxa"/>
            <w:vAlign w:val="bottom"/>
            <w:gridSpan w:val="29"/>
          </w:tcPr>
          <w:p>
            <w:pPr>
              <w:spacing w:after="0" w:line="196" w:lineRule="exact"/>
              <w:rPr>
                <w:sz w:val="20"/>
                <w:szCs w:val="20"/>
                <w:color w:val="auto"/>
              </w:rPr>
            </w:pPr>
            <w:r>
              <w:rPr>
                <w:rFonts w:ascii="Times New Roman" w:cs="Times New Roman" w:eastAsia="Times New Roman" w:hAnsi="Times New Roman"/>
                <w:sz w:val="18"/>
                <w:szCs w:val="18"/>
                <w:color w:val="0000EE"/>
              </w:rPr>
              <w:t>MARKET PRICE OF OUR SECURITIES AND DIVIDEND POLICY</w:t>
            </w:r>
          </w:p>
        </w:tc>
        <w:tc>
          <w:tcPr>
            <w:tcW w:w="2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77</w:t>
            </w:r>
          </w:p>
        </w:tc>
      </w:tr>
      <w:tr>
        <w:trPr>
          <w:trHeight w:val="196"/>
        </w:trPr>
        <w:tc>
          <w:tcPr>
            <w:tcW w:w="120" w:type="dxa"/>
            <w:vAlign w:val="bottom"/>
          </w:tcPr>
          <w:p>
            <w:pPr>
              <w:spacing w:after="0"/>
              <w:rPr>
                <w:sz w:val="17"/>
                <w:szCs w:val="17"/>
                <w:color w:val="auto"/>
              </w:rPr>
            </w:pPr>
          </w:p>
        </w:tc>
        <w:tc>
          <w:tcPr>
            <w:tcW w:w="5120" w:type="dxa"/>
            <w:vAlign w:val="bottom"/>
            <w:tcBorders>
              <w:top w:val="single" w:sz="8" w:color="0000EE"/>
            </w:tcBorders>
            <w:gridSpan w:val="25"/>
          </w:tcPr>
          <w:p>
            <w:pPr>
              <w:spacing w:after="0" w:line="196" w:lineRule="exact"/>
              <w:rPr>
                <w:sz w:val="20"/>
                <w:szCs w:val="20"/>
                <w:color w:val="auto"/>
              </w:rPr>
            </w:pPr>
            <w:r>
              <w:rPr>
                <w:rFonts w:ascii="Times New Roman" w:cs="Times New Roman" w:eastAsia="Times New Roman" w:hAnsi="Times New Roman"/>
                <w:sz w:val="18"/>
                <w:szCs w:val="18"/>
                <w:color w:val="0000EE"/>
              </w:rPr>
              <w:t>BUSINESS</w:t>
            </w:r>
          </w:p>
        </w:tc>
        <w:tc>
          <w:tcPr>
            <w:tcW w:w="3460" w:type="dxa"/>
            <w:vAlign w:val="bottom"/>
            <w:gridSpan w:val="4"/>
          </w:tcPr>
          <w:p>
            <w:pPr>
              <w:spacing w:after="0"/>
              <w:rPr>
                <w:sz w:val="17"/>
                <w:szCs w:val="17"/>
                <w:color w:val="auto"/>
              </w:rPr>
            </w:pPr>
          </w:p>
        </w:tc>
        <w:tc>
          <w:tcPr>
            <w:tcW w:w="2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78</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80" w:type="dxa"/>
            <w:vAlign w:val="bottom"/>
            <w:gridSpan w:val="2"/>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4660" w:type="dxa"/>
            <w:vAlign w:val="bottom"/>
            <w:tcBorders>
              <w:bottom w:val="single" w:sz="8" w:color="0000EE"/>
            </w:tcBorders>
            <w:gridSpan w:val="24"/>
          </w:tcPr>
          <w:p>
            <w:pPr>
              <w:spacing w:after="0" w:line="196" w:lineRule="exact"/>
              <w:rPr>
                <w:sz w:val="20"/>
                <w:szCs w:val="20"/>
                <w:color w:val="auto"/>
              </w:rPr>
            </w:pPr>
            <w:r>
              <w:rPr>
                <w:rFonts w:ascii="Times New Roman" w:cs="Times New Roman" w:eastAsia="Times New Roman" w:hAnsi="Times New Roman"/>
                <w:sz w:val="18"/>
                <w:szCs w:val="18"/>
                <w:color w:val="0000EE"/>
                <w:w w:val="99"/>
              </w:rPr>
              <w:t>OPERATING AND FINANCIAL REVIEW AND PROSPECTS</w:t>
            </w:r>
          </w:p>
        </w:tc>
        <w:tc>
          <w:tcPr>
            <w:tcW w:w="3920" w:type="dxa"/>
            <w:vAlign w:val="bottom"/>
            <w:gridSpan w:val="5"/>
          </w:tcPr>
          <w:p>
            <w:pPr>
              <w:spacing w:after="0"/>
              <w:rPr>
                <w:sz w:val="17"/>
                <w:szCs w:val="17"/>
                <w:color w:val="auto"/>
              </w:rPr>
            </w:pPr>
          </w:p>
        </w:tc>
        <w:tc>
          <w:tcPr>
            <w:tcW w:w="2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107</w:t>
            </w:r>
          </w:p>
        </w:tc>
      </w:tr>
      <w:tr>
        <w:trPr>
          <w:trHeight w:val="196"/>
        </w:trPr>
        <w:tc>
          <w:tcPr>
            <w:tcW w:w="120" w:type="dxa"/>
            <w:vAlign w:val="bottom"/>
          </w:tcPr>
          <w:p>
            <w:pPr>
              <w:spacing w:after="0"/>
              <w:rPr>
                <w:sz w:val="17"/>
                <w:szCs w:val="17"/>
                <w:color w:val="auto"/>
              </w:rPr>
            </w:pPr>
          </w:p>
        </w:tc>
        <w:tc>
          <w:tcPr>
            <w:tcW w:w="8580" w:type="dxa"/>
            <w:vAlign w:val="bottom"/>
            <w:gridSpan w:val="29"/>
          </w:tcPr>
          <w:p>
            <w:pPr>
              <w:spacing w:after="0" w:line="196" w:lineRule="exact"/>
              <w:rPr>
                <w:sz w:val="20"/>
                <w:szCs w:val="20"/>
                <w:color w:val="auto"/>
              </w:rPr>
            </w:pPr>
            <w:r>
              <w:rPr>
                <w:rFonts w:ascii="Times New Roman" w:cs="Times New Roman" w:eastAsia="Times New Roman" w:hAnsi="Times New Roman"/>
                <w:sz w:val="18"/>
                <w:szCs w:val="18"/>
                <w:color w:val="0000EE"/>
              </w:rPr>
              <w:t>BOARD OF DIRECTORS AND MANAGEMENT</w:t>
            </w:r>
          </w:p>
        </w:tc>
        <w:tc>
          <w:tcPr>
            <w:tcW w:w="2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117</w:t>
            </w:r>
          </w:p>
        </w:tc>
      </w:tr>
      <w:tr>
        <w:trPr>
          <w:trHeight w:val="196"/>
        </w:trPr>
        <w:tc>
          <w:tcPr>
            <w:tcW w:w="120" w:type="dxa"/>
            <w:vAlign w:val="bottom"/>
          </w:tcPr>
          <w:p>
            <w:pPr>
              <w:spacing w:after="0"/>
              <w:rPr>
                <w:sz w:val="17"/>
                <w:szCs w:val="17"/>
                <w:color w:val="auto"/>
              </w:rPr>
            </w:pPr>
          </w:p>
        </w:tc>
        <w:tc>
          <w:tcPr>
            <w:tcW w:w="3720" w:type="dxa"/>
            <w:vAlign w:val="bottom"/>
            <w:tcBorders>
              <w:top w:val="single" w:sz="8" w:color="0000EE"/>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COMPENSATION</w:t>
            </w:r>
          </w:p>
        </w:tc>
        <w:tc>
          <w:tcPr>
            <w:tcW w:w="4860" w:type="dxa"/>
            <w:vAlign w:val="bottom"/>
            <w:gridSpan w:val="10"/>
          </w:tcPr>
          <w:p>
            <w:pPr>
              <w:spacing w:after="0"/>
              <w:rPr>
                <w:sz w:val="17"/>
                <w:szCs w:val="17"/>
                <w:color w:val="auto"/>
              </w:rPr>
            </w:pPr>
          </w:p>
        </w:tc>
        <w:tc>
          <w:tcPr>
            <w:tcW w:w="2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126</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gridSpan w:val="4"/>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80" w:type="dxa"/>
            <w:vAlign w:val="bottom"/>
            <w:gridSpan w:val="2"/>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8580" w:type="dxa"/>
            <w:vAlign w:val="bottom"/>
            <w:gridSpan w:val="29"/>
          </w:tcPr>
          <w:p>
            <w:pPr>
              <w:spacing w:after="0" w:line="196" w:lineRule="exact"/>
              <w:rPr>
                <w:sz w:val="20"/>
                <w:szCs w:val="20"/>
                <w:color w:val="auto"/>
              </w:rPr>
            </w:pPr>
            <w:r>
              <w:rPr>
                <w:rFonts w:ascii="Times New Roman" w:cs="Times New Roman" w:eastAsia="Times New Roman" w:hAnsi="Times New Roman"/>
                <w:sz w:val="18"/>
                <w:szCs w:val="18"/>
                <w:color w:val="0000EE"/>
              </w:rPr>
              <w:t>BENEFICIAL OWNERSHIP</w:t>
            </w:r>
          </w:p>
        </w:tc>
        <w:tc>
          <w:tcPr>
            <w:tcW w:w="2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137</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560" w:type="dxa"/>
            <w:vAlign w:val="bottom"/>
            <w:gridSpan w:val="4"/>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gridSpan w:val="4"/>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80" w:type="dxa"/>
            <w:vAlign w:val="bottom"/>
            <w:gridSpan w:val="2"/>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2500" w:type="dxa"/>
            <w:vAlign w:val="bottom"/>
            <w:tcBorders>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w w:val="98"/>
              </w:rPr>
              <w:t>SELLING SECURITYHOLDERS</w:t>
            </w:r>
          </w:p>
        </w:tc>
        <w:tc>
          <w:tcPr>
            <w:tcW w:w="6080" w:type="dxa"/>
            <w:vAlign w:val="bottom"/>
            <w:gridSpan w:val="16"/>
          </w:tcPr>
          <w:p>
            <w:pPr>
              <w:spacing w:after="0"/>
              <w:rPr>
                <w:sz w:val="17"/>
                <w:szCs w:val="17"/>
                <w:color w:val="auto"/>
              </w:rPr>
            </w:pPr>
          </w:p>
        </w:tc>
        <w:tc>
          <w:tcPr>
            <w:tcW w:w="2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139</w:t>
            </w:r>
          </w:p>
        </w:tc>
      </w:tr>
      <w:tr>
        <w:trPr>
          <w:trHeight w:val="196"/>
        </w:trPr>
        <w:tc>
          <w:tcPr>
            <w:tcW w:w="120" w:type="dxa"/>
            <w:vAlign w:val="bottom"/>
          </w:tcPr>
          <w:p>
            <w:pPr>
              <w:spacing w:after="0"/>
              <w:rPr>
                <w:sz w:val="17"/>
                <w:szCs w:val="17"/>
                <w:color w:val="auto"/>
              </w:rPr>
            </w:pPr>
          </w:p>
        </w:tc>
        <w:tc>
          <w:tcPr>
            <w:tcW w:w="8580" w:type="dxa"/>
            <w:vAlign w:val="bottom"/>
            <w:gridSpan w:val="29"/>
          </w:tcPr>
          <w:p>
            <w:pPr>
              <w:spacing w:after="0" w:line="196" w:lineRule="exact"/>
              <w:rPr>
                <w:sz w:val="20"/>
                <w:szCs w:val="20"/>
                <w:color w:val="auto"/>
              </w:rPr>
            </w:pPr>
            <w:r>
              <w:rPr>
                <w:rFonts w:ascii="Times New Roman" w:cs="Times New Roman" w:eastAsia="Times New Roman" w:hAnsi="Times New Roman"/>
                <w:sz w:val="18"/>
                <w:szCs w:val="18"/>
                <w:color w:val="0000EE"/>
              </w:rPr>
              <w:t>CERTAIN RELATIONSHIPS AND RELATED PARTY TRANSACTIONS</w:t>
            </w:r>
          </w:p>
        </w:tc>
        <w:tc>
          <w:tcPr>
            <w:tcW w:w="2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148</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560" w:type="dxa"/>
            <w:vAlign w:val="bottom"/>
            <w:gridSpan w:val="4"/>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000" w:type="dxa"/>
            <w:vAlign w:val="bottom"/>
            <w:gridSpan w:val="6"/>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2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60" w:type="dxa"/>
            <w:vAlign w:val="bottom"/>
            <w:gridSpan w:val="4"/>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80" w:type="dxa"/>
            <w:vAlign w:val="bottom"/>
            <w:gridSpan w:val="2"/>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5700" w:type="dxa"/>
            <w:vAlign w:val="bottom"/>
            <w:tcBorders>
              <w:bottom w:val="single" w:sz="8" w:color="0000EE"/>
            </w:tcBorders>
            <w:gridSpan w:val="27"/>
          </w:tcPr>
          <w:p>
            <w:pPr>
              <w:spacing w:after="0" w:line="196" w:lineRule="exact"/>
              <w:rPr>
                <w:sz w:val="20"/>
                <w:szCs w:val="20"/>
                <w:color w:val="auto"/>
              </w:rPr>
            </w:pPr>
            <w:r>
              <w:rPr>
                <w:rFonts w:ascii="Times New Roman" w:cs="Times New Roman" w:eastAsia="Times New Roman" w:hAnsi="Times New Roman"/>
                <w:sz w:val="18"/>
                <w:szCs w:val="18"/>
                <w:color w:val="0000EE"/>
                <w:w w:val="98"/>
              </w:rPr>
              <w:t>DESCRIPTION OF SHARE CAPITAL AND ARTICLES OF ASSOCIATION</w:t>
            </w:r>
          </w:p>
        </w:tc>
        <w:tc>
          <w:tcPr>
            <w:tcW w:w="2880" w:type="dxa"/>
            <w:vAlign w:val="bottom"/>
            <w:gridSpan w:val="2"/>
          </w:tcPr>
          <w:p>
            <w:pPr>
              <w:spacing w:after="0"/>
              <w:rPr>
                <w:sz w:val="17"/>
                <w:szCs w:val="17"/>
                <w:color w:val="auto"/>
              </w:rPr>
            </w:pPr>
          </w:p>
        </w:tc>
        <w:tc>
          <w:tcPr>
            <w:tcW w:w="2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168</w:t>
            </w:r>
          </w:p>
        </w:tc>
      </w:tr>
      <w:tr>
        <w:trPr>
          <w:trHeight w:val="196"/>
        </w:trPr>
        <w:tc>
          <w:tcPr>
            <w:tcW w:w="120" w:type="dxa"/>
            <w:vAlign w:val="bottom"/>
          </w:tcPr>
          <w:p>
            <w:pPr>
              <w:spacing w:after="0"/>
              <w:rPr>
                <w:sz w:val="17"/>
                <w:szCs w:val="17"/>
                <w:color w:val="auto"/>
              </w:rPr>
            </w:pPr>
          </w:p>
        </w:tc>
        <w:tc>
          <w:tcPr>
            <w:tcW w:w="8580" w:type="dxa"/>
            <w:vAlign w:val="bottom"/>
            <w:gridSpan w:val="29"/>
          </w:tcPr>
          <w:p>
            <w:pPr>
              <w:spacing w:after="0" w:line="196" w:lineRule="exact"/>
              <w:rPr>
                <w:sz w:val="20"/>
                <w:szCs w:val="20"/>
                <w:color w:val="auto"/>
              </w:rPr>
            </w:pPr>
            <w:r>
              <w:rPr>
                <w:rFonts w:ascii="Times New Roman" w:cs="Times New Roman" w:eastAsia="Times New Roman" w:hAnsi="Times New Roman"/>
                <w:sz w:val="18"/>
                <w:szCs w:val="18"/>
                <w:color w:val="0000EE"/>
              </w:rPr>
              <w:t>DESCRIPTION OF AMERICAN DEPOSITARY SHARES</w:t>
            </w:r>
          </w:p>
        </w:tc>
        <w:tc>
          <w:tcPr>
            <w:tcW w:w="2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182</w:t>
            </w:r>
          </w:p>
        </w:tc>
      </w:tr>
      <w:tr>
        <w:trPr>
          <w:trHeight w:val="196"/>
        </w:trPr>
        <w:tc>
          <w:tcPr>
            <w:tcW w:w="120" w:type="dxa"/>
            <w:vAlign w:val="bottom"/>
          </w:tcPr>
          <w:p>
            <w:pPr>
              <w:spacing w:after="0"/>
              <w:rPr>
                <w:sz w:val="17"/>
                <w:szCs w:val="17"/>
                <w:color w:val="auto"/>
              </w:rPr>
            </w:pPr>
          </w:p>
        </w:tc>
        <w:tc>
          <w:tcPr>
            <w:tcW w:w="4320" w:type="dxa"/>
            <w:vAlign w:val="bottom"/>
            <w:tcBorders>
              <w:top w:val="single" w:sz="8" w:color="0000EE"/>
            </w:tcBorders>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SECURITIES ELIGIBLE FOR FUTURE SALE</w:t>
            </w:r>
          </w:p>
        </w:tc>
        <w:tc>
          <w:tcPr>
            <w:tcW w:w="4260" w:type="dxa"/>
            <w:vAlign w:val="bottom"/>
            <w:gridSpan w:val="8"/>
          </w:tcPr>
          <w:p>
            <w:pPr>
              <w:spacing w:after="0"/>
              <w:rPr>
                <w:sz w:val="17"/>
                <w:szCs w:val="17"/>
                <w:color w:val="auto"/>
              </w:rPr>
            </w:pPr>
          </w:p>
        </w:tc>
        <w:tc>
          <w:tcPr>
            <w:tcW w:w="2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197</w:t>
            </w:r>
          </w:p>
        </w:tc>
      </w:tr>
      <w:tr>
        <w:trPr>
          <w:trHeight w:val="196"/>
        </w:trPr>
        <w:tc>
          <w:tcPr>
            <w:tcW w:w="120" w:type="dxa"/>
            <w:vAlign w:val="bottom"/>
          </w:tcPr>
          <w:p>
            <w:pPr>
              <w:spacing w:after="0"/>
              <w:rPr>
                <w:sz w:val="17"/>
                <w:szCs w:val="17"/>
                <w:color w:val="auto"/>
              </w:rPr>
            </w:pPr>
          </w:p>
        </w:tc>
        <w:tc>
          <w:tcPr>
            <w:tcW w:w="900" w:type="dxa"/>
            <w:vAlign w:val="bottom"/>
            <w:tcBorders>
              <w:top w:val="single" w:sz="8" w:color="0000EE"/>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4"/>
              </w:rPr>
              <w:t>TAXATION</w:t>
            </w:r>
          </w:p>
        </w:tc>
        <w:tc>
          <w:tcPr>
            <w:tcW w:w="2600" w:type="dxa"/>
            <w:vAlign w:val="bottom"/>
            <w:tcBorders>
              <w:top w:val="single" w:sz="8" w:color="0000EE"/>
            </w:tcBorders>
            <w:gridSpan w:val="15"/>
          </w:tcPr>
          <w:p>
            <w:pPr>
              <w:spacing w:after="0"/>
              <w:rPr>
                <w:sz w:val="17"/>
                <w:szCs w:val="17"/>
                <w:color w:val="auto"/>
              </w:rPr>
            </w:pPr>
          </w:p>
        </w:tc>
        <w:tc>
          <w:tcPr>
            <w:tcW w:w="5080" w:type="dxa"/>
            <w:vAlign w:val="bottom"/>
            <w:gridSpan w:val="11"/>
          </w:tcPr>
          <w:p>
            <w:pPr>
              <w:spacing w:after="0"/>
              <w:rPr>
                <w:sz w:val="17"/>
                <w:szCs w:val="17"/>
                <w:color w:val="auto"/>
              </w:rPr>
            </w:pPr>
          </w:p>
        </w:tc>
        <w:tc>
          <w:tcPr>
            <w:tcW w:w="2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201</w:t>
            </w:r>
          </w:p>
        </w:tc>
      </w:tr>
      <w:tr>
        <w:trPr>
          <w:trHeight w:val="196"/>
        </w:trPr>
        <w:tc>
          <w:tcPr>
            <w:tcW w:w="120" w:type="dxa"/>
            <w:vAlign w:val="bottom"/>
          </w:tcPr>
          <w:p>
            <w:pPr>
              <w:spacing w:after="0"/>
              <w:rPr>
                <w:sz w:val="17"/>
                <w:szCs w:val="17"/>
                <w:color w:val="auto"/>
              </w:rPr>
            </w:pPr>
          </w:p>
        </w:tc>
        <w:tc>
          <w:tcPr>
            <w:tcW w:w="8580" w:type="dxa"/>
            <w:vAlign w:val="bottom"/>
            <w:gridSpan w:val="29"/>
          </w:tcPr>
          <w:p>
            <w:pPr>
              <w:spacing w:after="0" w:line="196" w:lineRule="exact"/>
              <w:rPr>
                <w:sz w:val="20"/>
                <w:szCs w:val="20"/>
                <w:color w:val="auto"/>
              </w:rPr>
            </w:pPr>
            <w:r>
              <w:rPr>
                <w:rFonts w:ascii="Times New Roman" w:cs="Times New Roman" w:eastAsia="Times New Roman" w:hAnsi="Times New Roman"/>
                <w:sz w:val="18"/>
                <w:szCs w:val="18"/>
                <w:color w:val="0000EE"/>
              </w:rPr>
              <w:t>PLAN OF DISTRIBUTION</w:t>
            </w:r>
          </w:p>
        </w:tc>
        <w:tc>
          <w:tcPr>
            <w:tcW w:w="2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211</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700" w:type="dxa"/>
            <w:vAlign w:val="bottom"/>
            <w:gridSpan w:val="6"/>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000" w:type="dxa"/>
            <w:vAlign w:val="bottom"/>
            <w:gridSpan w:val="6"/>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60" w:type="dxa"/>
            <w:vAlign w:val="bottom"/>
            <w:gridSpan w:val="5"/>
          </w:tcPr>
          <w:p>
            <w:pPr>
              <w:spacing w:after="0" w:line="20" w:lineRule="exact"/>
              <w:rPr>
                <w:sz w:val="1"/>
                <w:szCs w:val="1"/>
                <w:color w:val="auto"/>
              </w:rPr>
            </w:pPr>
          </w:p>
        </w:tc>
        <w:tc>
          <w:tcPr>
            <w:tcW w:w="4180" w:type="dxa"/>
            <w:vAlign w:val="bottom"/>
            <w:gridSpan w:val="7"/>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3340" w:type="dxa"/>
            <w:vAlign w:val="bottom"/>
            <w:tcBorders>
              <w:bottom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EE"/>
                <w:w w:val="98"/>
              </w:rPr>
              <w:t>EXPENSES RELATED TO THE OFFERING</w:t>
            </w:r>
          </w:p>
        </w:tc>
        <w:tc>
          <w:tcPr>
            <w:tcW w:w="5240" w:type="dxa"/>
            <w:vAlign w:val="bottom"/>
            <w:gridSpan w:val="12"/>
          </w:tcPr>
          <w:p>
            <w:pPr>
              <w:spacing w:after="0"/>
              <w:rPr>
                <w:sz w:val="17"/>
                <w:szCs w:val="17"/>
                <w:color w:val="auto"/>
              </w:rPr>
            </w:pPr>
          </w:p>
        </w:tc>
        <w:tc>
          <w:tcPr>
            <w:tcW w:w="2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217</w:t>
            </w:r>
          </w:p>
        </w:tc>
      </w:tr>
      <w:tr>
        <w:trPr>
          <w:trHeight w:val="196"/>
        </w:trPr>
        <w:tc>
          <w:tcPr>
            <w:tcW w:w="120" w:type="dxa"/>
            <w:vAlign w:val="bottom"/>
          </w:tcPr>
          <w:p>
            <w:pPr>
              <w:spacing w:after="0"/>
              <w:rPr>
                <w:sz w:val="17"/>
                <w:szCs w:val="17"/>
                <w:color w:val="auto"/>
              </w:rPr>
            </w:pPr>
          </w:p>
        </w:tc>
        <w:tc>
          <w:tcPr>
            <w:tcW w:w="146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7"/>
              </w:rPr>
              <w:t>LEGAL MATTERS</w:t>
            </w:r>
          </w:p>
        </w:tc>
        <w:tc>
          <w:tcPr>
            <w:tcW w:w="7120" w:type="dxa"/>
            <w:vAlign w:val="bottom"/>
            <w:gridSpan w:val="22"/>
          </w:tcPr>
          <w:p>
            <w:pPr>
              <w:spacing w:after="0"/>
              <w:rPr>
                <w:sz w:val="17"/>
                <w:szCs w:val="17"/>
                <w:color w:val="auto"/>
              </w:rPr>
            </w:pPr>
          </w:p>
        </w:tc>
        <w:tc>
          <w:tcPr>
            <w:tcW w:w="2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218</w:t>
            </w:r>
          </w:p>
        </w:tc>
      </w:tr>
      <w:tr>
        <w:trPr>
          <w:trHeight w:val="196"/>
        </w:trPr>
        <w:tc>
          <w:tcPr>
            <w:tcW w:w="120" w:type="dxa"/>
            <w:vAlign w:val="bottom"/>
          </w:tcPr>
          <w:p>
            <w:pPr>
              <w:spacing w:after="0"/>
              <w:rPr>
                <w:sz w:val="17"/>
                <w:szCs w:val="17"/>
                <w:color w:val="auto"/>
              </w:rPr>
            </w:pPr>
          </w:p>
        </w:tc>
        <w:tc>
          <w:tcPr>
            <w:tcW w:w="8580" w:type="dxa"/>
            <w:vAlign w:val="bottom"/>
            <w:gridSpan w:val="29"/>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2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219</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280" w:type="dxa"/>
            <w:vAlign w:val="bottom"/>
            <w:gridSpan w:val="14"/>
          </w:tcPr>
          <w:p>
            <w:pPr>
              <w:spacing w:after="0" w:line="20" w:lineRule="exact"/>
              <w:rPr>
                <w:sz w:val="1"/>
                <w:szCs w:val="1"/>
                <w:color w:val="auto"/>
              </w:rPr>
            </w:pPr>
          </w:p>
        </w:tc>
        <w:tc>
          <w:tcPr>
            <w:tcW w:w="1360" w:type="dxa"/>
            <w:vAlign w:val="bottom"/>
            <w:gridSpan w:val="7"/>
          </w:tcPr>
          <w:p>
            <w:pPr>
              <w:spacing w:after="0" w:line="20" w:lineRule="exact"/>
              <w:rPr>
                <w:sz w:val="1"/>
                <w:szCs w:val="1"/>
                <w:color w:val="auto"/>
              </w:rPr>
            </w:pPr>
          </w:p>
        </w:tc>
        <w:tc>
          <w:tcPr>
            <w:tcW w:w="4180" w:type="dxa"/>
            <w:vAlign w:val="bottom"/>
            <w:gridSpan w:val="7"/>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8580" w:type="dxa"/>
            <w:vAlign w:val="bottom"/>
            <w:gridSpan w:val="29"/>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ADDITIONAL INFORMATION</w:t>
            </w:r>
          </w:p>
        </w:tc>
        <w:tc>
          <w:tcPr>
            <w:tcW w:w="2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220</w:t>
            </w:r>
          </w:p>
        </w:tc>
      </w:tr>
      <w:tr>
        <w:trPr>
          <w:trHeight w:val="196"/>
        </w:trPr>
        <w:tc>
          <w:tcPr>
            <w:tcW w:w="120" w:type="dxa"/>
            <w:vAlign w:val="bottom"/>
          </w:tcPr>
          <w:p>
            <w:pPr>
              <w:spacing w:after="0"/>
              <w:rPr>
                <w:sz w:val="17"/>
                <w:szCs w:val="17"/>
                <w:color w:val="auto"/>
              </w:rPr>
            </w:pPr>
          </w:p>
        </w:tc>
        <w:tc>
          <w:tcPr>
            <w:tcW w:w="3040" w:type="dxa"/>
            <w:vAlign w:val="bottom"/>
            <w:tcBorders>
              <w:top w:val="single" w:sz="8" w:color="0000EE"/>
              <w:bottom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w w:val="98"/>
              </w:rPr>
              <w:t>INDEX TO FINANCIAL STATEMENTS</w:t>
            </w:r>
          </w:p>
        </w:tc>
        <w:tc>
          <w:tcPr>
            <w:tcW w:w="1360" w:type="dxa"/>
            <w:vAlign w:val="bottom"/>
            <w:tcBorders>
              <w:top w:val="single" w:sz="8" w:color="0000EE"/>
            </w:tcBorders>
            <w:gridSpan w:val="7"/>
          </w:tcPr>
          <w:p>
            <w:pPr>
              <w:spacing w:after="0"/>
              <w:rPr>
                <w:sz w:val="17"/>
                <w:szCs w:val="17"/>
                <w:color w:val="auto"/>
              </w:rPr>
            </w:pPr>
          </w:p>
        </w:tc>
        <w:tc>
          <w:tcPr>
            <w:tcW w:w="4180" w:type="dxa"/>
            <w:vAlign w:val="bottom"/>
            <w:gridSpan w:val="7"/>
          </w:tcPr>
          <w:p>
            <w:pPr>
              <w:spacing w:after="0"/>
              <w:rPr>
                <w:sz w:val="17"/>
                <w:szCs w:val="17"/>
                <w:color w:val="auto"/>
              </w:rPr>
            </w:pPr>
          </w:p>
        </w:tc>
        <w:tc>
          <w:tcPr>
            <w:tcW w:w="2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F-1</w:t>
            </w:r>
          </w:p>
        </w:tc>
      </w:tr>
    </w:tbl>
    <w:p>
      <w:pPr>
        <w:spacing w:after="0" w:line="22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120" w:right="100"/>
        <w:spacing w:after="0" w:line="262" w:lineRule="auto"/>
        <w:rPr>
          <w:sz w:val="20"/>
          <w:szCs w:val="20"/>
          <w:color w:val="auto"/>
        </w:rPr>
      </w:pPr>
      <w:r>
        <w:rPr>
          <w:rFonts w:ascii="Times New Roman" w:cs="Times New Roman" w:eastAsia="Times New Roman" w:hAnsi="Times New Roman"/>
          <w:sz w:val="18"/>
          <w:szCs w:val="18"/>
          <w:b w:val="1"/>
          <w:bCs w:val="1"/>
          <w:color w:val="auto"/>
        </w:rPr>
        <w:t>Except as otherwise set forth in this prospectus, we have not taken any action to permit a public offering of these securities outside the United States or to permit the possession or distribution of this prospectus outside the United States. Persons outside the United States who come into possession of this prospectus must inform themselves about and observe any restrictions relating to the offering of these securities and the distribution of this prospectus outside the United States.</w:t>
      </w:r>
    </w:p>
    <w:p>
      <w:pPr>
        <w:spacing w:after="0" w:line="11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080"/>
          </w:cols>
          <w:pgMar w:left="320" w:top="446" w:right="4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TRADEMARKS, SERVICE MARKS AND TRADE NAMES</w:t>
      </w:r>
    </w:p>
    <w:p>
      <w:pPr>
        <w:spacing w:after="0" w:line="229" w:lineRule="exact"/>
        <w:rPr>
          <w:sz w:val="20"/>
          <w:szCs w:val="20"/>
          <w:color w:val="auto"/>
        </w:rPr>
      </w:pPr>
    </w:p>
    <w:p>
      <w:pPr>
        <w:ind w:left="120" w:right="20" w:firstLine="440"/>
        <w:spacing w:after="0" w:line="238" w:lineRule="auto"/>
        <w:rPr>
          <w:sz w:val="20"/>
          <w:szCs w:val="20"/>
          <w:color w:val="auto"/>
        </w:rPr>
      </w:pPr>
      <w:r>
        <w:rPr>
          <w:rFonts w:ascii="Times New Roman" w:cs="Times New Roman" w:eastAsia="Times New Roman" w:hAnsi="Times New Roman"/>
          <w:sz w:val="18"/>
          <w:szCs w:val="18"/>
          <w:color w:val="auto"/>
        </w:rPr>
        <w:t xml:space="preserve">This prospectus includes trademarks, trade names and service marks, certain of which belong to Polestar or Polestar’s affiliates and others that are the property of other organizations. The Polestar logo and other trademarks or service marks of Polestar appearing in this prospectus are the property of Polestar. Solely for convenience, trademarks, trade names and service marks referred to in this prospectus appear without the </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TM and SM symbols, but the absence of those symbols is not intended to indicate, in any way, that Polestar or its affiliates will not assert its or their rights or that the applicable owner will not assert its rights to these trademarks, trade names and service marks to the fullest extent under applicable law. Polestar does not intend its use or display of other parties’ trademarks, trade names or service marks to imply, and such use or display should not be construed to imply, a relationship with, or endorsement or sponsorship of Polestar by, these other parties.</w:t>
      </w:r>
    </w:p>
    <w:p>
      <w:pPr>
        <w:spacing w:after="0" w:line="200" w:lineRule="exact"/>
        <w:rPr>
          <w:sz w:val="20"/>
          <w:szCs w:val="20"/>
          <w:color w:val="auto"/>
        </w:rPr>
      </w:pPr>
    </w:p>
    <w:p>
      <w:pPr>
        <w:spacing w:after="0" w:line="2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CURRENCY AND EXCHANGE RATES</w:t>
      </w:r>
    </w:p>
    <w:p>
      <w:pPr>
        <w:spacing w:after="0" w:line="229" w:lineRule="exact"/>
        <w:rPr>
          <w:sz w:val="20"/>
          <w:szCs w:val="20"/>
          <w:color w:val="auto"/>
        </w:rPr>
      </w:pPr>
    </w:p>
    <w:p>
      <w:pPr>
        <w:ind w:left="120" w:right="300" w:firstLine="440"/>
        <w:spacing w:after="0" w:line="266" w:lineRule="auto"/>
        <w:rPr>
          <w:sz w:val="20"/>
          <w:szCs w:val="20"/>
          <w:color w:val="auto"/>
        </w:rPr>
      </w:pPr>
      <w:r>
        <w:rPr>
          <w:rFonts w:ascii="Times New Roman" w:cs="Times New Roman" w:eastAsia="Times New Roman" w:hAnsi="Times New Roman"/>
          <w:sz w:val="18"/>
          <w:szCs w:val="18"/>
          <w:color w:val="auto"/>
        </w:rPr>
        <w:t>In this prospectus, unless otherwise specified, all monetary amounts are in U.S. dollars and all references to “$” mean U.S. dollars. Certain monetary amounts described herein have been expressed in U.S. dollars for convenience only and, when expressed in U.S. dollars in the future, such amounts may be different from those set forth herein due to intervening exchange rate fluctuations.</w:t>
      </w:r>
    </w:p>
    <w:p>
      <w:pPr>
        <w:spacing w:after="0" w:line="38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INDUSTRY AND MARKET DATA</w:t>
      </w:r>
    </w:p>
    <w:p>
      <w:pPr>
        <w:spacing w:after="0" w:line="22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Unless otherwise indicated, information contained in this prospectus concerning Polestar’s industry, including Polestar’s general expectations and market position, market opportunity and market share, is based on information obtained from various independent sources and reports, as well as management estimates. Polestar has not independently verified the accuracy or completeness of any third-party information. While Polestar believes that the market data, industry forecasts and similar information included in this prospectus are generally reliable, such information is inherently imprecise. Forecasts and other forward-looking information obtained from third parties are subject to the same qualifications and uncertainties as the other forward-looking statements in this prospectus. In addition, assumptions and estimates of Polestar’s future performance and growth objectives and the future performance of its industry and the markets in which it operates are necessarily subject to a high degree of uncertainty and risk due to a variety of factors, including those discussed under the headings “Risk Factors,” “Cautionary Note Regarding Forward-Looking Statements” and “Operating And Financial Review and Prospects” in this prospectus.</w:t>
      </w:r>
    </w:p>
    <w:p>
      <w:pPr>
        <w:spacing w:after="0" w:line="40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This prospectus is part of a registration statement on Form F-1 filed with the SEC by Polestar Automotive Holding UK PLC. The Selling Securityholders named in this prospectus may, from time to time, sell the securities described in this prospectus in one or more offerings. This prospectus includes important information about us, the securities being offered by the Selling Securityholders and other information you should know before investing. Any prospectus supplement may also add, update or change information in this prospectus. If there is any inconsistency between the information contained in this prospectus and any prospectus supplement, you should rely on the information contained in that particular prospectus supplement. This prospectus does not contain all of the information provided in the registration statement that we filed with the SEC. You should read this prospectus together with the additional information about us described in the section below entitled “Where You Can Find Additional Information.” You should rely only on information contained in this prospectus, any prospectus supplement and any related free writing prospectus. We have not, and the Selling Securityholders have not, authorized anyone to provide you with information different from that contained in this prospectus, any prospectus supplement and any related free writing prospectus. The information contained in this prospectus is accurate only as of the date on the front cover of the prospectus. You should not assume that the information contained in this prospectus is accurate as of any other date.</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1120"/>
          </w:cols>
          <w:pgMar w:left="320" w:top="455" w:right="4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Selling Securityholders may offer and sell the securities directly to purchasers, through agents selected by the Selling Securityholders, to or through underwriters or dealers or any other method permitted pursuant to applicable law. A prospectus supplement, if required, may describe the terms of the plan of distribution and set forth the names of any agents, underwriters (if applicable) or dealers involved in the sale of securities. See “Plan of Distribution.”</w:t>
      </w:r>
    </w:p>
    <w:p>
      <w:pPr>
        <w:spacing w:after="0" w:line="11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iii</w:t>
      </w:r>
    </w:p>
    <w:p>
      <w:pPr>
        <w:sectPr>
          <w:pgSz w:w="11900" w:h="16838" w:orient="portrait"/>
          <w:cols w:equalWidth="0" w:num="1">
            <w:col w:w="11040"/>
          </w:cols>
          <w:pgMar w:left="320" w:top="455" w:right="5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PRESENTATION OF FINANCIAL INFORMATION</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Polestar Automotive Holding Limited</w:t>
      </w:r>
    </w:p>
    <w:p>
      <w:pPr>
        <w:spacing w:after="0" w:line="121"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The consolidated financial statements of Polestar Automotive Holding Limited as of December 31, 2021 and 2020 and for each of the three years in the period ended December 31, 2021 were prepared in accordance with International Financial Reporting Standards (“IFRS”) as issued by the International Accounting Standards Board (“IASB”) and are denominated in U.S. dollars.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Polestar Automotive Holding UK PLC</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consolidated financial statements of Polestar Automotive Holding UK PLC (formerly known as Polestar Automotive Holding UK Limited) as of September 15, 2021 and December 31, 2021 and for the period September 15, 2021 to December 31, 2021 were prepared in accordance with IFRS as issued by the IASB and are denominated in U.S. dollars. The unaudited condensed consolidated financial statements of Polestar Automotive Holding UK PLC (formerly known as Polestar Automotive Holding UK Limited) as of June 30, 2022 and for the six months in the period ended June 30, 2022 and 2021 were prepared in accordance with International Accounting Standards 34—</w:t>
      </w:r>
      <w:r>
        <w:rPr>
          <w:rFonts w:ascii="Times New Roman" w:cs="Times New Roman" w:eastAsia="Times New Roman" w:hAnsi="Times New Roman"/>
          <w:sz w:val="18"/>
          <w:szCs w:val="18"/>
          <w:i w:val="1"/>
          <w:iCs w:val="1"/>
          <w:color w:val="auto"/>
        </w:rPr>
        <w:t>Interim Financial Reporting</w:t>
      </w:r>
      <w:r>
        <w:rPr>
          <w:rFonts w:ascii="Times New Roman" w:cs="Times New Roman" w:eastAsia="Times New Roman" w:hAnsi="Times New Roman"/>
          <w:sz w:val="18"/>
          <w:szCs w:val="18"/>
          <w:color w:val="auto"/>
        </w:rPr>
        <w:t xml:space="preserve"> (“IAS 34”) as adopted by the IASB.</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iv</w:t>
      </w:r>
    </w:p>
    <w:p>
      <w:pPr>
        <w:sectPr>
          <w:pgSz w:w="11900" w:h="16838" w:orient="portrait"/>
          <w:cols w:equalWidth="0" w:num="1">
            <w:col w:w="11120"/>
          </w:cols>
          <w:pgMar w:left="320" w:top="455" w:right="4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CERTAIN DEFINED TERMS</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Unless otherwise stated in this prospectus or the context otherwise requires, references to:</w:t>
      </w:r>
    </w:p>
    <w:p>
      <w:pPr>
        <w:spacing w:after="0" w:line="22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AD securities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i w:val="1"/>
          <w:iCs w:val="1"/>
          <w:color w:val="auto"/>
        </w:rPr>
        <w:t>ADSs</w:t>
      </w:r>
      <w:r>
        <w:rPr>
          <w:rFonts w:ascii="Times New Roman" w:cs="Times New Roman" w:eastAsia="Times New Roman" w:hAnsi="Times New Roman"/>
          <w:sz w:val="18"/>
          <w:szCs w:val="18"/>
          <w:color w:val="auto"/>
        </w:rPr>
        <w:t>” means Class A ADSs and Class C ADSs.</w:t>
      </w:r>
    </w:p>
    <w:p>
      <w:pPr>
        <w:spacing w:after="0" w:line="225" w:lineRule="exact"/>
        <w:rPr>
          <w:sz w:val="20"/>
          <w:szCs w:val="20"/>
          <w:color w:val="auto"/>
        </w:rPr>
      </w:pPr>
    </w:p>
    <w:p>
      <w:pPr>
        <w:ind w:left="120" w:firstLine="44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ADS Deposit Agreement—Class A ADSs</w:t>
      </w:r>
      <w:r>
        <w:rPr>
          <w:rFonts w:ascii="Times New Roman" w:cs="Times New Roman" w:eastAsia="Times New Roman" w:hAnsi="Times New Roman"/>
          <w:sz w:val="18"/>
          <w:szCs w:val="18"/>
          <w:color w:val="auto"/>
        </w:rPr>
        <w:t>” means the ADS Deposit Agreement, by and among the Company, Citibank, N.A., as depositary, and all holders and beneficial owners from time to time of American depositary shares issued thereunder and representing deposited Class A Shares, which is incorporated by reference as an exhibit to the registration statement of which this prospectus forms a part.</w:t>
      </w:r>
    </w:p>
    <w:p>
      <w:pPr>
        <w:spacing w:after="0" w:line="173" w:lineRule="exact"/>
        <w:rPr>
          <w:sz w:val="20"/>
          <w:szCs w:val="20"/>
          <w:color w:val="auto"/>
        </w:rPr>
      </w:pPr>
    </w:p>
    <w:p>
      <w:pPr>
        <w:ind w:left="120" w:firstLine="44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ADS Deposit Agreement—Class C-1 ADSs</w:t>
      </w:r>
      <w:r>
        <w:rPr>
          <w:rFonts w:ascii="Times New Roman" w:cs="Times New Roman" w:eastAsia="Times New Roman" w:hAnsi="Times New Roman"/>
          <w:sz w:val="18"/>
          <w:szCs w:val="18"/>
          <w:color w:val="auto"/>
        </w:rPr>
        <w:t>” means the ADS Deposit Agreement, dated June 23, 2022, by and among the Company, Citibank, N.A., as depositary, and all holders and beneficial owners from time to time of American depositary shares issued thereunder and representing deposited Class C-1 Shares, a copy of which is filed as an exhibit to the registration statement of which this prospectus forms a part.</w:t>
      </w:r>
    </w:p>
    <w:p>
      <w:pPr>
        <w:spacing w:after="0" w:line="173" w:lineRule="exact"/>
        <w:rPr>
          <w:sz w:val="20"/>
          <w:szCs w:val="20"/>
          <w:color w:val="auto"/>
        </w:rPr>
      </w:pPr>
    </w:p>
    <w:p>
      <w:pPr>
        <w:ind w:left="120" w:firstLine="44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ADS Deposit Agreement—Class C-2 ADSs</w:t>
      </w:r>
      <w:r>
        <w:rPr>
          <w:rFonts w:ascii="Times New Roman" w:cs="Times New Roman" w:eastAsia="Times New Roman" w:hAnsi="Times New Roman"/>
          <w:sz w:val="18"/>
          <w:szCs w:val="18"/>
          <w:color w:val="auto"/>
        </w:rPr>
        <w:t>” means the ADS Deposit Agreement, dated June 23, 2022, by and among the Company, Citibank, N.A., as depositary, and all holders and beneficial owners from time to time of American depositary shares issued thereunder and representing deposited Company C-2 Shares, a copy of which is filed as an exhibit to the registration statement of which this prospectus forms a part.</w:t>
      </w:r>
    </w:p>
    <w:p>
      <w:pPr>
        <w:spacing w:after="0" w:line="173" w:lineRule="exact"/>
        <w:rPr>
          <w:sz w:val="20"/>
          <w:szCs w:val="20"/>
          <w:color w:val="auto"/>
        </w:rPr>
      </w:pPr>
    </w:p>
    <w:p>
      <w:pPr>
        <w:ind w:left="120" w:right="10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Amendment No. 1 to the Business Combination Agreement</w:t>
      </w:r>
      <w:r>
        <w:rPr>
          <w:rFonts w:ascii="Times New Roman" w:cs="Times New Roman" w:eastAsia="Times New Roman" w:hAnsi="Times New Roman"/>
          <w:sz w:val="18"/>
          <w:szCs w:val="18"/>
          <w:color w:val="auto"/>
        </w:rPr>
        <w:t>” means that certain amendment to the Business Combination Agreement, dated as of December 17, 2021, a copy of which is filed as an exhibit to the registration statement of which this prospectus forms a part.</w:t>
      </w:r>
    </w:p>
    <w:p>
      <w:pPr>
        <w:spacing w:after="0" w:line="158" w:lineRule="exact"/>
        <w:rPr>
          <w:sz w:val="20"/>
          <w:szCs w:val="20"/>
          <w:color w:val="auto"/>
        </w:rPr>
      </w:pPr>
    </w:p>
    <w:p>
      <w:pPr>
        <w:ind w:left="120" w:right="10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Amendment No. 2 to the Business Combination Agreement</w:t>
      </w:r>
      <w:r>
        <w:rPr>
          <w:rFonts w:ascii="Times New Roman" w:cs="Times New Roman" w:eastAsia="Times New Roman" w:hAnsi="Times New Roman"/>
          <w:sz w:val="18"/>
          <w:szCs w:val="18"/>
          <w:color w:val="auto"/>
        </w:rPr>
        <w:t>” means that certain amendment to the Business Combination Agreement, dated as of March 24, 2022, a copy of which is filed as an exhibit to the registration statement of which this prospectus forms a part.</w:t>
      </w:r>
    </w:p>
    <w:p>
      <w:pPr>
        <w:spacing w:after="0" w:line="158" w:lineRule="exact"/>
        <w:rPr>
          <w:sz w:val="20"/>
          <w:szCs w:val="20"/>
          <w:color w:val="auto"/>
        </w:rPr>
      </w:pPr>
    </w:p>
    <w:p>
      <w:pPr>
        <w:ind w:left="120" w:right="10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Amendment No. 3 to the Business Combination Agreement</w:t>
      </w:r>
      <w:r>
        <w:rPr>
          <w:rFonts w:ascii="Times New Roman" w:cs="Times New Roman" w:eastAsia="Times New Roman" w:hAnsi="Times New Roman"/>
          <w:sz w:val="18"/>
          <w:szCs w:val="18"/>
          <w:color w:val="auto"/>
        </w:rPr>
        <w:t>” means that certain amendment to the Business Combination Agreement, dated as of April 21, 2022, a copy of which is filed as an exhibit to the registration statement of which this prospectus forms a part.</w:t>
      </w:r>
    </w:p>
    <w:p>
      <w:pPr>
        <w:spacing w:after="0" w:line="15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Board</w:t>
      </w:r>
      <w:r>
        <w:rPr>
          <w:rFonts w:ascii="Times New Roman" w:cs="Times New Roman" w:eastAsia="Times New Roman" w:hAnsi="Times New Roman"/>
          <w:sz w:val="18"/>
          <w:szCs w:val="18"/>
          <w:color w:val="auto"/>
        </w:rPr>
        <w:t>” means the board of directors of the Company.</w:t>
      </w:r>
    </w:p>
    <w:p>
      <w:pPr>
        <w:spacing w:after="0" w:line="225" w:lineRule="exact"/>
        <w:rPr>
          <w:sz w:val="20"/>
          <w:szCs w:val="20"/>
          <w:color w:val="auto"/>
        </w:rPr>
      </w:pPr>
    </w:p>
    <w:p>
      <w:pPr>
        <w:ind w:left="120" w:right="46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Business Combination</w:t>
      </w:r>
      <w:r>
        <w:rPr>
          <w:rFonts w:ascii="Times New Roman" w:cs="Times New Roman" w:eastAsia="Times New Roman" w:hAnsi="Times New Roman"/>
          <w:sz w:val="18"/>
          <w:szCs w:val="18"/>
          <w:color w:val="auto"/>
        </w:rPr>
        <w:t>” means the transactions contemplated by the Business Combination Agreement, including the Merger, and the other transactions contemplated by the other transaction documents contemplated by the Business Combination Agreement.</w:t>
      </w:r>
    </w:p>
    <w:p>
      <w:pPr>
        <w:spacing w:after="0" w:line="158"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Business Combination Agreement</w:t>
      </w:r>
      <w:r>
        <w:rPr>
          <w:rFonts w:ascii="Times New Roman" w:cs="Times New Roman" w:eastAsia="Times New Roman" w:hAnsi="Times New Roman"/>
          <w:sz w:val="18"/>
          <w:szCs w:val="18"/>
          <w:color w:val="auto"/>
        </w:rPr>
        <w:t>” means that certain Business Combination Agreement, dated as of September 27, 2021 (as amended by Amendment No. 1 to the Business Combination Agreement, Amendment No. 2 to the Business Combination Agreement and Amendment No. 3 to the Business Combination Agreement), by and among GGI, the Company, Parent, Polestar Singapore, Polestar Sweden and Merger Sub, a copy of which is filed as an exhibit to the registration statement of which this prospectus forms a part.</w:t>
      </w:r>
    </w:p>
    <w:p>
      <w:pPr>
        <w:spacing w:after="0" w:line="180" w:lineRule="exact"/>
        <w:rPr>
          <w:sz w:val="20"/>
          <w:szCs w:val="20"/>
          <w:color w:val="auto"/>
        </w:rPr>
      </w:pPr>
    </w:p>
    <w:p>
      <w:pPr>
        <w:ind w:left="120" w:right="54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Class A ADS</w:t>
      </w:r>
      <w:r>
        <w:rPr>
          <w:rFonts w:ascii="Times New Roman" w:cs="Times New Roman" w:eastAsia="Times New Roman" w:hAnsi="Times New Roman"/>
          <w:sz w:val="18"/>
          <w:szCs w:val="18"/>
          <w:color w:val="auto"/>
        </w:rPr>
        <w:t>” means one American depositary share of the Company duly and validly issued against the deposit with the depositary of an underlying Class A Share.</w:t>
      </w:r>
    </w:p>
    <w:p>
      <w:pPr>
        <w:spacing w:after="0" w:line="15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Class A Shares</w:t>
      </w:r>
      <w:r>
        <w:rPr>
          <w:rFonts w:ascii="Times New Roman" w:cs="Times New Roman" w:eastAsia="Times New Roman" w:hAnsi="Times New Roman"/>
          <w:sz w:val="18"/>
          <w:szCs w:val="18"/>
          <w:color w:val="auto"/>
        </w:rPr>
        <w:t>” means Class A ordinary shares of the Company, entitling the holder thereof to one vote per share.</w:t>
      </w:r>
    </w:p>
    <w:p>
      <w:pPr>
        <w:spacing w:after="0" w:line="225" w:lineRule="exact"/>
        <w:rPr>
          <w:sz w:val="20"/>
          <w:szCs w:val="20"/>
          <w:color w:val="auto"/>
        </w:rPr>
      </w:pPr>
    </w:p>
    <w:p>
      <w:pPr>
        <w:ind w:left="120" w:right="54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Class B ADS</w:t>
      </w:r>
      <w:r>
        <w:rPr>
          <w:rFonts w:ascii="Times New Roman" w:cs="Times New Roman" w:eastAsia="Times New Roman" w:hAnsi="Times New Roman"/>
          <w:sz w:val="18"/>
          <w:szCs w:val="18"/>
          <w:color w:val="auto"/>
        </w:rPr>
        <w:t>” means one American depositary share of the Company duly and validly issued against the deposit with the depositary of an underlying Class B Shares.</w:t>
      </w:r>
    </w:p>
    <w:p>
      <w:pPr>
        <w:spacing w:after="0" w:line="9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v</w:t>
      </w:r>
    </w:p>
    <w:p>
      <w:pPr>
        <w:sectPr>
          <w:pgSz w:w="11900" w:h="16838" w:orient="portrait"/>
          <w:cols w:equalWidth="0" w:num="1">
            <w:col w:w="11100"/>
          </w:cols>
          <w:pgMar w:left="320" w:top="455" w:right="47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Class B Shares</w:t>
      </w:r>
      <w:r>
        <w:rPr>
          <w:rFonts w:ascii="Times New Roman" w:cs="Times New Roman" w:eastAsia="Times New Roman" w:hAnsi="Times New Roman"/>
          <w:sz w:val="18"/>
          <w:szCs w:val="18"/>
          <w:color w:val="auto"/>
        </w:rPr>
        <w:t>” means Class B ordinary shares of the Company, entitling the holder thereof to 10 votes per share.</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Class C ADSs</w:t>
      </w:r>
      <w:r>
        <w:rPr>
          <w:rFonts w:ascii="Times New Roman" w:cs="Times New Roman" w:eastAsia="Times New Roman" w:hAnsi="Times New Roman"/>
          <w:sz w:val="18"/>
          <w:szCs w:val="18"/>
          <w:color w:val="auto"/>
        </w:rPr>
        <w:t>” means Class C-1 ADSs and Class C-2 ADSs.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Class C Shares</w:t>
      </w:r>
      <w:r>
        <w:rPr>
          <w:rFonts w:ascii="Times New Roman" w:cs="Times New Roman" w:eastAsia="Times New Roman" w:hAnsi="Times New Roman"/>
          <w:sz w:val="18"/>
          <w:szCs w:val="18"/>
          <w:color w:val="auto"/>
        </w:rPr>
        <w:t>” means Class C-1 Shares and Class C-2 Shares.</w:t>
      </w:r>
    </w:p>
    <w:p>
      <w:pPr>
        <w:spacing w:after="0" w:line="225"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Class C Warrant Amendment</w:t>
      </w:r>
      <w:r>
        <w:rPr>
          <w:rFonts w:ascii="Times New Roman" w:cs="Times New Roman" w:eastAsia="Times New Roman" w:hAnsi="Times New Roman"/>
          <w:sz w:val="18"/>
          <w:szCs w:val="18"/>
          <w:color w:val="auto"/>
        </w:rPr>
        <w:t>” means the amendment to the SPAC Warrant Agreement entered into by and among GGI, Computershare Inc. and Computershare Trust Company, N.A., and pursuant to which, among other things, each GGI Public Warrant converted into a Class C-1 ADS and each GGI Private Placement Warrant converted into a Class C-2 ADS, each of which is exercisable for Class A ADSs and subject to substantially the same terms as were applicable to the GGI Warrants under the SPAC Warrant Agreement, a copy of which is filed as an exhibit to the registration statement of which this prospectus forms a part.</w:t>
      </w:r>
    </w:p>
    <w:p>
      <w:pPr>
        <w:spacing w:after="0" w:line="183" w:lineRule="exact"/>
        <w:rPr>
          <w:sz w:val="20"/>
          <w:szCs w:val="20"/>
          <w:color w:val="auto"/>
        </w:rPr>
      </w:pPr>
    </w:p>
    <w:p>
      <w:pPr>
        <w:ind w:left="120" w:right="180" w:firstLine="44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Class C-1 ADS</w:t>
      </w:r>
      <w:r>
        <w:rPr>
          <w:rFonts w:ascii="Times New Roman" w:cs="Times New Roman" w:eastAsia="Times New Roman" w:hAnsi="Times New Roman"/>
          <w:sz w:val="18"/>
          <w:szCs w:val="18"/>
          <w:color w:val="auto"/>
        </w:rPr>
        <w:t>” means one American depositary share of the Company into which each GGI Public Warrant has been automatically cancelled and extinguished and converted into the right to receive one Class A ADS and each of which is duly and validly issued against the deposit with the depositary of an underlying Class C-1 Share.</w:t>
      </w:r>
    </w:p>
    <w:p>
      <w:pPr>
        <w:spacing w:after="0" w:line="173" w:lineRule="exact"/>
        <w:rPr>
          <w:sz w:val="20"/>
          <w:szCs w:val="20"/>
          <w:color w:val="auto"/>
        </w:rPr>
      </w:pPr>
    </w:p>
    <w:p>
      <w:pPr>
        <w:ind w:left="120" w:right="62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Class C-1 Share</w:t>
      </w:r>
      <w:r>
        <w:rPr>
          <w:rFonts w:ascii="Times New Roman" w:cs="Times New Roman" w:eastAsia="Times New Roman" w:hAnsi="Times New Roman"/>
          <w:sz w:val="18"/>
          <w:szCs w:val="18"/>
          <w:color w:val="auto"/>
        </w:rPr>
        <w:t>” means a class C-1 ordinary share in the share capital of the Company, each of which underlies a Class C-1 ADS and is exercisable for one Class A Share.</w:t>
      </w:r>
    </w:p>
    <w:p>
      <w:pPr>
        <w:spacing w:after="0" w:line="158" w:lineRule="exact"/>
        <w:rPr>
          <w:sz w:val="20"/>
          <w:szCs w:val="20"/>
          <w:color w:val="auto"/>
        </w:rPr>
      </w:pPr>
    </w:p>
    <w:p>
      <w:pPr>
        <w:ind w:left="120" w:right="60" w:firstLine="44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Class C-2 ADS</w:t>
      </w:r>
      <w:r>
        <w:rPr>
          <w:rFonts w:ascii="Times New Roman" w:cs="Times New Roman" w:eastAsia="Times New Roman" w:hAnsi="Times New Roman"/>
          <w:sz w:val="18"/>
          <w:szCs w:val="18"/>
          <w:color w:val="auto"/>
        </w:rPr>
        <w:t>” means one American depositary share of the Company into which each GGI Private Placement Warrant has been automatically cancelled and extinguished and converted into the right to receive one Class A ADS and each of which is duly and validly issued against the deposit with the depositary of an underlying Class C-2 Share.</w:t>
      </w:r>
    </w:p>
    <w:p>
      <w:pPr>
        <w:spacing w:after="0" w:line="173" w:lineRule="exact"/>
        <w:rPr>
          <w:sz w:val="20"/>
          <w:szCs w:val="20"/>
          <w:color w:val="auto"/>
        </w:rPr>
      </w:pPr>
    </w:p>
    <w:p>
      <w:pPr>
        <w:ind w:left="120" w:right="62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Class C-2 Share</w:t>
      </w:r>
      <w:r>
        <w:rPr>
          <w:rFonts w:ascii="Times New Roman" w:cs="Times New Roman" w:eastAsia="Times New Roman" w:hAnsi="Times New Roman"/>
          <w:sz w:val="18"/>
          <w:szCs w:val="18"/>
          <w:color w:val="auto"/>
        </w:rPr>
        <w:t>” means a class C-2 ordinary share in the share capital of the Company, each of which underlies a Class C-2 ADS and is exercisable for one Class A Share.</w:t>
      </w:r>
    </w:p>
    <w:p>
      <w:pPr>
        <w:spacing w:after="0" w:line="15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Closing</w:t>
      </w:r>
      <w:r>
        <w:rPr>
          <w:rFonts w:ascii="Times New Roman" w:cs="Times New Roman" w:eastAsia="Times New Roman" w:hAnsi="Times New Roman"/>
          <w:sz w:val="18"/>
          <w:szCs w:val="18"/>
          <w:color w:val="auto"/>
        </w:rPr>
        <w:t>” means the closing of the Business Combination.</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Closing Date</w:t>
      </w:r>
      <w:r>
        <w:rPr>
          <w:rFonts w:ascii="Times New Roman" w:cs="Times New Roman" w:eastAsia="Times New Roman" w:hAnsi="Times New Roman"/>
          <w:sz w:val="18"/>
          <w:szCs w:val="18"/>
          <w:color w:val="auto"/>
        </w:rPr>
        <w:t>” means the date of the Closing or June 23, 2022.</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Code</w:t>
      </w:r>
      <w:r>
        <w:rPr>
          <w:rFonts w:ascii="Times New Roman" w:cs="Times New Roman" w:eastAsia="Times New Roman" w:hAnsi="Times New Roman"/>
          <w:sz w:val="18"/>
          <w:szCs w:val="18"/>
          <w:color w:val="auto"/>
        </w:rPr>
        <w:t>” means the U.S. Internal Revenue Code of 1986, as amended.</w:t>
      </w:r>
    </w:p>
    <w:p>
      <w:pPr>
        <w:spacing w:after="0" w:line="225" w:lineRule="exact"/>
        <w:rPr>
          <w:sz w:val="20"/>
          <w:szCs w:val="20"/>
          <w:color w:val="auto"/>
        </w:rPr>
      </w:pPr>
    </w:p>
    <w:p>
      <w:pPr>
        <w:ind w:left="120" w:firstLine="44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means, prior to the re-registration as a public limited company under the laws of England and Wales, “Polestar Automotive Holding UK Limited,” a limited company incorporated under the laws of England and Wales, and, after the re-registration as a public limited company under the laws of England and Wales, “Polestar Automotive Holding UK PLC.”</w:t>
      </w:r>
    </w:p>
    <w:p>
      <w:pPr>
        <w:spacing w:after="0" w:line="17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Company securities</w:t>
      </w:r>
      <w:r>
        <w:rPr>
          <w:rFonts w:ascii="Times New Roman" w:cs="Times New Roman" w:eastAsia="Times New Roman" w:hAnsi="Times New Roman"/>
          <w:sz w:val="18"/>
          <w:szCs w:val="18"/>
          <w:color w:val="auto"/>
        </w:rPr>
        <w:t>” means the Shares and Class C Shares.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Court of Chancery</w:t>
      </w:r>
      <w:r>
        <w:rPr>
          <w:rFonts w:ascii="Times New Roman" w:cs="Times New Roman" w:eastAsia="Times New Roman" w:hAnsi="Times New Roman"/>
          <w:sz w:val="18"/>
          <w:szCs w:val="18"/>
          <w:color w:val="auto"/>
        </w:rPr>
        <w:t>” means the Court of Chancery in the State of Delaware.</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Current GGI Certificate</w:t>
      </w:r>
      <w:r>
        <w:rPr>
          <w:rFonts w:ascii="Times New Roman" w:cs="Times New Roman" w:eastAsia="Times New Roman" w:hAnsi="Times New Roman"/>
          <w:sz w:val="18"/>
          <w:szCs w:val="18"/>
          <w:color w:val="auto"/>
        </w:rPr>
        <w:t>” means the Amended and Restated Certificate of Incorporation of GGI, dated March 22, 2021.</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December PIPE Investment</w:t>
      </w:r>
      <w:r>
        <w:rPr>
          <w:rFonts w:ascii="Times New Roman" w:cs="Times New Roman" w:eastAsia="Times New Roman" w:hAnsi="Times New Roman"/>
          <w:sz w:val="18"/>
          <w:szCs w:val="18"/>
          <w:color w:val="auto"/>
        </w:rPr>
        <w:t>” means the purchase of December PIPE Shares pursuant to the December PIPE Subscription Agreements.</w:t>
      </w:r>
    </w:p>
    <w:p>
      <w:pPr>
        <w:spacing w:after="0" w:line="225" w:lineRule="exact"/>
        <w:rPr>
          <w:sz w:val="20"/>
          <w:szCs w:val="20"/>
          <w:color w:val="auto"/>
        </w:rPr>
      </w:pPr>
    </w:p>
    <w:p>
      <w:pPr>
        <w:ind w:left="120" w:right="16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December PIPE Investors</w:t>
      </w:r>
      <w:r>
        <w:rPr>
          <w:rFonts w:ascii="Times New Roman" w:cs="Times New Roman" w:eastAsia="Times New Roman" w:hAnsi="Times New Roman"/>
          <w:sz w:val="18"/>
          <w:szCs w:val="18"/>
          <w:color w:val="auto"/>
        </w:rPr>
        <w:t>” means the purchasers of December PIPE Shares in the December PIPE Investment, which include certain affiliates and employees of the GGI Sponsor.</w:t>
      </w:r>
    </w:p>
    <w:p>
      <w:pPr>
        <w:spacing w:after="0" w:line="9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vi</w:t>
      </w:r>
    </w:p>
    <w:p>
      <w:pPr>
        <w:sectPr>
          <w:pgSz w:w="11900" w:h="16838" w:orient="portrait"/>
          <w:cols w:equalWidth="0" w:num="1">
            <w:col w:w="11060"/>
          </w:cols>
          <w:pgMar w:left="320" w:top="455" w:right="51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7" w:lineRule="exact"/>
        <w:rPr>
          <w:sz w:val="20"/>
          <w:szCs w:val="20"/>
          <w:color w:val="auto"/>
        </w:rPr>
      </w:pPr>
    </w:p>
    <w:p>
      <w:pPr>
        <w:ind w:left="120" w:right="14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December PIPE Shares</w:t>
      </w:r>
      <w:r>
        <w:rPr>
          <w:rFonts w:ascii="Times New Roman" w:cs="Times New Roman" w:eastAsia="Times New Roman" w:hAnsi="Times New Roman"/>
          <w:sz w:val="18"/>
          <w:szCs w:val="18"/>
          <w:color w:val="auto"/>
        </w:rPr>
        <w:t>” means the Class A Shares in the form of Class A ADSs purchased by December PIPE Investors in the December PIPE Investment.</w:t>
      </w:r>
    </w:p>
    <w:p>
      <w:pPr>
        <w:spacing w:after="0" w:line="158" w:lineRule="exact"/>
        <w:rPr>
          <w:sz w:val="20"/>
          <w:szCs w:val="20"/>
          <w:color w:val="auto"/>
        </w:rPr>
      </w:pPr>
    </w:p>
    <w:p>
      <w:pPr>
        <w:ind w:left="120" w:right="40" w:firstLine="44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December PIPE Subscription Agreements</w:t>
      </w:r>
      <w:r>
        <w:rPr>
          <w:rFonts w:ascii="Times New Roman" w:cs="Times New Roman" w:eastAsia="Times New Roman" w:hAnsi="Times New Roman"/>
          <w:sz w:val="18"/>
          <w:szCs w:val="18"/>
          <w:color w:val="auto"/>
        </w:rPr>
        <w:t>” means the share subscription agreements, dated December 17, 2021, by and among the Company, GGI and the December PIPE Investors pursuant to which the December PIPE Investors purchased in the aggregate, 14.3 million December PIPE Shares for an average purchase price of $9.54 per share, or an aggregate purchase price equal to approximately $136.0 million.</w:t>
      </w:r>
    </w:p>
    <w:p>
      <w:pPr>
        <w:spacing w:after="0" w:line="17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Deloitte</w:t>
      </w:r>
      <w:r>
        <w:rPr>
          <w:rFonts w:ascii="Times New Roman" w:cs="Times New Roman" w:eastAsia="Times New Roman" w:hAnsi="Times New Roman"/>
          <w:sz w:val="18"/>
          <w:szCs w:val="18"/>
          <w:color w:val="auto"/>
        </w:rPr>
        <w:t>” means Deloitte AB, an independent registered public accounting firm.</w:t>
      </w:r>
    </w:p>
    <w:p>
      <w:pPr>
        <w:spacing w:after="0" w:line="225" w:lineRule="exact"/>
        <w:rPr>
          <w:sz w:val="20"/>
          <w:szCs w:val="20"/>
          <w:color w:val="auto"/>
        </w:rPr>
      </w:pPr>
    </w:p>
    <w:p>
      <w:pPr>
        <w:ind w:left="120" w:right="64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Deposit Agreements</w:t>
      </w:r>
      <w:r>
        <w:rPr>
          <w:rFonts w:ascii="Times New Roman" w:cs="Times New Roman" w:eastAsia="Times New Roman" w:hAnsi="Times New Roman"/>
          <w:sz w:val="18"/>
          <w:szCs w:val="18"/>
          <w:color w:val="auto"/>
        </w:rPr>
        <w:t>” means the ADS Deposit Agreement—Class A ADSs, the ADS Deposit Agreement—Class C-1 ADSs and the ADS Deposit Agreement—Class C-2 ADSs.</w:t>
      </w:r>
    </w:p>
    <w:p>
      <w:pPr>
        <w:spacing w:after="0" w:line="15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depositary</w:t>
      </w:r>
      <w:r>
        <w:rPr>
          <w:rFonts w:ascii="Times New Roman" w:cs="Times New Roman" w:eastAsia="Times New Roman" w:hAnsi="Times New Roman"/>
          <w:sz w:val="18"/>
          <w:szCs w:val="18"/>
          <w:color w:val="auto"/>
        </w:rPr>
        <w:t>” means Citibank, N.A., acting as depositary under the Deposit Agreements.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DGCL</w:t>
      </w:r>
      <w:r>
        <w:rPr>
          <w:rFonts w:ascii="Times New Roman" w:cs="Times New Roman" w:eastAsia="Times New Roman" w:hAnsi="Times New Roman"/>
          <w:sz w:val="18"/>
          <w:szCs w:val="18"/>
          <w:color w:val="auto"/>
        </w:rPr>
        <w:t>” means the General Corporation Law of the State of Delaware.</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Earn Out Class A Shares</w:t>
      </w:r>
      <w:r>
        <w:rPr>
          <w:rFonts w:ascii="Times New Roman" w:cs="Times New Roman" w:eastAsia="Times New Roman" w:hAnsi="Times New Roman"/>
          <w:sz w:val="18"/>
          <w:szCs w:val="18"/>
          <w:color w:val="auto"/>
        </w:rPr>
        <w:t>” means the earn out shares issuable by the Company in the form of Class A ADSs.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Earn Out Class B Shares</w:t>
      </w:r>
      <w:r>
        <w:rPr>
          <w:rFonts w:ascii="Times New Roman" w:cs="Times New Roman" w:eastAsia="Times New Roman" w:hAnsi="Times New Roman"/>
          <w:sz w:val="18"/>
          <w:szCs w:val="18"/>
          <w:color w:val="auto"/>
        </w:rPr>
        <w:t>” means the earn out shares issuable by the Company in the form of Class B ADSs.</w:t>
      </w:r>
    </w:p>
    <w:p>
      <w:pPr>
        <w:spacing w:after="0" w:line="225" w:lineRule="exact"/>
        <w:rPr>
          <w:sz w:val="20"/>
          <w:szCs w:val="20"/>
          <w:color w:val="auto"/>
        </w:rPr>
      </w:pPr>
    </w:p>
    <w:p>
      <w:pPr>
        <w:ind w:left="120" w:right="32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Earn Out Shares</w:t>
      </w:r>
      <w:r>
        <w:rPr>
          <w:rFonts w:ascii="Times New Roman" w:cs="Times New Roman" w:eastAsia="Times New Roman" w:hAnsi="Times New Roman"/>
          <w:sz w:val="18"/>
          <w:szCs w:val="18"/>
          <w:color w:val="auto"/>
        </w:rPr>
        <w:t>” means earn out shares from the Company issuable in Class A ADSs and Class B ADSs up to an aggregate number equal to approximately (a) 0.075 multiplied by (b) the number of issued and outstanding Shares as of immediately after the Closing.</w:t>
      </w:r>
    </w:p>
    <w:p>
      <w:pPr>
        <w:spacing w:after="0" w:line="15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Effective Time</w:t>
      </w:r>
      <w:r>
        <w:rPr>
          <w:rFonts w:ascii="Times New Roman" w:cs="Times New Roman" w:eastAsia="Times New Roman" w:hAnsi="Times New Roman"/>
          <w:sz w:val="18"/>
          <w:szCs w:val="18"/>
          <w:color w:val="auto"/>
        </w:rPr>
        <w:t>” means the effective time of the Merger.</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Exchange Act</w:t>
      </w:r>
      <w:r>
        <w:rPr>
          <w:rFonts w:ascii="Times New Roman" w:cs="Times New Roman" w:eastAsia="Times New Roman" w:hAnsi="Times New Roman"/>
          <w:sz w:val="18"/>
          <w:szCs w:val="18"/>
          <w:color w:val="auto"/>
        </w:rPr>
        <w:t>” means the Securities Exchange Act of 1934, as amended, together with the rules and regulations promulgated thereunder.</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Geely</w:t>
      </w:r>
      <w:r>
        <w:rPr>
          <w:rFonts w:ascii="Times New Roman" w:cs="Times New Roman" w:eastAsia="Times New Roman" w:hAnsi="Times New Roman"/>
          <w:sz w:val="18"/>
          <w:szCs w:val="18"/>
          <w:color w:val="auto"/>
        </w:rPr>
        <w:t>” means Zhejiang Geely Holding Group Company Limited.</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GGI</w:t>
      </w:r>
      <w:r>
        <w:rPr>
          <w:rFonts w:ascii="Times New Roman" w:cs="Times New Roman" w:eastAsia="Times New Roman" w:hAnsi="Times New Roman"/>
          <w:sz w:val="18"/>
          <w:szCs w:val="18"/>
          <w:color w:val="auto"/>
        </w:rPr>
        <w:t>” means Gores Guggenheim, Inc.</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GGI Class A Common Stock</w:t>
      </w:r>
      <w:r>
        <w:rPr>
          <w:rFonts w:ascii="Times New Roman" w:cs="Times New Roman" w:eastAsia="Times New Roman" w:hAnsi="Times New Roman"/>
          <w:sz w:val="18"/>
          <w:szCs w:val="18"/>
          <w:color w:val="auto"/>
        </w:rPr>
        <w:t>” means the shares of Class A common stock, par value $0.0001 per share, of GGI.</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GGI Class F Common Stock</w:t>
      </w:r>
      <w:r>
        <w:rPr>
          <w:rFonts w:ascii="Times New Roman" w:cs="Times New Roman" w:eastAsia="Times New Roman" w:hAnsi="Times New Roman"/>
          <w:sz w:val="18"/>
          <w:szCs w:val="18"/>
          <w:color w:val="auto"/>
        </w:rPr>
        <w:t>” means the shares of Class F common stock, par value $0.0001 per share, of GGI.</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GGI Common Stock</w:t>
      </w:r>
      <w:r>
        <w:rPr>
          <w:rFonts w:ascii="Times New Roman" w:cs="Times New Roman" w:eastAsia="Times New Roman" w:hAnsi="Times New Roman"/>
          <w:sz w:val="18"/>
          <w:szCs w:val="18"/>
          <w:color w:val="auto"/>
        </w:rPr>
        <w:t>” means the GGI Class A Common Stock and the GGI Class F Common Stock.</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GGI Initial Stockholders</w:t>
      </w:r>
      <w:r>
        <w:rPr>
          <w:rFonts w:ascii="Times New Roman" w:cs="Times New Roman" w:eastAsia="Times New Roman" w:hAnsi="Times New Roman"/>
          <w:sz w:val="18"/>
          <w:szCs w:val="18"/>
          <w:color w:val="auto"/>
        </w:rPr>
        <w:t>” means the GGI Sponsor and Randall Bort, Elizabeth Marcellino and Nancy Tellem, GGI’s independent directors.</w:t>
      </w:r>
    </w:p>
    <w:p>
      <w:pPr>
        <w:spacing w:after="0" w:line="225" w:lineRule="exact"/>
        <w:rPr>
          <w:sz w:val="20"/>
          <w:szCs w:val="20"/>
          <w:color w:val="auto"/>
        </w:rPr>
      </w:pPr>
    </w:p>
    <w:p>
      <w:pPr>
        <w:ind w:left="12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GGI Public Warrants</w:t>
      </w:r>
      <w:r>
        <w:rPr>
          <w:rFonts w:ascii="Times New Roman" w:cs="Times New Roman" w:eastAsia="Times New Roman" w:hAnsi="Times New Roman"/>
          <w:sz w:val="18"/>
          <w:szCs w:val="18"/>
          <w:color w:val="auto"/>
        </w:rPr>
        <w:t>” means the warrants included in the GGI public units (consisting of one share of GGI Class A Common Stock and one-fifth of one GGI Public Warrant) issued in the GGI initial public offering, consummated on March 25, 2021.</w:t>
      </w:r>
    </w:p>
    <w:p>
      <w:pPr>
        <w:spacing w:after="0" w:line="15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GGI Sponsor</w:t>
      </w:r>
      <w:r>
        <w:rPr>
          <w:rFonts w:ascii="Times New Roman" w:cs="Times New Roman" w:eastAsia="Times New Roman" w:hAnsi="Times New Roman"/>
          <w:sz w:val="18"/>
          <w:szCs w:val="18"/>
          <w:color w:val="auto"/>
        </w:rPr>
        <w:t>” means Gores Guggenheim Sponsor LLC, a Delaware limited liability company and its affiliates, including The Gores Group,</w:t>
      </w:r>
    </w:p>
    <w:p>
      <w:pPr>
        <w:spacing w:after="0" w:line="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LLC.</w:t>
      </w:r>
    </w:p>
    <w:p>
      <w:pPr>
        <w:spacing w:after="0" w:line="13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vii</w:t>
      </w:r>
    </w:p>
    <w:p>
      <w:pPr>
        <w:sectPr>
          <w:pgSz w:w="11900" w:h="16838" w:orient="portrait"/>
          <w:cols w:equalWidth="0" w:num="1">
            <w:col w:w="11120"/>
          </w:cols>
          <w:pgMar w:left="320" w:top="455" w:right="4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GGI Warrants</w:t>
      </w:r>
      <w:r>
        <w:rPr>
          <w:rFonts w:ascii="Times New Roman" w:cs="Times New Roman" w:eastAsia="Times New Roman" w:hAnsi="Times New Roman"/>
          <w:sz w:val="18"/>
          <w:szCs w:val="18"/>
          <w:color w:val="auto"/>
        </w:rPr>
        <w:t>” means, collectively, the GGI Private Placement Warrants and the GGI Public Warrants.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Initial PIPE Investment</w:t>
      </w:r>
      <w:r>
        <w:rPr>
          <w:rFonts w:ascii="Times New Roman" w:cs="Times New Roman" w:eastAsia="Times New Roman" w:hAnsi="Times New Roman"/>
          <w:sz w:val="18"/>
          <w:szCs w:val="18"/>
          <w:color w:val="auto"/>
        </w:rPr>
        <w:t>” means the purchase of Initial PIPE Shares pursuant to the Initial PIPE Subscription Agreements.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Initial PIPE Investors</w:t>
      </w:r>
      <w:r>
        <w:rPr>
          <w:rFonts w:ascii="Times New Roman" w:cs="Times New Roman" w:eastAsia="Times New Roman" w:hAnsi="Times New Roman"/>
          <w:sz w:val="18"/>
          <w:szCs w:val="18"/>
          <w:color w:val="auto"/>
        </w:rPr>
        <w:t>” means the purchasers of Initial PIPE Shares in the Initial PIPE Investment.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Initial PIPE Shares</w:t>
      </w:r>
      <w:r>
        <w:rPr>
          <w:rFonts w:ascii="Times New Roman" w:cs="Times New Roman" w:eastAsia="Times New Roman" w:hAnsi="Times New Roman"/>
          <w:sz w:val="18"/>
          <w:szCs w:val="18"/>
          <w:color w:val="auto"/>
        </w:rPr>
        <w:t>” means the Class A Shares in the form of Class A ADSs purchased by Initial PIPE Investors in the Initial PIPE Investment.</w:t>
      </w:r>
    </w:p>
    <w:p>
      <w:pPr>
        <w:spacing w:after="0" w:line="225" w:lineRule="exact"/>
        <w:rPr>
          <w:sz w:val="20"/>
          <w:szCs w:val="20"/>
          <w:color w:val="auto"/>
        </w:rPr>
      </w:pPr>
    </w:p>
    <w:p>
      <w:pPr>
        <w:jc w:val="both"/>
        <w:ind w:left="120" w:right="160" w:firstLine="44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Initial PIPE Subscription Agreements</w:t>
      </w:r>
      <w:r>
        <w:rPr>
          <w:rFonts w:ascii="Times New Roman" w:cs="Times New Roman" w:eastAsia="Times New Roman" w:hAnsi="Times New Roman"/>
          <w:sz w:val="18"/>
          <w:szCs w:val="18"/>
          <w:color w:val="auto"/>
        </w:rPr>
        <w:t>” means the share subscription agreements, dated September 27, 2021, by and among the Company, GGI and the Initial PIPE Investors pursuant to which the Initial PIPE Investors purchased, in the aggregate, approximately 7.43 million Initial PIPE Shares for a purchase price of $9.09 per share, or an aggregate purchase price equal to approximately $67.5 million.</w:t>
      </w:r>
    </w:p>
    <w:p>
      <w:pPr>
        <w:spacing w:after="0" w:line="17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IRS</w:t>
      </w:r>
      <w:r>
        <w:rPr>
          <w:rFonts w:ascii="Times New Roman" w:cs="Times New Roman" w:eastAsia="Times New Roman" w:hAnsi="Times New Roman"/>
          <w:sz w:val="18"/>
          <w:szCs w:val="18"/>
          <w:color w:val="auto"/>
        </w:rPr>
        <w:t>” means the U.S. Internal Revenue Service.</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JOBS Act</w:t>
      </w:r>
      <w:r>
        <w:rPr>
          <w:rFonts w:ascii="Times New Roman" w:cs="Times New Roman" w:eastAsia="Times New Roman" w:hAnsi="Times New Roman"/>
          <w:sz w:val="18"/>
          <w:szCs w:val="18"/>
          <w:color w:val="auto"/>
        </w:rPr>
        <w:t>” means the Jumpstart Our Business Startups Act of 2012.</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K&amp;E</w:t>
      </w:r>
      <w:r>
        <w:rPr>
          <w:rFonts w:ascii="Times New Roman" w:cs="Times New Roman" w:eastAsia="Times New Roman" w:hAnsi="Times New Roman"/>
          <w:sz w:val="18"/>
          <w:szCs w:val="18"/>
          <w:color w:val="auto"/>
        </w:rPr>
        <w:t>” means Kirkland &amp; Ellis LLP.</w:t>
      </w:r>
    </w:p>
    <w:p>
      <w:pPr>
        <w:spacing w:after="0" w:line="225" w:lineRule="exact"/>
        <w:rPr>
          <w:sz w:val="20"/>
          <w:szCs w:val="20"/>
          <w:color w:val="auto"/>
        </w:rPr>
      </w:pPr>
    </w:p>
    <w:p>
      <w:pPr>
        <w:ind w:left="120" w:right="66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March PIPE Investors</w:t>
      </w:r>
      <w:r>
        <w:rPr>
          <w:rFonts w:ascii="Times New Roman" w:cs="Times New Roman" w:eastAsia="Times New Roman" w:hAnsi="Times New Roman"/>
          <w:sz w:val="18"/>
          <w:szCs w:val="18"/>
          <w:color w:val="auto"/>
        </w:rPr>
        <w:t>” means the purchasers of March PIPE Shares in the March PIPE Investment, which include certain affiliates and employees of the GGI Sponsor.</w:t>
      </w:r>
    </w:p>
    <w:p>
      <w:pPr>
        <w:spacing w:after="0" w:line="15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March PIPE Shares</w:t>
      </w:r>
      <w:r>
        <w:rPr>
          <w:rFonts w:ascii="Times New Roman" w:cs="Times New Roman" w:eastAsia="Times New Roman" w:hAnsi="Times New Roman"/>
          <w:sz w:val="17"/>
          <w:szCs w:val="17"/>
          <w:color w:val="auto"/>
        </w:rPr>
        <w:t>” means the Class A Shares in the form of Class A ADSs purchased by March PIPE Investors in the March PIPE Investment.</w:t>
      </w:r>
    </w:p>
    <w:p>
      <w:pPr>
        <w:spacing w:after="0" w:line="237" w:lineRule="exact"/>
        <w:rPr>
          <w:sz w:val="20"/>
          <w:szCs w:val="20"/>
          <w:color w:val="auto"/>
        </w:rPr>
      </w:pPr>
    </w:p>
    <w:p>
      <w:pPr>
        <w:ind w:left="120" w:right="60" w:firstLine="44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March PIPE Subscription Agreements</w:t>
      </w:r>
      <w:r>
        <w:rPr>
          <w:rFonts w:ascii="Times New Roman" w:cs="Times New Roman" w:eastAsia="Times New Roman" w:hAnsi="Times New Roman"/>
          <w:sz w:val="18"/>
          <w:szCs w:val="18"/>
          <w:color w:val="auto"/>
        </w:rPr>
        <w:t>” means the shares subscription agreements, dated March 24, 2022, by and among the Company, GGI and the March PIPE Investors pursuant to which the March PIPE Investors purchased, in the aggregate, 2.8 million March PIPE Shares for an average purchase price of $9.57 per share, or an aggregate purchase price equal to approximately $27.2 million.</w:t>
      </w:r>
    </w:p>
    <w:p>
      <w:pPr>
        <w:spacing w:after="0" w:line="17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March Sponsor Investment</w:t>
      </w:r>
      <w:r>
        <w:rPr>
          <w:rFonts w:ascii="Times New Roman" w:cs="Times New Roman" w:eastAsia="Times New Roman" w:hAnsi="Times New Roman"/>
          <w:sz w:val="18"/>
          <w:szCs w:val="18"/>
          <w:color w:val="auto"/>
        </w:rPr>
        <w:t>” means the purchase of March PIPE Shares pursuant to the March PIPE Subscription Agreements.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Merger</w:t>
      </w:r>
      <w:r>
        <w:rPr>
          <w:rFonts w:ascii="Times New Roman" w:cs="Times New Roman" w:eastAsia="Times New Roman" w:hAnsi="Times New Roman"/>
          <w:sz w:val="18"/>
          <w:szCs w:val="18"/>
          <w:color w:val="auto"/>
        </w:rPr>
        <w:t>” means the merger between Merger Sub and GGI, with GGI surviving as a direct wholly owned subsidiary of the Company.</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Merger Sub</w:t>
      </w:r>
      <w:r>
        <w:rPr>
          <w:rFonts w:ascii="Times New Roman" w:cs="Times New Roman" w:eastAsia="Times New Roman" w:hAnsi="Times New Roman"/>
          <w:sz w:val="18"/>
          <w:szCs w:val="18"/>
          <w:color w:val="auto"/>
        </w:rPr>
        <w:t>” means PAH UK Merger Sub Inc., a Delaware corporation and a direct wholly owned subsidiary of the Company.</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Nasdaq</w:t>
      </w:r>
      <w:r>
        <w:rPr>
          <w:rFonts w:ascii="Times New Roman" w:cs="Times New Roman" w:eastAsia="Times New Roman" w:hAnsi="Times New Roman"/>
          <w:sz w:val="18"/>
          <w:szCs w:val="18"/>
          <w:color w:val="auto"/>
        </w:rPr>
        <w:t>” means the National Association of Securities Dealers Automated Quotations Global Market.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Parent</w:t>
      </w:r>
      <w:r>
        <w:rPr>
          <w:rFonts w:ascii="Times New Roman" w:cs="Times New Roman" w:eastAsia="Times New Roman" w:hAnsi="Times New Roman"/>
          <w:sz w:val="18"/>
          <w:szCs w:val="18"/>
          <w:color w:val="auto"/>
        </w:rPr>
        <w:t>” means Polestar Automotive Holding Limited, a Hong Kong incorporated company.</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Parent Convertible Notes</w:t>
      </w:r>
      <w:r>
        <w:rPr>
          <w:rFonts w:ascii="Times New Roman" w:cs="Times New Roman" w:eastAsia="Times New Roman" w:hAnsi="Times New Roman"/>
          <w:sz w:val="18"/>
          <w:szCs w:val="18"/>
          <w:color w:val="auto"/>
        </w:rPr>
        <w:t>” means the convertible notes of Parent outstanding as of immediately prior to the Closing.</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Parent Convertible Notes Holders</w:t>
      </w:r>
      <w:r>
        <w:rPr>
          <w:rFonts w:ascii="Times New Roman" w:cs="Times New Roman" w:eastAsia="Times New Roman" w:hAnsi="Times New Roman"/>
          <w:sz w:val="18"/>
          <w:szCs w:val="18"/>
          <w:color w:val="auto"/>
        </w:rPr>
        <w:t>” means the holders of the Parent Convertible Notes.</w:t>
      </w:r>
    </w:p>
    <w:p>
      <w:pPr>
        <w:spacing w:after="0" w:line="160"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viii</w:t>
      </w:r>
    </w:p>
    <w:p>
      <w:pPr>
        <w:sectPr>
          <w:pgSz w:w="11900" w:h="16838" w:orient="portrait"/>
          <w:cols w:equalWidth="0" w:num="1">
            <w:col w:w="11060"/>
          </w:cols>
          <w:pgMar w:left="320" w:top="455" w:right="51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7" w:lineRule="exact"/>
        <w:rPr>
          <w:sz w:val="20"/>
          <w:szCs w:val="20"/>
          <w:color w:val="auto"/>
        </w:rPr>
      </w:pPr>
    </w:p>
    <w:p>
      <w:pPr>
        <w:ind w:left="120" w:right="12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Parent Lock-Up Agreement</w:t>
      </w:r>
      <w:r>
        <w:rPr>
          <w:rFonts w:ascii="Times New Roman" w:cs="Times New Roman" w:eastAsia="Times New Roman" w:hAnsi="Times New Roman"/>
          <w:sz w:val="18"/>
          <w:szCs w:val="18"/>
          <w:color w:val="auto"/>
        </w:rPr>
        <w:t>” means the lock-up agreement, dated September 27, 2021, by and among Parent, the Company and the other Parent Shareholders, a form of which is filed as an exhibit to the registration statement of which this prospectus forms a part.</w:t>
      </w:r>
    </w:p>
    <w:p>
      <w:pPr>
        <w:spacing w:after="0" w:line="15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Parent Shareholders</w:t>
      </w:r>
      <w:r>
        <w:rPr>
          <w:rFonts w:ascii="Times New Roman" w:cs="Times New Roman" w:eastAsia="Times New Roman" w:hAnsi="Times New Roman"/>
          <w:sz w:val="18"/>
          <w:szCs w:val="18"/>
          <w:color w:val="auto"/>
        </w:rPr>
        <w:t>” means Snita, Polestar Investment AB, PSD Investment Limited, GLY New Mobility 1. LP, Northpole GLY 1 LP,</w:t>
      </w:r>
    </w:p>
    <w:p>
      <w:pPr>
        <w:spacing w:after="0" w:line="29" w:lineRule="exact"/>
        <w:rPr>
          <w:sz w:val="20"/>
          <w:szCs w:val="20"/>
          <w:color w:val="auto"/>
        </w:rPr>
      </w:pPr>
    </w:p>
    <w:p>
      <w:pPr>
        <w:ind w:left="120" w:right="260"/>
        <w:spacing w:after="0" w:line="268" w:lineRule="auto"/>
        <w:rPr>
          <w:sz w:val="20"/>
          <w:szCs w:val="20"/>
          <w:color w:val="auto"/>
        </w:rPr>
      </w:pPr>
      <w:r>
        <w:rPr>
          <w:rFonts w:ascii="Times New Roman" w:cs="Times New Roman" w:eastAsia="Times New Roman" w:hAnsi="Times New Roman"/>
          <w:sz w:val="18"/>
          <w:szCs w:val="18"/>
          <w:color w:val="auto"/>
        </w:rPr>
        <w:t xml:space="preserve">Chongqing Liangjiang </w:t>
      </w:r>
      <w:r>
        <w:rPr>
          <w:sz w:val="1"/>
          <w:szCs w:val="1"/>
          <w:color w:val="auto"/>
        </w:rPr>
        <w:drawing>
          <wp:inline distT="0" distB="0" distL="0" distR="0">
            <wp:extent cx="1637030" cy="11112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637030" cy="111125"/>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 Zibo Financial Holding Group Co., Ltd. and Zibo High-Tech Industrial Investment Co., Ltd.</w:t>
      </w:r>
    </w:p>
    <w:p>
      <w:pPr>
        <w:spacing w:after="0" w:line="17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PIPE Investment</w:t>
      </w:r>
      <w:r>
        <w:rPr>
          <w:rFonts w:ascii="Times New Roman" w:cs="Times New Roman" w:eastAsia="Times New Roman" w:hAnsi="Times New Roman"/>
          <w:sz w:val="18"/>
          <w:szCs w:val="18"/>
          <w:color w:val="auto"/>
        </w:rPr>
        <w:t>” means the purchase of PIPE Shares pursuant to the PIPE Subscription Agreements.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PIPE Investors</w:t>
      </w:r>
      <w:r>
        <w:rPr>
          <w:rFonts w:ascii="Times New Roman" w:cs="Times New Roman" w:eastAsia="Times New Roman" w:hAnsi="Times New Roman"/>
          <w:sz w:val="18"/>
          <w:szCs w:val="18"/>
          <w:color w:val="auto"/>
        </w:rPr>
        <w:t>” means the purchasers of PIPE Shares in the PIPE Investment.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PIPE Shares</w:t>
      </w:r>
      <w:r>
        <w:rPr>
          <w:rFonts w:ascii="Times New Roman" w:cs="Times New Roman" w:eastAsia="Times New Roman" w:hAnsi="Times New Roman"/>
          <w:sz w:val="18"/>
          <w:szCs w:val="18"/>
          <w:color w:val="auto"/>
        </w:rPr>
        <w:t>” means the Class A Shares in the form of Class A ADSs purchased by PIPE Investors in the PIPE Investment.</w:t>
      </w:r>
    </w:p>
    <w:p>
      <w:pPr>
        <w:spacing w:after="0" w:line="225" w:lineRule="exact"/>
        <w:rPr>
          <w:sz w:val="20"/>
          <w:szCs w:val="20"/>
          <w:color w:val="auto"/>
        </w:rPr>
      </w:pPr>
    </w:p>
    <w:p>
      <w:pPr>
        <w:ind w:left="120" w:right="16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PIPE Subscription Agreements</w:t>
      </w:r>
      <w:r>
        <w:rPr>
          <w:rFonts w:ascii="Times New Roman" w:cs="Times New Roman" w:eastAsia="Times New Roman" w:hAnsi="Times New Roman"/>
          <w:sz w:val="18"/>
          <w:szCs w:val="18"/>
          <w:color w:val="auto"/>
        </w:rPr>
        <w:t>” means the Initial PIPE Subscription Agreements, the December PIPE Subscription Agreements and the March PIPE Subscription Agreements.</w:t>
      </w:r>
    </w:p>
    <w:p>
      <w:pPr>
        <w:spacing w:after="0" w:line="158" w:lineRule="exact"/>
        <w:rPr>
          <w:sz w:val="20"/>
          <w:szCs w:val="20"/>
          <w:color w:val="auto"/>
        </w:rPr>
      </w:pPr>
    </w:p>
    <w:p>
      <w:pPr>
        <w:jc w:val="center"/>
        <w:ind w:left="380" w:right="60"/>
        <w:spacing w:after="0" w:line="27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Polestar</w:t>
      </w:r>
      <w:r>
        <w:rPr>
          <w:rFonts w:ascii="Times New Roman" w:cs="Times New Roman" w:eastAsia="Times New Roman" w:hAnsi="Times New Roman"/>
          <w:sz w:val="17"/>
          <w:szCs w:val="17"/>
          <w:color w:val="auto"/>
        </w:rPr>
        <w:t>” means, as the context requires, (a) in general the Polestar Group, (b) in the context of the Business Combination, the Pre-Closing Reorganization and the Pre-Closing Sweden/Singapore Share Transfer, Polestar Sweden, or, both Polestar Singapore and Polestar Sweden if at any time</w:t>
      </w:r>
    </w:p>
    <w:p>
      <w:pPr>
        <w:spacing w:after="0" w:line="1" w:lineRule="exact"/>
        <w:rPr>
          <w:sz w:val="20"/>
          <w:szCs w:val="20"/>
          <w:color w:val="auto"/>
        </w:rPr>
      </w:pPr>
    </w:p>
    <w:p>
      <w:pPr>
        <w:ind w:left="120" w:right="400" w:hanging="4"/>
        <w:spacing w:after="0" w:line="260" w:lineRule="auto"/>
        <w:tabs>
          <w:tab w:leader="none" w:pos="37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Polestar Sweden is not a wholly-owned subsidiary of Polestar Singapore or (y) Polestar Singapore is not a wholly-owned subsidiary of Polestar Sweden, or (c) the Company after the Closing.</w:t>
      </w:r>
    </w:p>
    <w:p>
      <w:pPr>
        <w:spacing w:after="0" w:line="179" w:lineRule="exact"/>
        <w:rPr>
          <w:sz w:val="20"/>
          <w:szCs w:val="20"/>
          <w:color w:val="auto"/>
        </w:rPr>
      </w:pPr>
    </w:p>
    <w:p>
      <w:pPr>
        <w:ind w:left="120" w:right="12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Polestar Articles</w:t>
      </w:r>
      <w:r>
        <w:rPr>
          <w:rFonts w:ascii="Times New Roman" w:cs="Times New Roman" w:eastAsia="Times New Roman" w:hAnsi="Times New Roman"/>
          <w:sz w:val="18"/>
          <w:szCs w:val="18"/>
          <w:color w:val="auto"/>
        </w:rPr>
        <w:t>” means the Articles of Association of Polestar, a copy of which is filed as an exhibit to the registration statement of which this prospectus forms a part.</w:t>
      </w:r>
    </w:p>
    <w:p>
      <w:pPr>
        <w:spacing w:after="0" w:line="158" w:lineRule="exact"/>
        <w:rPr>
          <w:sz w:val="20"/>
          <w:szCs w:val="20"/>
          <w:color w:val="auto"/>
        </w:rPr>
      </w:pPr>
    </w:p>
    <w:p>
      <w:pPr>
        <w:ind w:left="120" w:right="30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Polestar Destinations</w:t>
      </w:r>
      <w:r>
        <w:rPr>
          <w:rFonts w:ascii="Times New Roman" w:cs="Times New Roman" w:eastAsia="Times New Roman" w:hAnsi="Times New Roman"/>
          <w:sz w:val="18"/>
          <w:szCs w:val="18"/>
          <w:color w:val="auto"/>
        </w:rPr>
        <w:t>” means permanent or pop up/temporary Polestar showrooms located in peri-urban areas where potential customers can experience Polestar vehicles, engage with Polestar specialists and test-drive Polestar vehicles.</w:t>
      </w:r>
    </w:p>
    <w:p>
      <w:pPr>
        <w:spacing w:after="0" w:line="158" w:lineRule="exact"/>
        <w:rPr>
          <w:sz w:val="20"/>
          <w:szCs w:val="20"/>
          <w:color w:val="auto"/>
        </w:rPr>
      </w:pPr>
    </w:p>
    <w:p>
      <w:pPr>
        <w:ind w:left="120" w:right="4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Polestar Financial Statements</w:t>
      </w:r>
      <w:r>
        <w:rPr>
          <w:rFonts w:ascii="Times New Roman" w:cs="Times New Roman" w:eastAsia="Times New Roman" w:hAnsi="Times New Roman"/>
          <w:sz w:val="18"/>
          <w:szCs w:val="18"/>
          <w:color w:val="auto"/>
        </w:rPr>
        <w:t>” means Polestar Automotive Holding Limited’s audited financial statements and related notes as of December 31, 2021 and 2020 and for each of the three years in the period ended December 31, 2021, 2020 and 2019.</w:t>
      </w:r>
    </w:p>
    <w:p>
      <w:pPr>
        <w:spacing w:after="0" w:line="15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Polestar Group</w:t>
      </w:r>
      <w:r>
        <w:rPr>
          <w:rFonts w:ascii="Times New Roman" w:cs="Times New Roman" w:eastAsia="Times New Roman" w:hAnsi="Times New Roman"/>
          <w:sz w:val="18"/>
          <w:szCs w:val="18"/>
          <w:color w:val="auto"/>
        </w:rPr>
        <w:t>” means Parent, together with its subsidiaries.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Polestar Locations</w:t>
      </w:r>
      <w:r>
        <w:rPr>
          <w:rFonts w:ascii="Times New Roman" w:cs="Times New Roman" w:eastAsia="Times New Roman" w:hAnsi="Times New Roman"/>
          <w:sz w:val="18"/>
          <w:szCs w:val="18"/>
          <w:color w:val="auto"/>
        </w:rPr>
        <w:t>” means Polestar Spaces, Polestar Destinations and Polestar Test Drive Center.</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Polestar Singapore</w:t>
      </w:r>
      <w:r>
        <w:rPr>
          <w:rFonts w:ascii="Times New Roman" w:cs="Times New Roman" w:eastAsia="Times New Roman" w:hAnsi="Times New Roman"/>
          <w:sz w:val="18"/>
          <w:szCs w:val="18"/>
          <w:color w:val="auto"/>
        </w:rPr>
        <w:t>” means Polestar Automotive (Singapore) Pte. Ltd., a private company limited by shares in Singapore.</w:t>
      </w:r>
    </w:p>
    <w:p>
      <w:pPr>
        <w:spacing w:after="0" w:line="225" w:lineRule="exact"/>
        <w:rPr>
          <w:sz w:val="20"/>
          <w:szCs w:val="20"/>
          <w:color w:val="auto"/>
        </w:rPr>
      </w:pPr>
    </w:p>
    <w:p>
      <w:pPr>
        <w:ind w:left="120" w:right="22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Polestar Spaces</w:t>
      </w:r>
      <w:r>
        <w:rPr>
          <w:rFonts w:ascii="Times New Roman" w:cs="Times New Roman" w:eastAsia="Times New Roman" w:hAnsi="Times New Roman"/>
          <w:sz w:val="18"/>
          <w:szCs w:val="18"/>
          <w:color w:val="auto"/>
        </w:rPr>
        <w:t>” means permanent or pop up/temporary Polestar showrooms located in urban areas where potential customers can experience Polestar vehicles and engage with Polestar specialists.</w:t>
      </w:r>
    </w:p>
    <w:p>
      <w:pPr>
        <w:spacing w:after="0" w:line="15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Polestar Sweden</w:t>
      </w:r>
      <w:r>
        <w:rPr>
          <w:rFonts w:ascii="Times New Roman" w:cs="Times New Roman" w:eastAsia="Times New Roman" w:hAnsi="Times New Roman"/>
          <w:sz w:val="18"/>
          <w:szCs w:val="18"/>
          <w:color w:val="auto"/>
        </w:rPr>
        <w:t>” means Polestar Holding AB, a private limited liability company incorporated under the laws of Sweden.</w:t>
      </w:r>
    </w:p>
    <w:p>
      <w:pPr>
        <w:spacing w:after="0" w:line="225" w:lineRule="exact"/>
        <w:rPr>
          <w:sz w:val="20"/>
          <w:szCs w:val="20"/>
          <w:color w:val="auto"/>
        </w:rPr>
      </w:pPr>
    </w:p>
    <w:p>
      <w:pPr>
        <w:ind w:left="120" w:right="54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Polestar Test Drive Centers</w:t>
      </w:r>
      <w:r>
        <w:rPr>
          <w:rFonts w:ascii="Times New Roman" w:cs="Times New Roman" w:eastAsia="Times New Roman" w:hAnsi="Times New Roman"/>
          <w:sz w:val="18"/>
          <w:szCs w:val="18"/>
          <w:color w:val="auto"/>
        </w:rPr>
        <w:t>” means those Polestar facilities located in peri-urban areas where potential customers can experience Polestar vehicles, engage with Polestar specialists and test-drive Polestar vehicles.</w:t>
      </w:r>
    </w:p>
    <w:p>
      <w:pPr>
        <w:spacing w:after="0" w:line="158" w:lineRule="exact"/>
        <w:rPr>
          <w:sz w:val="20"/>
          <w:szCs w:val="20"/>
          <w:color w:val="auto"/>
        </w:rPr>
      </w:pPr>
    </w:p>
    <w:p>
      <w:pPr>
        <w:ind w:left="120" w:firstLine="44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Pre-Closing Reorganization</w:t>
      </w:r>
      <w:r>
        <w:rPr>
          <w:rFonts w:ascii="Times New Roman" w:cs="Times New Roman" w:eastAsia="Times New Roman" w:hAnsi="Times New Roman"/>
          <w:sz w:val="18"/>
          <w:szCs w:val="18"/>
          <w:color w:val="auto"/>
        </w:rPr>
        <w:t>” means the reorganization effectuated by Parent, the Company, Polestar Singapore, Polestar Sweden and their respective subsidiaries, pursuant to which, among other things, Polestar Singapore, Polestar Sweden and their respective subsidiaries became, directly or indirectly, wholly owned subsidiaries of the Company.</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ix</w:t>
      </w:r>
    </w:p>
    <w:p>
      <w:pPr>
        <w:sectPr>
          <w:pgSz w:w="11900" w:h="16838" w:orient="portrait"/>
          <w:cols w:equalWidth="0" w:num="1">
            <w:col w:w="11100"/>
          </w:cols>
          <w:pgMar w:left="320" w:top="455" w:right="47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Pre-Closing Sweden/Singapore Share Transfer</w:t>
      </w:r>
      <w:r>
        <w:rPr>
          <w:rFonts w:ascii="Times New Roman" w:cs="Times New Roman" w:eastAsia="Times New Roman" w:hAnsi="Times New Roman"/>
          <w:sz w:val="18"/>
          <w:szCs w:val="18"/>
          <w:color w:val="auto"/>
        </w:rPr>
        <w:t>” means, collectively, the following transactions contemplated under the Business Combination</w:t>
      </w:r>
    </w:p>
    <w:p>
      <w:pPr>
        <w:spacing w:after="0" w:line="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Agreement: (i) the transfer by Polestar Singapore to Parent of all of the issued and outstanding equity securities of Polestar Sweden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Pre-Closing Sweden Share Transfer</w:t>
      </w:r>
      <w:r>
        <w:rPr>
          <w:rFonts w:ascii="Times New Roman" w:cs="Times New Roman" w:eastAsia="Times New Roman" w:hAnsi="Times New Roman"/>
          <w:sz w:val="18"/>
          <w:szCs w:val="18"/>
          <w:color w:val="auto"/>
        </w:rPr>
        <w:t>”) and (ii) after the Pre-Closing Sweden Share Transfer, the contribution by Parent to Polestar Sweden of all of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issued and outstanding equity securities of Polestar Singapore.</w:t>
      </w:r>
    </w:p>
    <w:p>
      <w:pPr>
        <w:spacing w:after="0" w:line="205" w:lineRule="exact"/>
        <w:rPr>
          <w:sz w:val="20"/>
          <w:szCs w:val="20"/>
          <w:color w:val="auto"/>
        </w:rPr>
      </w:pPr>
    </w:p>
    <w:p>
      <w:pPr>
        <w:ind w:left="120" w:firstLine="440"/>
        <w:spacing w:after="0" w:line="28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Registration Rights Agreement</w:t>
      </w:r>
      <w:r>
        <w:rPr>
          <w:rFonts w:ascii="Times New Roman" w:cs="Times New Roman" w:eastAsia="Times New Roman" w:hAnsi="Times New Roman"/>
          <w:sz w:val="17"/>
          <w:szCs w:val="17"/>
          <w:color w:val="auto"/>
        </w:rPr>
        <w:t>” means the registration rights agreement, dated September 27, 2021, by and among the Company, Parent, the Parent Shareholders, the GGI Sponsor and the independent directors of GGI (such persons, together with the GGI Sponsor and the Parent Shareholders, the “</w:t>
      </w:r>
      <w:r>
        <w:rPr>
          <w:rFonts w:ascii="Times New Roman" w:cs="Times New Roman" w:eastAsia="Times New Roman" w:hAnsi="Times New Roman"/>
          <w:sz w:val="17"/>
          <w:szCs w:val="17"/>
          <w:i w:val="1"/>
          <w:iCs w:val="1"/>
          <w:color w:val="auto"/>
        </w:rPr>
        <w:t>Registration Rights Holders</w:t>
      </w:r>
      <w:r>
        <w:rPr>
          <w:rFonts w:ascii="Times New Roman" w:cs="Times New Roman" w:eastAsia="Times New Roman" w:hAnsi="Times New Roman"/>
          <w:sz w:val="17"/>
          <w:szCs w:val="17"/>
          <w:color w:val="auto"/>
        </w:rPr>
        <w:t>”), as amended by the Registration Rights Agreement Amendment No. 1 and the Registration Rights Agreement Amendment No. 2. A copy of the Registration Rights Agreement is filed as an exhibit to the registration statement of which this prospectus forms a part.</w:t>
      </w:r>
    </w:p>
    <w:p>
      <w:pPr>
        <w:spacing w:after="0" w:line="164" w:lineRule="exact"/>
        <w:rPr>
          <w:sz w:val="20"/>
          <w:szCs w:val="20"/>
          <w:color w:val="auto"/>
        </w:rPr>
      </w:pPr>
    </w:p>
    <w:p>
      <w:pPr>
        <w:ind w:left="120" w:right="34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Registration Rights Agreement Amendment No. 1</w:t>
      </w:r>
      <w:r>
        <w:rPr>
          <w:rFonts w:ascii="Times New Roman" w:cs="Times New Roman" w:eastAsia="Times New Roman" w:hAnsi="Times New Roman"/>
          <w:sz w:val="18"/>
          <w:szCs w:val="18"/>
          <w:color w:val="auto"/>
        </w:rPr>
        <w:t>” means that certain amendment to the Registration Rights Agreement, dated December 17, 2021, a copy of which is filed as an exhibit to the registration statement of which this prospectus forms a part.</w:t>
      </w:r>
    </w:p>
    <w:p>
      <w:pPr>
        <w:spacing w:after="0" w:line="158" w:lineRule="exact"/>
        <w:rPr>
          <w:sz w:val="20"/>
          <w:szCs w:val="20"/>
          <w:color w:val="auto"/>
        </w:rPr>
      </w:pPr>
    </w:p>
    <w:p>
      <w:pPr>
        <w:ind w:left="120" w:right="4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Registration Rights Agreement Amendment No. 2</w:t>
      </w:r>
      <w:r>
        <w:rPr>
          <w:rFonts w:ascii="Times New Roman" w:cs="Times New Roman" w:eastAsia="Times New Roman" w:hAnsi="Times New Roman"/>
          <w:sz w:val="18"/>
          <w:szCs w:val="18"/>
          <w:color w:val="auto"/>
        </w:rPr>
        <w:t>” means that certain amendment to the Registration Rights Agreement, dated March 24, 2022, a copy of which is filed as an exhibit to the registration statement of which this prospectus forms a part.</w:t>
      </w:r>
    </w:p>
    <w:p>
      <w:pPr>
        <w:spacing w:after="0" w:line="158" w:lineRule="exact"/>
        <w:rPr>
          <w:sz w:val="20"/>
          <w:szCs w:val="20"/>
          <w:color w:val="auto"/>
        </w:rPr>
      </w:pPr>
    </w:p>
    <w:p>
      <w:pPr>
        <w:ind w:left="120" w:right="180" w:firstLine="440"/>
        <w:spacing w:after="0" w:line="29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Related Agreements</w:t>
      </w:r>
      <w:r>
        <w:rPr>
          <w:rFonts w:ascii="Times New Roman" w:cs="Times New Roman" w:eastAsia="Times New Roman" w:hAnsi="Times New Roman"/>
          <w:sz w:val="17"/>
          <w:szCs w:val="17"/>
          <w:color w:val="auto"/>
        </w:rPr>
        <w:t>” means the Registration Rights Agreement, the Subscription Agreements, the Volvo Cars Preference Subscription Agreement, the Parent Lock-Up Agreement, the Sponsor and Supporting Sponsor Stockholder Lock-Up Agreement, the Class C Warrant Amendment, the Shareholder Acknowledgement Agreement and the other agreements or documents contemplated under the Business Combination Agreement.</w:t>
      </w:r>
    </w:p>
    <w:p>
      <w:pPr>
        <w:spacing w:after="0" w:line="15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Sarbanes Oxley Act</w:t>
      </w:r>
      <w:r>
        <w:rPr>
          <w:rFonts w:ascii="Times New Roman" w:cs="Times New Roman" w:eastAsia="Times New Roman" w:hAnsi="Times New Roman"/>
          <w:sz w:val="18"/>
          <w:szCs w:val="18"/>
          <w:color w:val="auto"/>
        </w:rPr>
        <w:t>” means the Sarbanes-Oxley Act of 2002.</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SEC</w:t>
      </w:r>
      <w:r>
        <w:rPr>
          <w:rFonts w:ascii="Times New Roman" w:cs="Times New Roman" w:eastAsia="Times New Roman" w:hAnsi="Times New Roman"/>
          <w:sz w:val="18"/>
          <w:szCs w:val="18"/>
          <w:color w:val="auto"/>
        </w:rPr>
        <w:t>” means the U.S. Securities and Exchange Commission.</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Section 203</w:t>
      </w:r>
      <w:r>
        <w:rPr>
          <w:rFonts w:ascii="Times New Roman" w:cs="Times New Roman" w:eastAsia="Times New Roman" w:hAnsi="Times New Roman"/>
          <w:sz w:val="18"/>
          <w:szCs w:val="18"/>
          <w:color w:val="auto"/>
        </w:rPr>
        <w:t>” means Section 203 of the DGCL.</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Securities Act</w:t>
      </w:r>
      <w:r>
        <w:rPr>
          <w:rFonts w:ascii="Times New Roman" w:cs="Times New Roman" w:eastAsia="Times New Roman" w:hAnsi="Times New Roman"/>
          <w:sz w:val="18"/>
          <w:szCs w:val="18"/>
          <w:color w:val="auto"/>
        </w:rPr>
        <w:t>” means the U.S. Securities Act of 1933, as amended, and the rules and regulations promulgated thereunder.</w:t>
      </w:r>
    </w:p>
    <w:p>
      <w:pPr>
        <w:spacing w:after="0" w:line="225" w:lineRule="exact"/>
        <w:rPr>
          <w:sz w:val="20"/>
          <w:szCs w:val="20"/>
          <w:color w:val="auto"/>
        </w:rPr>
      </w:pPr>
    </w:p>
    <w:p>
      <w:pPr>
        <w:ind w:left="120" w:right="220" w:firstLine="44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Shareholder Acknowledgement Agreement</w:t>
      </w:r>
      <w:r>
        <w:rPr>
          <w:rFonts w:ascii="Times New Roman" w:cs="Times New Roman" w:eastAsia="Times New Roman" w:hAnsi="Times New Roman"/>
          <w:sz w:val="18"/>
          <w:szCs w:val="18"/>
          <w:color w:val="auto"/>
        </w:rPr>
        <w:t>” means the shareholder acknowledgement, dated September 27, 2021, by and among Parent, the Parent Shareholders, Volvo Car Corporation and the Company, as amended by the Shareholder Acknowledgement Agreement Amendment, a copy of which is filed as an exhibit to the registration statement of which this prospectus forms a part.</w:t>
      </w:r>
    </w:p>
    <w:p>
      <w:pPr>
        <w:spacing w:after="0" w:line="173" w:lineRule="exact"/>
        <w:rPr>
          <w:sz w:val="20"/>
          <w:szCs w:val="20"/>
          <w:color w:val="auto"/>
        </w:rPr>
      </w:pPr>
    </w:p>
    <w:p>
      <w:pPr>
        <w:ind w:left="120" w:right="12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Shareholder Acknowledgement Agreement Amendment</w:t>
      </w:r>
      <w:r>
        <w:rPr>
          <w:rFonts w:ascii="Times New Roman" w:cs="Times New Roman" w:eastAsia="Times New Roman" w:hAnsi="Times New Roman"/>
          <w:sz w:val="18"/>
          <w:szCs w:val="18"/>
          <w:color w:val="auto"/>
        </w:rPr>
        <w:t>” means that certain amendment to the Shareholder Acknowledgement Agreement, dated March 24, 2022, a copy of which is filed as an exhibit to the registration statement of which this prospectus forms a part.</w:t>
      </w:r>
    </w:p>
    <w:p>
      <w:pPr>
        <w:spacing w:after="0" w:line="15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Shares</w:t>
      </w:r>
      <w:r>
        <w:rPr>
          <w:rFonts w:ascii="Times New Roman" w:cs="Times New Roman" w:eastAsia="Times New Roman" w:hAnsi="Times New Roman"/>
          <w:sz w:val="18"/>
          <w:szCs w:val="18"/>
          <w:color w:val="auto"/>
        </w:rPr>
        <w:t>” means the Class A Shares and the Class B Shares.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Snita</w:t>
      </w:r>
      <w:r>
        <w:rPr>
          <w:rFonts w:ascii="Times New Roman" w:cs="Times New Roman" w:eastAsia="Times New Roman" w:hAnsi="Times New Roman"/>
          <w:sz w:val="18"/>
          <w:szCs w:val="18"/>
          <w:color w:val="auto"/>
        </w:rPr>
        <w:t>” means Snita Holding B.V., a corporation organized under the laws of the Netherlands and a wholly owned indirect subsidiary of Volvo</w:t>
      </w:r>
    </w:p>
    <w:p>
      <w:pPr>
        <w:spacing w:after="0" w:line="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Cars.</w:t>
      </w:r>
    </w:p>
    <w:p>
      <w:pPr>
        <w:spacing w:after="0" w:line="205" w:lineRule="exact"/>
        <w:rPr>
          <w:sz w:val="20"/>
          <w:szCs w:val="20"/>
          <w:color w:val="auto"/>
        </w:rPr>
      </w:pPr>
    </w:p>
    <w:p>
      <w:pPr>
        <w:ind w:left="120" w:right="240" w:firstLine="440"/>
        <w:spacing w:after="0" w:line="29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SPAC Warrant Agreement</w:t>
      </w:r>
      <w:r>
        <w:rPr>
          <w:rFonts w:ascii="Times New Roman" w:cs="Times New Roman" w:eastAsia="Times New Roman" w:hAnsi="Times New Roman"/>
          <w:sz w:val="17"/>
          <w:szCs w:val="17"/>
          <w:color w:val="auto"/>
        </w:rPr>
        <w:t>” means that certain Warrant Agreement, by and between GGI and Computershare Trust Company, N.A., as warrant agent, dated as of March 22, 2021 (as amended by the SPAC Warrant Agreement Amendment and as may be further amended, supplemented or otherwise modified from time to time), a copy of which is filed as an exhibit to the registration statement of which this prospectus forms a part.</w:t>
      </w:r>
    </w:p>
    <w:p>
      <w:pPr>
        <w:spacing w:after="0" w:line="155" w:lineRule="exact"/>
        <w:rPr>
          <w:sz w:val="20"/>
          <w:szCs w:val="20"/>
          <w:color w:val="auto"/>
        </w:rPr>
      </w:pPr>
    </w:p>
    <w:p>
      <w:pPr>
        <w:ind w:left="120" w:right="160" w:firstLine="44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SPAC Warrant Agreement Amendment</w:t>
      </w:r>
      <w:r>
        <w:rPr>
          <w:rFonts w:ascii="Times New Roman" w:cs="Times New Roman" w:eastAsia="Times New Roman" w:hAnsi="Times New Roman"/>
          <w:sz w:val="18"/>
          <w:szCs w:val="18"/>
          <w:color w:val="auto"/>
        </w:rPr>
        <w:t>” means that certain Amendment to the SPAC Warrant Agreement, by and between GGI and Computershare Trust Company, N.A., as warrant agent, dated as of April 7, 2022, a copy of which is filed as an exhibit to the registration statement of which this prospectus forms a part.</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x</w:t>
      </w:r>
    </w:p>
    <w:p>
      <w:pPr>
        <w:sectPr>
          <w:pgSz w:w="11900" w:h="16838" w:orient="portrait"/>
          <w:cols w:equalWidth="0" w:num="1">
            <w:col w:w="11100"/>
          </w:cols>
          <w:pgMar w:left="320" w:top="455" w:right="47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7"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Sponsor and Supporting Sponsor Stockholder Lock-Up Agreement</w:t>
      </w:r>
      <w:r>
        <w:rPr>
          <w:rFonts w:ascii="Times New Roman" w:cs="Times New Roman" w:eastAsia="Times New Roman" w:hAnsi="Times New Roman"/>
          <w:sz w:val="18"/>
          <w:szCs w:val="18"/>
          <w:color w:val="auto"/>
        </w:rPr>
        <w:t>” means the lock-up agreement, dated September 27, 2021, by and among GGI, Parent, the Company and the GGI Initial Stockholders, as amended by the Sponsor and Supporting Sponsor Stockholder Lock-Up Agreement Amendment No. 1 and the Sponsor and Supporting Sponsor Stockholder Lock-Up Agreement Amendment No. 2. A copy of the Sponsor and Supporting Sponsor Stockholder Lock-Up Agreement is filed as an exhibit to the registration statement of which this prospectus forms a part.</w:t>
      </w:r>
    </w:p>
    <w:p>
      <w:pPr>
        <w:spacing w:after="0" w:line="180" w:lineRule="exact"/>
        <w:rPr>
          <w:sz w:val="20"/>
          <w:szCs w:val="20"/>
          <w:color w:val="auto"/>
        </w:rPr>
      </w:pPr>
    </w:p>
    <w:p>
      <w:pPr>
        <w:ind w:left="120" w:right="220" w:firstLine="44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Sponsor and Supporting Sponsor Stockholder Lock-Up Agreement Amendment No. 1</w:t>
      </w:r>
      <w:r>
        <w:rPr>
          <w:rFonts w:ascii="Times New Roman" w:cs="Times New Roman" w:eastAsia="Times New Roman" w:hAnsi="Times New Roman"/>
          <w:sz w:val="18"/>
          <w:szCs w:val="18"/>
          <w:color w:val="auto"/>
        </w:rPr>
        <w:t>” means that certain amendment to the Sponsor and Supporting Sponsor Stockholder Lock-Up Agreement, dated December 17, 2021, a copy of which is filed as an exhibit to the registration statement of which this prospectus forms a part.</w:t>
      </w:r>
    </w:p>
    <w:p>
      <w:pPr>
        <w:spacing w:after="0" w:line="173" w:lineRule="exact"/>
        <w:rPr>
          <w:sz w:val="20"/>
          <w:szCs w:val="20"/>
          <w:color w:val="auto"/>
        </w:rPr>
      </w:pPr>
    </w:p>
    <w:p>
      <w:pPr>
        <w:ind w:left="120" w:right="480" w:firstLine="44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Sponsor and Supporting Sponsor Stockholder Lock-Up Agreement Amendment No. 2</w:t>
      </w:r>
      <w:r>
        <w:rPr>
          <w:rFonts w:ascii="Times New Roman" w:cs="Times New Roman" w:eastAsia="Times New Roman" w:hAnsi="Times New Roman"/>
          <w:sz w:val="18"/>
          <w:szCs w:val="18"/>
          <w:color w:val="auto"/>
        </w:rPr>
        <w:t>” means that certain amendment to the Sponsor and Supporting Sponsor Stockholder Lock-Up Agreement, dated March 24, 2022, a copy of which is filed as an exhibit to the registration statement of which this prospectus forms a part.</w:t>
      </w:r>
    </w:p>
    <w:p>
      <w:pPr>
        <w:spacing w:after="0" w:line="173" w:lineRule="exact"/>
        <w:rPr>
          <w:sz w:val="20"/>
          <w:szCs w:val="20"/>
          <w:color w:val="auto"/>
        </w:rPr>
      </w:pPr>
    </w:p>
    <w:p>
      <w:pPr>
        <w:jc w:val="both"/>
        <w:ind w:left="120" w:right="60" w:firstLine="44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Sponsor Subscription Agreement</w:t>
      </w:r>
      <w:r>
        <w:rPr>
          <w:rFonts w:ascii="Times New Roman" w:cs="Times New Roman" w:eastAsia="Times New Roman" w:hAnsi="Times New Roman"/>
          <w:sz w:val="18"/>
          <w:szCs w:val="18"/>
          <w:color w:val="auto"/>
        </w:rPr>
        <w:t>” means the subscription agreement, dated September 27, 2021, as amended and restated on December 17, 2021 and amended on March 24, 2022, by and among GGI, the Company and the GGI Sponsor, pursuant to which the GGI Sponsor purchased approximately 891,000 Sponsor Subscription Shares for a purchase price of $9.09 per share on the date of Closing.</w:t>
      </w:r>
    </w:p>
    <w:p>
      <w:pPr>
        <w:spacing w:after="0" w:line="17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Sponsor Subscription Investment</w:t>
      </w:r>
      <w:r>
        <w:rPr>
          <w:rFonts w:ascii="Times New Roman" w:cs="Times New Roman" w:eastAsia="Times New Roman" w:hAnsi="Times New Roman"/>
          <w:sz w:val="18"/>
          <w:szCs w:val="18"/>
          <w:color w:val="auto"/>
        </w:rPr>
        <w:t>” means the purchase of the Sponsor Subscription Shares pursuant to the Sponsor Subscription Agreement.</w:t>
      </w:r>
    </w:p>
    <w:p>
      <w:pPr>
        <w:spacing w:after="0" w:line="225" w:lineRule="exact"/>
        <w:rPr>
          <w:sz w:val="20"/>
          <w:szCs w:val="20"/>
          <w:color w:val="auto"/>
        </w:rPr>
      </w:pPr>
    </w:p>
    <w:p>
      <w:pPr>
        <w:ind w:left="120" w:right="4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Sponsor Subscription Shares</w:t>
      </w:r>
      <w:r>
        <w:rPr>
          <w:rFonts w:ascii="Times New Roman" w:cs="Times New Roman" w:eastAsia="Times New Roman" w:hAnsi="Times New Roman"/>
          <w:sz w:val="18"/>
          <w:szCs w:val="18"/>
          <w:color w:val="auto"/>
        </w:rPr>
        <w:t>” means the Class A Shares in the form of Class A ADSs purchased by the GGI Sponsor in the Sponsor Subscription Investment.</w:t>
      </w:r>
    </w:p>
    <w:p>
      <w:pPr>
        <w:spacing w:after="0" w:line="158" w:lineRule="exact"/>
        <w:rPr>
          <w:sz w:val="20"/>
          <w:szCs w:val="20"/>
          <w:color w:val="auto"/>
        </w:rPr>
      </w:pPr>
    </w:p>
    <w:p>
      <w:pPr>
        <w:ind w:left="120" w:right="4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Subscription Agreements</w:t>
      </w:r>
      <w:r>
        <w:rPr>
          <w:rFonts w:ascii="Times New Roman" w:cs="Times New Roman" w:eastAsia="Times New Roman" w:hAnsi="Times New Roman"/>
          <w:sz w:val="18"/>
          <w:szCs w:val="18"/>
          <w:color w:val="auto"/>
        </w:rPr>
        <w:t>” means the PIPE Subscription Agreements, the Sponsor Subscription Agreement and the Volvo Cars PIPE Subscription Agreement.</w:t>
      </w:r>
    </w:p>
    <w:p>
      <w:pPr>
        <w:spacing w:after="0" w:line="15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Subscription Investments</w:t>
      </w:r>
      <w:r>
        <w:rPr>
          <w:rFonts w:ascii="Times New Roman" w:cs="Times New Roman" w:eastAsia="Times New Roman" w:hAnsi="Times New Roman"/>
          <w:sz w:val="18"/>
          <w:szCs w:val="18"/>
          <w:color w:val="auto"/>
        </w:rPr>
        <w:t>” means the purchase of the Subscription Shares pursuant to the Subscription Agreements.</w:t>
      </w:r>
    </w:p>
    <w:p>
      <w:pPr>
        <w:spacing w:after="0" w:line="225" w:lineRule="exact"/>
        <w:rPr>
          <w:sz w:val="20"/>
          <w:szCs w:val="20"/>
          <w:color w:val="auto"/>
        </w:rPr>
      </w:pPr>
    </w:p>
    <w:p>
      <w:pPr>
        <w:ind w:left="120" w:right="300" w:firstLine="440"/>
        <w:spacing w:after="0" w:line="31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Subscription Shares</w:t>
      </w:r>
      <w:r>
        <w:rPr>
          <w:rFonts w:ascii="Times New Roman" w:cs="Times New Roman" w:eastAsia="Times New Roman" w:hAnsi="Times New Roman"/>
          <w:sz w:val="17"/>
          <w:szCs w:val="17"/>
          <w:color w:val="auto"/>
        </w:rPr>
        <w:t>” means the Class A Shares in the form of Class A ADSs purchased by the GGI Sponsor, the PIPE Investors and Snita pursuant to the Sponsor Subscription Agreement, the PIPE Subscription Agreements and the Volvo Cars PIPE Subscription Agreement, respectively.</w:t>
      </w:r>
    </w:p>
    <w:p>
      <w:pPr>
        <w:spacing w:after="0" w:line="13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The Gores Group</w:t>
      </w:r>
      <w:r>
        <w:rPr>
          <w:rFonts w:ascii="Times New Roman" w:cs="Times New Roman" w:eastAsia="Times New Roman" w:hAnsi="Times New Roman"/>
          <w:sz w:val="18"/>
          <w:szCs w:val="18"/>
          <w:color w:val="auto"/>
        </w:rPr>
        <w:t>” means The Gores Group, LLC, an affiliate of the GGI Sponsor.</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U.S. Dollars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USD</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means United States dollars, the legal currency of the United States.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Volvo Cars</w:t>
      </w:r>
      <w:r>
        <w:rPr>
          <w:rFonts w:ascii="Times New Roman" w:cs="Times New Roman" w:eastAsia="Times New Roman" w:hAnsi="Times New Roman"/>
          <w:sz w:val="18"/>
          <w:szCs w:val="18"/>
          <w:color w:val="auto"/>
        </w:rPr>
        <w:t>” means Volvo Car AB (publ) and its subsidiaries.</w:t>
      </w:r>
    </w:p>
    <w:p>
      <w:pPr>
        <w:spacing w:after="0" w:line="225" w:lineRule="exact"/>
        <w:rPr>
          <w:sz w:val="20"/>
          <w:szCs w:val="20"/>
          <w:color w:val="auto"/>
        </w:rPr>
      </w:pPr>
    </w:p>
    <w:p>
      <w:pPr>
        <w:jc w:val="both"/>
        <w:ind w:left="120" w:right="900" w:firstLine="44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Volvo Cars PIPE Subscription Agreement</w:t>
      </w:r>
      <w:r>
        <w:rPr>
          <w:rFonts w:ascii="Times New Roman" w:cs="Times New Roman" w:eastAsia="Times New Roman" w:hAnsi="Times New Roman"/>
          <w:sz w:val="18"/>
          <w:szCs w:val="18"/>
          <w:color w:val="auto"/>
        </w:rPr>
        <w:t>” means the subscription agreement, dated September 27, 2021, as amended and restated on December 17, 2021 and amended on March 24, 2022, by and among GGI, the Company and Volvo Cars, pursuant to which Snita purchased approximately 1.1 million Volvo Cars PIPE Subscription Shares for a purchase price of $10.00 per share.</w:t>
      </w:r>
    </w:p>
    <w:p>
      <w:pPr>
        <w:spacing w:after="0" w:line="173" w:lineRule="exact"/>
        <w:rPr>
          <w:sz w:val="20"/>
          <w:szCs w:val="20"/>
          <w:color w:val="auto"/>
        </w:rPr>
      </w:pPr>
    </w:p>
    <w:p>
      <w:pPr>
        <w:ind w:left="120" w:right="66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Volvo Cars PIPE Subscription Investment</w:t>
      </w:r>
      <w:r>
        <w:rPr>
          <w:rFonts w:ascii="Times New Roman" w:cs="Times New Roman" w:eastAsia="Times New Roman" w:hAnsi="Times New Roman"/>
          <w:sz w:val="18"/>
          <w:szCs w:val="18"/>
          <w:color w:val="auto"/>
        </w:rPr>
        <w:t>” means the purchase of Volvo Cars PIPE Subscription Shares pursuant to the Volvo Cars PIPE Subscription Agreement.</w:t>
      </w:r>
    </w:p>
    <w:p>
      <w:pPr>
        <w:spacing w:after="0" w:line="158" w:lineRule="exact"/>
        <w:rPr>
          <w:sz w:val="20"/>
          <w:szCs w:val="20"/>
          <w:color w:val="auto"/>
        </w:rPr>
      </w:pPr>
    </w:p>
    <w:p>
      <w:pPr>
        <w:ind w:left="120" w:right="58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Volvo Cars PIPE Subscription Shares</w:t>
      </w:r>
      <w:r>
        <w:rPr>
          <w:rFonts w:ascii="Times New Roman" w:cs="Times New Roman" w:eastAsia="Times New Roman" w:hAnsi="Times New Roman"/>
          <w:sz w:val="18"/>
          <w:szCs w:val="18"/>
          <w:color w:val="auto"/>
        </w:rPr>
        <w:t>” means the Class A Shares in the form of Class A ADSs purchased by Snita in the Volvo Cars PIPE Subscription Investment.</w:t>
      </w:r>
    </w:p>
    <w:p>
      <w:pPr>
        <w:spacing w:after="0" w:line="9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xi</w:t>
      </w:r>
    </w:p>
    <w:p>
      <w:pPr>
        <w:sectPr>
          <w:pgSz w:w="11900" w:h="16838" w:orient="portrait"/>
          <w:cols w:equalWidth="0" w:num="1">
            <w:col w:w="11140"/>
          </w:cols>
          <w:pgMar w:left="320" w:top="455" w:right="4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7" w:lineRule="exact"/>
        <w:rPr>
          <w:sz w:val="20"/>
          <w:szCs w:val="20"/>
          <w:color w:val="auto"/>
        </w:rPr>
      </w:pPr>
    </w:p>
    <w:p>
      <w:pPr>
        <w:ind w:left="120" w:right="20" w:firstLine="44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Volvo Cars Preference Subscription Agreement</w:t>
      </w:r>
      <w:r>
        <w:rPr>
          <w:rFonts w:ascii="Times New Roman" w:cs="Times New Roman" w:eastAsia="Times New Roman" w:hAnsi="Times New Roman"/>
          <w:sz w:val="18"/>
          <w:szCs w:val="18"/>
          <w:color w:val="auto"/>
        </w:rPr>
        <w:t>” means the subscription agreement, dated September 27, 2021, by and between the Company and Snita as amended on March 24, 2022, pursuant to which Snita purchased, at Closing, mandatory convertible preference shares of the Company for an aggregate subscription price of $10.00 per share, for an aggregate investment amount equal to $588,826,100.</w:t>
      </w:r>
    </w:p>
    <w:p>
      <w:pPr>
        <w:spacing w:after="0" w:line="173" w:lineRule="exact"/>
        <w:rPr>
          <w:sz w:val="20"/>
          <w:szCs w:val="20"/>
          <w:color w:val="auto"/>
        </w:rPr>
      </w:pPr>
    </w:p>
    <w:p>
      <w:pPr>
        <w:ind w:left="12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Volvo Cars Preference Subscription Investment</w:t>
      </w:r>
      <w:r>
        <w:rPr>
          <w:rFonts w:ascii="Times New Roman" w:cs="Times New Roman" w:eastAsia="Times New Roman" w:hAnsi="Times New Roman"/>
          <w:sz w:val="18"/>
          <w:szCs w:val="18"/>
          <w:color w:val="auto"/>
        </w:rPr>
        <w:t>” means the purchase of the Volvo Cars Preference Subscription Shares pursuant to the Volvo Cars Preference Subscription Agreement.</w:t>
      </w:r>
    </w:p>
    <w:p>
      <w:pPr>
        <w:spacing w:after="0" w:line="158" w:lineRule="exact"/>
        <w:rPr>
          <w:sz w:val="20"/>
          <w:szCs w:val="20"/>
          <w:color w:val="auto"/>
        </w:rPr>
      </w:pPr>
    </w:p>
    <w:p>
      <w:pPr>
        <w:ind w:left="120" w:right="10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Volvo Cars Preference Subscription Shares</w:t>
      </w:r>
      <w:r>
        <w:rPr>
          <w:rFonts w:ascii="Times New Roman" w:cs="Times New Roman" w:eastAsia="Times New Roman" w:hAnsi="Times New Roman"/>
          <w:sz w:val="18"/>
          <w:szCs w:val="18"/>
          <w:color w:val="auto"/>
        </w:rPr>
        <w:t>” means the mandatory convertible preference shares of the Company purchased by Snita pursuant to the Volvo Cars Preference Subscription Agreement.</w:t>
      </w:r>
    </w:p>
    <w:p>
      <w:pPr>
        <w:spacing w:after="0" w:line="9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xii</w:t>
      </w:r>
    </w:p>
    <w:p>
      <w:pPr>
        <w:sectPr>
          <w:pgSz w:w="11900" w:h="16838" w:orient="portrait"/>
          <w:cols w:equalWidth="0" w:num="1">
            <w:col w:w="11120"/>
          </w:cols>
          <w:pgMar w:left="320" w:top="455" w:right="4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This prospectus includes statements that express Polestar’s opinions, expectations, beliefs, plans, objectives, assumptions or projections regarding future events or future results and therefore are, or may be deemed to be, “forward-looking statements” as defined in Section 27A of the Securities Act of 1933, as amended, and Section 21E of the Securities Exchange Act of 1934, as amended, that involve significant risks and uncertainties. These forward-looking statements can generally be identified by the use of forward-looking terminology, including the terms “believes,” “estimates,” “anticipates,” “expects,” “seeks,” “projects,” “intends,” “plans,” “may,” “will” or “should” or, in each case, their negative or other variations or comparable terminology. These forward-looking statements include all matters that are not historical facts. They appear in a number of places throughout this prospectus and include statements regarding Polestar’s intentions, beliefs or current expectations concerning, among other things: the Business Combination; the benefits of the Business Combination; results of operations; financial condition; liquidity; prospects; growth; strategies and the markets in which Polestar operates, including estimates and forecasts of financial and operational metrics, projections of market opportunity, market share and vehicle sales; expectations and timing related to commercial product launches, including the start of production and launch of any future products of Polestar, and the performance, range, autonomous driving and other features of the vehicles of Polestar; future market opportunities, including with respect to energy storage systems and automotive partnerships; future manufacturing capabilities and facilities; future sales channels and strategies; and future market launches and expansion.</w:t>
      </w:r>
    </w:p>
    <w:p>
      <w:pPr>
        <w:spacing w:after="0" w:line="187"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Such forward-looking statements are based on available current market information and the current expectations of Polestar including beliefs and forecasts concerning future developments and the potential effects of such developments on Polestar. Factors that may impact such forward-looking statements include:</w:t>
      </w:r>
    </w:p>
    <w:p>
      <w:pPr>
        <w:spacing w:after="0" w:line="81" w:lineRule="exact"/>
        <w:rPr>
          <w:sz w:val="20"/>
          <w:szCs w:val="20"/>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to realize the anticipated benefits of the Business Combination;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any legal proceedings that may be instituted against GGI or Polestar in connection with the Business Combination;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continue to meet stock exchange listing standards;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domestic and foreign business, market, financial, political and legal conditions;</w:t>
      </w:r>
    </w:p>
    <w:p>
      <w:pPr>
        <w:spacing w:after="0" w:line="130" w:lineRule="exact"/>
        <w:rPr>
          <w:rFonts w:ascii="Times New Roman" w:cs="Times New Roman" w:eastAsia="Times New Roman" w:hAnsi="Times New Roman"/>
          <w:sz w:val="18"/>
          <w:szCs w:val="18"/>
          <w:color w:val="auto"/>
        </w:rPr>
      </w:pPr>
    </w:p>
    <w:p>
      <w:pPr>
        <w:ind w:left="1080" w:right="100" w:hanging="424"/>
        <w:spacing w:after="0" w:line="266"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Polestar’s ability to enter into or maintain agreements or partnerships with its strategic partners, including Volvo Cars and Geely, original equipment manufacturers, vendors and technology providers, and to source new suppliers for its critical components, and to complete building out its supply chain, while effectively managing the risks due to such relationships;</w:t>
      </w:r>
    </w:p>
    <w:p>
      <w:pPr>
        <w:spacing w:after="0" w:line="81" w:lineRule="exact"/>
        <w:rPr>
          <w:rFonts w:ascii="Times New Roman" w:cs="Times New Roman" w:eastAsia="Times New Roman" w:hAnsi="Times New Roman"/>
          <w:sz w:val="18"/>
          <w:szCs w:val="18"/>
          <w:color w:val="auto"/>
        </w:rPr>
      </w:pPr>
    </w:p>
    <w:p>
      <w:pPr>
        <w:ind w:left="1080" w:right="40" w:hanging="424"/>
        <w:spacing w:after="0" w:line="261"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the uncertainty of any projected financial information or operational results of Polestar, including underlying assumptions regarding expected development and launch timelines for Polestar’s carlines, manufacturing in the United States starting as planned, demand for Polestar’s vehicles or car sale volumes, revenue and margin development based on pricing, variant and market mix, cost reduction efficiencies, logistics and growing aftersales as the total Polestar fleet of cars and customer base grow;</w:t>
      </w:r>
    </w:p>
    <w:p>
      <w:pPr>
        <w:spacing w:after="0" w:line="85"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the development, design, manufacture, launch and financing of Polestar’s vehicles and Polestar’s reliance on a limited number of vehicle models to generate revenues;</w:t>
      </w:r>
    </w:p>
    <w:p>
      <w:pPr>
        <w:spacing w:after="0" w:line="67" w:lineRule="exact"/>
        <w:rPr>
          <w:rFonts w:ascii="Times New Roman" w:cs="Times New Roman" w:eastAsia="Times New Roman" w:hAnsi="Times New Roman"/>
          <w:sz w:val="18"/>
          <w:szCs w:val="18"/>
          <w:color w:val="auto"/>
        </w:rPr>
      </w:pPr>
    </w:p>
    <w:p>
      <w:pPr>
        <w:ind w:left="1080" w:right="460" w:hanging="424"/>
        <w:spacing w:after="0" w:line="282"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the timing of expected business milestones and commercial launches, including Polestar’s ability to mass produce its current and new vehicle models and complete the upgrade or tooling of its manufacturing facilities;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costs, disruption of supply or shortage of materials, in particular for lithium-ion cells or semiconductors;</w:t>
      </w:r>
    </w:p>
    <w:p>
      <w:pPr>
        <w:spacing w:after="0" w:line="130" w:lineRule="exact"/>
        <w:rPr>
          <w:rFonts w:ascii="Times New Roman" w:cs="Times New Roman" w:eastAsia="Times New Roman" w:hAnsi="Times New Roman"/>
          <w:sz w:val="18"/>
          <w:szCs w:val="18"/>
          <w:color w:val="auto"/>
        </w:rPr>
      </w:pPr>
    </w:p>
    <w:p>
      <w:pPr>
        <w:ind w:left="1080" w:right="120" w:hanging="424"/>
        <w:spacing w:after="0" w:line="266"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Polestar’s reliance on its partners to manufacture vehicles at a high volume, some of which have limited experience in producing electric vehicles, and on the allocation of sufficient production capacity to Polestar by its partners in order for Polestar to be able to increase its vehicle production volumes;</w:t>
      </w:r>
    </w:p>
    <w:p>
      <w:pPr>
        <w:spacing w:after="0" w:line="10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xiii</w:t>
      </w:r>
    </w:p>
    <w:p>
      <w:pPr>
        <w:sectPr>
          <w:pgSz w:w="11900" w:h="16838" w:orient="portrait"/>
          <w:cols w:equalWidth="0" w:num="1">
            <w:col w:w="11060"/>
          </w:cols>
          <w:pgMar w:left="320" w:top="455" w:right="51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right="120" w:hanging="424"/>
        <w:spacing w:after="0" w:line="282"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the ability of Polestar to grow and manage growth profitably, maintain relationships with customers and suppliers and retain its management and key employees;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Polestar may be adversely affected by other economic, business, and/or competitive factors;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future market adoption of Polestar’s product offerings;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Polestar’s distribution model;</w:t>
      </w:r>
    </w:p>
    <w:p>
      <w:pPr>
        <w:spacing w:after="0" w:line="130" w:lineRule="exact"/>
        <w:rPr>
          <w:rFonts w:ascii="Times New Roman" w:cs="Times New Roman" w:eastAsia="Times New Roman" w:hAnsi="Times New Roman"/>
          <w:sz w:val="18"/>
          <w:szCs w:val="18"/>
          <w:color w:val="auto"/>
        </w:rPr>
      </w:pPr>
    </w:p>
    <w:p>
      <w:pPr>
        <w:ind w:left="1080" w:right="360" w:hanging="424"/>
        <w:spacing w:after="0" w:line="282"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competition and the high barriers to entry in the automotive industry, and the pace and depth of electric vehicle adoption generally on Polestar’s future business;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regulatory requirements (including environmental laws and regulations), governmental incentives and fuel and energy prices;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Polestar’s ability to rapidly innovate;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changes in applicable laws or regulations and with Polestar’s international operations;</w:t>
      </w:r>
    </w:p>
    <w:p>
      <w:pPr>
        <w:spacing w:after="0" w:line="130"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Polestar’s ability to effectively manage its growth and recruit and retain key employees, including its chief executive officer and executive team;</w:t>
      </w:r>
    </w:p>
    <w:p>
      <w:pPr>
        <w:spacing w:after="0" w:line="67" w:lineRule="exact"/>
        <w:rPr>
          <w:rFonts w:ascii="Times New Roman" w:cs="Times New Roman" w:eastAsia="Times New Roman" w:hAnsi="Times New Roman"/>
          <w:sz w:val="18"/>
          <w:szCs w:val="18"/>
          <w:color w:val="auto"/>
        </w:rPr>
      </w:pPr>
    </w:p>
    <w:p>
      <w:pPr>
        <w:ind w:left="1080" w:right="420" w:hanging="424"/>
        <w:spacing w:after="0" w:line="282"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Polestar’s reliance on its partnerships with vehicle charging networks to provide charging solutions for its vehicles and its reliance on strategic partners for servicing its vehicles and their integrated software;</w:t>
      </w:r>
    </w:p>
    <w:p>
      <w:pPr>
        <w:spacing w:after="0" w:line="67" w:lineRule="exact"/>
        <w:rPr>
          <w:rFonts w:ascii="Times New Roman" w:cs="Times New Roman" w:eastAsia="Times New Roman" w:hAnsi="Times New Roman"/>
          <w:sz w:val="18"/>
          <w:szCs w:val="18"/>
          <w:color w:val="auto"/>
        </w:rPr>
      </w:pPr>
    </w:p>
    <w:p>
      <w:pPr>
        <w:ind w:left="1080" w:right="340" w:hanging="424"/>
        <w:spacing w:after="0" w:line="282"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Polestar’s ability to establish its brand and capture additional market share, and the risks associated with negative press or reputational harm, including from lithium-ion battery cells catching fire or venting smoke;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any potential litigation, government and regulatory proceedings, investigations and inquiries;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Polestar’s ability to continuously and rapidly innovate, develop and market new products;</w:t>
      </w:r>
    </w:p>
    <w:p>
      <w:pPr>
        <w:spacing w:after="0" w:line="130" w:lineRule="exact"/>
        <w:rPr>
          <w:rFonts w:ascii="Times New Roman" w:cs="Times New Roman" w:eastAsia="Times New Roman" w:hAnsi="Times New Roman"/>
          <w:sz w:val="18"/>
          <w:szCs w:val="18"/>
          <w:color w:val="auto"/>
        </w:rPr>
      </w:pPr>
    </w:p>
    <w:p>
      <w:pPr>
        <w:ind w:left="1080" w:right="100" w:hanging="424"/>
        <w:spacing w:after="0" w:line="266"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global COVID-19 pandemic, inflation, interest rate changes, the ongoing conflict between Ukraine and Russia, supply chain disruptions and logistical constraints on Polestar’s business, projected results of operations, financial performance or other financial and operational metrics or on any of the foregoing risks; and</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risks and uncertainties included in this prospectus in the section entitled “Risk Factors.”</w:t>
      </w:r>
    </w:p>
    <w:p>
      <w:pPr>
        <w:spacing w:after="0" w:line="225"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There can be no assurance that future developments affecting Polestar will be those that Polestar has anticipated. These forward-looking statements involve a number of risks, uncertainties (some of which are beyond Polestar’s control) or other assumptions that may cause actual results or performance to be materially different from those expressed or implied by these forward-looking statements. These risks and uncertainties include, but are not limited to, those factors described in the section entitled “Risk Factors.” Should one or more of these risks or uncertainties materialize, or should any of the assumptions prove incorrect, actual results may vary in material respects from those projected in these forward-looking statements. Polestar will not undertake any obligation to update or revise any forward-looking statements, whether as a result of new information, future events or otherwise, except as may be required under applicable securities laws.</w:t>
      </w:r>
    </w:p>
    <w:p>
      <w:pPr>
        <w:spacing w:after="0" w:line="12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xiv</w:t>
      </w:r>
    </w:p>
    <w:p>
      <w:pPr>
        <w:sectPr>
          <w:pgSz w:w="11900" w:h="16838" w:orient="portrait"/>
          <w:cols w:equalWidth="0" w:num="1">
            <w:col w:w="11100"/>
          </w:cols>
          <w:pgMar w:left="320" w:top="455" w:right="47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859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98970" cy="585914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227" w:lineRule="exact"/>
        <w:rPr>
          <w:sz w:val="20"/>
          <w:szCs w:val="20"/>
          <w:color w:val="auto"/>
        </w:rPr>
      </w:pPr>
    </w:p>
    <w:p>
      <w:pPr>
        <w:ind w:left="300" w:right="280" w:firstLine="426"/>
        <w:spacing w:after="0" w:line="277" w:lineRule="auto"/>
        <w:rPr>
          <w:sz w:val="20"/>
          <w:szCs w:val="20"/>
          <w:color w:val="auto"/>
        </w:rPr>
      </w:pPr>
      <w:r>
        <w:rPr>
          <w:rFonts w:ascii="Times New Roman" w:cs="Times New Roman" w:eastAsia="Times New Roman" w:hAnsi="Times New Roman"/>
          <w:sz w:val="17"/>
          <w:szCs w:val="17"/>
          <w:i w:val="1"/>
          <w:iCs w:val="1"/>
          <w:color w:val="auto"/>
        </w:rPr>
        <w:t>This summary highlights certain information about us, this offering and selected information contained elsewhere in this prospectus. This summary is not complete and does not contain all of the information that you should consider before deciding whether to invest in the securities covered by this prospectus. You should read the following summary together with the more detailed information in this prospectus, any related prospectus supplement and any related free writing prospectus, including the information set forth in the section entitled “Risk Factors” in this prospectus, any related prospectus supplement and any related free writing prospectus in their entirety before making an investment decision.</w:t>
      </w:r>
    </w:p>
    <w:p>
      <w:pPr>
        <w:spacing w:after="0" w:line="27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Polestar is determined to improve society by accelerating the shift to sustainable mobility.</w:t>
      </w:r>
    </w:p>
    <w:p>
      <w:pPr>
        <w:spacing w:after="0" w:line="225" w:lineRule="exact"/>
        <w:rPr>
          <w:sz w:val="20"/>
          <w:szCs w:val="20"/>
          <w:color w:val="auto"/>
        </w:rPr>
      </w:pPr>
    </w:p>
    <w:p>
      <w:pPr>
        <w:ind w:left="300" w:firstLine="426"/>
        <w:spacing w:after="0" w:line="261" w:lineRule="auto"/>
        <w:rPr>
          <w:sz w:val="20"/>
          <w:szCs w:val="20"/>
          <w:color w:val="auto"/>
        </w:rPr>
      </w:pPr>
      <w:r>
        <w:rPr>
          <w:rFonts w:ascii="Times New Roman" w:cs="Times New Roman" w:eastAsia="Times New Roman" w:hAnsi="Times New Roman"/>
          <w:sz w:val="18"/>
          <w:szCs w:val="18"/>
          <w:color w:val="auto"/>
        </w:rPr>
        <w:t>Polestar is a pure play, premium electric performance car brand headquartered in Sweden, designing products engineered to excite consumers and drive change. Polestar defines market-leading standards in design, technology and sustainability. Polestar was established as a premium electric car brand by Volvo Cars and Geely in 2017. Polestar benefits from the technological, engineering and manufacturing capabilities of these established global car manufacturers. Polestar has an asset-light, highly scalable business model with immediate operating leverage.</w:t>
      </w:r>
    </w:p>
    <w:p>
      <w:pPr>
        <w:spacing w:after="0" w:line="180" w:lineRule="exact"/>
        <w:rPr>
          <w:sz w:val="20"/>
          <w:szCs w:val="20"/>
          <w:color w:val="auto"/>
        </w:rPr>
      </w:pPr>
    </w:p>
    <w:p>
      <w:pPr>
        <w:ind w:left="300" w:firstLine="426"/>
        <w:spacing w:after="0" w:line="254" w:lineRule="auto"/>
        <w:rPr>
          <w:sz w:val="20"/>
          <w:szCs w:val="20"/>
          <w:color w:val="auto"/>
        </w:rPr>
      </w:pPr>
      <w:r>
        <w:rPr>
          <w:rFonts w:ascii="Times New Roman" w:cs="Times New Roman" w:eastAsia="Times New Roman" w:hAnsi="Times New Roman"/>
          <w:sz w:val="18"/>
          <w:szCs w:val="18"/>
          <w:color w:val="auto"/>
        </w:rPr>
        <w:t>Polestar 1, an electric performance hybrid GT, was launched to establish Polestar in the premium luxury electric vehicle market in 2019. With a carbon fiber body, Polestar 1 has a combined 609 horse power (hp) and 1,000 Newton-meter (Nm) of torque. Production of the Polestar 1 ceased at the end of 2021, making Polestar a dedicated electric vehicle manufacturer. Polestar 2, an electric performance fastback and our first fully electric, high volume car was launched in 2020. Polestar 2 has three variants with a combination of long- and standard range batteries as large as 78 kWh, and dual- and single-motor powertrains with up to 300 kW / 408 hp and 660 Nm of torque. Polestar 1 and Polestar 2 have received major acclaim, winning multiple globally recognized awards across design, innovation and sustainability. Highlights for Polestar 1 include Insider car of the year and GQ’s Best Hybrid Sports Car awards. Polestar 2 alone has won over 50 awards, including various Car of the Year awards, the Golden Steering Wheel, Red Dot’s Best of the Best Product Design and a 2021 Innovation by Design award from Fast Company.</w:t>
      </w:r>
    </w:p>
    <w:p>
      <w:pPr>
        <w:spacing w:after="0" w:line="192" w:lineRule="exact"/>
        <w:rPr>
          <w:sz w:val="20"/>
          <w:szCs w:val="20"/>
          <w:color w:val="auto"/>
        </w:rPr>
      </w:pPr>
    </w:p>
    <w:p>
      <w:pPr>
        <w:ind w:left="300" w:right="20" w:firstLine="426"/>
        <w:spacing w:after="0" w:line="255" w:lineRule="auto"/>
        <w:rPr>
          <w:sz w:val="20"/>
          <w:szCs w:val="20"/>
          <w:color w:val="auto"/>
        </w:rPr>
      </w:pPr>
      <w:r>
        <w:rPr>
          <w:rFonts w:ascii="Times New Roman" w:cs="Times New Roman" w:eastAsia="Times New Roman" w:hAnsi="Times New Roman"/>
          <w:sz w:val="18"/>
          <w:szCs w:val="18"/>
          <w:color w:val="auto"/>
        </w:rPr>
        <w:t>As of June 30, 2022, Polestar’s cars are on the road in 25 markets across Europe, North America, China and Asia Pacific. Polestar intends to continue its rapid market expansion with the aim that its cars will be available in an aggregate of 30 markets by the end of 2023. Polestar also plans to introduce four new electric vehicles by 2026; Polestar 3, an aerodynamically optimized SUV; Polestar 4, a sporty SUV coupe; Polestar 5, a luxury 4 door GT; and Polestar 6, an electric performance roadster. Polestar’s target is a production volume of approximately 290,000 vehicles per annum by the end of 2025. With these expanded markets and additional vehicles, Polestar expects to compete in segments constituting almost 80% of the global premium luxury vehicle market by volume of units sold. Polestar believes the premium luxury vehicle segment is one of the fastest growing vehicle segments, and expects the electric-only vehicle portion of this segment to grow at a faster rate than the overall segment.</w:t>
      </w:r>
    </w:p>
    <w:p>
      <w:pPr>
        <w:spacing w:after="0" w:line="189" w:lineRule="exact"/>
        <w:rPr>
          <w:sz w:val="20"/>
          <w:szCs w:val="20"/>
          <w:color w:val="auto"/>
        </w:rPr>
      </w:pPr>
    </w:p>
    <w:p>
      <w:pPr>
        <w:jc w:val="both"/>
        <w:ind w:left="300" w:right="260" w:firstLine="426"/>
        <w:spacing w:after="0" w:line="266" w:lineRule="auto"/>
        <w:rPr>
          <w:sz w:val="20"/>
          <w:szCs w:val="20"/>
          <w:color w:val="auto"/>
        </w:rPr>
      </w:pPr>
      <w:r>
        <w:rPr>
          <w:rFonts w:ascii="Times New Roman" w:cs="Times New Roman" w:eastAsia="Times New Roman" w:hAnsi="Times New Roman"/>
          <w:sz w:val="18"/>
          <w:szCs w:val="18"/>
          <w:color w:val="auto"/>
        </w:rPr>
        <w:t>Polestar has set itself the important goal to create a truly climate neutral car by the end of 2030, which it refers to as the Polestar 0 project. The development of a truly climate neutral car by the end of 2030 is a significant milestone on the path to Polestar’s goal of becoming a climate neutral company by the end of 2040.</w:t>
      </w:r>
    </w:p>
    <w:p>
      <w:pPr>
        <w:spacing w:after="0" w:line="176" w:lineRule="exact"/>
        <w:rPr>
          <w:sz w:val="20"/>
          <w:szCs w:val="20"/>
          <w:color w:val="auto"/>
        </w:rPr>
      </w:pPr>
    </w:p>
    <w:p>
      <w:pPr>
        <w:ind w:left="300" w:right="20" w:firstLine="426"/>
        <w:spacing w:after="0" w:line="266" w:lineRule="auto"/>
        <w:rPr>
          <w:sz w:val="20"/>
          <w:szCs w:val="20"/>
          <w:color w:val="auto"/>
        </w:rPr>
      </w:pPr>
      <w:r>
        <w:rPr>
          <w:rFonts w:ascii="Times New Roman" w:cs="Times New Roman" w:eastAsia="Times New Roman" w:hAnsi="Times New Roman"/>
          <w:sz w:val="18"/>
          <w:szCs w:val="18"/>
          <w:color w:val="auto"/>
        </w:rPr>
        <w:t>Polestar’s vehicles are currently manufactured at a plant in Luqiao, China that is owned and operated by Volvo Cars. The plant, referred to by Volvo Cars as the “Taizhou” plant, was acquired by Volvo Cars from Geely in December 2021. Prior to that time, the plant had been owned by Geely and operated by Volvo Cars. The</w:t>
      </w:r>
    </w:p>
    <w:p>
      <w:pPr>
        <w:spacing w:after="0" w:line="28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0940"/>
          </w:cols>
          <w:pgMar w:left="320" w:top="455" w:right="6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31159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98970" cy="311594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spacing w:after="0" w:line="258" w:lineRule="auto"/>
        <w:rPr>
          <w:sz w:val="20"/>
          <w:szCs w:val="20"/>
          <w:color w:val="auto"/>
        </w:rPr>
      </w:pPr>
      <w:r>
        <w:rPr>
          <w:rFonts w:ascii="Times New Roman" w:cs="Times New Roman" w:eastAsia="Times New Roman" w:hAnsi="Times New Roman"/>
          <w:sz w:val="18"/>
          <w:szCs w:val="18"/>
          <w:color w:val="auto"/>
        </w:rPr>
        <w:t>Polestar 2 vehicles have been manufactured at this plant since production commenced in 2020. Commencing with the Polestar 3, Polestar intends to produce vehicles both in China and in Charleston, South Carolina in the United States (a facility operated by Volvo Cars). Polestar’s ability to leverage the manufacturing footprint of both Volvo Cars and Geely, provides it with access to a combined installed production capacity of about 750,000 units per annum across three continents, and gives Polestar’s highly scalable business model immediate operating leverage. Polestar also plans on expanding its production capacity in Europe by leveraging plants that are owned and operated by Volvo Cars.</w:t>
      </w:r>
    </w:p>
    <w:p>
      <w:pPr>
        <w:spacing w:after="0" w:line="183" w:lineRule="exact"/>
        <w:rPr>
          <w:sz w:val="20"/>
          <w:szCs w:val="20"/>
          <w:color w:val="auto"/>
        </w:rPr>
      </w:pPr>
    </w:p>
    <w:p>
      <w:pPr>
        <w:ind w:left="300" w:right="40" w:firstLine="426"/>
        <w:spacing w:after="0" w:line="255" w:lineRule="auto"/>
        <w:rPr>
          <w:sz w:val="20"/>
          <w:szCs w:val="20"/>
          <w:color w:val="auto"/>
        </w:rPr>
      </w:pPr>
      <w:r>
        <w:rPr>
          <w:rFonts w:ascii="Times New Roman" w:cs="Times New Roman" w:eastAsia="Times New Roman" w:hAnsi="Times New Roman"/>
          <w:sz w:val="18"/>
          <w:szCs w:val="18"/>
          <w:color w:val="auto"/>
        </w:rPr>
        <w:t>Polestar uses a digital first, direct to consumer approach that enables its customers to browse Polestar’s products, configure their preferred vehicle and place their order on-line. Alternatively, Polestar Locations are where customers can see, feel and test drive our vehicles prior to making an on-line purchase. Polestar believes this combination of digital and physical retail presence delivers a seamless experience for its customers. Polestar’s customer experience is further enhanced by its comprehensive service network that leverages the existing Volvo Cars service center network. As of June 30, 2022, Polestar has 125 Polestar Locations. Polestar plans to extend its retail locations to a total of over 150 in existing and new markets by the end of 2023. In addition, Polestar leverages the Volvo Cars service center network to provide access to 934 customer service points worldwide (as of June 30, 2022) in support of its international expansion.</w:t>
      </w:r>
    </w:p>
    <w:p>
      <w:pPr>
        <w:spacing w:after="0" w:line="189" w:lineRule="exact"/>
        <w:rPr>
          <w:sz w:val="20"/>
          <w:szCs w:val="20"/>
          <w:color w:val="auto"/>
        </w:rPr>
      </w:pPr>
    </w:p>
    <w:p>
      <w:pPr>
        <w:jc w:val="both"/>
        <w:ind w:left="300" w:right="240" w:firstLine="426"/>
        <w:spacing w:after="0" w:line="266" w:lineRule="auto"/>
        <w:rPr>
          <w:sz w:val="20"/>
          <w:szCs w:val="20"/>
          <w:color w:val="auto"/>
        </w:rPr>
      </w:pPr>
      <w:r>
        <w:rPr>
          <w:rFonts w:ascii="Times New Roman" w:cs="Times New Roman" w:eastAsia="Times New Roman" w:hAnsi="Times New Roman"/>
          <w:sz w:val="18"/>
          <w:szCs w:val="18"/>
          <w:color w:val="auto"/>
        </w:rPr>
        <w:t>Polestar’s research and development expertise is a core competence and Polestar believes it is a significant competitive advantage. Current proprietary technologies under development include bonded aluminum chassis architectures and their manufacture, a high-performance electric motor and bi-directional compatible battery packs and charging technology.</w:t>
      </w:r>
    </w:p>
    <w:p>
      <w:pPr>
        <w:spacing w:after="0" w:line="176" w:lineRule="exact"/>
        <w:rPr>
          <w:sz w:val="20"/>
          <w:szCs w:val="20"/>
          <w:color w:val="auto"/>
        </w:rPr>
      </w:pPr>
    </w:p>
    <w:p>
      <w:pPr>
        <w:ind w:left="300" w:right="100" w:firstLine="426"/>
        <w:spacing w:after="0" w:line="266" w:lineRule="auto"/>
        <w:rPr>
          <w:sz w:val="20"/>
          <w:szCs w:val="20"/>
          <w:color w:val="auto"/>
        </w:rPr>
      </w:pPr>
      <w:r>
        <w:rPr>
          <w:rFonts w:ascii="Times New Roman" w:cs="Times New Roman" w:eastAsia="Times New Roman" w:hAnsi="Times New Roman"/>
          <w:sz w:val="18"/>
          <w:szCs w:val="18"/>
          <w:color w:val="auto"/>
        </w:rPr>
        <w:t>Polestar has drawn extensively on the industrial heritage, knowledge and market infrastructure of Volvo Cars. This combination of deep automotive expertise, paired with cutting-edge technologies and an agile, entrepreneurial culture, underpins Polestar’s differentiation, potential for growth and success.</w:t>
      </w:r>
    </w:p>
    <w:p>
      <w:pPr>
        <w:spacing w:after="0" w:line="28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40"/>
          </w:cols>
          <w:pgMar w:left="320" w:top="455" w:right="6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6560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98970" cy="665607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11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Key Figures</w:t>
      </w:r>
    </w:p>
    <w:p>
      <w:pPr>
        <w:spacing w:after="0" w:line="119" w:lineRule="exact"/>
        <w:rPr>
          <w:sz w:val="20"/>
          <w:szCs w:val="20"/>
          <w:color w:val="auto"/>
        </w:rPr>
      </w:pPr>
    </w:p>
    <w:p>
      <w:pPr>
        <w:ind w:left="300" w:right="180" w:firstLine="426"/>
        <w:spacing w:after="0" w:line="266" w:lineRule="auto"/>
        <w:rPr>
          <w:sz w:val="20"/>
          <w:szCs w:val="20"/>
          <w:color w:val="auto"/>
        </w:rPr>
      </w:pPr>
      <w:r>
        <w:rPr>
          <w:rFonts w:ascii="Times New Roman" w:cs="Times New Roman" w:eastAsia="Times New Roman" w:hAnsi="Times New Roman"/>
          <w:sz w:val="18"/>
          <w:szCs w:val="18"/>
          <w:color w:val="auto"/>
        </w:rPr>
        <w:t>The table below summarizes the key financial results of Polestar for the six months ended June 30, 2022 and 2021 and for the year ended December 31, 2021. The following should be read in conjunction with the sections entitled “Risk Factors” and “</w:t>
      </w:r>
      <w:r>
        <w:rPr>
          <w:rFonts w:ascii="Times New Roman" w:cs="Times New Roman" w:eastAsia="Times New Roman" w:hAnsi="Times New Roman"/>
          <w:sz w:val="18"/>
          <w:szCs w:val="18"/>
          <w:i w:val="1"/>
          <w:iCs w:val="1"/>
          <w:color w:val="auto"/>
        </w:rPr>
        <w:t>Operating And Financial Review</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Prospects</w:t>
      </w:r>
      <w:r>
        <w:rPr>
          <w:rFonts w:ascii="Times New Roman" w:cs="Times New Roman" w:eastAsia="Times New Roman" w:hAnsi="Times New Roman"/>
          <w:sz w:val="18"/>
          <w:szCs w:val="18"/>
          <w:color w:val="auto"/>
        </w:rPr>
        <w:t>” and the financial statements included in this prospectus.</w:t>
      </w:r>
    </w:p>
    <w:p>
      <w:pPr>
        <w:spacing w:after="0" w:line="184"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540" w:type="dxa"/>
            <w:vAlign w:val="bottom"/>
          </w:tcPr>
          <w:p>
            <w:pPr>
              <w:spacing w:after="0"/>
              <w:rPr>
                <w:sz w:val="13"/>
                <w:szCs w:val="13"/>
                <w:color w:val="auto"/>
              </w:rPr>
            </w:pPr>
          </w:p>
        </w:tc>
        <w:tc>
          <w:tcPr>
            <w:tcW w:w="2920" w:type="dxa"/>
            <w:vAlign w:val="bottom"/>
            <w:gridSpan w:val="4"/>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For the six months</w:t>
            </w:r>
          </w:p>
        </w:tc>
        <w:tc>
          <w:tcPr>
            <w:tcW w:w="11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For the year</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40" w:type="dxa"/>
            <w:vAlign w:val="bottom"/>
          </w:tcPr>
          <w:p>
            <w:pPr>
              <w:spacing w:after="0"/>
              <w:rPr>
                <w:sz w:val="12"/>
                <w:szCs w:val="12"/>
                <w:color w:val="auto"/>
              </w:rPr>
            </w:pPr>
          </w:p>
        </w:tc>
        <w:tc>
          <w:tcPr>
            <w:tcW w:w="1560" w:type="dxa"/>
            <w:vAlign w:val="bottom"/>
            <w:gridSpan w:val="2"/>
          </w:tcPr>
          <w:p>
            <w:pPr>
              <w:jc w:val="center"/>
              <w:ind w:left="872"/>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9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540" w:type="dxa"/>
            <w:vAlign w:val="bottom"/>
          </w:tcPr>
          <w:p>
            <w:pPr>
              <w:spacing w:after="0"/>
              <w:rPr>
                <w:sz w:val="15"/>
                <w:szCs w:val="15"/>
                <w:color w:val="auto"/>
              </w:rPr>
            </w:pPr>
          </w:p>
        </w:tc>
        <w:tc>
          <w:tcPr>
            <w:tcW w:w="1560" w:type="dxa"/>
            <w:vAlign w:val="bottom"/>
            <w:gridSpan w:val="2"/>
          </w:tcPr>
          <w:p>
            <w:pPr>
              <w:jc w:val="center"/>
              <w:ind w:left="872"/>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540" w:type="dxa"/>
            <w:vAlign w:val="bottom"/>
            <w:tcBorders>
              <w:bottom w:val="single" w:sz="8" w:color="CCEEFF"/>
            </w:tcBorders>
          </w:tcPr>
          <w:p>
            <w:pPr>
              <w:spacing w:after="0"/>
              <w:rPr>
                <w:sz w:val="12"/>
                <w:szCs w:val="12"/>
                <w:color w:val="auto"/>
              </w:rPr>
            </w:pPr>
          </w:p>
        </w:tc>
        <w:tc>
          <w:tcPr>
            <w:tcW w:w="1100" w:type="dxa"/>
            <w:vAlign w:val="bottom"/>
            <w:tcBorders>
              <w:top w:val="single" w:sz="8" w:color="auto"/>
              <w:bottom w:val="single" w:sz="8" w:color="auto"/>
            </w:tcBorders>
          </w:tcPr>
          <w:p>
            <w:pPr>
              <w:jc w:val="right"/>
              <w:ind w:right="31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460" w:type="dxa"/>
            <w:vAlign w:val="bottom"/>
            <w:tcBorders>
              <w:top w:val="single" w:sz="8" w:color="auto"/>
              <w:bottom w:val="single" w:sz="8" w:color="CCEEFF"/>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251"/>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400" w:type="dxa"/>
            <w:vAlign w:val="bottom"/>
            <w:tcBorders>
              <w:bottom w:val="single" w:sz="8" w:color="CCEEFF"/>
            </w:tcBorders>
          </w:tcPr>
          <w:p>
            <w:pPr>
              <w:spacing w:after="0"/>
              <w:rPr>
                <w:sz w:val="12"/>
                <w:szCs w:val="12"/>
                <w:color w:val="auto"/>
              </w:rPr>
            </w:pPr>
          </w:p>
        </w:tc>
        <w:tc>
          <w:tcPr>
            <w:tcW w:w="96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2021</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5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Statement of loss</w:t>
            </w:r>
          </w:p>
        </w:tc>
        <w:tc>
          <w:tcPr>
            <w:tcW w:w="1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Revenue</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1,041,297</w:t>
            </w:r>
          </w:p>
        </w:tc>
        <w:tc>
          <w:tcPr>
            <w:tcW w:w="4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534,779</w:t>
            </w:r>
          </w:p>
        </w:tc>
        <w:tc>
          <w:tcPr>
            <w:tcW w:w="4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1,337,181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Cost of sales</w:t>
            </w:r>
          </w:p>
        </w:tc>
        <w:tc>
          <w:tcPr>
            <w:tcW w:w="15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(987,881)</w:t>
            </w:r>
          </w:p>
        </w:tc>
        <w:tc>
          <w:tcPr>
            <w:tcW w:w="13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(498,966)</w:t>
            </w: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(1,336,321)</w:t>
            </w:r>
          </w:p>
        </w:tc>
        <w:tc>
          <w:tcPr>
            <w:tcW w:w="0" w:type="dxa"/>
            <w:vAlign w:val="bottom"/>
          </w:tcPr>
          <w:p>
            <w:pPr>
              <w:spacing w:after="0"/>
              <w:rPr>
                <w:sz w:val="1"/>
                <w:szCs w:val="1"/>
                <w:color w:val="auto"/>
              </w:rPr>
            </w:pPr>
          </w:p>
        </w:tc>
      </w:tr>
      <w:tr>
        <w:trPr>
          <w:trHeight w:val="223"/>
        </w:trPr>
        <w:tc>
          <w:tcPr>
            <w:tcW w:w="65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53,416</w:t>
            </w:r>
          </w:p>
        </w:tc>
        <w:tc>
          <w:tcPr>
            <w:tcW w:w="460" w:type="dxa"/>
            <w:vAlign w:val="bottom"/>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35,813</w:t>
            </w:r>
          </w:p>
        </w:tc>
        <w:tc>
          <w:tcPr>
            <w:tcW w:w="400" w:type="dxa"/>
            <w:vAlign w:val="bottom"/>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860</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340"/>
              <w:spacing w:after="0" w:line="216" w:lineRule="exact"/>
              <w:rPr>
                <w:sz w:val="20"/>
                <w:szCs w:val="20"/>
                <w:color w:val="auto"/>
              </w:rPr>
            </w:pPr>
            <w:r>
              <w:rPr>
                <w:rFonts w:ascii="Times New Roman" w:cs="Times New Roman" w:eastAsia="Times New Roman" w:hAnsi="Times New Roman"/>
                <w:sz w:val="17"/>
                <w:szCs w:val="17"/>
                <w:color w:val="auto"/>
              </w:rPr>
              <w:t>Operating expenses</w:t>
            </w:r>
            <w:r>
              <w:rPr>
                <w:rFonts w:ascii="Times New Roman" w:cs="Times New Roman" w:eastAsia="Times New Roman" w:hAnsi="Times New Roman"/>
                <w:sz w:val="25"/>
                <w:szCs w:val="25"/>
                <w:color w:val="auto"/>
                <w:vertAlign w:val="superscript"/>
              </w:rPr>
              <w:t>1</w:t>
            </w:r>
          </w:p>
        </w:tc>
        <w:tc>
          <w:tcPr>
            <w:tcW w:w="15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(938,596)</w:t>
            </w:r>
          </w:p>
        </w:tc>
        <w:tc>
          <w:tcPr>
            <w:tcW w:w="13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(400,494)</w:t>
            </w: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(995,699)</w:t>
            </w:r>
          </w:p>
        </w:tc>
        <w:tc>
          <w:tcPr>
            <w:tcW w:w="0" w:type="dxa"/>
            <w:vAlign w:val="bottom"/>
          </w:tcPr>
          <w:p>
            <w:pPr>
              <w:spacing w:after="0"/>
              <w:rPr>
                <w:sz w:val="1"/>
                <w:szCs w:val="1"/>
                <w:color w:val="auto"/>
              </w:rPr>
            </w:pPr>
          </w:p>
        </w:tc>
      </w:tr>
      <w:tr>
        <w:trPr>
          <w:trHeight w:val="223"/>
        </w:trPr>
        <w:tc>
          <w:tcPr>
            <w:tcW w:w="65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(885,180)</w:t>
            </w:r>
          </w:p>
        </w:tc>
        <w:tc>
          <w:tcPr>
            <w:tcW w:w="460" w:type="dxa"/>
            <w:vAlign w:val="bottom"/>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(364,681)</w:t>
            </w:r>
          </w:p>
        </w:tc>
        <w:tc>
          <w:tcPr>
            <w:tcW w:w="400" w:type="dxa"/>
            <w:vAlign w:val="bottom"/>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(994,839)</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Finance income and expense, net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389,585</w:t>
            </w:r>
          </w:p>
        </w:tc>
        <w:tc>
          <w:tcPr>
            <w:tcW w:w="4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2,819</w:t>
            </w:r>
          </w:p>
        </w:tc>
        <w:tc>
          <w:tcPr>
            <w:tcW w:w="4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(12,279)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Income tax expense</w:t>
            </w:r>
          </w:p>
        </w:tc>
        <w:tc>
          <w:tcPr>
            <w:tcW w:w="15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(7,139)</w:t>
            </w:r>
          </w:p>
        </w:tc>
        <w:tc>
          <w:tcPr>
            <w:tcW w:w="13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(6,357)</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(336)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54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5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(502,734)</w:t>
            </w:r>
          </w:p>
        </w:tc>
        <w:tc>
          <w:tcPr>
            <w:tcW w:w="13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(368,219)</w:t>
            </w: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(1,007,454)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Statement of financial position</w:t>
            </w:r>
          </w:p>
        </w:tc>
        <w:tc>
          <w:tcPr>
            <w:tcW w:w="1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1,381,637</w:t>
            </w:r>
          </w:p>
        </w:tc>
        <w:tc>
          <w:tcPr>
            <w:tcW w:w="4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465,747</w:t>
            </w: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756,677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assets</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3,620,869</w:t>
            </w:r>
          </w:p>
        </w:tc>
        <w:tc>
          <w:tcPr>
            <w:tcW w:w="4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2,520,746</w:t>
            </w:r>
          </w:p>
        </w:tc>
        <w:tc>
          <w:tcPr>
            <w:tcW w:w="4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3,309,693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equity</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169,951</w:t>
            </w:r>
          </w:p>
        </w:tc>
        <w:tc>
          <w:tcPr>
            <w:tcW w:w="4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(744,200)</w:t>
            </w: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(122,496)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liabilities</w:t>
            </w:r>
          </w:p>
        </w:tc>
        <w:tc>
          <w:tcPr>
            <w:tcW w:w="15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(3,790,820)</w:t>
            </w:r>
          </w:p>
        </w:tc>
        <w:tc>
          <w:tcPr>
            <w:tcW w:w="13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(1,776,546)</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(3,187,197)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Statement of cash flows</w:t>
            </w:r>
          </w:p>
        </w:tc>
        <w:tc>
          <w:tcPr>
            <w:tcW w:w="1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Cash used for operating activities</w:t>
            </w:r>
          </w:p>
        </w:tc>
        <w:tc>
          <w:tcPr>
            <w:tcW w:w="15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(401,926)</w:t>
            </w:r>
          </w:p>
        </w:tc>
        <w:tc>
          <w:tcPr>
            <w:tcW w:w="13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(112,940)</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(312,156)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used for investing activities</w:t>
            </w:r>
          </w:p>
        </w:tc>
        <w:tc>
          <w:tcPr>
            <w:tcW w:w="15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(514,405)</w:t>
            </w:r>
          </w:p>
        </w:tc>
        <w:tc>
          <w:tcPr>
            <w:tcW w:w="13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(58,789)</w:t>
            </w: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(129,672)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Cash provided by financing activities</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1,574,278</w:t>
            </w:r>
          </w:p>
        </w:tc>
        <w:tc>
          <w:tcPr>
            <w:tcW w:w="4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328,049</w:t>
            </w:r>
          </w:p>
        </w:tc>
        <w:tc>
          <w:tcPr>
            <w:tcW w:w="4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909,572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Key metrics</w:t>
            </w:r>
          </w:p>
        </w:tc>
        <w:tc>
          <w:tcPr>
            <w:tcW w:w="1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Class A and B shares outstanding at period end</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2,109,034,797</w:t>
            </w:r>
          </w:p>
        </w:tc>
        <w:tc>
          <w:tcPr>
            <w:tcW w:w="4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232,404,595</w:t>
            </w:r>
          </w:p>
        </w:tc>
        <w:tc>
          <w:tcPr>
            <w:tcW w:w="4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232,404,595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340"/>
              <w:spacing w:after="0" w:line="216" w:lineRule="exact"/>
              <w:rPr>
                <w:sz w:val="20"/>
                <w:szCs w:val="20"/>
                <w:color w:val="auto"/>
              </w:rPr>
            </w:pPr>
            <w:r>
              <w:rPr>
                <w:rFonts w:ascii="Times New Roman" w:cs="Times New Roman" w:eastAsia="Times New Roman" w:hAnsi="Times New Roman"/>
                <w:sz w:val="17"/>
                <w:szCs w:val="17"/>
                <w:color w:val="auto"/>
              </w:rPr>
              <w:t>Share price at period end</w:t>
            </w:r>
            <w:r>
              <w:rPr>
                <w:rFonts w:ascii="Times New Roman" w:cs="Times New Roman" w:eastAsia="Times New Roman" w:hAnsi="Times New Roman"/>
                <w:sz w:val="25"/>
                <w:szCs w:val="25"/>
                <w:color w:val="auto"/>
                <w:vertAlign w:val="superscript"/>
              </w:rPr>
              <w:t>2</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8.81</w:t>
            </w:r>
          </w:p>
        </w:tc>
        <w:tc>
          <w:tcPr>
            <w:tcW w:w="4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8.04</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15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(1.65)</w:t>
            </w:r>
          </w:p>
        </w:tc>
        <w:tc>
          <w:tcPr>
            <w:tcW w:w="13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(1.63)</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340"/>
              <w:spacing w:after="0" w:line="216" w:lineRule="exact"/>
              <w:rPr>
                <w:sz w:val="20"/>
                <w:szCs w:val="20"/>
                <w:color w:val="auto"/>
              </w:rPr>
            </w:pPr>
            <w:r>
              <w:rPr>
                <w:rFonts w:ascii="Times New Roman" w:cs="Times New Roman" w:eastAsia="Times New Roman" w:hAnsi="Times New Roman"/>
                <w:sz w:val="17"/>
                <w:szCs w:val="17"/>
                <w:color w:val="auto"/>
              </w:rPr>
              <w:t>Equity ratio</w:t>
            </w:r>
            <w:r>
              <w:rPr>
                <w:rFonts w:ascii="Times New Roman" w:cs="Times New Roman" w:eastAsia="Times New Roman" w:hAnsi="Times New Roman"/>
                <w:sz w:val="25"/>
                <w:szCs w:val="25"/>
                <w:color w:val="auto"/>
                <w:vertAlign w:val="superscript"/>
              </w:rPr>
              <w:t>3</w:t>
            </w:r>
          </w:p>
        </w:tc>
        <w:tc>
          <w:tcPr>
            <w:tcW w:w="15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(4.69)%</w:t>
            </w:r>
          </w:p>
        </w:tc>
        <w:tc>
          <w:tcPr>
            <w:tcW w:w="13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29.52%</w:t>
            </w:r>
          </w:p>
        </w:tc>
        <w:tc>
          <w:tcPr>
            <w:tcW w:w="1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ind w:left="340"/>
              <w:spacing w:after="0" w:line="216" w:lineRule="exact"/>
              <w:rPr>
                <w:sz w:val="20"/>
                <w:szCs w:val="20"/>
                <w:color w:val="auto"/>
              </w:rPr>
            </w:pPr>
            <w:r>
              <w:rPr>
                <w:rFonts w:ascii="Times New Roman" w:cs="Times New Roman" w:eastAsia="Times New Roman" w:hAnsi="Times New Roman"/>
                <w:sz w:val="17"/>
                <w:szCs w:val="17"/>
                <w:color w:val="auto"/>
              </w:rPr>
              <w:t>Global volumes</w:t>
            </w:r>
            <w:r>
              <w:rPr>
                <w:rFonts w:ascii="Times New Roman" w:cs="Times New Roman" w:eastAsia="Times New Roman" w:hAnsi="Times New Roman"/>
                <w:sz w:val="25"/>
                <w:szCs w:val="25"/>
                <w:color w:val="auto"/>
                <w:vertAlign w:val="superscript"/>
              </w:rPr>
              <w:t>4</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21,185</w:t>
            </w:r>
          </w:p>
        </w:tc>
        <w:tc>
          <w:tcPr>
            <w:tcW w:w="4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9,510</w:t>
            </w:r>
          </w:p>
        </w:tc>
        <w:tc>
          <w:tcPr>
            <w:tcW w:w="4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28,677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Volume of external vehicles without repurchase obligations</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19,614</w:t>
            </w:r>
          </w:p>
        </w:tc>
        <w:tc>
          <w:tcPr>
            <w:tcW w:w="4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8,848</w:t>
            </w: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23,760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Volume of external vehicles with repurchase obligations</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w:t>
            </w:r>
          </w:p>
        </w:tc>
        <w:tc>
          <w:tcPr>
            <w:tcW w:w="460" w:type="dxa"/>
            <w:vAlign w:val="bottom"/>
          </w:tcPr>
          <w:p>
            <w:pPr>
              <w:spacing w:after="0"/>
              <w:rPr>
                <w:sz w:val="18"/>
                <w:szCs w:val="18"/>
                <w:color w:val="auto"/>
              </w:rPr>
            </w:pPr>
          </w:p>
        </w:tc>
        <w:tc>
          <w:tcPr>
            <w:tcW w:w="13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208</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Volume of internal vehicles</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w:t>
            </w:r>
          </w:p>
        </w:tc>
        <w:tc>
          <w:tcPr>
            <w:tcW w:w="4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454</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ind w:left="340"/>
              <w:spacing w:after="0" w:line="216" w:lineRule="exact"/>
              <w:rPr>
                <w:sz w:val="20"/>
                <w:szCs w:val="20"/>
                <w:color w:val="auto"/>
              </w:rPr>
            </w:pPr>
            <w:r>
              <w:rPr>
                <w:rFonts w:ascii="Times New Roman" w:cs="Times New Roman" w:eastAsia="Times New Roman" w:hAnsi="Times New Roman"/>
                <w:sz w:val="17"/>
                <w:szCs w:val="17"/>
                <w:color w:val="auto"/>
              </w:rPr>
              <w:t>Markets</w:t>
            </w:r>
            <w:r>
              <w:rPr>
                <w:rFonts w:ascii="Times New Roman" w:cs="Times New Roman" w:eastAsia="Times New Roman" w:hAnsi="Times New Roman"/>
                <w:sz w:val="25"/>
                <w:szCs w:val="25"/>
                <w:color w:val="auto"/>
                <w:vertAlign w:val="superscript"/>
              </w:rPr>
              <w:t>5</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4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4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340"/>
              <w:spacing w:after="0" w:line="216" w:lineRule="exact"/>
              <w:rPr>
                <w:sz w:val="20"/>
                <w:szCs w:val="20"/>
                <w:color w:val="auto"/>
              </w:rPr>
            </w:pPr>
            <w:r>
              <w:rPr>
                <w:rFonts w:ascii="Times New Roman" w:cs="Times New Roman" w:eastAsia="Times New Roman" w:hAnsi="Times New Roman"/>
                <w:sz w:val="17"/>
                <w:szCs w:val="17"/>
                <w:color w:val="auto"/>
              </w:rPr>
              <w:t>Locations</w:t>
            </w:r>
            <w:r>
              <w:rPr>
                <w:rFonts w:ascii="Times New Roman" w:cs="Times New Roman" w:eastAsia="Times New Roman" w:hAnsi="Times New Roman"/>
                <w:sz w:val="25"/>
                <w:szCs w:val="25"/>
                <w:color w:val="auto"/>
                <w:vertAlign w:val="superscript"/>
              </w:rPr>
              <w:t>6</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4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55"/>
        </w:trPr>
        <w:tc>
          <w:tcPr>
            <w:tcW w:w="20" w:type="dxa"/>
            <w:vAlign w:val="bottom"/>
          </w:tcPr>
          <w:p>
            <w:pPr>
              <w:spacing w:after="0"/>
              <w:rPr>
                <w:sz w:val="24"/>
                <w:szCs w:val="24"/>
                <w:color w:val="auto"/>
              </w:rPr>
            </w:pPr>
          </w:p>
        </w:tc>
        <w:tc>
          <w:tcPr>
            <w:tcW w:w="6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Service points</w:t>
            </w:r>
            <w:r>
              <w:rPr>
                <w:rFonts w:ascii="Times New Roman" w:cs="Times New Roman" w:eastAsia="Times New Roman" w:hAnsi="Times New Roman"/>
                <w:sz w:val="26"/>
                <w:szCs w:val="26"/>
                <w:color w:val="auto"/>
                <w:vertAlign w:val="superscript"/>
              </w:rPr>
              <w:t>7</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934</w:t>
            </w:r>
          </w:p>
        </w:tc>
        <w:tc>
          <w:tcPr>
            <w:tcW w:w="460" w:type="dxa"/>
            <w:vAlign w:val="bottom"/>
          </w:tcPr>
          <w:p>
            <w:pPr>
              <w:spacing w:after="0"/>
              <w:rPr>
                <w:sz w:val="24"/>
                <w:szCs w:val="24"/>
                <w:color w:val="auto"/>
              </w:rPr>
            </w:pPr>
          </w:p>
        </w:tc>
        <w:tc>
          <w:tcPr>
            <w:tcW w:w="13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665</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811</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2" w:lineRule="exact"/>
        <w:rPr>
          <w:sz w:val="20"/>
          <w:szCs w:val="20"/>
          <w:color w:val="auto"/>
        </w:rPr>
      </w:pPr>
    </w:p>
    <w:p>
      <w:pPr>
        <w:jc w:val="both"/>
        <w:ind w:left="820" w:right="260" w:hanging="522"/>
        <w:spacing w:after="0" w:line="266" w:lineRule="auto"/>
        <w:tabs>
          <w:tab w:leader="none" w:pos="8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operating expenses for the six months ended June 30, 2022 is a non-recurring as well as non-cash USD 372.3 million charge relating to listing expenses incurred upon the merger with GGI on June 23, 2022. See also section “</w:t>
      </w:r>
      <w:r>
        <w:rPr>
          <w:rFonts w:ascii="Times New Roman" w:cs="Times New Roman" w:eastAsia="Times New Roman" w:hAnsi="Times New Roman"/>
          <w:sz w:val="18"/>
          <w:szCs w:val="18"/>
          <w:i w:val="1"/>
          <w:iCs w:val="1"/>
          <w:color w:val="auto"/>
        </w:rPr>
        <w:t>Operating And Financial Review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Prospects—Reverse recapitalization</w:t>
      </w:r>
      <w:r>
        <w:rPr>
          <w:rFonts w:ascii="Times New Roman" w:cs="Times New Roman" w:eastAsia="Times New Roman" w:hAnsi="Times New Roman"/>
          <w:sz w:val="18"/>
          <w:szCs w:val="18"/>
          <w:color w:val="auto"/>
        </w:rPr>
        <w:t>.”</w:t>
      </w:r>
    </w:p>
    <w:p>
      <w:pPr>
        <w:spacing w:after="0" w:line="81" w:lineRule="exact"/>
        <w:rPr>
          <w:sz w:val="20"/>
          <w:szCs w:val="20"/>
          <w:color w:val="auto"/>
        </w:rPr>
      </w:pPr>
    </w:p>
    <w:p>
      <w:pPr>
        <w:ind w:left="820" w:hanging="522"/>
        <w:spacing w:after="0" w:line="282" w:lineRule="auto"/>
        <w:tabs>
          <w:tab w:leader="none" w:pos="8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share price of Class A ADSs at June 30, 2022 and in prior periods, the share price of GGI Common Stock (share price before closing of the Business Combination).</w:t>
      </w:r>
    </w:p>
    <w:p>
      <w:pPr>
        <w:spacing w:after="0" w:line="283"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40"/>
          </w:cols>
          <w:pgMar w:left="320" w:top="455" w:right="6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1760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98970" cy="617601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820" w:right="260" w:hanging="522"/>
        <w:spacing w:after="0" w:line="282" w:lineRule="auto"/>
        <w:tabs>
          <w:tab w:leader="none" w:pos="8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as total equity divided by total assets. Contributing factor to a negative equity ratio is the earn-out liability which has no cash impact. See also section “</w:t>
      </w:r>
      <w:r>
        <w:rPr>
          <w:rFonts w:ascii="Times New Roman" w:cs="Times New Roman" w:eastAsia="Times New Roman" w:hAnsi="Times New Roman"/>
          <w:sz w:val="18"/>
          <w:szCs w:val="18"/>
          <w:i w:val="1"/>
          <w:iCs w:val="1"/>
          <w:color w:val="auto"/>
        </w:rPr>
        <w:t>Operating And Financial Review and Prospects—Reverse recapitalization</w:t>
      </w:r>
      <w:r>
        <w:rPr>
          <w:rFonts w:ascii="Times New Roman" w:cs="Times New Roman" w:eastAsia="Times New Roman" w:hAnsi="Times New Roman"/>
          <w:sz w:val="18"/>
          <w:szCs w:val="18"/>
          <w:color w:val="auto"/>
        </w:rPr>
        <w:t>.”</w:t>
      </w:r>
    </w:p>
    <w:p>
      <w:pPr>
        <w:spacing w:after="0" w:line="67" w:lineRule="exact"/>
        <w:rPr>
          <w:sz w:val="20"/>
          <w:szCs w:val="20"/>
          <w:color w:val="auto"/>
        </w:rPr>
      </w:pPr>
    </w:p>
    <w:p>
      <w:pPr>
        <w:ind w:left="820" w:right="120" w:hanging="522"/>
        <w:spacing w:after="0" w:line="261" w:lineRule="auto"/>
        <w:tabs>
          <w:tab w:leader="none" w:pos="8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total volumes of new vehicles delivered, including external sales with recognition of revenue at time of delivery, external sales with repurchase commitments and internal sales of vehicles transferred for demonstration and commercial purposes as well as vehicles transferred to Polestar employees at time of registration. Transferred vehicles for demonstration and commercial purposes are owned by Polestar and included in Inventory.</w:t>
      </w:r>
    </w:p>
    <w:p>
      <w:pPr>
        <w:spacing w:after="0" w:line="85" w:lineRule="exact"/>
        <w:rPr>
          <w:sz w:val="20"/>
          <w:szCs w:val="20"/>
          <w:color w:val="auto"/>
        </w:rPr>
      </w:pPr>
    </w:p>
    <w:p>
      <w:pPr>
        <w:ind w:left="820" w:hanging="522"/>
        <w:spacing w:after="0"/>
        <w:tabs>
          <w:tab w:leader="none" w:pos="8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markets in which Polestar operates.</w:t>
      </w:r>
    </w:p>
    <w:p>
      <w:pPr>
        <w:spacing w:after="0" w:line="131" w:lineRule="exact"/>
        <w:rPr>
          <w:sz w:val="20"/>
          <w:szCs w:val="20"/>
          <w:color w:val="auto"/>
        </w:rPr>
      </w:pPr>
    </w:p>
    <w:p>
      <w:pPr>
        <w:ind w:left="820" w:hanging="522"/>
        <w:spacing w:after="0"/>
        <w:tabs>
          <w:tab w:leader="none" w:pos="8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Polestar Spaces, Polestar Destinations, and Polestar Test Drive Centers.</w:t>
      </w:r>
    </w:p>
    <w:p>
      <w:pPr>
        <w:spacing w:after="0" w:line="131" w:lineRule="exact"/>
        <w:rPr>
          <w:sz w:val="20"/>
          <w:szCs w:val="20"/>
          <w:color w:val="auto"/>
        </w:rPr>
      </w:pPr>
    </w:p>
    <w:p>
      <w:pPr>
        <w:ind w:left="820" w:right="640" w:hanging="522"/>
        <w:spacing w:after="0" w:line="282" w:lineRule="auto"/>
        <w:tabs>
          <w:tab w:leader="none" w:pos="8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Volvo Cars service centers to provide access to customer service points worldwide in support of Polestar’s international expansion.</w:t>
      </w:r>
    </w:p>
    <w:p>
      <w:pPr>
        <w:spacing w:after="0" w:line="162" w:lineRule="exact"/>
        <w:rPr>
          <w:sz w:val="20"/>
          <w:szCs w:val="20"/>
          <w:color w:val="auto"/>
        </w:rPr>
      </w:pPr>
    </w:p>
    <w:p>
      <w:pPr>
        <w:ind w:left="300"/>
        <w:spacing w:after="0" w:line="289" w:lineRule="auto"/>
        <w:rPr>
          <w:sz w:val="20"/>
          <w:szCs w:val="20"/>
          <w:color w:val="auto"/>
        </w:rPr>
      </w:pPr>
      <w:r>
        <w:rPr>
          <w:rFonts w:ascii="Times New Roman" w:cs="Times New Roman" w:eastAsia="Times New Roman" w:hAnsi="Times New Roman"/>
          <w:sz w:val="17"/>
          <w:szCs w:val="17"/>
          <w:color w:val="auto"/>
        </w:rPr>
        <w:t>Global volumes increased to 21,185 cars in the first six months of 2022, more than doubling deliveries from 9,510 cars in the same period in 2021, an increase of 123%. Polestar has also added six new markets since the start of 2022, including United Arab Emirates, Kuwait, Hong Kong, Ireland, Spain and Portugal. Polestar has 125 locations and 934 service points across its markets, up 22 and 123 respectively, since the end of 2021.</w:t>
      </w:r>
    </w:p>
    <w:p>
      <w:pPr>
        <w:spacing w:after="0" w:line="158" w:lineRule="exact"/>
        <w:rPr>
          <w:sz w:val="20"/>
          <w:szCs w:val="20"/>
          <w:color w:val="auto"/>
        </w:rPr>
      </w:pPr>
    </w:p>
    <w:p>
      <w:pPr>
        <w:ind w:left="300"/>
        <w:spacing w:after="0" w:line="252" w:lineRule="auto"/>
        <w:rPr>
          <w:sz w:val="20"/>
          <w:szCs w:val="20"/>
          <w:color w:val="auto"/>
        </w:rPr>
      </w:pPr>
      <w:r>
        <w:rPr>
          <w:rFonts w:ascii="Times New Roman" w:cs="Times New Roman" w:eastAsia="Times New Roman" w:hAnsi="Times New Roman"/>
          <w:sz w:val="18"/>
          <w:szCs w:val="18"/>
          <w:color w:val="auto"/>
        </w:rPr>
        <w:t>Global volumes for the six months ended June 30, 2022 reflect, in part, global supply chain disruptions and logistical constraints incurred as a consequence of the conflict between Russia and Ukraine. In addition to these impacts, Polestar management also believes the impact of the prolonged COVID-19 government mandated quarantines and lockdowns in China have negatively impacted Polestar, and are expected to continue to negatively impact Polestar and its strategic and contract manufacturing partner, Volvo Cars’, ability to manufacture and deliver Polestar vehicles in the volumes previously anticipated by Polestar. Accordingly, Polestar currently estimates that global deliveries in 2022 will be approximately 50,000 vehicles as compared to its prior expectations of 65,000 vehicles. Polestar expects that vehicle deliveries will be weighted towards the fourth quarter, following disruptions from COVID-19 in China. See the “Operating And Financial Review and Prospects” “</w:t>
      </w:r>
      <w:r>
        <w:rPr>
          <w:rFonts w:ascii="Times New Roman" w:cs="Times New Roman" w:eastAsia="Times New Roman" w:hAnsi="Times New Roman"/>
          <w:sz w:val="18"/>
          <w:szCs w:val="18"/>
          <w:i w:val="1"/>
          <w:iCs w:val="1"/>
          <w:color w:val="auto"/>
        </w:rPr>
        <w:t>Risk Factors—Risks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Related to Polestar’s Business and Industry—Polestar is dependent on its strategic partners and suppliers, some of which are single-source suppliers, and the inability of these strategic partners and suppliers to deliver necessary components of Polestar’s products on schedule and at prices, quality levels and volumes acceptable to Polestar, or Polestar’s inability to efficiently manage these components, could have a material and adverse effect on Polestar’s results of operations and financial condition</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Risk Factors—Risks Related to Polestar’s Business and Industry— The global COVID-19 outbreak and the global response could continue to affect Polestar’s business and operations.</w:t>
      </w:r>
      <w:r>
        <w:rPr>
          <w:rFonts w:ascii="Times New Roman" w:cs="Times New Roman" w:eastAsia="Times New Roman" w:hAnsi="Times New Roman"/>
          <w:sz w:val="18"/>
          <w:szCs w:val="18"/>
          <w:color w:val="auto"/>
        </w:rPr>
        <w:t>” On July 13, 2022, Polestar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also announced that following prolonged government mandated COVID-19 lockdowns in China during the first half of 2022, which delayed production of Polestar vehicles, it is now pushing on with the introduction of a second shift in the Luqiao factory in China in order to recover some of the production lost earlier in the year, clearing the path for future growth.</w:t>
      </w:r>
    </w:p>
    <w:p>
      <w:pPr>
        <w:spacing w:after="0" w:line="196" w:lineRule="exact"/>
        <w:rPr>
          <w:sz w:val="20"/>
          <w:szCs w:val="20"/>
          <w:color w:val="auto"/>
        </w:rPr>
      </w:pPr>
    </w:p>
    <w:p>
      <w:pPr>
        <w:ind w:left="300" w:right="80"/>
        <w:spacing w:after="0" w:line="258" w:lineRule="auto"/>
        <w:rPr>
          <w:sz w:val="20"/>
          <w:szCs w:val="20"/>
          <w:color w:val="auto"/>
        </w:rPr>
      </w:pPr>
      <w:r>
        <w:rPr>
          <w:rFonts w:ascii="Times New Roman" w:cs="Times New Roman" w:eastAsia="Times New Roman" w:hAnsi="Times New Roman"/>
          <w:sz w:val="18"/>
          <w:szCs w:val="18"/>
          <w:color w:val="auto"/>
        </w:rPr>
        <w:t>Polestar also expects the effects from product and market mix to continue alongside foreign exchange and input cost inflation. Vehicle price increases and active cost management will help mitigate some of the impact on gross profit. For more information, also see “</w:t>
      </w:r>
      <w:r>
        <w:rPr>
          <w:rFonts w:ascii="Times New Roman" w:cs="Times New Roman" w:eastAsia="Times New Roman" w:hAnsi="Times New Roman"/>
          <w:sz w:val="18"/>
          <w:szCs w:val="18"/>
          <w:i w:val="1"/>
          <w:iCs w:val="1"/>
          <w:color w:val="auto"/>
        </w:rPr>
        <w:t>Risk Factors—Risks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Related to Polestar’s Business and Industry—Changes in foreign currency rates, interest rate risks, or inflation could materially affect </w:t>
      </w:r>
      <w:r>
        <w:rPr>
          <w:rFonts w:ascii="Times New Roman" w:cs="Times New Roman" w:eastAsia="Times New Roman" w:hAnsi="Times New Roman"/>
          <w:sz w:val="18"/>
          <w:szCs w:val="18"/>
          <w:color w:val="auto"/>
        </w:rPr>
        <w:t>Polestar’s</w:t>
      </w:r>
      <w:r>
        <w:rPr>
          <w:rFonts w:ascii="Times New Roman" w:cs="Times New Roman" w:eastAsia="Times New Roman" w:hAnsi="Times New Roman"/>
          <w:sz w:val="18"/>
          <w:szCs w:val="18"/>
          <w:i w:val="1"/>
          <w:iCs w:val="1"/>
          <w:color w:val="auto"/>
        </w:rPr>
        <w:t xml:space="preserve"> results of operations” and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Operating And Financial Review And Prospects—Polestar Automotive Holding UK PLC (formerly known as Polestar Automotive Holding UK Limited)—Key factors affecting performance—Impact of COVID-19, Russo-Ukrainian War, and inflation</w:t>
      </w:r>
      <w:r>
        <w:rPr>
          <w:rFonts w:ascii="Times New Roman" w:cs="Times New Roman" w:eastAsia="Times New Roman" w:hAnsi="Times New Roman"/>
          <w:sz w:val="18"/>
          <w:szCs w:val="18"/>
          <w:color w:val="auto"/>
        </w:rPr>
        <w:t>.”</w:t>
      </w:r>
    </w:p>
    <w:p>
      <w:pPr>
        <w:spacing w:after="0" w:line="28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Other Announcements</w:t>
      </w:r>
    </w:p>
    <w:p>
      <w:pPr>
        <w:spacing w:after="0" w:line="133" w:lineRule="exact"/>
        <w:rPr>
          <w:sz w:val="20"/>
          <w:szCs w:val="20"/>
          <w:color w:val="auto"/>
        </w:rPr>
      </w:pPr>
    </w:p>
    <w:p>
      <w:pPr>
        <w:ind w:left="1240" w:right="120" w:hanging="415"/>
        <w:spacing w:after="0" w:line="282" w:lineRule="auto"/>
        <w:tabs>
          <w:tab w:leader="none" w:pos="12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Polestar 3 electric performance SUV is scheduled for its world premiere in October 2022 in Copenhagen. For more information, please see the section “</w:t>
      </w:r>
      <w:r>
        <w:rPr>
          <w:rFonts w:ascii="Times New Roman" w:cs="Times New Roman" w:eastAsia="Times New Roman" w:hAnsi="Times New Roman"/>
          <w:sz w:val="18"/>
          <w:szCs w:val="18"/>
          <w:i w:val="1"/>
          <w:iCs w:val="1"/>
          <w:color w:val="auto"/>
        </w:rPr>
        <w:t>Business</w:t>
      </w:r>
      <w:r>
        <w:rPr>
          <w:rFonts w:ascii="Times New Roman" w:cs="Times New Roman" w:eastAsia="Times New Roman" w:hAnsi="Times New Roman"/>
          <w:sz w:val="18"/>
          <w:szCs w:val="18"/>
          <w:color w:val="auto"/>
        </w:rPr>
        <w:t>.”</w:t>
      </w:r>
    </w:p>
    <w:p>
      <w:pPr>
        <w:spacing w:after="0" w:line="270"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00"/>
          </w:cols>
          <w:pgMar w:left="320" w:top="455" w:right="67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9359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98970" cy="593598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240" w:hanging="415"/>
        <w:spacing w:after="0" w:line="266" w:lineRule="auto"/>
        <w:tabs>
          <w:tab w:leader="none" w:pos="12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August 2022, Polestar confirmed plans to put its electric roadster concept into production as Polestar 6, expected to launch in 2026. All 500 build slots of Polestar 6 LA Concept edition were reserved online within a week of the production announcement. For more information, please see the section “</w:t>
      </w:r>
      <w:r>
        <w:rPr>
          <w:rFonts w:ascii="Times New Roman" w:cs="Times New Roman" w:eastAsia="Times New Roman" w:hAnsi="Times New Roman"/>
          <w:sz w:val="18"/>
          <w:szCs w:val="18"/>
          <w:i w:val="1"/>
          <w:iCs w:val="1"/>
          <w:color w:val="auto"/>
        </w:rPr>
        <w:t>Business</w:t>
      </w:r>
      <w:r>
        <w:rPr>
          <w:rFonts w:ascii="Times New Roman" w:cs="Times New Roman" w:eastAsia="Times New Roman" w:hAnsi="Times New Roman"/>
          <w:sz w:val="18"/>
          <w:szCs w:val="18"/>
          <w:color w:val="auto"/>
        </w:rPr>
        <w:t>.”</w:t>
      </w:r>
    </w:p>
    <w:p>
      <w:pPr>
        <w:spacing w:after="0" w:line="81" w:lineRule="exact"/>
        <w:rPr>
          <w:rFonts w:ascii="Times New Roman" w:cs="Times New Roman" w:eastAsia="Times New Roman" w:hAnsi="Times New Roman"/>
          <w:sz w:val="18"/>
          <w:szCs w:val="18"/>
          <w:color w:val="auto"/>
        </w:rPr>
      </w:pPr>
    </w:p>
    <w:p>
      <w:pPr>
        <w:ind w:left="1240" w:right="200" w:hanging="415"/>
        <w:spacing w:after="0" w:line="261" w:lineRule="auto"/>
        <w:tabs>
          <w:tab w:leader="none" w:pos="12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support of Polestar’s working capital needs, over the last three months, Polestar repaid two existing and entered into two new 12-month unsecured working capital loan agreements with two banks in China, totaling approximately USD 200 million. Furthermore, in late August 2022, Polestar entered into an additional credit facility with one of those banks for approximately USD 145 million. For more information, please see “Operating And Financial Review and Prospects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w:t>
      </w:r>
    </w:p>
    <w:p>
      <w:pPr>
        <w:spacing w:after="0" w:line="2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Global Strategic Partnership with Hertz</w:t>
      </w:r>
    </w:p>
    <w:p>
      <w:pPr>
        <w:spacing w:after="0" w:line="121" w:lineRule="exact"/>
        <w:rPr>
          <w:sz w:val="20"/>
          <w:szCs w:val="20"/>
          <w:color w:val="auto"/>
        </w:rPr>
      </w:pPr>
    </w:p>
    <w:p>
      <w:pPr>
        <w:ind w:left="300" w:right="40" w:firstLine="426"/>
        <w:spacing w:after="0" w:line="255" w:lineRule="auto"/>
        <w:rPr>
          <w:sz w:val="20"/>
          <w:szCs w:val="20"/>
          <w:color w:val="auto"/>
        </w:rPr>
      </w:pPr>
      <w:r>
        <w:rPr>
          <w:rFonts w:ascii="Times New Roman" w:cs="Times New Roman" w:eastAsia="Times New Roman" w:hAnsi="Times New Roman"/>
          <w:sz w:val="18"/>
          <w:szCs w:val="18"/>
          <w:color w:val="auto"/>
        </w:rPr>
        <w:t>On March 11, 2022, Polestar entered into a letter of intent with Hertz pursuant to which Hertz intends to commit to purchase 65,000 or more Polestar vehicles during a 5-year period beginning in 2022. Polestar and Hertz signed four regional purchase agreements covering the United States, Canada, Europe, and Australia. The new global strategic partnership was announced by Polestar and Hertz Global Holdings, Inc. (NASDAQ: HTZ) on April 4, 2022. Availability of vehicles was expected to begin in Spring 2022 in Europe and late 2022 in North America and Australia. Under the partnership, Hertz is expected to initially order Polestar 2s. Polestar announced on June 9, 2022 that it began delivering new Polestar 2 electric cars to Hertz as part of this agreement. Further, Polestar also announced that Hertz is now also adding the Polestar 1 electric performance hybrid to its Dream fleet.</w:t>
      </w:r>
    </w:p>
    <w:p>
      <w:pPr>
        <w:spacing w:after="0" w:line="29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Declarations of Intent by Snita and PSD Investment Limited</w:t>
      </w:r>
    </w:p>
    <w:p>
      <w:pPr>
        <w:spacing w:after="0" w:line="121" w:lineRule="exact"/>
        <w:rPr>
          <w:sz w:val="20"/>
          <w:szCs w:val="20"/>
          <w:color w:val="auto"/>
        </w:rPr>
      </w:pPr>
    </w:p>
    <w:p>
      <w:pPr>
        <w:ind w:left="300" w:firstLine="426"/>
        <w:spacing w:after="0" w:line="252" w:lineRule="auto"/>
        <w:rPr>
          <w:sz w:val="20"/>
          <w:szCs w:val="20"/>
          <w:color w:val="auto"/>
        </w:rPr>
      </w:pPr>
      <w:r>
        <w:rPr>
          <w:rFonts w:ascii="Times New Roman" w:cs="Times New Roman" w:eastAsia="Times New Roman" w:hAnsi="Times New Roman"/>
          <w:sz w:val="18"/>
          <w:szCs w:val="18"/>
          <w:color w:val="auto"/>
        </w:rPr>
        <w:t>Polestar’s business is capital-intensive, and Polestar expects that the costs and expenses associated with its planned operations will continue to increase in the near term and, accordingly, Polestar anticipates that it will need to raise additional funds from time to time. Snita and PSD Investment Limited have each executed a Declaration of Intent (the “Declarations of Intent”). The Declarations of Intent are substantially identical and set forth the parties’ intention to subscribe for their pro rata share of equity or equity linked securities issued by Polestar in the event of any offering of such securities until March 31, 2024. The Declarations of Intent also provide that, (i) Polestar will actively seek appropriate debt financing and engage in raising capital from the market, and (ii) to the extent either Snita and/or PSD Investment Limited decide to make such investments, those investments will be made on market terms and conditions substantially identical to, or better than, those offered to third party investors and will be subject to all necessary corporate and/or regulatory approvals of Snita, Volvo Cars and/or PSD Investment Limited, as the case may be. The Declarations of Intent are not undertakings or guarantees, and any decision to invest in any offerings of securities by Polestar in the future are within the sole discretion of Snita and PSD Investment Limited, respectively. There can be no assurance that Snita and/or PSD Investment Limited will make any investment in the share capital of Polestar prior to March 31, 2024, or at all. There can also be no assurance that the amount of any further investment in Polestar by Snita and/or PSD Investment Limited will be sufficient to meet Polestar’s requirements or on terms acceptable to Polestar. See “Risk Factors—Risks Related to Financing and Strategic Transactions—Polestar will require additional capital to support business growth, and this capital might not be available on commercially reasonable terms, or at all” and “Certain Relationships and Related Party Transactions—Declarations of Intent by Snita and PSD Investment Limited.”</w:t>
      </w:r>
    </w:p>
    <w:p>
      <w:pPr>
        <w:spacing w:after="0" w:line="30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w:t>
      </w:r>
    </w:p>
    <w:p>
      <w:pPr>
        <w:spacing w:after="0" w:line="121" w:lineRule="exact"/>
        <w:rPr>
          <w:sz w:val="20"/>
          <w:szCs w:val="20"/>
          <w:color w:val="auto"/>
        </w:rPr>
      </w:pPr>
    </w:p>
    <w:p>
      <w:pPr>
        <w:ind w:left="300" w:right="60" w:firstLine="426"/>
        <w:spacing w:after="0" w:line="266" w:lineRule="auto"/>
        <w:rPr>
          <w:sz w:val="20"/>
          <w:szCs w:val="20"/>
          <w:color w:val="auto"/>
        </w:rPr>
      </w:pPr>
      <w:r>
        <w:rPr>
          <w:rFonts w:ascii="Times New Roman" w:cs="Times New Roman" w:eastAsia="Times New Roman" w:hAnsi="Times New Roman"/>
          <w:sz w:val="18"/>
          <w:szCs w:val="18"/>
          <w:color w:val="auto"/>
        </w:rPr>
        <w:t>On June 23, 2022, the Company consummated the previously announced Business Combination. Pursuant to the Business Combination Agreement, the following has occurred: (i) substantially concurrently with the Closing, (a) certain investors purchased approximately 7.43 million Class A Shares in the form of Class A ADSs</w:t>
      </w:r>
    </w:p>
    <w:p>
      <w:pPr>
        <w:spacing w:after="0" w:line="284"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880"/>
          </w:cols>
          <w:pgMar w:left="320" w:top="455" w:right="69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6616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98970" cy="566166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spacing w:after="0" w:line="268" w:lineRule="auto"/>
        <w:rPr>
          <w:sz w:val="20"/>
          <w:szCs w:val="20"/>
          <w:color w:val="auto"/>
        </w:rPr>
      </w:pPr>
      <w:r>
        <w:rPr>
          <w:rFonts w:ascii="Times New Roman" w:cs="Times New Roman" w:eastAsia="Times New Roman" w:hAnsi="Times New Roman"/>
          <w:sz w:val="17"/>
          <w:szCs w:val="17"/>
          <w:color w:val="auto"/>
        </w:rPr>
        <w:t>for an aggregate purchase price payable to the Company of approximately $67.5 million, (b) the GGI Sponsor purchased approximately 891,000 Class A Shares in the form of Class A ADSs for an aggregate purchase price payable to the Company of approximately $8.1 million, (c) Snita purchased, approximately 1.1 million Class A Shares in the form of Class A ADSs for a purchase price of $10.00 per share, for an aggregate investment amount equal to approximately $11.2 million, (d) certain investors (which include certain affiliates and employees of the GGI Sponsor) purchased approximately 14.3 million Class A Shares in the form of Class A ADSs for an aggregate purchase price payable to the Company of approximately $136.0 million, (e) certain investors (which include certain affiliates and employees of the GGI Sponsor) purchased approximately 2.8 million Class A Shares in the form of Class A ADSs for an aggregate purchase price payable to the Company of approximately $27.2 million and (f) Snita purchased mandatory convertible preference shares of the Company (the “Preference Shares”) for $10.00 per share, for an aggregate investment amount equal to $588,826,100 (the “Volvo Cars Preference Amount”); (ii) Merger Sub merged with and into GGI, pursuant to which the separate corporate existence of Merger Sub ceased and GGI became a wholly owned subsidiary of the Company, and all GGI Common Stock, issued and outstanding immediately prior to the Effective Time, was exchanged for Class A ADSs duly and validly issued against the deposit of an underlying Class A Share with the Company’s depositary with which the Company has established and sponsored American depositary receipt facilities (each, an “ADR Facility”); and (iii) at the Closing, each GGI Public Warrant was automatically cancelled and extinguished and converted into a Class C-1 ADS duly and validly issued against the deposit with the depositary of an underlying Class C-1 Share and each private placement warrant of GGI (“GGI Private Placement Warrant”) was automatically cancelled and extinguished and converted into the right to receive a Class C-2 ADS duly and validly issued against the deposit with the depositary of an underlying Class C-2 Share.</w:t>
      </w:r>
    </w:p>
    <w:p>
      <w:pPr>
        <w:spacing w:after="0" w:line="179" w:lineRule="exact"/>
        <w:rPr>
          <w:sz w:val="20"/>
          <w:szCs w:val="20"/>
          <w:color w:val="auto"/>
        </w:rPr>
      </w:pPr>
    </w:p>
    <w:p>
      <w:pPr>
        <w:ind w:left="300" w:right="40" w:firstLine="426"/>
        <w:spacing w:after="0" w:line="282" w:lineRule="auto"/>
        <w:rPr>
          <w:sz w:val="20"/>
          <w:szCs w:val="20"/>
          <w:color w:val="auto"/>
        </w:rPr>
      </w:pPr>
      <w:r>
        <w:rPr>
          <w:rFonts w:ascii="Times New Roman" w:cs="Times New Roman" w:eastAsia="Times New Roman" w:hAnsi="Times New Roman"/>
          <w:sz w:val="18"/>
          <w:szCs w:val="18"/>
          <w:color w:val="auto"/>
        </w:rPr>
        <w:t>As a result of the Business Combination, GGI became a wholly owned subsidiary of the Company. On June 24, 2022, the Class A ADSs and Class C-1 ADSs commenced trading on Nasdaq, under the new tickers “PSNY” and “PSNYW,” respectively.</w:t>
      </w:r>
    </w:p>
    <w:p>
      <w:pPr>
        <w:spacing w:after="0" w:line="162" w:lineRule="exact"/>
        <w:rPr>
          <w:sz w:val="20"/>
          <w:szCs w:val="20"/>
          <w:color w:val="auto"/>
        </w:rPr>
      </w:pPr>
    </w:p>
    <w:p>
      <w:pPr>
        <w:ind w:left="300" w:right="20" w:firstLine="426"/>
        <w:spacing w:after="0" w:line="253" w:lineRule="auto"/>
        <w:rPr>
          <w:sz w:val="20"/>
          <w:szCs w:val="20"/>
          <w:color w:val="auto"/>
        </w:rPr>
      </w:pPr>
      <w:r>
        <w:rPr>
          <w:rFonts w:ascii="Times New Roman" w:cs="Times New Roman" w:eastAsia="Times New Roman" w:hAnsi="Times New Roman"/>
          <w:sz w:val="18"/>
          <w:szCs w:val="18"/>
          <w:color w:val="auto"/>
        </w:rPr>
        <w:t>Certain of the Selling Securityholders, including Parent that beneficially owns approximately 91.8% of our outstanding Class A ADSs and Class B ADSs, are subject to the contractual lock-ups described below and, once the lock-ups expire or are waived, may sell all of their ADSs in the public market at any time, so long as the registration statement of which this prospectus forms a part remains effective and this prospectus remains usable. Pursuant to the Parent Lock-up Agreement, Parent is restricted, subject to certain exceptions, from selling any of the securities of Polestar that they received pursuant to the Business Combination Agreement or Related Agreements, which restrictions will expire and therefore additional Company securities and AD securities are eligible for resale 180 days after the Closing. Pursuant to the Sponsor and Supporting Sponsor Lock-Up Agreement, the GGI Initial Stockholders are restricted, subject to certain exceptions, from selling any of the Company securities or AD securities that they received pursuant to the Business Combination Agreement, in respect of their GGI Class F Common Stock, which restrictions will expire, and therefore additional Company securities and AD securities are eligible for resale, 180 days after the Closing. Sales of a substantial number of the Company securities and AD securities in the public market, or the perception that these sales might occur, could depress the market price of the Company’s securities.</w:t>
      </w:r>
    </w:p>
    <w:p>
      <w:pPr>
        <w:spacing w:after="0" w:line="29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Foreign Private Issuer</w:t>
      </w:r>
    </w:p>
    <w:p>
      <w:pPr>
        <w:spacing w:after="0" w:line="121" w:lineRule="exact"/>
        <w:rPr>
          <w:sz w:val="20"/>
          <w:szCs w:val="20"/>
          <w:color w:val="auto"/>
        </w:rPr>
      </w:pPr>
    </w:p>
    <w:p>
      <w:pPr>
        <w:ind w:left="300" w:right="120" w:firstLine="426"/>
        <w:spacing w:after="0" w:line="266" w:lineRule="auto"/>
        <w:rPr>
          <w:sz w:val="20"/>
          <w:szCs w:val="20"/>
          <w:color w:val="auto"/>
        </w:rPr>
      </w:pPr>
      <w:r>
        <w:rPr>
          <w:rFonts w:ascii="Times New Roman" w:cs="Times New Roman" w:eastAsia="Times New Roman" w:hAnsi="Times New Roman"/>
          <w:sz w:val="18"/>
          <w:szCs w:val="18"/>
          <w:color w:val="auto"/>
        </w:rPr>
        <w:t>As a foreign private issuer, the Company is subject to different U.S. securities laws than domestic U.S. issuers. As long as the Company continues to qualify as a foreign private issuer under the Exchange Act, the Company is exempt from certain provisions of the Exchange Act that are applicable to U.S. domestic public companies, including:</w:t>
      </w:r>
    </w:p>
    <w:p>
      <w:pPr>
        <w:spacing w:after="0" w:line="81" w:lineRule="exact"/>
        <w:rPr>
          <w:sz w:val="20"/>
          <w:szCs w:val="20"/>
          <w:color w:val="auto"/>
        </w:rPr>
      </w:pPr>
    </w:p>
    <w:p>
      <w:pPr>
        <w:ind w:left="1240" w:right="240" w:hanging="415"/>
        <w:spacing w:after="0" w:line="282" w:lineRule="auto"/>
        <w:tabs>
          <w:tab w:leader="none" w:pos="12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sections of the Exchange Act regulating the solicitation of proxies, consents or authorizations in respect of a security registered under the Exchange Act;</w:t>
      </w:r>
    </w:p>
    <w:p>
      <w:pPr>
        <w:spacing w:after="0" w:line="270"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880"/>
          </w:cols>
          <w:pgMar w:left="320" w:top="455" w:right="69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1074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98970" cy="610743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240" w:right="20" w:hanging="415"/>
        <w:spacing w:after="0" w:line="282" w:lineRule="auto"/>
        <w:tabs>
          <w:tab w:leader="none" w:pos="12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sections of the Exchange Act requiring insiders to file public reports of their stock ownership and trading activities and liability for insiders who profit from trades made in a short period of time; and</w:t>
      </w:r>
    </w:p>
    <w:p>
      <w:pPr>
        <w:spacing w:after="0" w:line="67" w:lineRule="exact"/>
        <w:rPr>
          <w:rFonts w:ascii="Times New Roman" w:cs="Times New Roman" w:eastAsia="Times New Roman" w:hAnsi="Times New Roman"/>
          <w:sz w:val="18"/>
          <w:szCs w:val="18"/>
          <w:color w:val="auto"/>
        </w:rPr>
      </w:pPr>
    </w:p>
    <w:p>
      <w:pPr>
        <w:ind w:left="1240" w:right="160" w:hanging="415"/>
        <w:spacing w:after="0" w:line="282" w:lineRule="auto"/>
        <w:tabs>
          <w:tab w:leader="none" w:pos="12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rules under the Exchange Act requiring the filing with the SEC of quarterly reports on Form 10-Q containing unaudited financial and other specified information, or current reports on Form 8-K, upon the occurrence of specified significant events.</w:t>
      </w:r>
    </w:p>
    <w:p>
      <w:pPr>
        <w:spacing w:after="0" w:line="162" w:lineRule="exact"/>
        <w:rPr>
          <w:sz w:val="20"/>
          <w:szCs w:val="20"/>
          <w:color w:val="auto"/>
        </w:rPr>
      </w:pPr>
    </w:p>
    <w:p>
      <w:pPr>
        <w:ind w:left="300" w:firstLine="426"/>
        <w:spacing w:after="0" w:line="266" w:lineRule="auto"/>
        <w:rPr>
          <w:sz w:val="20"/>
          <w:szCs w:val="20"/>
          <w:color w:val="auto"/>
        </w:rPr>
      </w:pPr>
      <w:r>
        <w:rPr>
          <w:rFonts w:ascii="Times New Roman" w:cs="Times New Roman" w:eastAsia="Times New Roman" w:hAnsi="Times New Roman"/>
          <w:sz w:val="18"/>
          <w:szCs w:val="18"/>
          <w:color w:val="auto"/>
        </w:rPr>
        <w:t>In addition, the Company is not required to file annual reports and financial statements with the SEC as promptly as U.S. domestic companies whose securities are registered under the Exchange Act, and is not required to comply with Regulation FD, which restricts the selective disclosure of material information.</w:t>
      </w:r>
    </w:p>
    <w:p>
      <w:pPr>
        <w:spacing w:after="0" w:line="176" w:lineRule="exact"/>
        <w:rPr>
          <w:sz w:val="20"/>
          <w:szCs w:val="20"/>
          <w:color w:val="auto"/>
        </w:rPr>
      </w:pPr>
    </w:p>
    <w:p>
      <w:pPr>
        <w:ind w:left="300" w:right="400" w:firstLine="426"/>
        <w:spacing w:after="0" w:line="261" w:lineRule="auto"/>
        <w:rPr>
          <w:sz w:val="20"/>
          <w:szCs w:val="20"/>
          <w:color w:val="auto"/>
        </w:rPr>
      </w:pPr>
      <w:r>
        <w:rPr>
          <w:rFonts w:ascii="Times New Roman" w:cs="Times New Roman" w:eastAsia="Times New Roman" w:hAnsi="Times New Roman"/>
          <w:sz w:val="18"/>
          <w:szCs w:val="18"/>
          <w:color w:val="auto"/>
        </w:rPr>
        <w:t>Further, the Company is exempt from certain corporate governance requirements of Nasdaq by virtue of being a foreign private issuer. Although the foreign private issuer status exempts the Company from most of Nasdaq’s corporate governance requirements, the Company has decided to voluntarily comply with these requirements, except for the requirement to have a compensation committee and a nominating and corporate governance committee consisting entirely of independent directors.</w:t>
      </w:r>
    </w:p>
    <w:p>
      <w:pPr>
        <w:spacing w:after="0" w:line="180" w:lineRule="exact"/>
        <w:rPr>
          <w:sz w:val="20"/>
          <w:szCs w:val="20"/>
          <w:color w:val="auto"/>
        </w:rPr>
      </w:pPr>
    </w:p>
    <w:p>
      <w:pPr>
        <w:ind w:left="300" w:firstLine="426"/>
        <w:spacing w:after="0" w:line="258" w:lineRule="auto"/>
        <w:rPr>
          <w:sz w:val="20"/>
          <w:szCs w:val="20"/>
          <w:color w:val="auto"/>
        </w:rPr>
      </w:pPr>
      <w:r>
        <w:rPr>
          <w:rFonts w:ascii="Times New Roman" w:cs="Times New Roman" w:eastAsia="Times New Roman" w:hAnsi="Times New Roman"/>
          <w:sz w:val="18"/>
          <w:szCs w:val="18"/>
          <w:color w:val="auto"/>
        </w:rPr>
        <w:t>Furthermore, Nasdaq rules also generally require each listed company to obtain shareholder approval prior to the issuance of securities in certain circumstances in connection with the acquisition of the stock or assets of another company, equity based compensation of officers, directors, employees or consultants, change of control and certain transactions other than a public offering. As a foreign private issuer, the Company is exempt from these requirements and may elect not to obtain shareholders’ approval prior to any further issuance of our Class A ADSs other than as may be required by the laws of England and Wales.</w:t>
      </w:r>
    </w:p>
    <w:p>
      <w:pPr>
        <w:spacing w:after="0" w:line="183" w:lineRule="exact"/>
        <w:rPr>
          <w:sz w:val="20"/>
          <w:szCs w:val="20"/>
          <w:color w:val="auto"/>
        </w:rPr>
      </w:pPr>
    </w:p>
    <w:p>
      <w:pPr>
        <w:ind w:left="300" w:right="40" w:firstLine="426"/>
        <w:spacing w:after="0" w:line="261" w:lineRule="auto"/>
        <w:rPr>
          <w:sz w:val="20"/>
          <w:szCs w:val="20"/>
          <w:color w:val="auto"/>
        </w:rPr>
      </w:pPr>
      <w:r>
        <w:rPr>
          <w:rFonts w:ascii="Times New Roman" w:cs="Times New Roman" w:eastAsia="Times New Roman" w:hAnsi="Times New Roman"/>
          <w:sz w:val="18"/>
          <w:szCs w:val="18"/>
          <w:color w:val="auto"/>
        </w:rPr>
        <w:t>Subject to requirements under the Polestar Articles and Shareholder Acknowledgment Agreement that the Board be comprised of a majority of independent directors for the three years following the Closing, the Company may in the future elect to avail itself of these exemptions or to follow home country practices with regard to other matters. As a result, its shareholders will not have the same protections afforded to shareholders of companies that are subject to all of Nasdaq’s corporate governance requirements.</w:t>
      </w:r>
    </w:p>
    <w:p>
      <w:pPr>
        <w:spacing w:after="0" w:line="2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Controlled Company</w:t>
      </w:r>
    </w:p>
    <w:p>
      <w:pPr>
        <w:spacing w:after="0" w:line="121" w:lineRule="exact"/>
        <w:rPr>
          <w:sz w:val="20"/>
          <w:szCs w:val="20"/>
          <w:color w:val="auto"/>
        </w:rPr>
      </w:pPr>
    </w:p>
    <w:p>
      <w:pPr>
        <w:ind w:left="300" w:right="320" w:firstLine="426"/>
        <w:spacing w:after="0" w:line="282" w:lineRule="auto"/>
        <w:rPr>
          <w:sz w:val="20"/>
          <w:szCs w:val="20"/>
          <w:color w:val="auto"/>
        </w:rPr>
      </w:pPr>
      <w:r>
        <w:rPr>
          <w:rFonts w:ascii="Times New Roman" w:cs="Times New Roman" w:eastAsia="Times New Roman" w:hAnsi="Times New Roman"/>
          <w:sz w:val="18"/>
          <w:szCs w:val="18"/>
          <w:color w:val="auto"/>
        </w:rPr>
        <w:t>By virtue of being a controlled company under Nasdaq listing rules, the Company may elect not to comply with certain Nasdaq corporate governance requirements, including that:</w:t>
      </w:r>
    </w:p>
    <w:p>
      <w:pPr>
        <w:spacing w:after="0" w:line="67" w:lineRule="exact"/>
        <w:rPr>
          <w:sz w:val="20"/>
          <w:szCs w:val="20"/>
          <w:color w:val="auto"/>
        </w:rPr>
      </w:pPr>
    </w:p>
    <w:p>
      <w:pPr>
        <w:ind w:left="1240" w:right="280" w:hanging="415"/>
        <w:spacing w:after="0" w:line="266" w:lineRule="auto"/>
        <w:tabs>
          <w:tab w:leader="none" w:pos="12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majority of the board of directors consist of independent directors (however, pursuant to the Polestar Articles and Shareholder Acknowledgment Agreement, for the three years following the Closing, the Board must be comprised of a majority of independent directors);</w:t>
      </w:r>
    </w:p>
    <w:p>
      <w:pPr>
        <w:spacing w:after="0" w:line="81" w:lineRule="exact"/>
        <w:rPr>
          <w:rFonts w:ascii="Times New Roman" w:cs="Times New Roman" w:eastAsia="Times New Roman" w:hAnsi="Times New Roman"/>
          <w:sz w:val="18"/>
          <w:szCs w:val="18"/>
          <w:color w:val="auto"/>
        </w:rPr>
      </w:pPr>
    </w:p>
    <w:p>
      <w:pPr>
        <w:ind w:left="1240" w:right="60" w:hanging="415"/>
        <w:spacing w:after="0" w:line="282" w:lineRule="auto"/>
        <w:tabs>
          <w:tab w:leader="none" w:pos="12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compensation committee be composed entirely of independent directors with a written charter addressing the committee’s purpose and responsibilities;</w:t>
      </w:r>
    </w:p>
    <w:p>
      <w:pPr>
        <w:spacing w:after="0" w:line="67" w:lineRule="exact"/>
        <w:rPr>
          <w:rFonts w:ascii="Times New Roman" w:cs="Times New Roman" w:eastAsia="Times New Roman" w:hAnsi="Times New Roman"/>
          <w:sz w:val="18"/>
          <w:szCs w:val="18"/>
          <w:color w:val="auto"/>
        </w:rPr>
      </w:pPr>
    </w:p>
    <w:p>
      <w:pPr>
        <w:ind w:left="1240" w:right="600" w:hanging="415"/>
        <w:spacing w:after="0" w:line="282" w:lineRule="auto"/>
        <w:tabs>
          <w:tab w:leader="none" w:pos="12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nominating and governance committee be composed entirely of independent directors with a written charter addressing the committee’s purpose and responsibilities; and</w:t>
      </w:r>
    </w:p>
    <w:p>
      <w:pPr>
        <w:spacing w:after="0" w:line="67"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be an annual performance evaluation of the compensation and nominating and corporate governance committees.</w:t>
      </w:r>
    </w:p>
    <w:p>
      <w:pPr>
        <w:spacing w:after="0" w:line="225" w:lineRule="exact"/>
        <w:rPr>
          <w:sz w:val="20"/>
          <w:szCs w:val="20"/>
          <w:color w:val="auto"/>
        </w:rPr>
      </w:pPr>
    </w:p>
    <w:p>
      <w:pPr>
        <w:ind w:left="300" w:right="220" w:firstLine="426"/>
        <w:spacing w:after="0" w:line="282" w:lineRule="auto"/>
        <w:rPr>
          <w:sz w:val="20"/>
          <w:szCs w:val="20"/>
          <w:color w:val="auto"/>
        </w:rPr>
      </w:pPr>
      <w:r>
        <w:rPr>
          <w:rFonts w:ascii="Times New Roman" w:cs="Times New Roman" w:eastAsia="Times New Roman" w:hAnsi="Times New Roman"/>
          <w:sz w:val="18"/>
          <w:szCs w:val="18"/>
          <w:color w:val="auto"/>
        </w:rPr>
        <w:t>Other than as specified above, the Company may in the future elect to avail itself of these exemptions. As a result, its shareholders will not have the same protections afforded to shareholders of companies that are subject to all of Nasdaq’s corporate governance requirements.</w:t>
      </w:r>
    </w:p>
    <w:p>
      <w:pPr>
        <w:spacing w:after="0" w:line="270"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40"/>
          </w:cols>
          <w:pgMar w:left="320" w:top="455" w:right="6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1506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98970" cy="615061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21" w:lineRule="exact"/>
        <w:rPr>
          <w:sz w:val="20"/>
          <w:szCs w:val="20"/>
          <w:color w:val="auto"/>
        </w:rPr>
      </w:pPr>
    </w:p>
    <w:p>
      <w:pPr>
        <w:ind w:left="300" w:right="40" w:firstLine="426"/>
        <w:spacing w:after="0" w:line="266" w:lineRule="auto"/>
        <w:rPr>
          <w:sz w:val="20"/>
          <w:szCs w:val="20"/>
          <w:color w:val="auto"/>
        </w:rPr>
      </w:pPr>
      <w:r>
        <w:rPr>
          <w:rFonts w:ascii="Times New Roman" w:cs="Times New Roman" w:eastAsia="Times New Roman" w:hAnsi="Times New Roman"/>
          <w:sz w:val="18"/>
          <w:szCs w:val="18"/>
          <w:color w:val="auto"/>
        </w:rPr>
        <w:t>An investment in securities of Polestar involves substantial risks and uncertainties that may adversely affect Polestar’s business, financial condition and results of operations and cash flows. Some of the more significant challenges and risks relating to an investment in Polestar include, among other things, the following:</w:t>
      </w:r>
    </w:p>
    <w:p>
      <w:pPr>
        <w:spacing w:after="0" w:line="81" w:lineRule="exact"/>
        <w:rPr>
          <w:sz w:val="20"/>
          <w:szCs w:val="20"/>
          <w:color w:val="auto"/>
        </w:rPr>
      </w:pPr>
    </w:p>
    <w:p>
      <w:pPr>
        <w:ind w:left="1240" w:hanging="415"/>
        <w:spacing w:after="0" w:line="256" w:lineRule="auto"/>
        <w:tabs>
          <w:tab w:leader="none" w:pos="12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Polestar’s operations rely heavily on a variety of agreements with its strategic partners, Volvo Cars and Geely, including agreements related to research and development, purchasing, manufacturing engineering and logistics, and Polestar may come to rely on other original equipment manufacturers, vendors and technology providers. The inability of Polestar to maintain agreements or partnerships with its existing strategic partners or to enter into new agreements or partnerships could have a material and adverse effect on Polestar’s ability to operate as a standalone business, produce vehicles, reach its development and production targets or focus efforts on its core areas of differentiation.</w:t>
      </w:r>
    </w:p>
    <w:p>
      <w:pPr>
        <w:spacing w:after="0" w:line="92" w:lineRule="exact"/>
        <w:rPr>
          <w:rFonts w:ascii="Times New Roman" w:cs="Times New Roman" w:eastAsia="Times New Roman" w:hAnsi="Times New Roman"/>
          <w:sz w:val="18"/>
          <w:szCs w:val="18"/>
          <w:color w:val="auto"/>
        </w:rPr>
      </w:pPr>
    </w:p>
    <w:p>
      <w:pPr>
        <w:ind w:left="1240" w:right="40" w:hanging="415"/>
        <w:spacing w:after="0" w:line="266" w:lineRule="auto"/>
        <w:tabs>
          <w:tab w:leader="none" w:pos="12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Polestar’s ability to produce vehicles and its future growth depend upon its ability to maintain relationships with its existing suppliers and strategic partners, and source new suppliers for its critical components, and to complete building out its supply chain, while effectively managing the risks due to such relationships.</w:t>
      </w:r>
    </w:p>
    <w:p>
      <w:pPr>
        <w:spacing w:after="0" w:line="81" w:lineRule="exact"/>
        <w:rPr>
          <w:rFonts w:ascii="Times New Roman" w:cs="Times New Roman" w:eastAsia="Times New Roman" w:hAnsi="Times New Roman"/>
          <w:sz w:val="18"/>
          <w:szCs w:val="18"/>
          <w:color w:val="auto"/>
        </w:rPr>
      </w:pPr>
    </w:p>
    <w:p>
      <w:pPr>
        <w:ind w:left="1240" w:right="200" w:hanging="415"/>
        <w:spacing w:after="0" w:line="261" w:lineRule="auto"/>
        <w:tabs>
          <w:tab w:leader="none" w:pos="12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Polestar is dependent on its strategic partners and suppliers, some of which are single-source suppliers, and the inability of these strategic partners and suppliers to deliver necessary components of Polestar’s products on schedule and at prices, quality levels and volumes acceptable to Polestar, or Polestar’s inability to efficiently manage these components, could have a material and adverse effect on Polestar’s results of operations and financial condition.</w:t>
      </w:r>
    </w:p>
    <w:p>
      <w:pPr>
        <w:spacing w:after="0" w:line="85" w:lineRule="exact"/>
        <w:rPr>
          <w:rFonts w:ascii="Times New Roman" w:cs="Times New Roman" w:eastAsia="Times New Roman" w:hAnsi="Times New Roman"/>
          <w:sz w:val="18"/>
          <w:szCs w:val="18"/>
          <w:color w:val="auto"/>
        </w:rPr>
      </w:pPr>
    </w:p>
    <w:p>
      <w:pPr>
        <w:ind w:left="1240" w:right="20" w:hanging="415"/>
        <w:spacing w:after="0" w:line="258" w:lineRule="auto"/>
        <w:tabs>
          <w:tab w:leader="none" w:pos="12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Polestar may not be able to accurately estimate the supply and demand for its vehicles, which could result in inefficiencies in its business, hinder its ability to generate revenue and create delays in the production of its vehicles. If Polestar fails to accurately predict its manufacturing requirements, Polestar will incur the risk of having to pay for production capacities that it reserved but will not be able to use or that Polestar will not be able to secure sufficient additional production capacities at reasonable costs in case product demand exceeds expectations.</w:t>
      </w:r>
    </w:p>
    <w:p>
      <w:pPr>
        <w:spacing w:after="0" w:line="88" w:lineRule="exact"/>
        <w:rPr>
          <w:rFonts w:ascii="Times New Roman" w:cs="Times New Roman" w:eastAsia="Times New Roman" w:hAnsi="Times New Roman"/>
          <w:sz w:val="18"/>
          <w:szCs w:val="18"/>
          <w:color w:val="auto"/>
        </w:rPr>
      </w:pPr>
    </w:p>
    <w:p>
      <w:pPr>
        <w:ind w:left="1240" w:right="180" w:hanging="415"/>
        <w:spacing w:after="0" w:line="261" w:lineRule="auto"/>
        <w:tabs>
          <w:tab w:leader="none" w:pos="12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Polestar may be unable to grow its global product sales, delivery capabilities and its servicing and vehicle charging partnerships, or Polestar may be unable to accurately project and effectively manage its growth. If Polestar is unable to expand its charging network and servicing capabilities, customers’ perceptions of Polestar could be negatively affected, which could materially and adversely affect Polestar’s business, financial condition, results of operations and prospects.</w:t>
      </w:r>
    </w:p>
    <w:p>
      <w:pPr>
        <w:spacing w:after="0" w:line="85"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Polestar relies on its partnerships with vehicle charging networks to provide charging solutions for its vehicles.</w:t>
      </w:r>
    </w:p>
    <w:p>
      <w:pPr>
        <w:spacing w:after="0" w:line="130" w:lineRule="exact"/>
        <w:rPr>
          <w:rFonts w:ascii="Times New Roman" w:cs="Times New Roman" w:eastAsia="Times New Roman" w:hAnsi="Times New Roman"/>
          <w:sz w:val="18"/>
          <w:szCs w:val="18"/>
          <w:color w:val="auto"/>
        </w:rPr>
      </w:pPr>
    </w:p>
    <w:p>
      <w:pPr>
        <w:ind w:left="1240" w:right="100" w:hanging="415"/>
        <w:spacing w:after="0" w:line="266" w:lineRule="auto"/>
        <w:tabs>
          <w:tab w:leader="none" w:pos="12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Polestar relies on its strategic partners for servicing its vehicles and their integrated software. If Polestar or its strategic partners are unable to adequately address the service requirements of its customers, Polestar’s business, prospects, financial condition and results of operations may be materially and adversely affected.</w:t>
      </w:r>
    </w:p>
    <w:p>
      <w:pPr>
        <w:spacing w:after="0" w:line="81" w:lineRule="exact"/>
        <w:rPr>
          <w:rFonts w:ascii="Times New Roman" w:cs="Times New Roman" w:eastAsia="Times New Roman" w:hAnsi="Times New Roman"/>
          <w:sz w:val="18"/>
          <w:szCs w:val="18"/>
          <w:color w:val="auto"/>
        </w:rPr>
      </w:pPr>
    </w:p>
    <w:p>
      <w:pPr>
        <w:ind w:left="1240" w:right="300" w:hanging="415"/>
        <w:spacing w:after="0" w:line="282" w:lineRule="auto"/>
        <w:tabs>
          <w:tab w:leader="none" w:pos="12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Polestar has experienced and may in the future experience significant delays in the design, development, manufacture, launch and financing of its vehicles, which could harm its business and prospects.</w:t>
      </w:r>
    </w:p>
    <w:p>
      <w:pPr>
        <w:spacing w:after="0" w:line="67" w:lineRule="exact"/>
        <w:rPr>
          <w:rFonts w:ascii="Times New Roman" w:cs="Times New Roman" w:eastAsia="Times New Roman" w:hAnsi="Times New Roman"/>
          <w:sz w:val="18"/>
          <w:szCs w:val="18"/>
          <w:color w:val="auto"/>
        </w:rPr>
      </w:pPr>
    </w:p>
    <w:p>
      <w:pPr>
        <w:ind w:left="1240" w:right="240" w:hanging="415"/>
        <w:spacing w:after="0" w:line="282" w:lineRule="auto"/>
        <w:tabs>
          <w:tab w:leader="none" w:pos="12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Polestar has incurred net losses each year since its inception and expects to incur increasing expenses and substantial losses for the foreseeable future.</w:t>
      </w:r>
    </w:p>
    <w:p>
      <w:pPr>
        <w:spacing w:after="0" w:line="67" w:lineRule="exact"/>
        <w:rPr>
          <w:rFonts w:ascii="Times New Roman" w:cs="Times New Roman" w:eastAsia="Times New Roman" w:hAnsi="Times New Roman"/>
          <w:sz w:val="18"/>
          <w:szCs w:val="18"/>
          <w:color w:val="auto"/>
        </w:rPr>
      </w:pPr>
    </w:p>
    <w:p>
      <w:pPr>
        <w:ind w:left="1240" w:right="240" w:hanging="415"/>
        <w:spacing w:after="0" w:line="266" w:lineRule="auto"/>
        <w:tabs>
          <w:tab w:leader="none" w:pos="12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Polestar Group’s independent registered public accounting firm has included an explanatory paragraph relating to Polestar Group’s ability to continue as a going concern in its report on Polestar Group’s audited consolidated financial statements included in this Report.</w:t>
      </w:r>
    </w:p>
    <w:p>
      <w:pPr>
        <w:spacing w:after="0" w:line="284"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880"/>
          </w:cols>
          <w:pgMar w:left="320" w:top="455" w:right="69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09917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98970" cy="609917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240" w:hanging="415"/>
        <w:spacing w:after="0" w:line="266" w:lineRule="auto"/>
        <w:tabs>
          <w:tab w:leader="none" w:pos="12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costs, disruption of supply or shortage of materials, in particular for lithium-ion cells or semiconductors, could harm Polestar’s business. Polestar will need to maintain and significantly grow its access to battery cells, including through the development and manufacture of its own cells, and control its related costs.</w:t>
      </w:r>
    </w:p>
    <w:p>
      <w:pPr>
        <w:spacing w:after="0" w:line="81" w:lineRule="exact"/>
        <w:rPr>
          <w:rFonts w:ascii="Times New Roman" w:cs="Times New Roman" w:eastAsia="Times New Roman" w:hAnsi="Times New Roman"/>
          <w:sz w:val="18"/>
          <w:szCs w:val="18"/>
          <w:color w:val="auto"/>
        </w:rPr>
      </w:pPr>
    </w:p>
    <w:p>
      <w:pPr>
        <w:jc w:val="both"/>
        <w:ind w:left="1240" w:right="440" w:hanging="415"/>
        <w:spacing w:after="0" w:line="266" w:lineRule="auto"/>
        <w:tabs>
          <w:tab w:leader="none" w:pos="12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Polestar relies heavily on manufacturing facilities and suppliers, including single-source suppliers, based in China and its growth strategy will depend on growing its business in China. This subjects Polestar to economic, operational, regulatory and legal risks specific to China.</w:t>
      </w:r>
    </w:p>
    <w:p>
      <w:pPr>
        <w:spacing w:after="0" w:line="81" w:lineRule="exact"/>
        <w:rPr>
          <w:rFonts w:ascii="Times New Roman" w:cs="Times New Roman" w:eastAsia="Times New Roman" w:hAnsi="Times New Roman"/>
          <w:sz w:val="18"/>
          <w:szCs w:val="18"/>
          <w:color w:val="auto"/>
        </w:rPr>
      </w:pPr>
    </w:p>
    <w:p>
      <w:pPr>
        <w:ind w:left="1240" w:right="80" w:hanging="415"/>
        <w:spacing w:after="0" w:line="266" w:lineRule="auto"/>
        <w:tabs>
          <w:tab w:leader="none" w:pos="12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Chinese government may intervene in or influence Polestar’s or Polestar’s partners’ operations in China at any time, which could result in a material change in Polestar’s operations and ability to produce vehicles significantly and adversely impact the value of Polestar’s securities.</w:t>
      </w:r>
    </w:p>
    <w:p>
      <w:pPr>
        <w:spacing w:after="0" w:line="81" w:lineRule="exact"/>
        <w:rPr>
          <w:rFonts w:ascii="Times New Roman" w:cs="Times New Roman" w:eastAsia="Times New Roman" w:hAnsi="Times New Roman"/>
          <w:sz w:val="18"/>
          <w:szCs w:val="18"/>
          <w:color w:val="auto"/>
        </w:rPr>
      </w:pPr>
    </w:p>
    <w:p>
      <w:pPr>
        <w:ind w:left="1240" w:right="40" w:hanging="415"/>
        <w:spacing w:after="0" w:line="282" w:lineRule="auto"/>
        <w:tabs>
          <w:tab w:leader="none" w:pos="12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Chinese policies, regulations and rules may be quick with little advance notice and the enforcement of laws of the Chinese government is uncertain and could have a significant impact upon Polestar’s and its partners’ ability to operate profitably.</w:t>
      </w:r>
    </w:p>
    <w:p>
      <w:pPr>
        <w:spacing w:after="0" w:line="67" w:lineRule="exact"/>
        <w:rPr>
          <w:rFonts w:ascii="Times New Roman" w:cs="Times New Roman" w:eastAsia="Times New Roman" w:hAnsi="Times New Roman"/>
          <w:sz w:val="18"/>
          <w:szCs w:val="18"/>
          <w:color w:val="auto"/>
        </w:rPr>
      </w:pPr>
    </w:p>
    <w:p>
      <w:pPr>
        <w:ind w:left="1240" w:right="300" w:hanging="415"/>
        <w:spacing w:after="0" w:line="266" w:lineRule="auto"/>
        <w:tabs>
          <w:tab w:leader="none" w:pos="12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Polestar and its subsidiaries (i) may not receive or maintain permissions or approvals to operate in China, (ii) may inadvertently conclude that such permissions or approvals are not required or (iii) may be required to obtain new permissions or approvals in the future due to changes in applicable laws, regulations, or interpretations related thereto.</w:t>
      </w:r>
    </w:p>
    <w:p>
      <w:pPr>
        <w:spacing w:after="0" w:line="81" w:lineRule="exact"/>
        <w:rPr>
          <w:rFonts w:ascii="Times New Roman" w:cs="Times New Roman" w:eastAsia="Times New Roman" w:hAnsi="Times New Roman"/>
          <w:sz w:val="18"/>
          <w:szCs w:val="18"/>
          <w:color w:val="auto"/>
        </w:rPr>
      </w:pPr>
    </w:p>
    <w:p>
      <w:pPr>
        <w:ind w:left="1240" w:right="40" w:hanging="415"/>
        <w:spacing w:after="0" w:line="266" w:lineRule="auto"/>
        <w:tabs>
          <w:tab w:leader="none" w:pos="12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Polestar’s distribution model is different from the currently predominant distribution model for automakers, and its long-term viability is unproven. Polestar does not have a third-party retail product distribution network in all of the countries in which it operates. Polestar may face regulatory challenges to or limitations on its ability to sell vehicles directly.</w:t>
      </w:r>
    </w:p>
    <w:p>
      <w:pPr>
        <w:spacing w:after="0" w:line="81" w:lineRule="exact"/>
        <w:rPr>
          <w:rFonts w:ascii="Times New Roman" w:cs="Times New Roman" w:eastAsia="Times New Roman" w:hAnsi="Times New Roman"/>
          <w:sz w:val="18"/>
          <w:szCs w:val="18"/>
          <w:color w:val="auto"/>
        </w:rPr>
      </w:pPr>
    </w:p>
    <w:p>
      <w:pPr>
        <w:jc w:val="both"/>
        <w:ind w:left="1240" w:right="160" w:hanging="415"/>
        <w:spacing w:after="0" w:line="312" w:lineRule="auto"/>
        <w:tabs>
          <w:tab w:leader="none" w:pos="124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Insufficient reserves to cover future warranty or part replacement needs or other vehicle repair requirements, including any potential software upgrades, could materially and adversely affect Polestar’s business, prospects, financial condition and results of operations.</w:t>
      </w:r>
    </w:p>
    <w:p>
      <w:pPr>
        <w:spacing w:after="0" w:line="45" w:lineRule="exact"/>
        <w:rPr>
          <w:rFonts w:ascii="Times New Roman" w:cs="Times New Roman" w:eastAsia="Times New Roman" w:hAnsi="Times New Roman"/>
          <w:sz w:val="17"/>
          <w:szCs w:val="17"/>
          <w:color w:val="auto"/>
        </w:rPr>
      </w:pPr>
    </w:p>
    <w:p>
      <w:pPr>
        <w:ind w:left="1240" w:right="220" w:hanging="415"/>
        <w:spacing w:after="0" w:line="261" w:lineRule="auto"/>
        <w:tabs>
          <w:tab w:leader="none" w:pos="12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Polestar is subject to risks associated with advanced driver assistance system technology. Polestar is also working on adding autonomous driving technology to its vehicles and expects to be subject to the risks associated with this technology. Polestar cannot guarantee that its vehicles will achieve its targeted assisted or autonomous driving functionality within its projected timeframe, or ever.</w:t>
      </w:r>
    </w:p>
    <w:p>
      <w:pPr>
        <w:spacing w:after="0" w:line="85" w:lineRule="exact"/>
        <w:rPr>
          <w:rFonts w:ascii="Times New Roman" w:cs="Times New Roman" w:eastAsia="Times New Roman" w:hAnsi="Times New Roman"/>
          <w:sz w:val="18"/>
          <w:szCs w:val="18"/>
          <w:color w:val="auto"/>
        </w:rPr>
      </w:pPr>
    </w:p>
    <w:p>
      <w:pPr>
        <w:ind w:left="1240" w:right="480" w:hanging="415"/>
        <w:spacing w:after="0" w:line="282" w:lineRule="auto"/>
        <w:tabs>
          <w:tab w:leader="none" w:pos="12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Polestar may be unable to offer attractive leasing and financing options for its current vehicle models and future vehicles, which would adversely affect consumer demand for its vehicles.</w:t>
      </w:r>
    </w:p>
    <w:p>
      <w:pPr>
        <w:spacing w:after="0" w:line="67"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Polestar’s vehicles make use of lithium-ion battery cells, which have been observed to catch fire or vent smoke and flame.</w:t>
      </w:r>
    </w:p>
    <w:p>
      <w:pPr>
        <w:spacing w:after="0" w:line="130" w:lineRule="exact"/>
        <w:rPr>
          <w:rFonts w:ascii="Times New Roman" w:cs="Times New Roman" w:eastAsia="Times New Roman" w:hAnsi="Times New Roman"/>
          <w:sz w:val="18"/>
          <w:szCs w:val="18"/>
          <w:color w:val="auto"/>
        </w:rPr>
      </w:pPr>
    </w:p>
    <w:p>
      <w:pPr>
        <w:ind w:left="1240" w:right="20" w:hanging="415"/>
        <w:spacing w:after="0" w:line="266" w:lineRule="auto"/>
        <w:tabs>
          <w:tab w:leader="none" w:pos="12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Polestar operates in an intensely competitive market, which is generally cyclical and volatile. Should Polestar not be able to compete effectively against its competitors then it is likely to lose market share, which could have a material and adverse effect on the business, financial condition, results of operations and prospects of Polestar.</w:t>
      </w:r>
    </w:p>
    <w:p>
      <w:pPr>
        <w:spacing w:after="0" w:line="81" w:lineRule="exact"/>
        <w:rPr>
          <w:rFonts w:ascii="Times New Roman" w:cs="Times New Roman" w:eastAsia="Times New Roman" w:hAnsi="Times New Roman"/>
          <w:sz w:val="18"/>
          <w:szCs w:val="18"/>
          <w:color w:val="auto"/>
        </w:rPr>
      </w:pPr>
    </w:p>
    <w:p>
      <w:pPr>
        <w:ind w:left="1240" w:right="60" w:hanging="415"/>
        <w:spacing w:after="0" w:line="258" w:lineRule="auto"/>
        <w:tabs>
          <w:tab w:leader="none" w:pos="12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Polestar’s ability to generate meaningful product revenue will depend on consumer adoption of electric vehicles. However, the market for electric vehicles is still evolving and changes in governmental programs incentivizing consumers to purchase electric vehicles, fluctuations in energy prices, the sustainability of electric vehicles and other regulatory changes might negatively impact adoption of electric vehicles by consumers. If the pace and depth of electric vehicle adoption develops more slowly than Polestar expects, its revenue may decline or fail to grow, and Polestar may be materially and adversely affected.</w:t>
      </w:r>
    </w:p>
    <w:p>
      <w:pPr>
        <w:spacing w:after="0" w:line="88" w:lineRule="exact"/>
        <w:rPr>
          <w:rFonts w:ascii="Times New Roman" w:cs="Times New Roman" w:eastAsia="Times New Roman" w:hAnsi="Times New Roman"/>
          <w:sz w:val="18"/>
          <w:szCs w:val="18"/>
          <w:color w:val="auto"/>
        </w:rPr>
      </w:pPr>
    </w:p>
    <w:p>
      <w:pPr>
        <w:ind w:left="1240" w:right="320" w:hanging="415"/>
        <w:spacing w:after="0" w:line="282" w:lineRule="auto"/>
        <w:tabs>
          <w:tab w:leader="none" w:pos="12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vehicle owners customize Polestar vehicles or change the charging infrastructure with aftermarket products, the vehicle may not operate properly, which may create negative publicity and could harm Polestar’s business.</w:t>
      </w:r>
    </w:p>
    <w:p>
      <w:pPr>
        <w:spacing w:after="0" w:line="27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940"/>
          </w:cols>
          <w:pgMar w:left="320" w:top="455" w:right="6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0388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98970" cy="603885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240" w:right="140" w:hanging="415"/>
        <w:spacing w:after="0" w:line="282" w:lineRule="auto"/>
        <w:tabs>
          <w:tab w:leader="none" w:pos="12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unauthorized control or manipulation of Polestar’s products, digital sales tools and systems could result in loss of confidence in Polestar and its products.</w:t>
      </w:r>
    </w:p>
    <w:p>
      <w:pPr>
        <w:spacing w:after="0" w:line="67" w:lineRule="exact"/>
        <w:rPr>
          <w:rFonts w:ascii="Times New Roman" w:cs="Times New Roman" w:eastAsia="Times New Roman" w:hAnsi="Times New Roman"/>
          <w:sz w:val="18"/>
          <w:szCs w:val="18"/>
          <w:color w:val="auto"/>
        </w:rPr>
      </w:pPr>
    </w:p>
    <w:p>
      <w:pPr>
        <w:ind w:left="1240" w:right="60" w:hanging="415"/>
        <w:spacing w:after="0" w:line="266" w:lineRule="auto"/>
        <w:tabs>
          <w:tab w:leader="none" w:pos="12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Polestar is subject to evolving laws, regulations, standards, policies and contractual obligations related to data privacy, security and consumer protection, and any actual or perceived failure to comply with such obligations could harm Polestar’s reputation and brand, subject Polestar to significant fines and liability, or otherwise adversely affect its business.</w:t>
      </w:r>
    </w:p>
    <w:p>
      <w:pPr>
        <w:spacing w:after="0" w:line="81" w:lineRule="exact"/>
        <w:rPr>
          <w:rFonts w:ascii="Times New Roman" w:cs="Times New Roman" w:eastAsia="Times New Roman" w:hAnsi="Times New Roman"/>
          <w:sz w:val="18"/>
          <w:szCs w:val="18"/>
          <w:color w:val="auto"/>
        </w:rPr>
      </w:pPr>
    </w:p>
    <w:p>
      <w:pPr>
        <w:ind w:left="1240" w:hanging="415"/>
        <w:spacing w:after="0" w:line="261" w:lineRule="auto"/>
        <w:tabs>
          <w:tab w:leader="none" w:pos="12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Polestar’s ability to effectively manage its growth relies on the performance of highly skilled personnel, including its Chief Executive Officer, Thomas Ingenlath, its senior management team and other key employees, and Polestar’s ability to recruit and retain key employees. The loss of key personnel or an inability to attract, retain and motivate qualified personnel may impair Polestar’s ability to expand its business.</w:t>
      </w:r>
    </w:p>
    <w:p>
      <w:pPr>
        <w:spacing w:after="0" w:line="85" w:lineRule="exact"/>
        <w:rPr>
          <w:rFonts w:ascii="Times New Roman" w:cs="Times New Roman" w:eastAsia="Times New Roman" w:hAnsi="Times New Roman"/>
          <w:sz w:val="18"/>
          <w:szCs w:val="18"/>
          <w:color w:val="auto"/>
        </w:rPr>
      </w:pPr>
    </w:p>
    <w:p>
      <w:pPr>
        <w:ind w:left="1240" w:right="640" w:hanging="415"/>
        <w:spacing w:after="0" w:line="282" w:lineRule="auto"/>
        <w:tabs>
          <w:tab w:leader="none" w:pos="12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Polestar may choose to or be compelled to undertake product recalls or take other actions, which could result in litigation and adversely affect its business, prospects, results of operations, reputation and financial condition.</w:t>
      </w:r>
    </w:p>
    <w:p>
      <w:pPr>
        <w:spacing w:after="0" w:line="67" w:lineRule="exact"/>
        <w:rPr>
          <w:rFonts w:ascii="Times New Roman" w:cs="Times New Roman" w:eastAsia="Times New Roman" w:hAnsi="Times New Roman"/>
          <w:sz w:val="18"/>
          <w:szCs w:val="18"/>
          <w:color w:val="auto"/>
        </w:rPr>
      </w:pPr>
    </w:p>
    <w:p>
      <w:pPr>
        <w:ind w:left="1240" w:right="40" w:hanging="415"/>
        <w:spacing w:after="0" w:line="282" w:lineRule="auto"/>
        <w:tabs>
          <w:tab w:leader="none" w:pos="12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Polestar will require additional capital to support business growth, and this capital might not be available on commercially reasonable terms, or at all.</w:t>
      </w:r>
    </w:p>
    <w:p>
      <w:pPr>
        <w:spacing w:after="0" w:line="67" w:lineRule="exact"/>
        <w:rPr>
          <w:rFonts w:ascii="Times New Roman" w:cs="Times New Roman" w:eastAsia="Times New Roman" w:hAnsi="Times New Roman"/>
          <w:sz w:val="18"/>
          <w:szCs w:val="18"/>
          <w:color w:val="auto"/>
        </w:rPr>
      </w:pPr>
    </w:p>
    <w:p>
      <w:pPr>
        <w:ind w:left="1240" w:right="40" w:hanging="415"/>
        <w:spacing w:after="0" w:line="282" w:lineRule="auto"/>
        <w:tabs>
          <w:tab w:leader="none" w:pos="12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Polestar’s financial results may vary significantly from period to period due to fluctuations in its operating costs, product demand and other factors.</w:t>
      </w:r>
    </w:p>
    <w:p>
      <w:pPr>
        <w:spacing w:after="0" w:line="67" w:lineRule="exact"/>
        <w:rPr>
          <w:rFonts w:ascii="Times New Roman" w:cs="Times New Roman" w:eastAsia="Times New Roman" w:hAnsi="Times New Roman"/>
          <w:sz w:val="18"/>
          <w:szCs w:val="18"/>
          <w:color w:val="auto"/>
        </w:rPr>
      </w:pPr>
    </w:p>
    <w:p>
      <w:pPr>
        <w:ind w:left="1240" w:hanging="415"/>
        <w:spacing w:after="0" w:line="266" w:lineRule="auto"/>
        <w:tabs>
          <w:tab w:leader="none" w:pos="12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Polestar’s distribution model is different from the currently predominant distribution model for automakers, and its long-term viability is unproven. Polestar does not have a third-party retail product distribution network in all of the countries in which it operates. Polestar may face regulatory challenges to or limitations on its ability to sell vehicles directly.</w:t>
      </w:r>
    </w:p>
    <w:p>
      <w:pPr>
        <w:spacing w:after="0" w:line="81"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Polestar depends on revenue generated from a limited number of models and expects this to continue in the foreseeable future.</w:t>
      </w:r>
    </w:p>
    <w:p>
      <w:pPr>
        <w:spacing w:after="0" w:line="130" w:lineRule="exact"/>
        <w:rPr>
          <w:rFonts w:ascii="Times New Roman" w:cs="Times New Roman" w:eastAsia="Times New Roman" w:hAnsi="Times New Roman"/>
          <w:sz w:val="18"/>
          <w:szCs w:val="18"/>
          <w:color w:val="auto"/>
        </w:rPr>
      </w:pPr>
    </w:p>
    <w:p>
      <w:pPr>
        <w:ind w:left="1240" w:right="160" w:hanging="415"/>
        <w:spacing w:after="0" w:line="258" w:lineRule="auto"/>
        <w:tabs>
          <w:tab w:leader="none" w:pos="12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Polestar relies on its partners to manufacture vehicles and Polestar’s partners have limited experience in producing electric vehicles. Further, Polestar relies on sufficient production capacity being available and/or allocated to it by its partners in order to manufacture its vehicles. Delays in the timing of expected business milestones and commercial launches, including Polestar’s ability to mass produce its electric vehicles and/or complete and/or expand its manufacturing capabilities, could materially and adversely affect Polestar’s business, financial condition, results of operations and prospects.</w:t>
      </w:r>
    </w:p>
    <w:p>
      <w:pPr>
        <w:spacing w:after="0" w:line="88" w:lineRule="exact"/>
        <w:rPr>
          <w:rFonts w:ascii="Times New Roman" w:cs="Times New Roman" w:eastAsia="Times New Roman" w:hAnsi="Times New Roman"/>
          <w:sz w:val="18"/>
          <w:szCs w:val="18"/>
          <w:color w:val="auto"/>
        </w:rPr>
      </w:pPr>
    </w:p>
    <w:p>
      <w:pPr>
        <w:ind w:left="1240" w:right="140" w:hanging="415"/>
        <w:spacing w:after="0" w:line="282" w:lineRule="auto"/>
        <w:tabs>
          <w:tab w:leader="none" w:pos="12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Business Combination’s benefits do not meet the expectations of investors, stockholders or financial analysts, the market price of the ADSs may decline.</w:t>
      </w:r>
    </w:p>
    <w:p>
      <w:pPr>
        <w:spacing w:after="0" w:line="67" w:lineRule="exact"/>
        <w:rPr>
          <w:rFonts w:ascii="Times New Roman" w:cs="Times New Roman" w:eastAsia="Times New Roman" w:hAnsi="Times New Roman"/>
          <w:sz w:val="18"/>
          <w:szCs w:val="18"/>
          <w:color w:val="auto"/>
        </w:rPr>
      </w:pPr>
    </w:p>
    <w:p>
      <w:pPr>
        <w:ind w:left="1240" w:right="560" w:hanging="415"/>
        <w:spacing w:after="0" w:line="282" w:lineRule="auto"/>
        <w:tabs>
          <w:tab w:leader="none" w:pos="12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requirements of being a public company may strain Polestar’s resources and distract its management, which could make it difficult to manage its business.</w:t>
      </w:r>
    </w:p>
    <w:p>
      <w:pPr>
        <w:spacing w:after="0" w:line="67" w:lineRule="exact"/>
        <w:rPr>
          <w:rFonts w:ascii="Times New Roman" w:cs="Times New Roman" w:eastAsia="Times New Roman" w:hAnsi="Times New Roman"/>
          <w:sz w:val="18"/>
          <w:szCs w:val="18"/>
          <w:color w:val="auto"/>
        </w:rPr>
      </w:pPr>
    </w:p>
    <w:p>
      <w:pPr>
        <w:ind w:left="1240" w:right="320" w:hanging="415"/>
        <w:spacing w:after="0" w:line="266" w:lineRule="auto"/>
        <w:tabs>
          <w:tab w:leader="none" w:pos="12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Polestar is a foreign private issuer within the meaning of the rules under the Exchange Act, and as such it is exempt from certain provisions applicable to United States domestic public companies. As a result, its shareholders may not have the same protections afforded to shareholders of companies that are subject to all Nasdaq corporate governance requirements.</w:t>
      </w:r>
    </w:p>
    <w:p>
      <w:pPr>
        <w:spacing w:after="0" w:line="81"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Polestar may lose its foreign private issuer status in the future, which could result in significant additional costs and expenses.</w:t>
      </w:r>
    </w:p>
    <w:p>
      <w:pPr>
        <w:spacing w:after="0" w:line="130" w:lineRule="exact"/>
        <w:rPr>
          <w:rFonts w:ascii="Times New Roman" w:cs="Times New Roman" w:eastAsia="Times New Roman" w:hAnsi="Times New Roman"/>
          <w:sz w:val="18"/>
          <w:szCs w:val="18"/>
          <w:color w:val="auto"/>
        </w:rPr>
      </w:pPr>
    </w:p>
    <w:p>
      <w:pPr>
        <w:ind w:left="1240" w:right="80" w:hanging="415"/>
        <w:spacing w:after="0" w:line="266" w:lineRule="auto"/>
        <w:tabs>
          <w:tab w:leader="none" w:pos="12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Polestar has identified material weaknesses in its internal control over financial reporting. If Polestar is unable to remediate these material weaknesses or identifies additional material weaknesses, it could lead to errors in Polestar’s financial reporting, which could adversely affect Polestar’s business and the market price of the ADSs.</w:t>
      </w:r>
    </w:p>
    <w:p>
      <w:pPr>
        <w:spacing w:after="0" w:line="284"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900"/>
          </w:cols>
          <w:pgMar w:left="320" w:top="455" w:right="67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2430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98970" cy="243014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240" w:hanging="415"/>
        <w:spacing w:after="0" w:line="266" w:lineRule="auto"/>
        <w:tabs>
          <w:tab w:leader="none" w:pos="12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securities being offered in this prospectus represent a substantial percentage of the outstanding Class A ADSs, and the sales of such securities, or the perception that these sales could occur, could cause the market price of the securities of the Company to decline significantly and certain Selling Securityholders still may receive significant proceeds.</w:t>
      </w:r>
    </w:p>
    <w:p>
      <w:pPr>
        <w:spacing w:after="0" w:line="2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Our Corporate Information</w:t>
      </w:r>
    </w:p>
    <w:p>
      <w:pPr>
        <w:spacing w:after="0" w:line="121" w:lineRule="exact"/>
        <w:rPr>
          <w:sz w:val="20"/>
          <w:szCs w:val="20"/>
          <w:color w:val="auto"/>
        </w:rPr>
      </w:pPr>
    </w:p>
    <w:p>
      <w:pPr>
        <w:ind w:left="300" w:right="20" w:firstLine="426"/>
        <w:spacing w:after="0" w:line="277" w:lineRule="auto"/>
        <w:rPr>
          <w:sz w:val="20"/>
          <w:szCs w:val="20"/>
          <w:color w:val="auto"/>
        </w:rPr>
      </w:pPr>
      <w:r>
        <w:rPr>
          <w:rFonts w:ascii="Times New Roman" w:cs="Times New Roman" w:eastAsia="Times New Roman" w:hAnsi="Times New Roman"/>
          <w:sz w:val="17"/>
          <w:szCs w:val="17"/>
          <w:color w:val="auto"/>
        </w:rPr>
        <w:t>See “Prospectus Summary—Recent Developments—Business Combination” in this prospectus for additional information regarding the Business Combination. The Company was incorporated under the laws of England and Wales as a company limited by shares on September 15, 2021 and was re-registered as a public limited company under the laws of England and Wales in connection with the Business Combination. The Company’s registered office in England is Suite 1, 3rd Floor, 11-12 St James’s Square, London SW1Y 4LB. The address of the principal executive office of the Company is Assar Gabrielssons Väg 9 405 31 Göteborg, Sweden, and the telephone number of the Company is (949) 735-1834.</w:t>
      </w:r>
    </w:p>
    <w:p>
      <w:pPr>
        <w:spacing w:after="0" w:line="168" w:lineRule="exact"/>
        <w:rPr>
          <w:sz w:val="20"/>
          <w:szCs w:val="20"/>
          <w:color w:val="auto"/>
        </w:rPr>
      </w:pPr>
    </w:p>
    <w:p>
      <w:pPr>
        <w:ind w:left="300" w:right="100" w:firstLine="426"/>
        <w:spacing w:after="0" w:line="261" w:lineRule="auto"/>
        <w:rPr>
          <w:sz w:val="20"/>
          <w:szCs w:val="20"/>
          <w:color w:val="auto"/>
        </w:rPr>
      </w:pPr>
      <w:r>
        <w:rPr>
          <w:rFonts w:ascii="Times New Roman" w:cs="Times New Roman" w:eastAsia="Times New Roman" w:hAnsi="Times New Roman"/>
          <w:sz w:val="18"/>
          <w:szCs w:val="18"/>
          <w:color w:val="auto"/>
        </w:rPr>
        <w:t>The SEC maintains an Internet site that contains reports, proxy and information statements, and other information regarding issuers that file electronically with the SEC. The SEC’s website is http://www.sec.gov. The Company’s principal website address is https://www.polestar.com/us/. We do not incorporate the information contained on, or accessible through, the Company’s websites into this prospectus, and you should not consider it a part of this prospectus.</w:t>
      </w:r>
    </w:p>
    <w:p>
      <w:pPr>
        <w:spacing w:after="0" w:line="288"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880"/>
          </w:cols>
          <w:pgMar w:left="320" w:top="455" w:right="69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91058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998970" cy="591058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THE OFFERING</w:t>
      </w:r>
    </w:p>
    <w:p>
      <w:pPr>
        <w:spacing w:after="0" w:line="227" w:lineRule="exact"/>
        <w:rPr>
          <w:sz w:val="20"/>
          <w:szCs w:val="20"/>
          <w:color w:val="auto"/>
        </w:rPr>
      </w:pPr>
    </w:p>
    <w:p>
      <w:pPr>
        <w:ind w:left="300" w:right="240" w:firstLine="426"/>
        <w:spacing w:after="0" w:line="267" w:lineRule="auto"/>
        <w:rPr>
          <w:sz w:val="20"/>
          <w:szCs w:val="20"/>
          <w:color w:val="auto"/>
        </w:rPr>
      </w:pPr>
      <w:r>
        <w:rPr>
          <w:rFonts w:ascii="Times New Roman" w:cs="Times New Roman" w:eastAsia="Times New Roman" w:hAnsi="Times New Roman"/>
          <w:sz w:val="18"/>
          <w:szCs w:val="18"/>
          <w:i w:val="1"/>
          <w:iCs w:val="1"/>
          <w:color w:val="auto"/>
        </w:rPr>
        <w:t>The summary below describes the principal terms of the offering. The “Description of Share Capital and Articles of Association” and “Description of American Depositary Shares” sections of this prospectus contains a more detailed description of the Company’s Class A ADSs and Class C ADSs.</w:t>
      </w:r>
    </w:p>
    <w:p>
      <w:pPr>
        <w:spacing w:after="0" w:line="198" w:lineRule="exact"/>
        <w:rPr>
          <w:sz w:val="20"/>
          <w:szCs w:val="20"/>
          <w:color w:val="auto"/>
        </w:rPr>
      </w:pPr>
    </w:p>
    <w:p>
      <w:pPr>
        <w:jc w:val="center"/>
        <w:ind w:right="-19"/>
        <w:spacing w:after="0"/>
        <w:tabs>
          <w:tab w:leader="none" w:pos="140" w:val="left"/>
        </w:tabs>
        <w:rPr>
          <w:sz w:val="20"/>
          <w:szCs w:val="20"/>
          <w:color w:val="auto"/>
        </w:rPr>
      </w:pPr>
      <w:r>
        <w:rPr>
          <w:rFonts w:ascii="Times New Roman" w:cs="Times New Roman" w:eastAsia="Times New Roman" w:hAnsi="Times New Roman"/>
          <w:sz w:val="18"/>
          <w:szCs w:val="18"/>
          <w:b w:val="1"/>
          <w:bCs w:val="1"/>
          <w:color w:val="auto"/>
        </w:rPr>
        <w:t>Securities being registered for resale by the Selling</w:t>
      </w:r>
      <w:r>
        <w:rPr>
          <w:sz w:val="20"/>
          <w:szCs w:val="20"/>
          <w:color w:val="auto"/>
        </w:rPr>
        <w:tab/>
      </w:r>
      <w:r>
        <w:rPr>
          <w:rFonts w:ascii="Times New Roman" w:cs="Times New Roman" w:eastAsia="Times New Roman" w:hAnsi="Times New Roman"/>
          <w:sz w:val="17"/>
          <w:szCs w:val="17"/>
          <w:color w:val="auto"/>
        </w:rPr>
        <w:t>(i) 294,877,349 Class A ADSs issued to Parent as merger consideration in connection with</w:t>
      </w:r>
    </w:p>
    <w:p>
      <w:pPr>
        <w:spacing w:after="0" w:line="22"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328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Securityholders:</w:t>
            </w:r>
          </w:p>
        </w:tc>
        <w:tc>
          <w:tcPr>
            <w:tcW w:w="774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the Business Combination at an equity consideration value of $10.00 per share, (ii) up to</w:t>
            </w:r>
          </w:p>
        </w:tc>
      </w:tr>
      <w:tr>
        <w:trPr>
          <w:trHeight w:val="216"/>
        </w:trPr>
        <w:tc>
          <w:tcPr>
            <w:tcW w:w="3280" w:type="dxa"/>
            <w:vAlign w:val="bottom"/>
          </w:tcPr>
          <w:p>
            <w:pPr>
              <w:spacing w:after="0"/>
              <w:rPr>
                <w:sz w:val="18"/>
                <w:szCs w:val="18"/>
                <w:color w:val="auto"/>
              </w:rPr>
            </w:pPr>
          </w:p>
        </w:tc>
        <w:tc>
          <w:tcPr>
            <w:tcW w:w="774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24,078,638 Class A ADSs which are issuable to Parent and, after the liquidation of Parent</w:t>
            </w:r>
          </w:p>
        </w:tc>
      </w:tr>
      <w:tr>
        <w:trPr>
          <w:trHeight w:val="216"/>
        </w:trPr>
        <w:tc>
          <w:tcPr>
            <w:tcW w:w="3280" w:type="dxa"/>
            <w:vAlign w:val="bottom"/>
          </w:tcPr>
          <w:p>
            <w:pPr>
              <w:spacing w:after="0"/>
              <w:rPr>
                <w:sz w:val="18"/>
                <w:szCs w:val="18"/>
                <w:color w:val="auto"/>
              </w:rPr>
            </w:pPr>
          </w:p>
        </w:tc>
        <w:tc>
          <w:tcPr>
            <w:tcW w:w="774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and the distribution of the securities held by Parent to its shareholders, the Parent</w:t>
            </w:r>
          </w:p>
        </w:tc>
      </w:tr>
      <w:tr>
        <w:trPr>
          <w:trHeight w:val="216"/>
        </w:trPr>
        <w:tc>
          <w:tcPr>
            <w:tcW w:w="3280" w:type="dxa"/>
            <w:vAlign w:val="bottom"/>
          </w:tcPr>
          <w:p>
            <w:pPr>
              <w:spacing w:after="0"/>
              <w:rPr>
                <w:sz w:val="18"/>
                <w:szCs w:val="18"/>
                <w:color w:val="auto"/>
              </w:rPr>
            </w:pPr>
          </w:p>
        </w:tc>
        <w:tc>
          <w:tcPr>
            <w:tcW w:w="774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Shareholders as earn out consideration (valued as $10.00 per Class A ADS at the time of</w:t>
            </w:r>
          </w:p>
        </w:tc>
      </w:tr>
      <w:tr>
        <w:trPr>
          <w:trHeight w:val="216"/>
        </w:trPr>
        <w:tc>
          <w:tcPr>
            <w:tcW w:w="3280" w:type="dxa"/>
            <w:vAlign w:val="bottom"/>
          </w:tcPr>
          <w:p>
            <w:pPr>
              <w:spacing w:after="0"/>
              <w:rPr>
                <w:sz w:val="18"/>
                <w:szCs w:val="18"/>
                <w:color w:val="auto"/>
              </w:rPr>
            </w:pPr>
          </w:p>
        </w:tc>
        <w:tc>
          <w:tcPr>
            <w:tcW w:w="774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the Business Combination) upon the achievement of certain price thresholds for the</w:t>
            </w:r>
          </w:p>
        </w:tc>
      </w:tr>
      <w:tr>
        <w:trPr>
          <w:trHeight w:val="216"/>
        </w:trPr>
        <w:tc>
          <w:tcPr>
            <w:tcW w:w="3280" w:type="dxa"/>
            <w:vAlign w:val="bottom"/>
          </w:tcPr>
          <w:p>
            <w:pPr>
              <w:spacing w:after="0"/>
              <w:rPr>
                <w:sz w:val="18"/>
                <w:szCs w:val="18"/>
                <w:color w:val="auto"/>
              </w:rPr>
            </w:pPr>
          </w:p>
        </w:tc>
        <w:tc>
          <w:tcPr>
            <w:tcW w:w="774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Class A ADSs, as further described in this prospectus, (iii) 1,776,332,546 Class A ADSs</w:t>
            </w:r>
          </w:p>
        </w:tc>
      </w:tr>
      <w:tr>
        <w:trPr>
          <w:trHeight w:val="216"/>
        </w:trPr>
        <w:tc>
          <w:tcPr>
            <w:tcW w:w="3280" w:type="dxa"/>
            <w:vAlign w:val="bottom"/>
          </w:tcPr>
          <w:p>
            <w:pPr>
              <w:spacing w:after="0"/>
              <w:rPr>
                <w:sz w:val="18"/>
                <w:szCs w:val="18"/>
                <w:color w:val="auto"/>
              </w:rPr>
            </w:pPr>
          </w:p>
        </w:tc>
        <w:tc>
          <w:tcPr>
            <w:tcW w:w="774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issuable upon conversion of Class B ADSs, including 134,098,971 Class B ADSs which</w:t>
            </w:r>
          </w:p>
        </w:tc>
      </w:tr>
      <w:tr>
        <w:trPr>
          <w:trHeight w:val="216"/>
        </w:trPr>
        <w:tc>
          <w:tcPr>
            <w:tcW w:w="3280" w:type="dxa"/>
            <w:vAlign w:val="bottom"/>
          </w:tcPr>
          <w:p>
            <w:pPr>
              <w:spacing w:after="0"/>
              <w:rPr>
                <w:sz w:val="18"/>
                <w:szCs w:val="18"/>
                <w:color w:val="auto"/>
              </w:rPr>
            </w:pPr>
          </w:p>
        </w:tc>
        <w:tc>
          <w:tcPr>
            <w:tcW w:w="774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are issuable to Parent and, after the liquidation of Parent and the distribution of the</w:t>
            </w:r>
          </w:p>
        </w:tc>
      </w:tr>
      <w:tr>
        <w:trPr>
          <w:trHeight w:val="216"/>
        </w:trPr>
        <w:tc>
          <w:tcPr>
            <w:tcW w:w="3280" w:type="dxa"/>
            <w:vAlign w:val="bottom"/>
          </w:tcPr>
          <w:p>
            <w:pPr>
              <w:spacing w:after="0"/>
              <w:rPr>
                <w:sz w:val="18"/>
                <w:szCs w:val="18"/>
                <w:color w:val="auto"/>
              </w:rPr>
            </w:pPr>
          </w:p>
        </w:tc>
        <w:tc>
          <w:tcPr>
            <w:tcW w:w="774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securities held by Parent to its shareholders, Parent Shareholders as earn out consideration</w:t>
            </w:r>
          </w:p>
        </w:tc>
      </w:tr>
      <w:tr>
        <w:trPr>
          <w:trHeight w:val="216"/>
        </w:trPr>
        <w:tc>
          <w:tcPr>
            <w:tcW w:w="3280" w:type="dxa"/>
            <w:vAlign w:val="bottom"/>
          </w:tcPr>
          <w:p>
            <w:pPr>
              <w:spacing w:after="0"/>
              <w:rPr>
                <w:sz w:val="18"/>
                <w:szCs w:val="18"/>
                <w:color w:val="auto"/>
              </w:rPr>
            </w:pPr>
          </w:p>
        </w:tc>
        <w:tc>
          <w:tcPr>
            <w:tcW w:w="774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(valued as $10.00 per Class B ADS at the time of the Business Combination) upon the</w:t>
            </w:r>
          </w:p>
        </w:tc>
      </w:tr>
      <w:tr>
        <w:trPr>
          <w:trHeight w:val="216"/>
        </w:trPr>
        <w:tc>
          <w:tcPr>
            <w:tcW w:w="3280" w:type="dxa"/>
            <w:vAlign w:val="bottom"/>
          </w:tcPr>
          <w:p>
            <w:pPr>
              <w:spacing w:after="0"/>
              <w:rPr>
                <w:sz w:val="18"/>
                <w:szCs w:val="18"/>
                <w:color w:val="auto"/>
              </w:rPr>
            </w:pPr>
          </w:p>
        </w:tc>
        <w:tc>
          <w:tcPr>
            <w:tcW w:w="774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achievement of certain price thresholds for the Class A ADSs, as further described in this</w:t>
            </w:r>
          </w:p>
        </w:tc>
      </w:tr>
      <w:tr>
        <w:trPr>
          <w:trHeight w:val="216"/>
        </w:trPr>
        <w:tc>
          <w:tcPr>
            <w:tcW w:w="3280" w:type="dxa"/>
            <w:vAlign w:val="bottom"/>
          </w:tcPr>
          <w:p>
            <w:pPr>
              <w:spacing w:after="0"/>
              <w:rPr>
                <w:sz w:val="18"/>
                <w:szCs w:val="18"/>
                <w:color w:val="auto"/>
              </w:rPr>
            </w:pPr>
          </w:p>
        </w:tc>
        <w:tc>
          <w:tcPr>
            <w:tcW w:w="774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prospectus, (iv) 18,459,165 Class A ADSs issued to the GGI Sponsor in connection with</w:t>
            </w:r>
          </w:p>
        </w:tc>
      </w:tr>
      <w:tr>
        <w:trPr>
          <w:trHeight w:val="216"/>
        </w:trPr>
        <w:tc>
          <w:tcPr>
            <w:tcW w:w="3280" w:type="dxa"/>
            <w:vAlign w:val="bottom"/>
          </w:tcPr>
          <w:p>
            <w:pPr>
              <w:spacing w:after="0"/>
              <w:rPr>
                <w:sz w:val="18"/>
                <w:szCs w:val="18"/>
                <w:color w:val="auto"/>
              </w:rPr>
            </w:pPr>
          </w:p>
        </w:tc>
        <w:tc>
          <w:tcPr>
            <w:tcW w:w="774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the Business Combination in exchange for the 18,459,165 shares of GGI Class F Common</w:t>
            </w:r>
          </w:p>
        </w:tc>
      </w:tr>
      <w:tr>
        <w:trPr>
          <w:trHeight w:val="216"/>
        </w:trPr>
        <w:tc>
          <w:tcPr>
            <w:tcW w:w="3280" w:type="dxa"/>
            <w:vAlign w:val="bottom"/>
          </w:tcPr>
          <w:p>
            <w:pPr>
              <w:spacing w:after="0"/>
              <w:rPr>
                <w:sz w:val="18"/>
                <w:szCs w:val="18"/>
                <w:color w:val="auto"/>
              </w:rPr>
            </w:pPr>
          </w:p>
        </w:tc>
        <w:tc>
          <w:tcPr>
            <w:tcW w:w="774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Stock that the GGI Sponsor initially purchased at $0.001 per share of GGI Class F</w:t>
            </w:r>
          </w:p>
        </w:tc>
      </w:tr>
      <w:tr>
        <w:trPr>
          <w:trHeight w:val="216"/>
        </w:trPr>
        <w:tc>
          <w:tcPr>
            <w:tcW w:w="3280" w:type="dxa"/>
            <w:vAlign w:val="bottom"/>
          </w:tcPr>
          <w:p>
            <w:pPr>
              <w:spacing w:after="0"/>
              <w:rPr>
                <w:sz w:val="18"/>
                <w:szCs w:val="18"/>
                <w:color w:val="auto"/>
              </w:rPr>
            </w:pPr>
          </w:p>
        </w:tc>
        <w:tc>
          <w:tcPr>
            <w:tcW w:w="774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Common Stock and that the GGI Sponsor retained after forfeiture of 1,540,835 shares of</w:t>
            </w:r>
          </w:p>
        </w:tc>
      </w:tr>
      <w:tr>
        <w:trPr>
          <w:trHeight w:val="216"/>
        </w:trPr>
        <w:tc>
          <w:tcPr>
            <w:tcW w:w="3280" w:type="dxa"/>
            <w:vAlign w:val="bottom"/>
          </w:tcPr>
          <w:p>
            <w:pPr>
              <w:spacing w:after="0"/>
              <w:rPr>
                <w:sz w:val="18"/>
                <w:szCs w:val="18"/>
                <w:color w:val="auto"/>
              </w:rPr>
            </w:pPr>
          </w:p>
        </w:tc>
        <w:tc>
          <w:tcPr>
            <w:tcW w:w="774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GGI Class F Common Stock; (v) 26,540,835 Class A ADSs issued to GGI Sponsor, the</w:t>
            </w:r>
          </w:p>
        </w:tc>
      </w:tr>
      <w:tr>
        <w:trPr>
          <w:trHeight w:val="216"/>
        </w:trPr>
        <w:tc>
          <w:tcPr>
            <w:tcW w:w="3280" w:type="dxa"/>
            <w:vAlign w:val="bottom"/>
          </w:tcPr>
          <w:p>
            <w:pPr>
              <w:spacing w:after="0"/>
              <w:rPr>
                <w:sz w:val="18"/>
                <w:szCs w:val="18"/>
                <w:color w:val="auto"/>
              </w:rPr>
            </w:pPr>
          </w:p>
        </w:tc>
        <w:tc>
          <w:tcPr>
            <w:tcW w:w="774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PIPE Investors and Snita pursuant to the Sponsor Subscription Agreement, the PIPE</w:t>
            </w:r>
          </w:p>
        </w:tc>
      </w:tr>
      <w:tr>
        <w:trPr>
          <w:trHeight w:val="216"/>
        </w:trPr>
        <w:tc>
          <w:tcPr>
            <w:tcW w:w="3280" w:type="dxa"/>
            <w:vAlign w:val="bottom"/>
          </w:tcPr>
          <w:p>
            <w:pPr>
              <w:spacing w:after="0"/>
              <w:rPr>
                <w:sz w:val="18"/>
                <w:szCs w:val="18"/>
                <w:color w:val="auto"/>
              </w:rPr>
            </w:pPr>
          </w:p>
        </w:tc>
        <w:tc>
          <w:tcPr>
            <w:tcW w:w="774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Subscription Agreements and the Volvo Cars PIPE Subscription Agreement, respectively,</w:t>
            </w:r>
          </w:p>
        </w:tc>
      </w:tr>
      <w:tr>
        <w:trPr>
          <w:trHeight w:val="216"/>
        </w:trPr>
        <w:tc>
          <w:tcPr>
            <w:tcW w:w="3280" w:type="dxa"/>
            <w:vAlign w:val="bottom"/>
          </w:tcPr>
          <w:p>
            <w:pPr>
              <w:spacing w:after="0"/>
              <w:rPr>
                <w:sz w:val="18"/>
                <w:szCs w:val="18"/>
                <w:color w:val="auto"/>
              </w:rPr>
            </w:pPr>
          </w:p>
        </w:tc>
        <w:tc>
          <w:tcPr>
            <w:tcW w:w="774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at an average cash price of $9.42 per Class A ADS, (vi) 58,882,610 Class A ADSs issued to</w:t>
            </w:r>
          </w:p>
        </w:tc>
      </w:tr>
      <w:tr>
        <w:trPr>
          <w:trHeight w:val="216"/>
        </w:trPr>
        <w:tc>
          <w:tcPr>
            <w:tcW w:w="3280" w:type="dxa"/>
            <w:vAlign w:val="bottom"/>
          </w:tcPr>
          <w:p>
            <w:pPr>
              <w:spacing w:after="0"/>
              <w:rPr>
                <w:sz w:val="18"/>
                <w:szCs w:val="18"/>
                <w:color w:val="auto"/>
              </w:rPr>
            </w:pPr>
          </w:p>
        </w:tc>
        <w:tc>
          <w:tcPr>
            <w:tcW w:w="774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Snita upon conversion of the Volvo Cars Preference Subscription Shares at the time of the</w:t>
            </w:r>
          </w:p>
        </w:tc>
      </w:tr>
      <w:tr>
        <w:trPr>
          <w:trHeight w:val="216"/>
        </w:trPr>
        <w:tc>
          <w:tcPr>
            <w:tcW w:w="3280" w:type="dxa"/>
            <w:vAlign w:val="bottom"/>
          </w:tcPr>
          <w:p>
            <w:pPr>
              <w:spacing w:after="0"/>
              <w:rPr>
                <w:sz w:val="18"/>
                <w:szCs w:val="18"/>
                <w:color w:val="auto"/>
              </w:rPr>
            </w:pPr>
          </w:p>
        </w:tc>
        <w:tc>
          <w:tcPr>
            <w:tcW w:w="774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Business Combination at a $10.00 conversion price, (vii) 4,306,466 Class A ADSs that</w:t>
            </w:r>
          </w:p>
        </w:tc>
      </w:tr>
      <w:tr>
        <w:trPr>
          <w:trHeight w:val="216"/>
        </w:trPr>
        <w:tc>
          <w:tcPr>
            <w:tcW w:w="3280" w:type="dxa"/>
            <w:vAlign w:val="bottom"/>
          </w:tcPr>
          <w:p>
            <w:pPr>
              <w:spacing w:after="0"/>
              <w:rPr>
                <w:sz w:val="18"/>
                <w:szCs w:val="18"/>
                <w:color w:val="auto"/>
              </w:rPr>
            </w:pPr>
          </w:p>
        </w:tc>
        <w:tc>
          <w:tcPr>
            <w:tcW w:w="774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were issued to Parent Convertible Note Holders upon conversion of the Parent Convertible</w:t>
            </w:r>
          </w:p>
        </w:tc>
      </w:tr>
      <w:tr>
        <w:trPr>
          <w:trHeight w:val="216"/>
        </w:trPr>
        <w:tc>
          <w:tcPr>
            <w:tcW w:w="3280" w:type="dxa"/>
            <w:vAlign w:val="bottom"/>
          </w:tcPr>
          <w:p>
            <w:pPr>
              <w:spacing w:after="0"/>
              <w:rPr>
                <w:sz w:val="18"/>
                <w:szCs w:val="18"/>
                <w:color w:val="auto"/>
              </w:rPr>
            </w:pPr>
          </w:p>
        </w:tc>
        <w:tc>
          <w:tcPr>
            <w:tcW w:w="774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Notes at the time of the Business Combination at a conversion price of $8.18, and (viii) up</w:t>
            </w:r>
          </w:p>
        </w:tc>
      </w:tr>
      <w:tr>
        <w:trPr>
          <w:trHeight w:val="216"/>
        </w:trPr>
        <w:tc>
          <w:tcPr>
            <w:tcW w:w="3280" w:type="dxa"/>
            <w:vAlign w:val="bottom"/>
          </w:tcPr>
          <w:p>
            <w:pPr>
              <w:spacing w:after="0"/>
              <w:rPr>
                <w:sz w:val="18"/>
                <w:szCs w:val="18"/>
                <w:color w:val="auto"/>
              </w:rPr>
            </w:pPr>
          </w:p>
        </w:tc>
        <w:tc>
          <w:tcPr>
            <w:tcW w:w="774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to 500,000 Class A ADSs issuable to a service provider in exchange for the performance of</w:t>
            </w:r>
          </w:p>
        </w:tc>
      </w:tr>
      <w:tr>
        <w:trPr>
          <w:trHeight w:val="216"/>
        </w:trPr>
        <w:tc>
          <w:tcPr>
            <w:tcW w:w="3280" w:type="dxa"/>
            <w:vAlign w:val="bottom"/>
          </w:tcPr>
          <w:p>
            <w:pPr>
              <w:spacing w:after="0"/>
              <w:rPr>
                <w:sz w:val="18"/>
                <w:szCs w:val="18"/>
                <w:color w:val="auto"/>
              </w:rPr>
            </w:pPr>
          </w:p>
        </w:tc>
        <w:tc>
          <w:tcPr>
            <w:tcW w:w="774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marketing consulting services valued at up to $5,000,000. The prospectus also covers any</w:t>
            </w:r>
          </w:p>
        </w:tc>
      </w:tr>
      <w:tr>
        <w:trPr>
          <w:trHeight w:val="216"/>
        </w:trPr>
        <w:tc>
          <w:tcPr>
            <w:tcW w:w="3280" w:type="dxa"/>
            <w:vAlign w:val="bottom"/>
          </w:tcPr>
          <w:p>
            <w:pPr>
              <w:spacing w:after="0"/>
              <w:rPr>
                <w:sz w:val="18"/>
                <w:szCs w:val="18"/>
                <w:color w:val="auto"/>
              </w:rPr>
            </w:pPr>
          </w:p>
        </w:tc>
        <w:tc>
          <w:tcPr>
            <w:tcW w:w="774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additional securities that may become issuable by reason of share splits, share dividends or</w:t>
            </w:r>
          </w:p>
        </w:tc>
      </w:tr>
      <w:tr>
        <w:trPr>
          <w:trHeight w:val="234"/>
        </w:trPr>
        <w:tc>
          <w:tcPr>
            <w:tcW w:w="3280" w:type="dxa"/>
            <w:vAlign w:val="bottom"/>
          </w:tcPr>
          <w:p>
            <w:pPr>
              <w:spacing w:after="0"/>
              <w:rPr>
                <w:sz w:val="20"/>
                <w:szCs w:val="20"/>
                <w:color w:val="auto"/>
              </w:rPr>
            </w:pPr>
          </w:p>
        </w:tc>
        <w:tc>
          <w:tcPr>
            <w:tcW w:w="774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similar transactions.</w:t>
            </w:r>
          </w:p>
        </w:tc>
      </w:tr>
      <w:tr>
        <w:trPr>
          <w:trHeight w:val="441"/>
        </w:trPr>
        <w:tc>
          <w:tcPr>
            <w:tcW w:w="32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Offering prices for resales:</w:t>
            </w:r>
          </w:p>
        </w:tc>
        <w:tc>
          <w:tcPr>
            <w:tcW w:w="774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The Selling Securityholders will determine when and how they will dispose of the Class A</w:t>
            </w:r>
          </w:p>
        </w:tc>
      </w:tr>
      <w:tr>
        <w:trPr>
          <w:trHeight w:val="234"/>
        </w:trPr>
        <w:tc>
          <w:tcPr>
            <w:tcW w:w="3280" w:type="dxa"/>
            <w:vAlign w:val="bottom"/>
          </w:tcPr>
          <w:p>
            <w:pPr>
              <w:spacing w:after="0"/>
              <w:rPr>
                <w:sz w:val="20"/>
                <w:szCs w:val="20"/>
                <w:color w:val="auto"/>
              </w:rPr>
            </w:pPr>
          </w:p>
        </w:tc>
        <w:tc>
          <w:tcPr>
            <w:tcW w:w="774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ADSs and Class C-2 ADSs, the resale of which is being registered under this prospectus.</w:t>
            </w:r>
          </w:p>
        </w:tc>
      </w:tr>
      <w:tr>
        <w:trPr>
          <w:trHeight w:val="441"/>
        </w:trPr>
        <w:tc>
          <w:tcPr>
            <w:tcW w:w="32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Class A ADSs offered by us:</w:t>
            </w:r>
          </w:p>
        </w:tc>
        <w:tc>
          <w:tcPr>
            <w:tcW w:w="774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Up to 24,999,965 Class A ADSs issuable upon conversion of the Class C ADSs, including</w:t>
            </w:r>
          </w:p>
        </w:tc>
      </w:tr>
      <w:tr>
        <w:trPr>
          <w:trHeight w:val="216"/>
        </w:trPr>
        <w:tc>
          <w:tcPr>
            <w:tcW w:w="3280" w:type="dxa"/>
            <w:vAlign w:val="bottom"/>
          </w:tcPr>
          <w:p>
            <w:pPr>
              <w:spacing w:after="0"/>
              <w:rPr>
                <w:sz w:val="18"/>
                <w:szCs w:val="18"/>
                <w:color w:val="auto"/>
              </w:rPr>
            </w:pPr>
          </w:p>
        </w:tc>
        <w:tc>
          <w:tcPr>
            <w:tcW w:w="774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up to 9,000,000 Class A ADSs issuable upon conversion of the Class C-2 ADSs held by the</w:t>
            </w:r>
          </w:p>
        </w:tc>
      </w:tr>
      <w:tr>
        <w:trPr>
          <w:trHeight w:val="234"/>
        </w:trPr>
        <w:tc>
          <w:tcPr>
            <w:tcW w:w="3280" w:type="dxa"/>
            <w:vAlign w:val="bottom"/>
          </w:tcPr>
          <w:p>
            <w:pPr>
              <w:spacing w:after="0"/>
              <w:rPr>
                <w:sz w:val="20"/>
                <w:szCs w:val="20"/>
                <w:color w:val="auto"/>
              </w:rPr>
            </w:pPr>
          </w:p>
        </w:tc>
        <w:tc>
          <w:tcPr>
            <w:tcW w:w="774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GGI Sponsor.</w:t>
            </w:r>
          </w:p>
        </w:tc>
      </w:tr>
      <w:tr>
        <w:trPr>
          <w:trHeight w:val="159"/>
        </w:trPr>
        <w:tc>
          <w:tcPr>
            <w:tcW w:w="3280" w:type="dxa"/>
            <w:vAlign w:val="bottom"/>
            <w:tcBorders>
              <w:bottom w:val="single" w:sz="8" w:color="auto"/>
            </w:tcBorders>
          </w:tcPr>
          <w:p>
            <w:pPr>
              <w:spacing w:after="0"/>
              <w:rPr>
                <w:sz w:val="13"/>
                <w:szCs w:val="13"/>
                <w:color w:val="auto"/>
              </w:rPr>
            </w:pPr>
          </w:p>
        </w:tc>
        <w:tc>
          <w:tcPr>
            <w:tcW w:w="7740" w:type="dxa"/>
            <w:vAlign w:val="bottom"/>
            <w:tcBorders>
              <w:bottom w:val="single" w:sz="8" w:color="auto"/>
            </w:tcBorders>
          </w:tcPr>
          <w:p>
            <w:pPr>
              <w:spacing w:after="0"/>
              <w:rPr>
                <w:sz w:val="13"/>
                <w:szCs w:val="13"/>
                <w:color w:val="auto"/>
              </w:rPr>
            </w:pPr>
          </w:p>
        </w:tc>
      </w:tr>
      <w:tr>
        <w:trPr>
          <w:trHeight w:val="361"/>
        </w:trPr>
        <w:tc>
          <w:tcPr>
            <w:tcW w:w="3280" w:type="dxa"/>
            <w:vAlign w:val="bottom"/>
          </w:tcPr>
          <w:p>
            <w:pPr>
              <w:spacing w:after="0"/>
              <w:rPr>
                <w:sz w:val="24"/>
                <w:szCs w:val="24"/>
                <w:color w:val="auto"/>
              </w:rPr>
            </w:pPr>
          </w:p>
        </w:tc>
        <w:tc>
          <w:tcPr>
            <w:tcW w:w="7740" w:type="dxa"/>
            <w:vAlign w:val="bottom"/>
          </w:tcPr>
          <w:p>
            <w:pPr>
              <w:ind w:left="2140"/>
              <w:spacing w:after="0"/>
              <w:rPr>
                <w:sz w:val="20"/>
                <w:szCs w:val="20"/>
                <w:color w:val="auto"/>
              </w:rPr>
            </w:pPr>
            <w:r>
              <w:rPr>
                <w:rFonts w:ascii="Times New Roman" w:cs="Times New Roman" w:eastAsia="Times New Roman" w:hAnsi="Times New Roman"/>
                <w:sz w:val="18"/>
                <w:szCs w:val="18"/>
                <w:color w:val="auto"/>
              </w:rPr>
              <w:t>12</w:t>
            </w:r>
          </w:p>
        </w:tc>
      </w:tr>
    </w:tbl>
    <w:p>
      <w:pPr>
        <w:sectPr>
          <w:pgSz w:w="11900" w:h="16838" w:orient="portrait"/>
          <w:cols w:equalWidth="0" w:num="1">
            <w:col w:w="11140"/>
          </w:cols>
          <w:pgMar w:left="320" w:top="455" w:right="4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61022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998970" cy="561022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300"/>
        <w:spacing w:after="0"/>
        <w:tabs>
          <w:tab w:leader="none" w:pos="4320" w:val="left"/>
        </w:tabs>
        <w:rPr>
          <w:sz w:val="20"/>
          <w:szCs w:val="20"/>
          <w:color w:val="auto"/>
        </w:rPr>
      </w:pPr>
      <w:r>
        <w:rPr>
          <w:rFonts w:ascii="Times New Roman" w:cs="Times New Roman" w:eastAsia="Times New Roman" w:hAnsi="Times New Roman"/>
          <w:sz w:val="18"/>
          <w:szCs w:val="18"/>
          <w:b w:val="1"/>
          <w:bCs w:val="1"/>
          <w:color w:val="auto"/>
        </w:rPr>
        <w:t>Terms of Class C ADSs:</w:t>
      </w:r>
      <w:r>
        <w:rPr>
          <w:sz w:val="20"/>
          <w:szCs w:val="20"/>
          <w:color w:val="auto"/>
        </w:rPr>
        <w:tab/>
      </w:r>
      <w:r>
        <w:rPr>
          <w:rFonts w:ascii="Times New Roman" w:cs="Times New Roman" w:eastAsia="Times New Roman" w:hAnsi="Times New Roman"/>
          <w:sz w:val="17"/>
          <w:szCs w:val="17"/>
          <w:color w:val="auto"/>
        </w:rPr>
        <w:t>Each Class C ADS entitles the holder to purchase one Class A ADS at a price of $11.50 per</w:t>
      </w:r>
    </w:p>
    <w:p>
      <w:pPr>
        <w:spacing w:after="0" w:line="31" w:lineRule="exact"/>
        <w:rPr>
          <w:sz w:val="20"/>
          <w:szCs w:val="20"/>
          <w:color w:val="auto"/>
        </w:rPr>
      </w:pPr>
    </w:p>
    <w:p>
      <w:pPr>
        <w:ind w:left="4340" w:right="180"/>
        <w:spacing w:after="0" w:line="260" w:lineRule="auto"/>
        <w:rPr>
          <w:sz w:val="20"/>
          <w:szCs w:val="20"/>
          <w:color w:val="auto"/>
        </w:rPr>
      </w:pPr>
      <w:r>
        <w:rPr>
          <w:rFonts w:ascii="Times New Roman" w:cs="Times New Roman" w:eastAsia="Times New Roman" w:hAnsi="Times New Roman"/>
          <w:sz w:val="18"/>
          <w:szCs w:val="18"/>
          <w:color w:val="auto"/>
        </w:rPr>
        <w:t>Class C ADS, subject to adjustments. Our Class C ADSs expire on June 23, 2027 at 5:00 p.m., New York City time, or earlier upon redemption.</w:t>
      </w:r>
    </w:p>
    <w:p>
      <w:pPr>
        <w:sectPr>
          <w:pgSz w:w="11900" w:h="16838" w:orient="portrait"/>
          <w:cols w:equalWidth="0" w:num="1">
            <w:col w:w="10920"/>
          </w:cols>
          <w:pgMar w:left="320" w:top="455" w:right="659" w:bottom="1440" w:gutter="0" w:footer="0" w:header="0"/>
        </w:sectPr>
      </w:pPr>
    </w:p>
    <w:p>
      <w:pPr>
        <w:spacing w:after="0" w:line="204" w:lineRule="exact"/>
        <w:rPr>
          <w:sz w:val="20"/>
          <w:szCs w:val="20"/>
          <w:color w:val="auto"/>
        </w:rPr>
      </w:pPr>
    </w:p>
    <w:p>
      <w:pPr>
        <w:jc w:val="both"/>
        <w:ind w:left="380" w:right="340" w:hanging="78"/>
        <w:spacing w:after="0" w:line="268" w:lineRule="auto"/>
        <w:rPr>
          <w:sz w:val="20"/>
          <w:szCs w:val="20"/>
          <w:color w:val="auto"/>
        </w:rPr>
      </w:pPr>
      <w:r>
        <w:rPr>
          <w:rFonts w:ascii="Times New Roman" w:cs="Times New Roman" w:eastAsia="Times New Roman" w:hAnsi="Times New Roman"/>
          <w:sz w:val="18"/>
          <w:szCs w:val="18"/>
          <w:b w:val="1"/>
          <w:bCs w:val="1"/>
          <w:color w:val="auto"/>
        </w:rPr>
        <w:t>Securities issued and outstanding prior to any exercise of Class C ADSs as of the date of this prospectus:</w:t>
      </w:r>
    </w:p>
    <w:p>
      <w:pPr>
        <w:spacing w:after="0" w:line="200" w:lineRule="exact"/>
        <w:rPr>
          <w:sz w:val="20"/>
          <w:szCs w:val="20"/>
          <w:color w:val="auto"/>
        </w:rPr>
      </w:pPr>
    </w:p>
    <w:p>
      <w:pPr>
        <w:spacing w:after="0" w:line="254" w:lineRule="exact"/>
        <w:rPr>
          <w:sz w:val="20"/>
          <w:szCs w:val="20"/>
          <w:color w:val="auto"/>
        </w:rPr>
      </w:pPr>
    </w:p>
    <w:p>
      <w:pPr>
        <w:ind w:left="380" w:hanging="78"/>
        <w:spacing w:after="0" w:line="286" w:lineRule="auto"/>
        <w:rPr>
          <w:sz w:val="20"/>
          <w:szCs w:val="20"/>
          <w:color w:val="auto"/>
        </w:rPr>
      </w:pPr>
      <w:r>
        <w:rPr>
          <w:rFonts w:ascii="Times New Roman" w:cs="Times New Roman" w:eastAsia="Times New Roman" w:hAnsi="Times New Roman"/>
          <w:sz w:val="18"/>
          <w:szCs w:val="18"/>
          <w:b w:val="1"/>
          <w:bCs w:val="1"/>
          <w:color w:val="auto"/>
        </w:rPr>
        <w:t>Class A ADSs outstanding assuming the exercise of all Class C ADSs</w:t>
      </w:r>
    </w:p>
    <w:p>
      <w:pPr>
        <w:spacing w:after="0" w:line="200" w:lineRule="exact"/>
        <w:rPr>
          <w:sz w:val="20"/>
          <w:szCs w:val="20"/>
          <w:color w:val="auto"/>
        </w:rPr>
      </w:pPr>
    </w:p>
    <w:p>
      <w:pPr>
        <w:spacing w:after="0" w:line="23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467,144,972 Class A ADSs, 1,642,233,575 Class B ADSs, no Preference Shares, 50,000 GBP Redeemable Preferred Shares, 15,999,965 Class C-1 ADSs and</w:t>
      </w:r>
    </w:p>
    <w:p>
      <w:pPr>
        <w:spacing w:after="0"/>
        <w:rPr>
          <w:sz w:val="20"/>
          <w:szCs w:val="20"/>
          <w:color w:val="auto"/>
        </w:rPr>
      </w:pPr>
      <w:r>
        <w:rPr>
          <w:rFonts w:ascii="Times New Roman" w:cs="Times New Roman" w:eastAsia="Times New Roman" w:hAnsi="Times New Roman"/>
          <w:sz w:val="18"/>
          <w:szCs w:val="18"/>
          <w:color w:val="auto"/>
        </w:rPr>
        <w:t>9,000,000 Class C-2 ADSs.</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492,144,937 Class A ADSs.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All of the securities offered by the Selling Securityholders pursuant to this prospectus will be sold by the Selling Securityholders for their respective accounts. We will not receive any of the proceeds from such sales. We will receive up to an aggregate of approximately $287.5 million from the exercise of the Class C ADSs, assuming the exercise in full of all of the Class C ADSs for cash. We believe the likelihood that holders will exercise their Class C ADSs, and therefore the amount of cash proceeds that we would receive, is dependent upon the market price of our Class A ADSs. When the market price for our Class A ADSs is less than $11.50 per share (i.e., the Class C ADSs are “out of the money”), which it is as of the date of this prospectus, we believe holders of Class C ADSs will be unlikely to exercise their Class C ADSs. We expect to use the net proceeds from the exercise of the Class C ADSs for general corporate purposes. To the extent that any of the Class C ADSs are exercised on a “cashless basis,” the amount of cash we would receive from the exercise of the Class C ADSs will decrease. See “Use of Proceeds.”</w:t>
      </w:r>
    </w:p>
    <w:p>
      <w:pPr>
        <w:spacing w:after="0" w:line="200" w:lineRule="exact"/>
        <w:rPr>
          <w:sz w:val="20"/>
          <w:szCs w:val="20"/>
          <w:color w:val="auto"/>
        </w:rPr>
      </w:pPr>
    </w:p>
    <w:p>
      <w:pPr>
        <w:sectPr>
          <w:pgSz w:w="11900" w:h="16838" w:orient="portrait"/>
          <w:cols w:equalWidth="0" w:num="2">
            <w:col w:w="4200" w:space="140"/>
            <w:col w:w="6580"/>
          </w:cols>
          <w:pgMar w:left="320" w:top="455" w:right="659" w:bottom="1440" w:gutter="0" w:footer="0" w:header="0"/>
          <w:type w:val="continuous"/>
        </w:sectPr>
      </w:pPr>
    </w:p>
    <w:p>
      <w:pPr>
        <w:spacing w:after="0" w:line="10" w:lineRule="exact"/>
        <w:rPr>
          <w:sz w:val="20"/>
          <w:szCs w:val="20"/>
          <w:color w:val="auto"/>
        </w:rPr>
      </w:pPr>
    </w:p>
    <w:p>
      <w:pPr>
        <w:ind w:left="300"/>
        <w:spacing w:after="0"/>
        <w:tabs>
          <w:tab w:leader="none" w:pos="4320" w:val="left"/>
        </w:tabs>
        <w:rPr>
          <w:sz w:val="20"/>
          <w:szCs w:val="20"/>
          <w:color w:val="auto"/>
        </w:rPr>
      </w:pPr>
      <w:r>
        <w:rPr>
          <w:rFonts w:ascii="Times New Roman" w:cs="Times New Roman" w:eastAsia="Times New Roman" w:hAnsi="Times New Roman"/>
          <w:sz w:val="18"/>
          <w:szCs w:val="18"/>
          <w:b w:val="1"/>
          <w:bCs w:val="1"/>
          <w:color w:val="auto"/>
        </w:rPr>
        <w:t>Dividend Policy:</w:t>
      </w:r>
      <w:r>
        <w:rPr>
          <w:sz w:val="20"/>
          <w:szCs w:val="20"/>
          <w:color w:val="auto"/>
        </w:rPr>
        <w:tab/>
      </w:r>
      <w:r>
        <w:rPr>
          <w:rFonts w:ascii="Times New Roman" w:cs="Times New Roman" w:eastAsia="Times New Roman" w:hAnsi="Times New Roman"/>
          <w:sz w:val="17"/>
          <w:szCs w:val="17"/>
          <w:color w:val="auto"/>
        </w:rPr>
        <w:t>We have never declared or paid any cash dividend on our capital stock. We currently intend</w:t>
      </w:r>
    </w:p>
    <w:p>
      <w:pPr>
        <w:spacing w:after="0" w:line="31" w:lineRule="exact"/>
        <w:rPr>
          <w:sz w:val="20"/>
          <w:szCs w:val="20"/>
          <w:color w:val="auto"/>
        </w:rPr>
      </w:pPr>
    </w:p>
    <w:p>
      <w:pPr>
        <w:ind w:left="4340" w:right="100"/>
        <w:spacing w:after="0" w:line="253" w:lineRule="auto"/>
        <w:rPr>
          <w:sz w:val="20"/>
          <w:szCs w:val="20"/>
          <w:color w:val="auto"/>
        </w:rPr>
      </w:pPr>
      <w:r>
        <w:rPr>
          <w:rFonts w:ascii="Times New Roman" w:cs="Times New Roman" w:eastAsia="Times New Roman" w:hAnsi="Times New Roman"/>
          <w:sz w:val="18"/>
          <w:szCs w:val="18"/>
          <w:color w:val="auto"/>
        </w:rPr>
        <w:t>to retain any future earnings and do not expect to pay any dividends in the foreseeable future. Any further determination to pay dividends would be at the discretion of our board of directors, subject to applicable laws, and would depend on our financial condition, results of operations, capital requirements, general business conditions, and other factors that our board of directors may deem relevant.</w:t>
      </w:r>
    </w:p>
    <w:p>
      <w:pPr>
        <w:spacing w:after="0" w:line="210" w:lineRule="exact"/>
        <w:rPr>
          <w:sz w:val="20"/>
          <w:szCs w:val="20"/>
          <w:color w:val="auto"/>
        </w:rPr>
      </w:pPr>
    </w:p>
    <w:p>
      <w:pPr>
        <w:ind w:left="4340" w:right="280" w:hanging="4034"/>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Market for our Class A ADSs and Class C-1 ADSs: </w:t>
      </w:r>
      <w:r>
        <w:rPr>
          <w:rFonts w:ascii="Times New Roman" w:cs="Times New Roman" w:eastAsia="Times New Roman" w:hAnsi="Times New Roman"/>
          <w:sz w:val="18"/>
          <w:szCs w:val="18"/>
          <w:color w:val="auto"/>
        </w:rPr>
        <w:t>Our Class A ADSs and Class C-1 ADSs are listed on Nasdaq under the trading symbols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“PSNY” and “PSNYW”, respectively.</w:t>
      </w:r>
    </w:p>
    <w:p>
      <w:pPr>
        <w:spacing w:after="0" w:line="182" w:lineRule="exact"/>
        <w:rPr>
          <w:sz w:val="20"/>
          <w:szCs w:val="20"/>
          <w:color w:val="auto"/>
        </w:rPr>
      </w:pPr>
    </w:p>
    <w:p>
      <w:pPr>
        <w:ind w:left="300"/>
        <w:spacing w:after="0"/>
        <w:tabs>
          <w:tab w:leader="none" w:pos="4320" w:val="left"/>
        </w:tabs>
        <w:rPr>
          <w:sz w:val="20"/>
          <w:szCs w:val="20"/>
          <w:color w:val="auto"/>
        </w:rPr>
      </w:pPr>
      <w:r>
        <w:rPr>
          <w:rFonts w:ascii="Times New Roman" w:cs="Times New Roman" w:eastAsia="Times New Roman" w:hAnsi="Times New Roman"/>
          <w:sz w:val="18"/>
          <w:szCs w:val="18"/>
          <w:b w:val="1"/>
          <w:bCs w:val="1"/>
          <w:color w:val="auto"/>
        </w:rPr>
        <w:t>Risk Factors:</w:t>
      </w:r>
      <w:r>
        <w:rPr>
          <w:sz w:val="20"/>
          <w:szCs w:val="20"/>
          <w:color w:val="auto"/>
        </w:rPr>
        <w:tab/>
      </w:r>
      <w:r>
        <w:rPr>
          <w:rFonts w:ascii="Times New Roman" w:cs="Times New Roman" w:eastAsia="Times New Roman" w:hAnsi="Times New Roman"/>
          <w:sz w:val="17"/>
          <w:szCs w:val="17"/>
          <w:color w:val="auto"/>
        </w:rPr>
        <w:t>You should carefully consider the information set forth herein under “Risk Factors.”</w:t>
      </w:r>
    </w:p>
    <w:p>
      <w:pPr>
        <w:spacing w:after="0" w:line="35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920"/>
          </w:cols>
          <w:pgMar w:left="320" w:top="455" w:right="659" w:bottom="1440"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Polestar’s Business and Industry</w:t>
      </w:r>
    </w:p>
    <w:p>
      <w:pPr>
        <w:spacing w:after="0" w:line="117" w:lineRule="exact"/>
        <w:rPr>
          <w:sz w:val="20"/>
          <w:szCs w:val="20"/>
          <w:color w:val="auto"/>
        </w:rPr>
      </w:pPr>
    </w:p>
    <w:p>
      <w:pPr>
        <w:ind w:left="120" w:right="32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Polestar’s operations rely heavily on a variety of agreements with its strategic partners, Volvo Cars and Geely, including agreements related to research and development, purchasing, manufacturing engineering and logistics, and Polestar may come to rely on other original equipment manufacturers, vendors and technology providers. The inability of Polestar to maintain agreements or partnerships with its existing strategic partners or to enter into new agreements or partnerships could have a material and adverse effect on Polestar’s ability to operate as a standalone business, produce vehicles, reach its development and production targets or focus efforts on its core areas of differentiation.</w:t>
      </w:r>
    </w:p>
    <w:p>
      <w:pPr>
        <w:spacing w:after="0" w:line="75" w:lineRule="exact"/>
        <w:rPr>
          <w:sz w:val="20"/>
          <w:szCs w:val="20"/>
          <w:color w:val="auto"/>
        </w:rPr>
      </w:pPr>
    </w:p>
    <w:p>
      <w:pPr>
        <w:ind w:left="120" w:right="100" w:firstLine="440"/>
        <w:spacing w:after="0" w:line="281" w:lineRule="auto"/>
        <w:rPr>
          <w:sz w:val="20"/>
          <w:szCs w:val="20"/>
          <w:color w:val="auto"/>
        </w:rPr>
      </w:pPr>
      <w:r>
        <w:rPr>
          <w:rFonts w:ascii="Times New Roman" w:cs="Times New Roman" w:eastAsia="Times New Roman" w:hAnsi="Times New Roman"/>
          <w:sz w:val="17"/>
          <w:szCs w:val="17"/>
          <w:color w:val="auto"/>
        </w:rPr>
        <w:t>Polestar’s operations rely heavily on a variety of agreements, including agreements related to research and development, purchasing, manufacturing engineering and logistics, with its strategic partners, including Volvo Cars, Geely and certain other original equipment manufacturers, vendors and technology providers. Polestar’s reliance on these agreements subjects it to a number of significant risks, including the risk of being unable to operate as a standalone business, produce vehicles, reach its development and production targets or focus its efforts on core areas of differentiation.</w:t>
      </w:r>
    </w:p>
    <w:p>
      <w:pPr>
        <w:spacing w:after="0" w:line="164"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Of particular importance for Polestar’s operations are the related party agreements with Volvo Cars and Geely. These related party agreements include agreements pertaining to research and development, manufacturing agreements, licensing agreements, purchasing agreements, component supply agreements, customer care agreements, logistics agreements and distribution agreements, amongst other areas. These agreements are described in more detail in this prospectus in the sections entitled “Business—Related Party Agreements with Volvo Cars and Geely” and “Certain Relationships and Related Party Transactions.” These partnerships permit Polestar to benefit from the decades of experience of established auto-manufacturers while focusing its efforts on core areas of differentiation, such as design, performance and rapid adoption of the latest technologies and sustainability solutions. Polestar intends to continue to rely on these partnerships as part of its strategy. Polestar intends to rely solely on its arrangements with Volvo Cars, Geely and other contract partners to manufacture future Polestar models. If Polestar is unable to maintain agreements or partnerships with its existing strategic partners or to enter into new agreements or partnerships Polestar’s ability to operate as a standalone business, produce vehicles, reach its development and production targets or focus its efforts on core areas of differentiation could be materially and adversely affected.</w:t>
      </w:r>
    </w:p>
    <w:p>
      <w:pPr>
        <w:spacing w:after="0" w:line="298" w:lineRule="exact"/>
        <w:rPr>
          <w:sz w:val="20"/>
          <w:szCs w:val="20"/>
          <w:color w:val="auto"/>
        </w:rPr>
      </w:pPr>
    </w:p>
    <w:p>
      <w:pPr>
        <w:jc w:val="both"/>
        <w:ind w:left="120" w:righ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Polestar’s ability to produce vehicles and its future growth depend upon its ability to maintain relationships with its existing suppliers and strategic partners, to source new suppliers for its critical components, and to complete building out its supply chain, while effectively managing the risks due to such relationships.</w:t>
      </w:r>
    </w:p>
    <w:p>
      <w:pPr>
        <w:spacing w:after="0" w:line="67"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Polestar’s success will be dependent upon its ability to enter into new supplier agreements and maintain its relationships with suppliers and strategic partners who are critical and necessary to the output and production of its vehicles. Polestar also relies on suppliers and its strategic partners to provide it with key components and technology for its vehicles. The supplier agreements Polestar has or may enter into with key suppliers and its strategic partners in the future may have provisions where such agreements can be terminated in various circumstances, including potentially without cause. If these suppliers and strategic partners become unable to provide, or experience delays in providing components or technology, or if the supplier and related party agreements Polestar has in place are terminated, it may be difficult to find replacement components and technology. Changes in business conditions, pandemics, governmental changes and other factors beyond Polestar’s control or that Polestar does not presently anticipate could affect its ability to receive components or technology from its suppliers and strategic partners.</w:t>
      </w:r>
    </w:p>
    <w:p>
      <w:pPr>
        <w:spacing w:after="0" w:line="192" w:lineRule="exact"/>
        <w:rPr>
          <w:sz w:val="20"/>
          <w:szCs w:val="20"/>
          <w:color w:val="auto"/>
        </w:rPr>
      </w:pPr>
    </w:p>
    <w:p>
      <w:pPr>
        <w:ind w:left="120" w:right="360" w:firstLine="440"/>
        <w:spacing w:after="0" w:line="266" w:lineRule="auto"/>
        <w:rPr>
          <w:sz w:val="20"/>
          <w:szCs w:val="20"/>
          <w:color w:val="auto"/>
        </w:rPr>
      </w:pPr>
      <w:r>
        <w:rPr>
          <w:rFonts w:ascii="Times New Roman" w:cs="Times New Roman" w:eastAsia="Times New Roman" w:hAnsi="Times New Roman"/>
          <w:sz w:val="18"/>
          <w:szCs w:val="18"/>
          <w:color w:val="auto"/>
        </w:rPr>
        <w:t>Further, Polestar has not secured supply agreements for all of its components, technology and services. Polestar may be at a disadvantage in negotiating supply agreements for the production of its vehicles due to its limited operating history as a standalone business. In addition, there is the possibility that finalizing the supply</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140"/>
          </w:cols>
          <w:pgMar w:left="320" w:top="455" w:right="4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agreements for the parts and components of its vehicles will cause significant disruption to Polestar’s operations, or such supply agreements could be at costs that make it difficult for Polestar to operate profitably.</w:t>
      </w:r>
    </w:p>
    <w:p>
      <w:pPr>
        <w:spacing w:after="0" w:line="162"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If Polestar does not enter into longer-term supplier agreements with guaranteed pricing for its parts or components, it may be exposed to fluctuations in prices of components, materials, labor and equipment. Agreements for the purchase of battery cells and other components contain or are likely to contain pricing provisions that are subject to adjustment based on changes in market prices of key commodities. Substantial increases in the prices for such components, materials, labor and equipment, whether due to supply chain or logistics issues or due to inflation, would increase Polestar’s operating costs and could reduce its margins if it cannot recoup the increased costs. Any attempts to increase the announced or expected prices of Polestar’s vehicles in response to increased costs could be viewed negatively by its customers or potential customers and could adversely affect Polestar’s business, prospects, financial condition or results of operations.</w:t>
      </w:r>
    </w:p>
    <w:p>
      <w:pPr>
        <w:spacing w:after="0" w:line="293" w:lineRule="exact"/>
        <w:rPr>
          <w:sz w:val="20"/>
          <w:szCs w:val="20"/>
          <w:color w:val="auto"/>
        </w:rPr>
      </w:pPr>
    </w:p>
    <w:p>
      <w:pPr>
        <w:ind w:left="120" w:right="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Polestar is dependent on its strategic partners and suppliers, some of which are single-source suppliers, and the inability of these strategic partners and suppliers to deliver necessary components of Polestar’s products on schedule and at prices, quality levels and volumes acceptable to Polestar, or Polestar’s inability to efficiently manage these components, could have a material and adverse effect on Polestar’s results of operations and financial condition.</w:t>
      </w:r>
    </w:p>
    <w:p>
      <w:pPr>
        <w:spacing w:after="0" w:line="72"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Polestar relies on its strategic partners and suppliers for the provision and development of many of the key components and materials used in its vehicles. While Polestar plans to obtain components from multiple sources whenever possible, many of the components used in Polestar’s vehicles will be purchased by Polestar from a single source, and Polestar’s limited, and in many cases single-source, supply chain exposes it to multiple potential sources of delivery failure or component shortages for its production. Polestar’s suppliers may not be able to meet Polestar’s required product specifications and performance characteristics, which would impact Polestar’s ability to achieve its product specifications and performance characteristics as well. Additionally, Polestar’s suppliers may be unable to obtain required certifications or provide necessary warranties for their products that are necessary for use in Polestar’s vehicles. Polestar may also be impacted by changes in its supply chain or production needs, including cost increases from its suppliers, in order to meet its quality targets and development timelines as well as due to design changes. Likewise, any significant increases in its production may in the future require Polestar to procure additional components in a short amount of time. Polestar’s suppliers may not ultimately be able to sustainably and timely meet Polestar’s cost, quality and volume needs, requiring Polestar to replace them with other sources. If Polestar is unable to obtain suitable components and materials used in its vehicles from its suppliers or if its suppliers decide to create or supply a competing product, its business could be adversely affected. Further, if Polestar is unsuccessful in its efforts to control and reduce supplier costs, its results of operations will suffer.</w:t>
      </w:r>
    </w:p>
    <w:p>
      <w:pPr>
        <w:spacing w:after="0" w:line="187" w:lineRule="exact"/>
        <w:rPr>
          <w:sz w:val="20"/>
          <w:szCs w:val="20"/>
          <w:color w:val="auto"/>
        </w:rPr>
      </w:pPr>
    </w:p>
    <w:p>
      <w:pPr>
        <w:ind w:left="120" w:right="220" w:firstLine="440"/>
        <w:spacing w:after="0" w:line="253" w:lineRule="auto"/>
        <w:rPr>
          <w:sz w:val="20"/>
          <w:szCs w:val="20"/>
          <w:color w:val="auto"/>
        </w:rPr>
      </w:pPr>
      <w:r>
        <w:rPr>
          <w:rFonts w:ascii="Times New Roman" w:cs="Times New Roman" w:eastAsia="Times New Roman" w:hAnsi="Times New Roman"/>
          <w:sz w:val="18"/>
          <w:szCs w:val="18"/>
          <w:color w:val="auto"/>
        </w:rPr>
        <w:t>In addition, Polestar could experience delays if its strategic partners and suppliers do not meet agreed upon timelines or experience capacity constraints. Any disruption in the supply of components, whether or not from a single source supplier, could temporarily disrupt production of its vehicles until an alternative supplier is able to supply the required material, and there can be no guarantee that Polestar or its strategic partners will be able to make up delays in production caused by any disruption in the supply of critical components. Even in cases where Polestar may be able to establish alternate supply relationships and obtain or engineer replacement components for its single source components, it may be unable to do so quickly, or at all, at prices or quality levels that are acceptable to it. This risk is heightened by the fact that Polestar has less negotiating leverage with suppliers than larger and more established automobile manufacturers, which could adversely affect its ability to obtain necessary components and materials on favorable pricing and other terms, or at all. Any of the foregoing could materially and adversely affect Polestar’s results of operations, financial condition and prospects. See “Risk Factors—Risks Related to Polestar’s Business and Industry—Increases in costs, disruption of supply or shortage of materials, in particular for lithium-ion cells or semiconductors, could harm Polestar’s business. Polestar will need to maintain and significantly grow its access to battery cells, including through the development and manufacture of its own cells, and control its related costs.”</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100"/>
          </w:cols>
          <w:pgMar w:left="320" w:top="455" w:right="47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Furthermore, as the scale of its vehicle production increases, Polestar will need to accurately forecast, purchase, warehouse and transport components internationally to manufacturing facilities and servicing locations and at much higher volumes. If Polestar is unable to accurately match the timing and quantities of component purchases to its actual needs or successfully implement automation, inventory management and other systems to accommodate the increased complexity in its supply chain, Polestar may incur unexpected production disruption, storage, transportation and write-off costs, which could have a material and adverse effect on its results of operations and financial condition.</w:t>
      </w:r>
    </w:p>
    <w:p>
      <w:pPr>
        <w:spacing w:after="0" w:line="183" w:lineRule="exact"/>
        <w:rPr>
          <w:sz w:val="20"/>
          <w:szCs w:val="20"/>
          <w:color w:val="auto"/>
        </w:rPr>
      </w:pPr>
    </w:p>
    <w:p>
      <w:pPr>
        <w:ind w:left="120" w:right="140" w:firstLine="440"/>
        <w:spacing w:after="0" w:line="256" w:lineRule="auto"/>
        <w:rPr>
          <w:sz w:val="20"/>
          <w:szCs w:val="20"/>
          <w:color w:val="auto"/>
        </w:rPr>
      </w:pPr>
      <w:r>
        <w:rPr>
          <w:rFonts w:ascii="Times New Roman" w:cs="Times New Roman" w:eastAsia="Times New Roman" w:hAnsi="Times New Roman"/>
          <w:sz w:val="18"/>
          <w:szCs w:val="18"/>
          <w:color w:val="auto"/>
        </w:rPr>
        <w:t>In addition, as Polestar develops an international manufacturing footprint, it will face additional challenges with respect to international supply chain management and logistics costs. If Polestar is unable to access or develop localized supply chains in the regions where it or its partners already have or develop manufacturing facilities with the quality, costs and capabilities required, Polestar could be required to source components from distant suppliers, which would increase its logistics and manufacturing costs, increase the risk and complexity of Polestar’s supply chain and significantly impair Polestar’s ability to develop cost-effective manufacturing operations, which could have a material and adverse effect on Polestar’s business, results of operations and financial condition.</w:t>
      </w:r>
    </w:p>
    <w:p>
      <w:pPr>
        <w:spacing w:after="0" w:line="187"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Furthermore, unexpected changes in business conditions, materials pricing and/or availability, labor issues, wars, governmental changes, tariffs, natural disasters, health epidemics such as the ongoing COVID-19 pandemic, and other factors beyond Polestar’s and its suppliers’ control could also affect these suppliers’ ability to deliver components to Polestar on a timely basis. For example, Polestar relies on single-source suppliers for critical components for Polestar vehicles, including single-source suppliers in Shanghai. Prolonged government mandated quarantines and lockdowns in China during the first half of 2022 due to further outbreaks of COVID-19 have resulted in delays in the production and delivery of such critical components and delayed production of Polestar vehicles. Please also see “Business—Recent Developments” for more information on government mandated quarantines and lockdowns in China due to COVID-19, their impact on the production and timely delivery of critical components for Polestar vehicles by suppliers and their impact on anticipated Polestar car volumes. The loss of a strategic partner or any supplier, particularly a single- or limited-source supplier, or the disruption in the supply of components from its strategic partners or suppliers, could lead to vehicle design changes, production delays, idle manufacturing facilities and potential loss of access to important technology and parts for producing, servicing and supporting Polestar’s vehicles, any of which could result in negative publicity, damage to its brand and a material and adverse effect on its business, prospects, results of operations and financial condition. In addition, if Polestar’s suppliers experience substantial financial difficulties, cease operations or otherwise face business disruptions, including as a result of the effects of the COVID-19 pandemic, Polestar may be required to provide substantial financial support to ensure supply continuity, which could have an additional adverse effect on Polestar’s liquidity and financial condition.</w:t>
      </w:r>
    </w:p>
    <w:p>
      <w:pPr>
        <w:spacing w:after="0" w:line="301" w:lineRule="exact"/>
        <w:rPr>
          <w:sz w:val="20"/>
          <w:szCs w:val="20"/>
          <w:color w:val="auto"/>
        </w:rPr>
      </w:pPr>
    </w:p>
    <w:p>
      <w:pPr>
        <w:ind w:left="120" w:right="8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Polestar may not be able to accurately estimate the supply and demand for its vehicles, which could result in inefficiencies in its business, hinder its ability to generate revenue and create delays in the production of its vehicles. If Polestar fails to accurately predict its manufacturing requirements, Polestar will incur the risk of having to pay for production capacities that it reserved but will not be able to use or that Polestar will not be able to secure sufficient additional production capacities at reasonable costs in case product demand exceeds expectations.</w:t>
      </w:r>
    </w:p>
    <w:p>
      <w:pPr>
        <w:spacing w:after="0" w:line="72" w:lineRule="exact"/>
        <w:rPr>
          <w:sz w:val="20"/>
          <w:szCs w:val="20"/>
          <w:color w:val="auto"/>
        </w:rPr>
      </w:pPr>
    </w:p>
    <w:p>
      <w:pPr>
        <w:ind w:left="120" w:right="40" w:firstLine="440"/>
        <w:spacing w:after="0" w:line="274" w:lineRule="auto"/>
        <w:rPr>
          <w:sz w:val="20"/>
          <w:szCs w:val="20"/>
          <w:color w:val="auto"/>
        </w:rPr>
      </w:pPr>
      <w:r>
        <w:rPr>
          <w:rFonts w:ascii="Times New Roman" w:cs="Times New Roman" w:eastAsia="Times New Roman" w:hAnsi="Times New Roman"/>
          <w:sz w:val="17"/>
          <w:szCs w:val="17"/>
          <w:color w:val="auto"/>
        </w:rPr>
        <w:t>It is difficult to predict Polestar’s future revenues and appropriately budget for its expenses, and Polestar has limited insight into trends that may emerge and affect its business. Polestar is required to provide forecasts of its demand to certain of its strategic partners and suppliers several months prior to the scheduled delivery of vehicles to its prospective customers. Currently, there is little historical basis for making judgments about the demand for Polestar’s vehicles or its ability to develop, manufacture and deliver vehicles, or its profitability in the future. If Polestar overestimates its requirements, its strategic partners or suppliers may have excess manufacturing capacity and/or inventory, which indirectly would increase its costs. If Polestar underestimates its requirements, its strategic partners and suppliers may have inadequate manufacturing capacity and/or inventory, which could</w:t>
      </w:r>
    </w:p>
    <w:p>
      <w:pPr>
        <w:spacing w:after="0" w:line="1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100"/>
          </w:cols>
          <w:pgMar w:left="320" w:top="455" w:right="47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interrupt manufacturing of its products and result in delays in shipments and revenues. In addition, lead times for materials and components that Polestar’s suppliers order may vary significantly and depend on factors such as the specific supplier, contract terms and demand for each component at a given time. If Polestar fails to order sufficient quantities of product components in a timely manner, the delivery of vehicles to its customers could be delayed, which would harm Polestar’s brand, business, financial condition and results of operations.</w:t>
      </w:r>
    </w:p>
    <w:p>
      <w:pPr>
        <w:spacing w:after="0" w:line="284" w:lineRule="exact"/>
        <w:rPr>
          <w:sz w:val="20"/>
          <w:szCs w:val="20"/>
          <w:color w:val="auto"/>
        </w:rPr>
      </w:pPr>
    </w:p>
    <w:p>
      <w:pPr>
        <w:ind w:left="120" w:right="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Polestar may be unable to grow its global product sales, delivery capabilities and its servicing and vehicle charging partnerships, or Polestar may be unable to accurately project and effectively manage its growth. If Polestar is unable to expand its charging network and servicing capabilities, customers’ perceptions of Polestar could be negatively affected, which could materially and adversely affect Polestar’s business, financial condition, results of operations and prospects.</w:t>
      </w:r>
    </w:p>
    <w:p>
      <w:pPr>
        <w:spacing w:after="0" w:line="72"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Polestar’s success will depend on its ability to continue to expand its sales capabilities. As Polestar develops and grows its products worldwide, its success will depend on its ability to correctly forecast demand in various markets. If Polestar incorrectly forecasts its demand in one market, it cannot move this excess supply to another market where demand for Polestar products exists. Polestar may face difficulties with deliveries at increasing volumes, particularly in international markets requiring significant transit times. Moreover, because of Polestar’s unique expertise with its vehicles, Polestar recommends that its vehicles be serviced by Polestar or by certain authorized professionals. If Polestar experiences delays in adding servicing capacity or servicing its vehicles efficiently, or experiences unforeseen issues with the reliability of its vehicles, it could overburden Polestar’s servicing capabilities and parts inventory.</w:t>
      </w:r>
    </w:p>
    <w:p>
      <w:pPr>
        <w:spacing w:after="0" w:line="18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There is no assurance that Polestar will be able to ramp its business to meet its sales, delivery, manufacturing and servicing targets globally, or that Polestar’s projections on which such targets are based will prove accurate. These plans require significant cash investments and management resources and there is no guarantee that they will generate additional sales or manufacturing of Polestar’s products, or that Polestar will be able to avoid cost overruns or be able to hire additional personnel to support them. As Polestar expands, it will also need to ensure its compliance with regulatory requirements in various jurisdictions applicable to the manufacturing, sale and servicing of its products. If Polestar fails to manage its growth effectively, its brand, business, prospects, financial condition and operating results may be harmed.</w:t>
      </w:r>
    </w:p>
    <w:p>
      <w:pPr>
        <w:spacing w:after="0" w:line="291" w:lineRule="exact"/>
        <w:rPr>
          <w:sz w:val="20"/>
          <w:szCs w:val="20"/>
          <w:color w:val="auto"/>
        </w:rPr>
      </w:pPr>
    </w:p>
    <w:p>
      <w:pPr>
        <w:ind w:left="120"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Polestar has experienced and may in the future experience significant delays in the design, development, manufacture, launch and financing of its vehicles, which could harm its business and prospects.</w:t>
      </w:r>
    </w:p>
    <w:p>
      <w:pPr>
        <w:spacing w:after="0" w:line="51"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Any delay in the financing, development, design, manufacture and launch of Polestar’s vehicles, including planned future models, and any future electric vehicles could materially damage Polestar’s business, prospects, financial condition and results of operations. Automobile manufacturers often experience delays in the development, design, manufacture and commercial release of new vehicle models, and Polestar has experienced in the past, and may experience in the future, such delays with regard to its vehicles. For example, in 2020, the Polestar 2’s intended start date for production was delayed by one month. Further, delays can also impact features in the vehicles, as seen with Polestar’s intended introduction of Apple CarPlay into Polestar 2. Polestar’s plan to commercially manufacture and sell its vehicles is dependent upon the timely availability of funds, upon Polestar’s finalizing of the related development, component procurement, testing, build-out and manufacturing plans in a timely manner and also upon Polestar’s ability to execute these plans within the planned timeline. Prior to mass production of its new models, Polestar will also need the vehicles to be fully approved for sale according to differing requirements, including but not limited to regulatory requirements, in the different geographies where Polestar intends to launch its vehicles.</w:t>
      </w:r>
    </w:p>
    <w:p>
      <w:pPr>
        <w:spacing w:after="0" w:line="194" w:lineRule="exact"/>
        <w:rPr>
          <w:sz w:val="20"/>
          <w:szCs w:val="20"/>
          <w:color w:val="auto"/>
        </w:rPr>
      </w:pPr>
    </w:p>
    <w:p>
      <w:pPr>
        <w:jc w:val="both"/>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Furthermore, Polestar relies on its strategic partners and suppliers for the provision and development of many of the key components, technology and materials used in its vehicles. To the extent Polestar’s strategic partners or suppliers experience any delays in providing Polestar with or developing necessary components, technology and materials, Polestar could experience delays in delivering on its timelines. Any significant delay</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120"/>
          </w:cols>
          <w:pgMar w:left="320" w:top="455" w:right="4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400"/>
        <w:spacing w:after="0" w:line="261" w:lineRule="auto"/>
        <w:rPr>
          <w:sz w:val="20"/>
          <w:szCs w:val="20"/>
          <w:color w:val="auto"/>
        </w:rPr>
      </w:pPr>
      <w:r>
        <w:rPr>
          <w:rFonts w:ascii="Times New Roman" w:cs="Times New Roman" w:eastAsia="Times New Roman" w:hAnsi="Times New Roman"/>
          <w:sz w:val="18"/>
          <w:szCs w:val="18"/>
          <w:color w:val="auto"/>
        </w:rPr>
        <w:t>or other complication in the development, manufacture, launch and production ramp of Polestar’s future products, features and services, including complications associated with expanding its production capacity and supply chain or obtaining or maintaining related regulatory approvals, or the inability to manage such ramps cost-effectively, could materially damage Polestar’s brand, business, prospects, financial condition and results of operations.</w:t>
      </w:r>
    </w:p>
    <w:p>
      <w:pPr>
        <w:spacing w:after="0" w:line="284" w:lineRule="exact"/>
        <w:rPr>
          <w:sz w:val="20"/>
          <w:szCs w:val="20"/>
          <w:color w:val="auto"/>
        </w:rPr>
      </w:pPr>
    </w:p>
    <w:p>
      <w:pPr>
        <w:ind w:lef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Increases in costs, disruption of supply or shortage of materials, in particular for lithium-ion cells or semiconductors, could harm Polestar’s business. Polestar will need to maintain and significantly grow its access to battery cells, including through the development and manufacture of its own cells, and control its related costs.</w:t>
      </w:r>
    </w:p>
    <w:p>
      <w:pPr>
        <w:spacing w:after="0" w:line="67"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As Polestar produces its vehicles, it may experience increases in the cost of or a sustained interruption in the supply or shortage of materials. Any such increase, supply interruption or shortage could materially and adversely impact Polestar’s business, results of operations, prospects and financial condition. The production of Polestar’s vehicles requires lithium-ion cells and semiconductors from suppliers, as well as aluminum, steel, lithium, nickel, copper, cobalt, neodymium, terbium, praseodymium and manganese. The prices for these materials fluctuate, and their available supply may be unstable, depending on market conditions, inflationary pressure and global demand for these materials, including as a result of increased production of electric vehicles and energy storage products by Polestar’s competitors, and could adversely affect Polestar’s business and results of operations. Polestar’s ability to manufacture its vehicles will depend on the continued supply of battery cells for the battery packs used in its products. Polestar has limited flexibility in changing battery cell suppliers, and any disruption in the supply of battery cells from such suppliers could disrupt production of Polestar’s vehicles until a different supplier is fully qualified. In particular, Polestar is exposed to multiple risks relating to lithium-ion cells. These risks include:</w:t>
      </w:r>
    </w:p>
    <w:p>
      <w:pPr>
        <w:spacing w:after="0" w:line="100" w:lineRule="exact"/>
        <w:rPr>
          <w:sz w:val="20"/>
          <w:szCs w:val="20"/>
          <w:color w:val="auto"/>
        </w:rPr>
      </w:pPr>
    </w:p>
    <w:p>
      <w:pPr>
        <w:ind w:left="1080" w:right="60" w:hanging="424"/>
        <w:spacing w:after="0" w:line="282"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or unwillingness of current battery manufacturers to build or operate battery cell manufacturing plants to supply the numbers of lithium-ion cells required to support the growth of the electric vehicle industry as demand for such cells increases;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the cost, or a decrease in the available supply, of materials, such as cobalt, used in lithium-ion cells;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in the supply of cells due to quality issues or recalls by battery cell manufacturers; and</w:t>
      </w:r>
    </w:p>
    <w:p>
      <w:pPr>
        <w:spacing w:after="0" w:line="130"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value of any foreign currencies, and the Swedish Krona (“SEK”), the renminbi (“RMB”), USD or the Euro (“EUR”) in particular, in which battery cell and related raw material purchases are or may be denominated.</w:t>
      </w:r>
    </w:p>
    <w:p>
      <w:pPr>
        <w:spacing w:after="0" w:line="162"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Furthermore, Polestar’s ability to manufacture its vehicles depends on continuing access to semiconductors and components that incorporate semiconductors. A global semiconductor supply shortage is having wide-ranging effects across multiple industries and the automotive industry in particular, and it has impacted many automotive suppliers and manufacturers, including Polestar, that incorporate semiconductors into the parts they supply or manufacture. Polestar has experienced and may continue to experience an impact on its operations as a result of the semiconductor supply shortage, and such shortage could in the future have a material impact on Polestar or its suppliers, which could delay production or force Polestar or its suppliers to pay exorbitant rates for continued access to semiconductors and could have a material and adverse effect on Polestar’s business, prospects and results of operations. In addition, prices and transportation expenses for these materials fluctuate depending on many factors beyond Polestar’s control, including fluctuations in supply and demand, currency fluctuations, tariffs and taxes, fluctuations and shortages in petroleum supply, freight charges, the ongoing COVID-19 pandemic and other economic and political factors. Substantial increases in the prices for Polestar’s materials or prices charged to Polestar, such as those charged by battery cell or semiconductor suppliers, would increase Polestar’s operating costs, and could reduce Polestar’s margins if it cannot recoup the increased costs through increased prices. Any attempt to increase product prices in response to increased material costs could result in cancellations of orders and reservations and materially and adversely affect Polestar’s brand, image, business, results of operations, prospects and financial condition.</w:t>
      </w:r>
    </w:p>
    <w:p>
      <w:pPr>
        <w:spacing w:after="0" w:line="12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40"/>
          </w:cols>
          <w:pgMar w:left="320" w:top="455" w:right="5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success and growth of Polestar’s business depends upon its ability to continuously and rapidly innovate, develop and market new products and there are significant risks related to future market adoption of Polestar’s products. Polestar’s limited operating history makes evaluating its business and future prospects difficult and may increase the risk of your investment.</w:t>
      </w:r>
    </w:p>
    <w:p>
      <w:pPr>
        <w:spacing w:after="0" w:line="67" w:lineRule="exact"/>
        <w:rPr>
          <w:sz w:val="20"/>
          <w:szCs w:val="20"/>
          <w:color w:val="auto"/>
        </w:rPr>
      </w:pPr>
    </w:p>
    <w:p>
      <w:pPr>
        <w:jc w:val="both"/>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The success and growth of Polestar’s business depends upon its ability to continuously and rapidly innovate, develop and market new products, and there are significant risks related to future market adoption of Polestar’s products and government programs incentivizing consumers to purchase electric vehicles. Polestar has a limited operating history and operates in a rapidly evolving and highly regulated market. Polestar has encountered and expects to continue to encounter risks and uncertainties frequently experienced by early-stage companies in rapidly changing markets, including risks relating to its ability to, among other things:</w:t>
      </w:r>
    </w:p>
    <w:p>
      <w:pPr>
        <w:spacing w:after="0" w:line="89" w:lineRule="exact"/>
        <w:rPr>
          <w:sz w:val="20"/>
          <w:szCs w:val="20"/>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launch commercial production and sales of its vehicles on the timing and with the specifications Polestar has planned;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integrate and retain professional and technical talent, including key members of management;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make significant investments in research, development, manufacturing, marketing and sales;</w:t>
      </w:r>
    </w:p>
    <w:p>
      <w:pPr>
        <w:spacing w:after="0" w:line="130"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obtain, maintain, protect and enforce its intellectual property and defend against claims of intellectual property infringement, misappropriation or other violations;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build a well-recognized and respected brand;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and refine its commercial manufacturing capabilities and distribution infrastructure;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and maintain satisfactory arrangements with its strategic partners and suppliers;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and expand a customer base;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navigate an evolving and complex regulatory environment;</w:t>
      </w:r>
    </w:p>
    <w:p>
      <w:pPr>
        <w:spacing w:after="0" w:line="130" w:lineRule="exact"/>
        <w:rPr>
          <w:rFonts w:ascii="Times New Roman" w:cs="Times New Roman" w:eastAsia="Times New Roman" w:hAnsi="Times New Roman"/>
          <w:sz w:val="18"/>
          <w:szCs w:val="18"/>
          <w:color w:val="auto"/>
        </w:rPr>
      </w:pPr>
    </w:p>
    <w:p>
      <w:pPr>
        <w:ind w:left="1080" w:right="760" w:hanging="424"/>
        <w:spacing w:after="0" w:line="282"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anticipate and adapt to changing market conditions, including consumer demand for certain vehicle types, models or trim levels, technological developments and changes in competitive landscape;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design, build, manufacture and market new models of electric vehicles in the future.</w:t>
      </w:r>
    </w:p>
    <w:p>
      <w:pPr>
        <w:spacing w:after="0" w:line="329" w:lineRule="exact"/>
        <w:rPr>
          <w:sz w:val="20"/>
          <w:szCs w:val="20"/>
          <w:color w:val="auto"/>
        </w:rPr>
      </w:pPr>
    </w:p>
    <w:p>
      <w:pPr>
        <w:jc w:val="both"/>
        <w:ind w:left="120" w:right="3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Polestar operates in an intensely competitive market, which is generally cyclical and volatile. Should Polestar not be able to compete effectively against its competitors then it is likely to lose market share, which could have a material and adverse effect on the business, financial condition, results of operations and prospects of Polestar.</w:t>
      </w:r>
    </w:p>
    <w:p>
      <w:pPr>
        <w:spacing w:after="0" w:line="67"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The global automotive market, particularly for electric and alternative fuel vehicles, is highly competitive, and Polestar expects it will become even more so in the future. In recent years, the electric vehicle industry has grown, with several companies that focus completely or partially on the electric vehicle market. Polestar expects additional companies to enter this market within the next several years. Polestar also competes with established automobile manufacturers in the luxury vehicle segment, many of which have entered or have announced plans to enter the alternative fuel and electric vehicle market with either fully electric or plug-in hybrid versions of their vehicles, and Polestar also expects to compete for sales with luxury vehicles with internal combustion engines from established manufacturers. Many of Polestar’s current and potential competitors have significantly greater financial, technical, manufacturing, marketing and other resources than Polestar does and may be able to devote greater resources to the design, development, manufacturing, distribution, promotion, sale, servicing and support of their products. In addition, many of these companies have longer operating histories, greater name recognition, larger and more established sales forces, broader customer and industry relationships and other resources than Polestar does. Polestar’s competitors may be in a stronger position to respond quickly to new technologies and may be able to design, develop, market and sell their products more effectively than it does. Polestar expects competition in its industry to significantly intensify in the future in light of increased demand for</w:t>
      </w:r>
    </w:p>
    <w:p>
      <w:pPr>
        <w:spacing w:after="0" w:line="12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080"/>
          </w:cols>
          <w:pgMar w:left="320" w:top="455" w:right="49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alternative fuel vehicles, continuing globalization, favorable governmental policies and consolidation in the worldwide automotive industry. Polestar’s ability to successfully compete in its industry will be fundamental to its future success in existing and new markets. Further, sales of vehicles in the automotive industry tend to be cyclical in many markets, which may expose Polestar to further volatility as it expands and adjusts its operations. Decreases in the retail or wholesale prices of electricity from utilities or other renewable energy sources could make Polestar’s products less attractive to customers. There can be no assurance that Polestar will be able to compete successfully in its markets.</w:t>
      </w:r>
    </w:p>
    <w:p>
      <w:pPr>
        <w:spacing w:after="0" w:line="287" w:lineRule="exact"/>
        <w:rPr>
          <w:sz w:val="20"/>
          <w:szCs w:val="20"/>
          <w:color w:val="auto"/>
        </w:rPr>
      </w:pPr>
    </w:p>
    <w:p>
      <w:pPr>
        <w:jc w:val="both"/>
        <w:ind w:left="120" w:right="2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Polestar’s business and prospects depend significantly on the Polestar brand. If Polestar is unable to maintain and enhance its brand and capture additional market share or if its reputation and business are harmed, it could have a material and adverse impact on Polestar’s business, financial condition, results of operations and prospects.</w:t>
      </w:r>
    </w:p>
    <w:p>
      <w:pPr>
        <w:spacing w:after="0" w:line="67"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Polestar’s business and prospects heavily depend on its ability to develop, maintain and strengthen the “Polestar” brand associated with design, sustainability and technological excellence. Promoting and positioning its brand depend significantly on Polestar’s ability to provide a consistently high-quality customer experience. To promote its brand, Polestar may be required to change its customer development and branding practices, which could result in substantially increased expenses, including the need to use traditional media such as television, radio and print advertising. In particular, any negative publicity, whether or not true, can quickly proliferate on social media and harm consumer perception and confidence in Polestar’s brand. Polestar’s ability to successfully position its brand could also be adversely affected by perceptions about the quality of its competitors’ vehicles or its competitors’ success. For example, certain of Polestar’s competitors have been subject to significant scrutiny for incidents involving their self-driving technology and battery fires, which could result in similar scrutiny of Polestar.</w:t>
      </w:r>
    </w:p>
    <w:p>
      <w:pPr>
        <w:spacing w:after="0" w:line="192" w:lineRule="exact"/>
        <w:rPr>
          <w:sz w:val="20"/>
          <w:szCs w:val="20"/>
          <w:color w:val="auto"/>
        </w:rPr>
      </w:pPr>
    </w:p>
    <w:p>
      <w:pPr>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In addition, from time to time, Polestar’s vehicles may be evaluated and reviewed by third parties. Any negative reviews or reviews which compare Polestar unfavorably to competitors could adversely affect consumer perception about its vehicles and reduce demand for its vehicles, which could have a material and adverse effect on Polestar’s business, results of operations, prospects and financial condition.</w:t>
      </w:r>
    </w:p>
    <w:p>
      <w:pPr>
        <w:spacing w:after="0" w:line="280" w:lineRule="exact"/>
        <w:rPr>
          <w:sz w:val="20"/>
          <w:szCs w:val="20"/>
          <w:color w:val="auto"/>
        </w:rPr>
      </w:pPr>
    </w:p>
    <w:p>
      <w:pPr>
        <w:ind w:left="120"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Polestar’s sales depend in part on its ability to establish and maintain confidence in its business prospects among consumers, analysts and others within its industry.</w:t>
      </w:r>
    </w:p>
    <w:p>
      <w:pPr>
        <w:spacing w:after="0" w:line="5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Consumers may be less likely to purchase Polestar’s products if they do not believe that its business will succeed or that its operations, including service and customer support operations, will continue for many years. Similarly, suppliers and other third parties will be less likely to invest time and resources in developing business relationships with Polestar if they are not convinced that its business will succeed. Accordingly, to build, maintain and grow its business, Polestar must establish and maintain confidence among customers, suppliers, analysts and other parties with respect to its liquidity and business prospects. Maintaining such confidence may be particularly difficult as a result of many factors, including Polestar’s limited operating history, others’ unfamiliarity with its products, uncertainty regarding the future of electric vehicles, any delays in scaling production, delivery and service operations to meet demand, competition and Polestar’s production and sales performance compared with market expectations. Many of these factors are largely outside of Polestar’s control, and any negative perceptions about Polestar’s business prospects, even if exaggerated or unfounded, would likely harm its business and make it more difficult to raise additional capital in the future. In addition, a significant number of new electric vehicle companies have recently entered the automotive industry, which is an industry that has historically been associated with significant barriers to entry and a high rate of failure. If these new entrants or other manufacturers of electric vehicles go out of business, produce vehicles that do not perform as expected or otherwise fail to meet expectations, such failures may have the effect of increasing scrutiny of others in the industry, including Polestar, and further challenging customer, supplier and analyst confidence in Polestar’s business prospects.</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140"/>
          </w:cols>
          <w:pgMar w:left="320" w:top="455" w:right="4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automotive industry has significant barriers to entry that Polestar must overcome in order to manufacture and sell electric vehicles at scale.</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automobile industry is characterized by significant barriers to entry, including large capital requirements, investment costs of developing, designing, manufacturing and distributing vehicles, long lead times to bring vehicles to market from the concept and design stage, the need for specialized design and development expertise, regulatory requirements, establishing a brand name and image and the need to establish sales and service locations. Since Polestar is focused on electric vehicles, it faces a variety of added challenges to entry that a traditional automobile manufacturer would not encounter, including additional costs of developing and producing an electric powertrain that has comparable performance to a traditional gasoline engine in terms of range and power, inexperience with servicing electric vehicles, regulations associated with the transport of batteries, the need to establish or provide access to sufficient charging locations and unproven high-volume customer demand for fully electric vehicles. If Polestar is not able to overcome these barriers, its business, prospects, results of operations and financial condition will be negatively impacted, and its ability to grow its business will be harmed.</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Polestar may be unable to adequately control the substantial costs associated with its operations.</w:t>
      </w:r>
    </w:p>
    <w:p>
      <w:pPr>
        <w:spacing w:after="0" w:line="121"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color w:val="auto"/>
        </w:rPr>
        <w:t>Polestar will require significant capital to develop and grow its business, and will need to seek new financing in the future. Polestar has incurred and expects to continue to incur significant expenses, including leases, sales and distribution expenses as its builds its brand and markets its vehicles; expenses relating to developing and manufacturing its vehicles; tooling and expanding its manufacturing facilities; research and development expenses; raw material procurement costs; and general and administrative expenses as it scales its operations and incurs the costs of being a public company. In addition, Polestar expects to incur significant costs servicing and maintaining customers’ vehicles, including establishing its service operations and facilities. These expenses could be significantly higher than Polestar currently anticipates. In addition, any delays in the start of production, obtaining necessary equipment or supplies, expansion of Polestar’s manufacturing facilities or manufacturing agreements, or the procurement of permits and licenses relating to Polestar’s expected manufacturing, sales and distribution model could significantly increase Polestar’s expenses. In such event, Polestar could be required to seek additional financing earlier than it expects, and such financing may not be available on commercially reasonable terms, or at all.</w:t>
      </w:r>
    </w:p>
    <w:p>
      <w:pPr>
        <w:spacing w:after="0" w:line="194" w:lineRule="exact"/>
        <w:rPr>
          <w:sz w:val="20"/>
          <w:szCs w:val="20"/>
          <w:color w:val="auto"/>
        </w:rPr>
      </w:pPr>
    </w:p>
    <w:p>
      <w:pPr>
        <w:ind w:left="120" w:right="340" w:firstLine="440"/>
        <w:spacing w:after="0" w:line="266" w:lineRule="auto"/>
        <w:rPr>
          <w:sz w:val="20"/>
          <w:szCs w:val="20"/>
          <w:color w:val="auto"/>
        </w:rPr>
      </w:pPr>
      <w:r>
        <w:rPr>
          <w:rFonts w:ascii="Times New Roman" w:cs="Times New Roman" w:eastAsia="Times New Roman" w:hAnsi="Times New Roman"/>
          <w:sz w:val="18"/>
          <w:szCs w:val="18"/>
          <w:color w:val="auto"/>
        </w:rPr>
        <w:t>In the longer term, Polestar’s ability to become profitable in the future will depend on its ability not only to control costs, but also to sell in quantities and at prices sufficient to achieve its expected margins. If Polestar is unable to cost-efficiently develop, design, manufacture, market, sell, distribute and service its vehicles, its margins, profitability and prospects would be materially and adversely affected.</w:t>
      </w:r>
    </w:p>
    <w:p>
      <w:pPr>
        <w:spacing w:after="0" w:line="280" w:lineRule="exact"/>
        <w:rPr>
          <w:sz w:val="20"/>
          <w:szCs w:val="20"/>
          <w:color w:val="auto"/>
        </w:rPr>
      </w:pPr>
    </w:p>
    <w:p>
      <w:pPr>
        <w:ind w:left="120"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Polestar has incurred net losses each year since its inception and expects to incur increasing expenses and substantial losses for the foreseeable future.</w:t>
      </w:r>
    </w:p>
    <w:p>
      <w:pPr>
        <w:spacing w:after="0" w:line="51"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As of June 30, 2022, Polestar’s accumulated deficit was approximately $3,764 million. Polestar expects to continue to incur substantial losses and increasing expenses in the foreseeable future as it:</w:t>
      </w:r>
    </w:p>
    <w:p>
      <w:pPr>
        <w:spacing w:after="0" w:line="67" w:lineRule="exact"/>
        <w:rPr>
          <w:sz w:val="20"/>
          <w:szCs w:val="20"/>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continues to design and develop its vehicles;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builds up inventories of parts and components for its vehicles;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manufactures an available inventory of its vehicles;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develops and deploys vehicle charging partnerships;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expands its design, research, development, maintenance and repair capabilities;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its sales and marketing activities and develops its distribution infrastructure; and</w:t>
      </w:r>
    </w:p>
    <w:p>
      <w:pPr>
        <w:spacing w:after="0" w:line="130" w:lineRule="exact"/>
        <w:rPr>
          <w:rFonts w:ascii="Times New Roman" w:cs="Times New Roman" w:eastAsia="Times New Roman" w:hAnsi="Times New Roman"/>
          <w:sz w:val="18"/>
          <w:szCs w:val="18"/>
          <w:color w:val="auto"/>
        </w:rPr>
      </w:pPr>
    </w:p>
    <w:p>
      <w:pPr>
        <w:ind w:left="5540" w:right="1800" w:hanging="4884"/>
        <w:spacing w:after="0" w:line="454" w:lineRule="auto"/>
        <w:tabs>
          <w:tab w:leader="none" w:pos="109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expands its general and administrative functions to support its growing operations and status as a public company. 21</w:t>
      </w:r>
    </w:p>
    <w:p>
      <w:pPr>
        <w:sectPr>
          <w:pgSz w:w="11900" w:h="16838" w:orient="portrait"/>
          <w:cols w:equalWidth="0" w:num="1">
            <w:col w:w="11100"/>
          </w:cols>
          <w:pgMar w:left="320" w:top="455" w:right="47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If Polestar’s product development or commercialization is delayed, its costs and expenses may be significantly higher than it currently expects. Because Polestar will incur the costs and expenses from these efforts before it receives any incremental revenues with respect thereto, Polestar expects its losses in future periods will be significant.</w:t>
      </w:r>
    </w:p>
    <w:p>
      <w:pPr>
        <w:spacing w:after="0" w:line="280" w:lineRule="exact"/>
        <w:rPr>
          <w:sz w:val="20"/>
          <w:szCs w:val="20"/>
          <w:color w:val="auto"/>
        </w:rPr>
      </w:pPr>
    </w:p>
    <w:p>
      <w:pPr>
        <w:ind w:left="120"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Polestar Group’s independent registered public accounting firm has included an explanatory paragraph relating to Polestar Group’s ability to continue as a going concern in its report on Polestar Group’s audited consolidated financial statements included in this prospectus.</w:t>
      </w:r>
    </w:p>
    <w:p>
      <w:pPr>
        <w:spacing w:after="0" w:line="5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Polestar Group’s audited consolidated financial statements were prepared assuming that Polestar Group will continue as a going concern. However, the report of Polestar Group’s independent registered public accounting firm included elsewhere in this prospectus contains an explanatory paragraph on Polestar Group’s consolidated financial statements stating there is substantial doubt about its ability to continue as a going concern, meaning that Polestar Group may not be able to continue in operation for the foreseeable future or be able to realize assets and discharge liabilities in the ordinary course of operations. Such an opinion could materially limit Polestar Group’s ability to raise additional funds through the issuance of new debt or equity securities or otherwise. There is no assurance that sufficient financing will be available when needed to allow Polestar Group to continue as a going concern. The perception that Polestar Group may not be able to continue as a going concern may also make it more difficult to raise additional funds or operate Polestar Group’s business due to concerns about its ability to meet contractual obligations.</w:t>
      </w:r>
    </w:p>
    <w:p>
      <w:pPr>
        <w:spacing w:after="0" w:line="192" w:lineRule="exact"/>
        <w:rPr>
          <w:sz w:val="20"/>
          <w:szCs w:val="20"/>
          <w:color w:val="auto"/>
        </w:rPr>
      </w:pPr>
    </w:p>
    <w:p>
      <w:pPr>
        <w:ind w:left="120" w:right="140" w:firstLine="440"/>
        <w:spacing w:after="0" w:line="274" w:lineRule="auto"/>
        <w:rPr>
          <w:sz w:val="20"/>
          <w:szCs w:val="20"/>
          <w:color w:val="auto"/>
        </w:rPr>
      </w:pPr>
      <w:r>
        <w:rPr>
          <w:rFonts w:ascii="Times New Roman" w:cs="Times New Roman" w:eastAsia="Times New Roman" w:hAnsi="Times New Roman"/>
          <w:sz w:val="17"/>
          <w:szCs w:val="17"/>
          <w:color w:val="auto"/>
        </w:rPr>
        <w:t>Based on current operating plans, availability of short-term and long-term debt financing arrangements and financial support from existing Polestar shareholders, who may provide Polestar Group additional equity financing in the case Polestar Group is not able to meet financial liabilities, Polestar Group believes that it has resources to fund its operations for at least the next twelve months, but may require further funds to finance its activities thereafter. Polestar Group may also consider potential financing options with banks or other third parties. For more information, see “—</w:t>
      </w:r>
      <w:r>
        <w:rPr>
          <w:rFonts w:ascii="Times New Roman" w:cs="Times New Roman" w:eastAsia="Times New Roman" w:hAnsi="Times New Roman"/>
          <w:sz w:val="17"/>
          <w:szCs w:val="17"/>
          <w:i w:val="1"/>
          <w:iCs w:val="1"/>
          <w:color w:val="auto"/>
        </w:rPr>
        <w:t>Risks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Related to Financing and Strategic Transactions—Polestar will require additional capital to support business growth, and this capital might not be available on commercially reasonable terms, or at all” </w:t>
      </w:r>
      <w:r>
        <w:rPr>
          <w:rFonts w:ascii="Times New Roman" w:cs="Times New Roman" w:eastAsia="Times New Roman" w:hAnsi="Times New Roman"/>
          <w:sz w:val="17"/>
          <w:szCs w:val="17"/>
          <w:color w:val="auto"/>
        </w:rPr>
        <w:t>and “</w:t>
      </w:r>
      <w:r>
        <w:rPr>
          <w:rFonts w:ascii="Times New Roman" w:cs="Times New Roman" w:eastAsia="Times New Roman" w:hAnsi="Times New Roman"/>
          <w:sz w:val="17"/>
          <w:szCs w:val="17"/>
          <w:i w:val="1"/>
          <w:iCs w:val="1"/>
          <w:color w:val="auto"/>
        </w:rPr>
        <w:t>Operating and Financial Review and Prospects—Liquidity and capital resources</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w:t>
      </w:r>
    </w:p>
    <w:p>
      <w:pPr>
        <w:spacing w:after="0" w:line="27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Polestar depends on revenue generated from a limited number of models and expects this to continue in the foreseeable future.</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Polestar currently depends on revenue generated from two vehicle models, Polestar 1 and Polestar 2, and in the foreseeable future will be significantly dependent on a limited number of models. Although Polestar has other vehicle models on its product pipeline, it currently does not expect to introduce another vehicle model for sale until 2023. Polestar expects to rely on sales from Polestar 1 and Polestar 2, among other sources of financing, for the capital that will be required to develop and commercialize those subsequent models (see “Risk Factors—Risks Related to Financing and Strategic Transactions—Polestar will require additional capital to support business growth, and this capital might not be available on commercially reasonable terms, or at all.”). To the extent that production of Polestar’s vehicles is delayed or reduced, or if the vehicles are not well-received by the market for any reason, Polestar’s revenues and cash flow would be adversely affected and it may need to seek additional financing earlier than it expects, and such financing may not be available to it on commercially reasonable terms, or at all.</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Polestar relies on its partnerships with vehicle charging networks to provide charging solutions for its vehicles.</w:t>
      </w:r>
    </w:p>
    <w:p>
      <w:pPr>
        <w:spacing w:after="0" w:line="121"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Demand for Polestar’s vehicles depends in part on the availability of charging infrastructure. While the prevalence of charging stations has been increasing, charging station locations are significantly less widespread than gas stations. Some potential customers may choose not to purchase an electric vehicle because of the lack of</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120"/>
          </w:cols>
          <w:pgMar w:left="320" w:top="455" w:right="4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20"/>
        <w:spacing w:after="0" w:line="261" w:lineRule="auto"/>
        <w:rPr>
          <w:sz w:val="20"/>
          <w:szCs w:val="20"/>
          <w:color w:val="auto"/>
        </w:rPr>
      </w:pPr>
      <w:r>
        <w:rPr>
          <w:rFonts w:ascii="Times New Roman" w:cs="Times New Roman" w:eastAsia="Times New Roman" w:hAnsi="Times New Roman"/>
          <w:sz w:val="18"/>
          <w:szCs w:val="18"/>
          <w:color w:val="auto"/>
        </w:rPr>
        <w:t>a more widespread service network or charging infrastructure at the time of sale. Polestar’s ability to generate customer loyalty and grow its business could be impaired by a lack of satisfactory access to charging infrastructure. To the extent Polestar is unable to meet user expectations or experiences difficulties in providing charging solutions, demand for its vehicles may suffer, and Polestar’s reputation and business may be materially and adversely affected.</w:t>
      </w:r>
    </w:p>
    <w:p>
      <w:pPr>
        <w:spacing w:after="0" w:line="284" w:lineRule="exact"/>
        <w:rPr>
          <w:sz w:val="20"/>
          <w:szCs w:val="20"/>
          <w:color w:val="auto"/>
        </w:rPr>
      </w:pPr>
    </w:p>
    <w:p>
      <w:pPr>
        <w:ind w:left="120"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Polestar relies on its strategic partners for servicing its vehicles and on their systems, such as dealer management systems and diagnostic tools. If Polestar or its strategic partners are unable to adequately address the service requirements of its customers, Polestar’s business, prospects, financial condition and results of operations may be materially and adversely affected.</w:t>
      </w:r>
    </w:p>
    <w:p>
      <w:pPr>
        <w:spacing w:after="0" w:line="67"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Polestar’s strategic partners have limited experience servicing or repairing Polestar vehicles. This risk is enhanced by Polestar’s limited operating history and its limited data regarding its vehicles’ real-world reliability and service requirements. Servicing electric vehicles is different than servicing vehicles with internal combustion engines and requires specialized skills, including high voltage training and servicing techniques. As such, there can be no assurance that Polestar’s service arrangements adequately address the service requirements of its customers to their satisfaction, or that Polestar and its servicing partners have sufficient resources, experience or inventory to meet these service requirements in a timely manner as the volume of vehicles Polestar delivers increases. In addition, if Polestar is unable establish a widespread service network that provides satisfactory customer service, its customer loyalty, brand and reputation could be adversely affected, which in turn could materially and adversely affect its sales, results of operations, prospects and financial condition.</w:t>
      </w:r>
    </w:p>
    <w:p>
      <w:pPr>
        <w:spacing w:after="0" w:line="192"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In addition, the motor vehicle industry laws in many jurisdictions require that service facilities be available to service vehicles physically sold from locations in the state. While Polestar anticipates developing a service program that would satisfy regulatory requirements in these circumstances, the specifics of its service program are still in development, and at some point may need to be restructured to comply with state law, which may impact Polestar’s business, financial condition, results of operations and prospects.</w:t>
      </w:r>
    </w:p>
    <w:p>
      <w:pPr>
        <w:spacing w:after="0" w:line="180"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Furthermore, in some jurisdictions, Polestar may be regarded as a competitor of its strategic partners in relation to servicing vehicles pursuant to applicable competition laws. Therefore, Polestar and its strategic partners’ sales units in those markets will be subject to strict controls over the sharing of commercially sensitive information and anti-cartel requirements that can result in reduced coordination with respect to providing servicing to customers, which in turn could have a material and adverse effect on Polestar’s sales, results of operations, prospects and financial condition.</w:t>
      </w:r>
    </w:p>
    <w:p>
      <w:pPr>
        <w:spacing w:after="0" w:line="180"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Polestar’s customers will also depend on Polestar’s customer support team to resolve technical and operational issues relating to the integrated software underlying its vehicles. As Polestar grows, additional pressure may be placed on its customer support team or partners, and Polestar may be unable to respond quickly enough to accommodate short-term increases in customer demand for technical support. Polestar also may be unable to modify the future scope and delivery of its technical support to compete with changes in the technical support provided by its competitors. Increased customer demand for support, without corresponding revenue, could increase costs and negatively affect Polestar’s results of operations. If Polestar is unable to successfully address the service requirements of its customers, or if it establishes a market perception that it does not maintain high-quality support, its brand and reputation could be adversely affected, and it may be subject to claims from its customers, which could result in loss of revenue or damages, and its business, results of operations, prospects and financial condition could be materially and adversely affected.</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If Polestar’s vehicles fail to perform as expected, its ability to develop, market and sell or lease its products could be harmed.</w:t>
      </w:r>
    </w:p>
    <w:p>
      <w:pPr>
        <w:spacing w:after="0" w:line="121"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Polestar’s vehicles may contain defects in components, software, design or manufacture that may cause them not to perform as expected or that may require repairs, recalls and design changes, any of which would</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100"/>
          </w:cols>
          <w:pgMar w:left="320" w:top="455" w:right="47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require significant financial and other resources to successfully navigate and resolve. Polestar’s vehicles use a substantial amount of software code to operate, and software products are inherently complex and may contain defects and errors. If Polestar’s vehicles contain defects in design and manufacture that cause them not to perform as expected or that require repair, or certain features of Polestar’s vehicles take longer than expected to become available, are legally restricted or become subject to additional regulation, Polestar’s ability to develop, market and sell its products and services could be harmed. Efforts to remedy any issues Polestar observes in its products could significantly distract management’s attention from other important business objectives, may not be timely, may hamper production or may not be to the satisfaction of its customers. Further, Polestar’s limited operating history and limited field data reduce its ability to evaluate and predict the long-term quality, reliability, durability and performance characteristics of its battery packs, powertrains and vehicles. There can be no assurance that Polestar will be able to detect and fix any defects in its products prior to their sale or lease to customers.</w:t>
      </w:r>
    </w:p>
    <w:p>
      <w:pPr>
        <w:spacing w:after="0" w:line="188"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Any defects, delays or legal restrictions on vehicle features, or other failure of Polestar’s vehicles to perform as expected, could harm Polestar’s reputation and result in delivery delays, product recalls, product liability claims, breach of warranty claims and significant warranty and other expenses, and could have a material and adverse impact on Polestar’s business, results of operations, prospects and financial condition. As a newer entrant to the industry attempting to build customer relationships and earn trust, these effects could be significantly detrimental to Polestar. Additionally, problems and defects experienced by other electric consumer vehicles could by association have a negative impact on perception and customer demand for Polestar’s vehicles.</w:t>
      </w:r>
    </w:p>
    <w:p>
      <w:pPr>
        <w:spacing w:after="0" w:line="187"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In addition, even if its vehicles function as designed, Polestar expects that the battery efficiency, and hence the range, of its electric vehicles, like other electric vehicles that use current battery technology, will decline over time. Other factors, such as usage, time and stress patterns, may also impact the battery’s ability to hold a charge, or could require Polestar to limit vehicles’ battery charging capacity, including via over-the-air or other software updates, for safety reasons or to protect battery capacity, which could further decrease Polestar’s vehicles’ range between charges. Such decreases in or limitations of battery capacity and therefore range, whether imposed by deterioration, software limitations or otherwise, could also lead to consumer complaints or warranty claims, including claims that prior knowledge of such decreases or limitations would have affected consumers’ purchasing decisions. There can be no assurance that Polestar will be able to improve the performance of its battery packs, or increase its vehicles’ range, in the future. Any such battery deterioration or capacity limitations and related decreases in range may negatively influence potential customers’ willingness to purchase Polestar’s vehicles and negatively impact its brand and reputation, which could adversely affect Polestar’s business, prospects, results of operations and financial condition.</w:t>
      </w:r>
    </w:p>
    <w:p>
      <w:pPr>
        <w:spacing w:after="0" w:line="298" w:lineRule="exact"/>
        <w:rPr>
          <w:sz w:val="20"/>
          <w:szCs w:val="20"/>
          <w:color w:val="auto"/>
        </w:rPr>
      </w:pPr>
    </w:p>
    <w:p>
      <w:pPr>
        <w:ind w:left="120"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Polestar must develop complex software and technology systems, including in coordination with its strategic partners, vendors and suppliers, in order to produce its electric vehicles, and there can be no assurance such systems will be successfully developed.</w:t>
      </w:r>
    </w:p>
    <w:p>
      <w:pPr>
        <w:spacing w:after="0" w:line="51"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Polestar’s vehicles use a substantial amount of externally developed and in-house software and complex technological hardware to operate, some of which is still subject to further development and testing. The development and implementation of such advanced technologies is inherently complex, and Polestar will need to coordinate with its vendors and suppliers in order to integrate such technology into its electric vehicles and ensure it interoperates with other complex technology as designed and as expected. Polestar may fail to detect defects and errors that are subsequently revealed, and its control over the performance of other parties’ services and systems may be limited. Any defects or errors in, or which are attributed to, Polestar’s technology, could result in, among other things:</w:t>
      </w:r>
    </w:p>
    <w:p>
      <w:pPr>
        <w:spacing w:after="0" w:line="93" w:lineRule="exact"/>
        <w:rPr>
          <w:sz w:val="20"/>
          <w:szCs w:val="20"/>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delayed production and delivery of Polestar’s vehicles;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delayed market acceptance of Polestar’s vehicles;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customers or the inability to attract new customers;</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120"/>
          </w:cols>
          <w:pgMar w:left="320" w:top="455" w:right="4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engineering or other resources for remedying the defect or error;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damage to Polestar’s brand or reputation;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service and warranty costs;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action by customers or third parties, including product liability claims;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penalties imposed by regulatory authorities.</w:t>
      </w:r>
    </w:p>
    <w:p>
      <w:pPr>
        <w:spacing w:after="0" w:line="225" w:lineRule="exact"/>
        <w:rPr>
          <w:sz w:val="20"/>
          <w:szCs w:val="20"/>
          <w:color w:val="auto"/>
        </w:rPr>
      </w:pPr>
    </w:p>
    <w:p>
      <w:pPr>
        <w:ind w:left="120" w:right="100" w:firstLine="440"/>
        <w:spacing w:after="0" w:line="255" w:lineRule="auto"/>
        <w:rPr>
          <w:sz w:val="20"/>
          <w:szCs w:val="20"/>
          <w:color w:val="auto"/>
        </w:rPr>
      </w:pPr>
      <w:r>
        <w:rPr>
          <w:rFonts w:ascii="Times New Roman" w:cs="Times New Roman" w:eastAsia="Times New Roman" w:hAnsi="Times New Roman"/>
          <w:sz w:val="18"/>
          <w:szCs w:val="18"/>
          <w:color w:val="auto"/>
        </w:rPr>
        <w:t>In addition, if Polestar is unable to develop the software and technology systems necessary to operate its vehicles, Polestar’s competitive position will be harmed. Polestar relies on its strategic partners and suppliers to develop a number of technologies for use in its products, including Google Android Automotive Services for the infotainment system installed in Polestar vehicles and independent developers developing third-party apps for Polestar vehicles. There can be no assurances that Polestar’s strategic partners and suppliers will be able to meet the technological requirements, production timing and volume requirements to support Polestar’s business plan. In addition, such technology may not satisfy the cost, performance useful life and warranty characteristics Polestar anticipates in its business plan, which could materially and adversely affect Polestar’s business, prospects and results of operations.</w:t>
      </w:r>
    </w:p>
    <w:p>
      <w:pPr>
        <w:spacing w:after="0" w:line="293" w:lineRule="exact"/>
        <w:rPr>
          <w:sz w:val="20"/>
          <w:szCs w:val="20"/>
          <w:color w:val="auto"/>
        </w:rPr>
      </w:pPr>
    </w:p>
    <w:p>
      <w:pPr>
        <w:ind w:left="120"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Polestar’s vehicle production relies heavily on complex machinery and involves a significant degree of risk and uncertainty in terms of operational performance and costs.</w:t>
      </w:r>
    </w:p>
    <w:p>
      <w:pPr>
        <w:spacing w:after="0" w:line="5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Polestar’s vehicle production relies heavily on complex machinery and involves a significant degree of uncertainty and risk in terms of operational performance and costs. The manufacturing plants for Polestar’s vehicles consist of large-scale machinery combining many components. These manufacturing plant components are likely to suffer unexpected malfunctions from time to time and will depend on repairs and spare parts to resume operations, which may not be available when needed.</w:t>
      </w:r>
    </w:p>
    <w:p>
      <w:pPr>
        <w:spacing w:after="0" w:line="180"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Unexpected malfunctions of the manufacturing plant components may significantly affect the intended operational efficiency of Polestar. Operational performance and costs can be difficult to predict and are often influenced by factors outside of Polestar’s control, such as, but not limited to, scarcity of natural resources, environmental hazards and remediation, costs associated with decommissioning of machines, labor disputes and strikes, difficulty or delays in obtaining governmental permits, damages or defects in electronic systems, industrial accidents, pandemics, fire, seismic activity and natural disasters. Should operational risks materialize, it may result in the personal injury to or death of workers, the loss of production equipment, damage to manufacturing facilities, monetary losses, delays and unanticipated fluctuations in production, environmental damage, administrative fines, increased insurance costs and potential legal liabilities, all which could have a material and adverse effect on Polestar’s business, results of operations, cash flows, financial condition or prospects.</w:t>
      </w:r>
    </w:p>
    <w:p>
      <w:pPr>
        <w:spacing w:after="0" w:line="296" w:lineRule="exact"/>
        <w:rPr>
          <w:sz w:val="20"/>
          <w:szCs w:val="20"/>
          <w:color w:val="auto"/>
        </w:rPr>
      </w:pPr>
    </w:p>
    <w:p>
      <w:pPr>
        <w:ind w:left="120" w:right="2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Polestar relies on its partners to manufacture vehicles and these partners have limited experience in producing electric vehicles. Further, Polestar relies on sufficient production capacity being available and/or allocated to it by its partners in order to manufacture its vehicles. Delays in the timing of expected business milestones and commercial launches, including Polestar’s ability to mass produce its electric vehicles and/or complete and/or expand its manufacturing capabilities, could materially and adversely affect Polestar’s business, financial condition, results of operations and prospects.</w:t>
      </w:r>
    </w:p>
    <w:p>
      <w:pPr>
        <w:spacing w:after="0" w:line="75" w:lineRule="exact"/>
        <w:rPr>
          <w:sz w:val="20"/>
          <w:szCs w:val="20"/>
          <w:color w:val="auto"/>
        </w:rPr>
      </w:pPr>
    </w:p>
    <w:p>
      <w:pPr>
        <w:jc w:val="both"/>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Polestar intends to rely solely on its contract manufacturing arrangements with its partners to manufacture future Polestar models. Polestar cannot provide any assurance as to whether its partners will be able to develop efficient, automated, low-cost production capabilities and processes and reliable sources of component supply that will enable Polestar to meet the quality, price, engineering, design and production standards, as well as the production volumes, required to successfully mass market its vehicles. Even if Polestar’s partners are successful in developing high volume production capabilities and processes and reliably source their component supplies,</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120"/>
          </w:cols>
          <w:pgMar w:left="320" w:top="455" w:right="4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no assurance can be given as to whether they will be able to do so in a manner that avoids significant delays and cost overruns, including as a result of factors beyond their and Polestar’s control such as problems with suppliers and vendors, or force majeure events, or in time to meet Polestar’s commercialization schedules or to satisfy the requirements of customers and potential customers. Any failure to develop such production processes and capabilities within Polestar’s projected costs and timelines could have a material and adverse effect on its business, results of operations, prospects and financial condition. Bottlenecks and other unexpected challenges may also arise as Polestar ramps production, and it will be important that Polestar address these challenges promptly while continuing to control its manufacturing costs. If Polestar is not successful in doing so, or if it experiences issues with its manufacturing process improvements, it could face delays in establishing and/or sustaining its production ramps or be unable to meet its related cost and profitability targets.</w:t>
      </w:r>
    </w:p>
    <w:p>
      <w:pPr>
        <w:spacing w:after="0" w:line="296" w:lineRule="exact"/>
        <w:rPr>
          <w:sz w:val="20"/>
          <w:szCs w:val="20"/>
          <w:color w:val="auto"/>
        </w:rPr>
      </w:pPr>
    </w:p>
    <w:p>
      <w:pPr>
        <w:ind w:left="120"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Polestar faces risks associated with international operations, including tariffs and unfavorable regulatory, political, tax and labor conditions, which could materially and adversely affect its business, financial condition, results of operations and prospects.</w:t>
      </w:r>
    </w:p>
    <w:p>
      <w:pPr>
        <w:spacing w:after="0" w:line="51" w:lineRule="exact"/>
        <w:rPr>
          <w:sz w:val="20"/>
          <w:szCs w:val="20"/>
          <w:color w:val="auto"/>
        </w:rPr>
      </w:pPr>
    </w:p>
    <w:p>
      <w:pPr>
        <w:ind w:left="120" w:right="280" w:firstLine="440"/>
        <w:spacing w:after="0" w:line="274" w:lineRule="auto"/>
        <w:rPr>
          <w:sz w:val="20"/>
          <w:szCs w:val="20"/>
          <w:color w:val="auto"/>
        </w:rPr>
      </w:pPr>
      <w:r>
        <w:rPr>
          <w:rFonts w:ascii="Times New Roman" w:cs="Times New Roman" w:eastAsia="Times New Roman" w:hAnsi="Times New Roman"/>
          <w:sz w:val="17"/>
          <w:szCs w:val="17"/>
          <w:color w:val="auto"/>
        </w:rPr>
        <w:t>Polestar has operations and subsidiaries in Europe, North America and Asia that are subject to the legal, political, regulatory and social requirements and economic conditions in these jurisdictions. Additionally, as part of its growth strategy, Polestar intends to expand its sales, maintenance and repair services and manufacturing activities to new countries in the coming years. However, Polestar has limited experience to date manufacturing, selling or servicing its vehicles, and such expansion would require it to make significant expenditures, including the hiring of local employees, in advance of generating any revenue. Polestar is subject to a number of risks associated with international business activities that may increase its costs, impact its ability to sell, service and manufacture its vehicles and require significant management attention. These risks include:</w:t>
      </w:r>
    </w:p>
    <w:p>
      <w:pPr>
        <w:spacing w:after="0" w:line="78" w:lineRule="exact"/>
        <w:rPr>
          <w:sz w:val="20"/>
          <w:szCs w:val="20"/>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conforming Polestar’s vehicles to various international regulatory requirements where its vehicles are sold, or homologation;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localized supply chains and managing international supply chain and logistics costs;</w:t>
      </w:r>
    </w:p>
    <w:p>
      <w:pPr>
        <w:spacing w:after="0" w:line="130"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sufficient charging points for Polestar’s customers in those jurisdictions, via partnerships or, if necessary, via development of its own charging networks;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in staffing and managing foreign operations;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attracting customers in new jurisdictions;</w:t>
      </w:r>
    </w:p>
    <w:p>
      <w:pPr>
        <w:spacing w:after="0" w:line="130" w:lineRule="exact"/>
        <w:rPr>
          <w:rFonts w:ascii="Times New Roman" w:cs="Times New Roman" w:eastAsia="Times New Roman" w:hAnsi="Times New Roman"/>
          <w:sz w:val="18"/>
          <w:szCs w:val="18"/>
          <w:color w:val="auto"/>
        </w:rPr>
      </w:pPr>
    </w:p>
    <w:p>
      <w:pPr>
        <w:ind w:left="1080" w:right="560" w:hanging="424"/>
        <w:spacing w:after="0" w:line="282"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establishing international manufacturing operations, including difficulties establishing relationships with or establishing localized supplier bases and developing cost-effective and reliable supply chains for such manufacturing operations;</w:t>
      </w:r>
    </w:p>
    <w:p>
      <w:pPr>
        <w:spacing w:after="0" w:line="67" w:lineRule="exact"/>
        <w:rPr>
          <w:rFonts w:ascii="Times New Roman" w:cs="Times New Roman" w:eastAsia="Times New Roman" w:hAnsi="Times New Roman"/>
          <w:sz w:val="18"/>
          <w:szCs w:val="18"/>
          <w:color w:val="auto"/>
        </w:rPr>
      </w:pPr>
    </w:p>
    <w:p>
      <w:pPr>
        <w:jc w:val="both"/>
        <w:ind w:left="1080" w:right="460" w:hanging="424"/>
        <w:spacing w:after="0" w:line="266"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taxes, regulations and permit requirements, including taxes imposed by one taxing jurisdiction that Polestar may not be able to offset against taxes imposed upon it in another relevant jurisdiction, and foreign tax and other laws limiting its ability to repatriate funds to another relevant jurisdiction;</w:t>
      </w:r>
    </w:p>
    <w:p>
      <w:pPr>
        <w:spacing w:after="0" w:line="81" w:lineRule="exact"/>
        <w:rPr>
          <w:rFonts w:ascii="Times New Roman" w:cs="Times New Roman" w:eastAsia="Times New Roman" w:hAnsi="Times New Roman"/>
          <w:sz w:val="18"/>
          <w:szCs w:val="18"/>
          <w:color w:val="auto"/>
        </w:rPr>
      </w:pPr>
    </w:p>
    <w:p>
      <w:pPr>
        <w:ind w:left="1080" w:right="260" w:hanging="424"/>
        <w:spacing w:after="0" w:line="282"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foreign currency exchange rates and interest rates, including risks related to any forward currency contracts, interest rate swaps or other hedging activities Polestar undertakes;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United States and foreign government trade restrictions, tariffs and price or exchange controls;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labor laws, regulations and restrictions;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diplomatic and trade relationships, including political risk and customer perceptions based on such changes and risks;</w:t>
      </w:r>
    </w:p>
    <w:p>
      <w:pPr>
        <w:spacing w:after="0" w:line="130"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instability, natural disasters, climate change, environmental conditions, pandemics (including the ongoing COVID-19 pandemic), war or events of terrorism;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strength of international economies.</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100"/>
          </w:cols>
          <w:pgMar w:left="320" w:top="455" w:right="47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600" w:firstLine="440"/>
        <w:spacing w:after="0" w:line="282" w:lineRule="auto"/>
        <w:rPr>
          <w:sz w:val="20"/>
          <w:szCs w:val="20"/>
          <w:color w:val="auto"/>
        </w:rPr>
      </w:pPr>
      <w:r>
        <w:rPr>
          <w:rFonts w:ascii="Times New Roman" w:cs="Times New Roman" w:eastAsia="Times New Roman" w:hAnsi="Times New Roman"/>
          <w:sz w:val="18"/>
          <w:szCs w:val="18"/>
          <w:color w:val="auto"/>
        </w:rPr>
        <w:t>If Polestar fails to successfully address these risks, its business, prospects, results of operations and financial condition could be materially harmed.</w:t>
      </w:r>
    </w:p>
    <w:p>
      <w:pPr>
        <w:spacing w:after="0" w:line="266" w:lineRule="exact"/>
        <w:rPr>
          <w:sz w:val="20"/>
          <w:szCs w:val="20"/>
          <w:color w:val="auto"/>
        </w:rPr>
      </w:pPr>
    </w:p>
    <w:p>
      <w:pPr>
        <w:ind w:left="120"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Polestar relies heavily on manufacturing facilities and suppliers, including single-source suppliers, based in China and its growth strategy will depend on growing its business in China. This subjects Polestar to economic, operational, regulatory and legal risks specific to China.</w:t>
      </w:r>
    </w:p>
    <w:p>
      <w:pPr>
        <w:spacing w:after="0" w:line="51" w:lineRule="exact"/>
        <w:rPr>
          <w:sz w:val="20"/>
          <w:szCs w:val="20"/>
          <w:color w:val="auto"/>
        </w:rPr>
      </w:pPr>
    </w:p>
    <w:p>
      <w:pPr>
        <w:ind w:left="120" w:right="40" w:firstLine="440"/>
        <w:spacing w:after="0" w:line="252" w:lineRule="auto"/>
        <w:rPr>
          <w:sz w:val="20"/>
          <w:szCs w:val="20"/>
          <w:color w:val="auto"/>
        </w:rPr>
      </w:pPr>
      <w:r>
        <w:rPr>
          <w:rFonts w:ascii="Times New Roman" w:cs="Times New Roman" w:eastAsia="Times New Roman" w:hAnsi="Times New Roman"/>
          <w:sz w:val="18"/>
          <w:szCs w:val="18"/>
          <w:color w:val="auto"/>
        </w:rPr>
        <w:t>Polestar relies heavily on manufacturing facilities based in China for the manufacture of its vehicles, including facilities of the Volvo Cars, Geely and its other contract partners, as well as its own manufacturing facilities in China. Polestar intends to rely solely on arrangements with its contract manufacturers, including Volvo Cars and Geely, for future Polestar models, many of which are based in China, and its growth strategy will depend on growing its business based in China. In addition, Polestar relies on single-source suppliers in China for critical components for Polestar vehicles, including single-source suppliers in Shanghai and elsewhere. This growing presence increases Polestar’s sensitivity to the economic, operational and legal risks specific to China. For example, China’s economy differs from the economies of most developed countries in many aspects, including, but not limited to, the degree of government involvement, level of development, reinvestment control of foreign exchange, control of intellectual property, allocation of resources, growth rate and development level. Although the Chinese government has implemented measures since the late 1970s emphasizing the utilization of market forces for economic reform, including the reduction of state ownership of productive assets, and the establishment of improved corporate governance in business enterprises, which are generally viewed as a positive development for foreign business investment, a substantial portion of productive assets in China are still owned by the Chinese government. In addition, the Chinese government continues to play a significant role in regulating industry development by imposing industrial policies. The Chinese government also exercises significant control over economic growth in China through allocating resources, controlling payments of foreign currency-denominated obligations, setting monetary policy and providing preferential treatment to particular industries or companies.</w:t>
      </w:r>
    </w:p>
    <w:p>
      <w:pPr>
        <w:spacing w:after="0" w:line="197"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While China’s economy has experienced significant growth over the past decades, growth has been uneven, both geographically and among various sectors of the economy, and the rate of growth has been slowing down, particularly in view of the effects of government actions to address the effects of the COVID-19 pandemic, including significant closures of businesses in 2022. For example, prolonged government mandated quarantines and lockdowns in China during the first half of 2022 due to further outbreaks of COVID-19 has resulted in delays in the production and delivery of such critical components and delayed production of Polestar vehicles. Please also see “Business—Recent Developments” for more information on government mandated quarantines and lockdowns in China due to COVID-19, their impact on the production and timely delivery of critical components for Polestar vehicles by suppliers and their impact on anticipated Polestar car volumes. Some of the governmental measures may benefit the overall Chinese economy, but may have a negative effect on Polestar. For example, Polestar’s financial condition and results of operations may be adversely affected by changes in tax regulations. Higher inflation could adversely affect Polestar’s results of operations and financial condition. Furthermore, certain operating costs and expenses, such as battery prices and freight and distribution costs, employee compensation and office operating expenses, may increase as a result of higher inflation. In addition, the Chinese government has implemented in the past certain measures to control the pace of economic growth. These measures may cause decreased economic activity, which in turn could lead to a reduction in demand for Polestar’s products and services, and consequently have a material and adverse effect on Polestar’s businesses, financial condition and results of operations.</w:t>
      </w:r>
    </w:p>
    <w:p>
      <w:pPr>
        <w:spacing w:after="0" w:line="187"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It is unclear whether and how Polestar’s current or future business, prospects, financial condition or results of operations may be affected by changes in China’s economic, political and social conditions and in its laws, regulations and policies. In addition, many of the economic reforms carried out by the Chinese government are unprecedented or experimental and are expected to be refined and improved over time. This refining and improving process may not necessarily have a positive effect on Polestar’s operations and business development.</w:t>
      </w:r>
    </w:p>
    <w:p>
      <w:pPr>
        <w:spacing w:after="0" w:line="180" w:lineRule="exact"/>
        <w:rPr>
          <w:sz w:val="20"/>
          <w:szCs w:val="20"/>
          <w:color w:val="auto"/>
        </w:rPr>
      </w:pPr>
    </w:p>
    <w:p>
      <w:pPr>
        <w:ind w:left="120" w:right="580" w:firstLine="440"/>
        <w:spacing w:after="0" w:line="282" w:lineRule="auto"/>
        <w:rPr>
          <w:sz w:val="20"/>
          <w:szCs w:val="20"/>
          <w:color w:val="auto"/>
        </w:rPr>
      </w:pPr>
      <w:r>
        <w:rPr>
          <w:rFonts w:ascii="Times New Roman" w:cs="Times New Roman" w:eastAsia="Times New Roman" w:hAnsi="Times New Roman"/>
          <w:sz w:val="18"/>
          <w:szCs w:val="18"/>
          <w:color w:val="auto"/>
        </w:rPr>
        <w:t>Additionally, the legal system in China is not fully developed and there are inherent uncertainties that may affect the protection afforded to Polestar for its business and activities in China that are governed by the Chinese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120"/>
          </w:cols>
          <w:pgMar w:left="320" w:top="455" w:right="4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laws and regulations. Any administrative and court proceedings in China may be protracted, resulting in substantial costs and diversion of resources and management attention. Since administrative and court authorities in China have significant discretion in interpreting and implementing statutory and contractual terms, it may be more difficult to evaluate the outcome of administrative and court proceedings and the level of legal protection for Polestar than in more developed legal systems. These uncertainties may impede Polestar’s ability to enforce contracts and could materially and adversely affect Polestar’s business, financial condition and results of operations.</w:t>
      </w:r>
    </w:p>
    <w:p>
      <w:pPr>
        <w:spacing w:after="0" w:line="287" w:lineRule="exact"/>
        <w:rPr>
          <w:sz w:val="20"/>
          <w:szCs w:val="20"/>
          <w:color w:val="auto"/>
        </w:rPr>
      </w:pPr>
    </w:p>
    <w:p>
      <w:pPr>
        <w:ind w:left="120"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Chinese government may intervene in or influence Polestar’s and Polestar’s partners’ operations in China at any time, which could result in a material change in Polestar’s operations and ability to produce vehicles and significantly and adversely impact the value of Polestar’s securities.</w:t>
      </w:r>
    </w:p>
    <w:p>
      <w:pPr>
        <w:spacing w:after="0" w:line="51"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The Chinese government exerts substantial influence, discretion, oversight and control over the manner in which companies incorporated under the laws and regulations of China must conduct their business activities, including activities relating to overseas offerings of securities and/or foreign investments in such companies. Polestar is incorporated under the laws of England and Wales with headquarters in Sweden, and has subsidiaries with operations in mainland China as well as other significant markets. Accordingly, Polestar is not subject to the permissions requirements of the China Securities Regulatory Commission with respect to the issuance of securities by Polestar to investors. However, Polestar cannot guarantee that the Chinese government will not seek to intervene or influence any of Polestar’s or its partners’ operations or securities’ offerings at any time. If Polestar or its partners were to become subject to such direct influence, intervention, discretion, oversight or control, including those over overseas offerings of securities (including foreign investments), it may result in a material adverse change in Polestar’s and its partners’ operations and cause the value of Polestar’s securities to significantly decline or be worthless.</w:t>
      </w:r>
    </w:p>
    <w:p>
      <w:pPr>
        <w:spacing w:after="0" w:line="188"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The Chinese government has recently published new policies that significantly affected certain industries such as the education and internet industries, and Polestar, albeit not engaging in such industries, cannot rule out the possibility that the Chinese government will in the future release regulations or policies regarding Polestar’s industry that could require Polestar and its partners to seek permission from Chinese authorities to continue operating, which may adversely affect Polestar’s business, financial condition and results of operations.</w:t>
      </w:r>
    </w:p>
    <w:p>
      <w:pPr>
        <w:spacing w:after="0" w:line="284" w:lineRule="exact"/>
        <w:rPr>
          <w:sz w:val="20"/>
          <w:szCs w:val="20"/>
          <w:color w:val="auto"/>
        </w:rPr>
      </w:pPr>
    </w:p>
    <w:p>
      <w:pPr>
        <w:ind w:left="120"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Chinese policies, regulations and rules may be quick with little advance notice and the enforcement of laws of the Chinese government is uncertain and could have a significant impact upon Polestar’s and its partners’ ability to operate profitably.</w:t>
      </w:r>
    </w:p>
    <w:p>
      <w:pPr>
        <w:spacing w:after="0" w:line="51"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Polestar relies on its and its partners’ operations and facilities located in China. Accordingly, economic, political and legal developments in China will significantly affect Polestar’s business, financial condition, results of operations and prospects. Policies, regulations, rules and the enforcement of laws of the Chinese government can have significant effects on economic conditions in China and the ability of businesses to operate profitably. Polestar’s ability to operate profitably may be adversely affected by rapid and unexpected changes in policies by the Chinese government, including changes in laws, regulations, their interpretation and their enforcement.</w:t>
      </w:r>
    </w:p>
    <w:p>
      <w:pPr>
        <w:spacing w:after="0" w:line="287" w:lineRule="exact"/>
        <w:rPr>
          <w:sz w:val="20"/>
          <w:szCs w:val="20"/>
          <w:color w:val="auto"/>
        </w:rPr>
      </w:pPr>
    </w:p>
    <w:p>
      <w:pPr>
        <w:ind w:left="120" w:right="3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Compliance with China’s new Data Security Law, Cybersecurity Review Measures (revised draft for public consultation), Personal Information Protection Law, regulations and guidelines relating to the multi-level protection scheme and any other future laws and regulations may entail significant expenses and could materially affect Polestar’s business.</w:t>
      </w:r>
    </w:p>
    <w:p>
      <w:pPr>
        <w:spacing w:after="0" w:line="65"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 xml:space="preserve">China has implemented new rules relating to data protection, and the new </w:t>
      </w:r>
      <w:r>
        <w:rPr>
          <w:rFonts w:ascii="Times New Roman" w:cs="Times New Roman" w:eastAsia="Times New Roman" w:hAnsi="Times New Roman"/>
          <w:sz w:val="18"/>
          <w:szCs w:val="18"/>
          <w:i w:val="1"/>
          <w:iCs w:val="1"/>
          <w:color w:val="auto"/>
        </w:rPr>
        <w:t>Data Security Law of the People’s Republic of China</w:t>
      </w:r>
      <w:r>
        <w:rPr>
          <w:rFonts w:ascii="Times New Roman" w:cs="Times New Roman" w:eastAsia="Times New Roman" w:hAnsi="Times New Roman"/>
          <w:sz w:val="18"/>
          <w:szCs w:val="18"/>
          <w:color w:val="auto"/>
        </w:rPr>
        <w:t xml:space="preserve"> (“Data Security Law”) took effect in September 2021. The Data Security Law provides that the data processing activities, including the collection, storage, usage, editing, transmission, provision and publication of the data shall be in compliance with the laws, regulations and shall not damage the national security or public interest, or damage any legitimate interest of any individuals or entities. Pursuant to the Data Security Law, China establishes the “data classification and hierarchical protection system” and “data security review system” for the purpose of data protection. Without prior approval by the Chinese competent regulator, any entity or individual shall be prohibited from transferring data stored in China to foreign law enforcement agencies or judicial authorities.</w:t>
      </w:r>
    </w:p>
    <w:p>
      <w:pPr>
        <w:spacing w:after="0" w:line="11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080"/>
          </w:cols>
          <w:pgMar w:left="320" w:top="455" w:right="49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7" w:lineRule="exact"/>
        <w:rPr>
          <w:sz w:val="20"/>
          <w:szCs w:val="20"/>
          <w:color w:val="auto"/>
        </w:rPr>
      </w:pPr>
    </w:p>
    <w:p>
      <w:pPr>
        <w:ind w:left="120" w:right="100" w:firstLine="440"/>
        <w:spacing w:after="0" w:line="254" w:lineRule="auto"/>
        <w:rPr>
          <w:sz w:val="20"/>
          <w:szCs w:val="20"/>
          <w:color w:val="auto"/>
        </w:rPr>
      </w:pPr>
      <w:r>
        <w:rPr>
          <w:rFonts w:ascii="Times New Roman" w:cs="Times New Roman" w:eastAsia="Times New Roman" w:hAnsi="Times New Roman"/>
          <w:sz w:val="18"/>
          <w:szCs w:val="18"/>
          <w:color w:val="auto"/>
        </w:rPr>
        <w:t xml:space="preserve">Additionally, the </w:t>
      </w:r>
      <w:r>
        <w:rPr>
          <w:rFonts w:ascii="Times New Roman" w:cs="Times New Roman" w:eastAsia="Times New Roman" w:hAnsi="Times New Roman"/>
          <w:sz w:val="18"/>
          <w:szCs w:val="18"/>
          <w:i w:val="1"/>
          <w:iCs w:val="1"/>
          <w:color w:val="auto"/>
        </w:rPr>
        <w:t>Cyber Security Law of the People’s Republic of China (“Cyber Security Law”)</w:t>
      </w:r>
      <w:r>
        <w:rPr>
          <w:rFonts w:ascii="Times New Roman" w:cs="Times New Roman" w:eastAsia="Times New Roman" w:hAnsi="Times New Roman"/>
          <w:sz w:val="18"/>
          <w:szCs w:val="18"/>
          <w:color w:val="auto"/>
        </w:rPr>
        <w:t xml:space="preserve"> that came into effect in June 2017 requires companies to take certain organizational, technical and administrative measures and other necessary measures to ensure the security of their networks and data stored on their networks. Specifically, the Cyber Security Law provides that China adopt a multi-level protection scheme (“MLPS”), under which network operators are required to perform obligations of security protection to ensure that the network is free from interference, disruption or unauthorized access, and prevent network data from being disclosed, stolen or tampered. Under the MLPS, entities operating information systems must have a thorough assessment of the risks and the conditions of their information and network systems to determine the level to which the entity’s information and network systems belong-from the lowest Level 1 to the highest Level 5 pursuant to a series of national standards on the grading and implementation of the classified protection of cyber security. The grading result will determine the set of security protection obligations that entities must comply with. In the event the information and network systems are preliminary classified as Level 2 or above, the network operator should report the grade to the relevant government authority for examination and approval and finally determine its protection level.</w:t>
      </w:r>
    </w:p>
    <w:p>
      <w:pPr>
        <w:spacing w:after="0" w:line="187"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Recently, the Cyberspace Administration of China (the “CAC”) has taken action against several Chinese Internet companies in connection with their initial public offerings on U.S. securities exchanges, for alleged national security risks and improper collection and use of the personal information of Chinese data subjects. According to the official announcement, the action was initiated based on the National Security Law, the Cyber Security Law and Cybersecurity Review Measures, which are aimed at “preventing national data security risks, maintaining national security and safeguarding public interests.” On November 14, 2021, the CAC published the draft Network Data Security Management Regulation for public comments, which stipulates the requirement that data processors processing more than 1 million individuals’ information should apply for a cybersecurity review with the CAC, if the processors intend to list their securities in a foreign country. On December 28, 2021, the CAC published the Cybersecurity Review Measures, which came into effect on February 15, 2022, specifying that the cybersecurity review must be conducted in the event the data processing operators in possession of personal information of over 1 million users intend to list their securities in a foreign country.</w:t>
      </w:r>
    </w:p>
    <w:p>
      <w:pPr>
        <w:spacing w:after="0" w:line="188"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It is unclear at the present time how widespread the cybersecurity review requirement and the enforcement action will be and what effect they will have on Polestar in particular. China’s regulators may impose penalties for non-compliance ranging from fines or suspension of operations, and this could lead to us delisting from the U.S. stock market.</w:t>
      </w:r>
    </w:p>
    <w:p>
      <w:pPr>
        <w:spacing w:after="0" w:line="174"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 xml:space="preserve">Also, on August 20, 2021, the Standing Committee of China’s National People’s Congress passed the </w:t>
      </w:r>
      <w:r>
        <w:rPr>
          <w:rFonts w:ascii="Times New Roman" w:cs="Times New Roman" w:eastAsia="Times New Roman" w:hAnsi="Times New Roman"/>
          <w:sz w:val="18"/>
          <w:szCs w:val="18"/>
          <w:i w:val="1"/>
          <w:iCs w:val="1"/>
          <w:color w:val="auto"/>
        </w:rPr>
        <w:t>Personal Information Protection Law of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People’s Republic of China </w:t>
      </w:r>
      <w:r>
        <w:rPr>
          <w:rFonts w:ascii="Times New Roman" w:cs="Times New Roman" w:eastAsia="Times New Roman" w:hAnsi="Times New Roman"/>
          <w:sz w:val="18"/>
          <w:szCs w:val="18"/>
          <w:color w:val="auto"/>
        </w:rPr>
        <w:t>(“Personal Information Protection Law”), which became effective on November 1, 2021. The Personal Information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Protection Law provides a comprehensive set of data privacy and protection requirements that apply to the processing of personal information and expands data protection compliance obligations to cover the processing of personal information of individuals by organizations and individuals in China. In addition, if the processing of personal information of the individuals in China is conducted outside of China, the Personal Information Protection Law shall also apply if such processing is for purposes of providing products and services to, or analyzing and evaluating the behavior of, persons in China. The Personal Information Protection Law also provides that critical information infrastructure operators and personal information processing entities who process personal information meeting a volume threshold to be set by the CAC are also required to store in China personal information generated or collected in China, and to pass a security assessment administered by the CAC for any export of such personal information. On July 7, 2022, the CAC issued Security Assessment Measures for Outbound Data Transfers, which became effective on September 1, 2022. The Security Assessment Measures for Outbound Data Transfers requires that the data processor shall apply for the security assessment organized by the CAC under any of the following circumstances before the information is transferred outbound: (i) where a data processor provides key data overseas, (ii) critical information infrastructure operator and personal information processors who process more than 1 million individual’s personal information; (iii) where a data processor has provided personal information of over 100,000 individuals or sensitive personal information of over 10,000 individuals in total abroad since January 1 of the previous year. Lastly, the Personal Information Protection Law contains proposals</w:t>
      </w:r>
    </w:p>
    <w:p>
      <w:pPr>
        <w:spacing w:after="0" w:line="13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120"/>
          </w:cols>
          <w:pgMar w:left="320" w:top="455" w:right="45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20"/>
        <w:spacing w:after="0" w:line="282" w:lineRule="auto"/>
        <w:rPr>
          <w:sz w:val="20"/>
          <w:szCs w:val="20"/>
          <w:color w:val="auto"/>
        </w:rPr>
      </w:pPr>
      <w:r>
        <w:rPr>
          <w:rFonts w:ascii="Times New Roman" w:cs="Times New Roman" w:eastAsia="Times New Roman" w:hAnsi="Times New Roman"/>
          <w:sz w:val="18"/>
          <w:szCs w:val="18"/>
          <w:color w:val="auto"/>
        </w:rPr>
        <w:t>for significant fines for serious violations of up to RMB 50 million or 5% of annual turnover of the prior year and may also be ordered to suspend any related activity by competent authorities.</w:t>
      </w:r>
    </w:p>
    <w:p>
      <w:pPr>
        <w:spacing w:after="0" w:line="162"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Other than personal information, the Several Measures on the Automobile Data Security Management (for Trial Implementation) jointly issued by the National Development and Reform Commission, Ministry of Industry and Information Technology, Ministry of Public Security, CAC and Ministry of Transport on August 16, 2021 and came into effect on October 1, 2021, impose strict regulation on important data, which includes more than 100,000 individuals’ personal information. The Several Measures on the Automobile Data Security Management (for Trial Implementation) provide that important data should be stored within the territory of China in accordance with the law, and if it is really necessary to export such data due to business needs, a security assessment organized by the CAC must be passed.</w:t>
      </w:r>
    </w:p>
    <w:p>
      <w:pPr>
        <w:spacing w:after="0" w:line="187"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Polestar uses global information systems to support its worldwide operation, but the information systems might not have servers in China and the personal information collected by Polestar in China may be constantly exported outside China to countries hosting the information systems’ servers. Polestar also relies on certain information systems maintained by Volvo Cars to process certain personal information, which similarly exports personal information outside China on a regular basis. Personal information processed by information systems with servers in China is stored in China, unless Polestar’s operations necessitate exporting such personal information.</w:t>
      </w:r>
    </w:p>
    <w:p>
      <w:pPr>
        <w:spacing w:after="0" w:line="183"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Interpretation, application and enforcement of these laws, rules and regulations evolve from time to time and their scope may continually change, through new legislation, amendments to existing legislation or changes in enforcement. Compliance with the Cyber Security Law, the Data Security Law, the Personal Information Protection Law and/or related implementing regulations could significantly increase the cost to Polestar of producing and selling vehicles, require significant changes to Polestar’s operations or even prevent Polestar from providing certain service offerings in jurisdictions in which Polestar currently operates or in which Polestar may operate in the future. Despite Polestar’s efforts to comply with applicable laws, regulations and other obligations relating to privacy, data protection and information security, it is possible that Polestar’s practices or offerings could fail to meet all of the requirements imposed on Polestar by the Cyber Security Law, the Data Security Law, the Personal Information Protection Law and/or related implementing regulations. Any failure on Polestar’s part to comply with such law or regulations or any other obligations relating to privacy, data protection or information security, or any compromise of security that results in unauthorized access, use or release of personally identifiable information or other data, or the perception or allegation that any of the foregoing types of failure or compromise has occurred, could damage Polestar’s reputation, discourage new and existing counterparties from contracting with Polestar or result in investigations, fines, suspension or other penalties by Chinese government authorities and private claims or litigation, any of which could materially adversely affect Polestar’s business, financial condition and results of operations. Even if Polestar’s practices are not subject to legal challenge, the perception of privacy concerns, whether or not valid, may harm Polestar’s reputation and adversely affect Polestar’s business, financial condition and results of operations (See “Risk Factors—Risks Related to Cybersecurity and Data Privacy—Data privacy concerns are generally increasing, which could result in new legislation, in negative public perception of Polestar’s current data collection practices and certain of its services or technologies and/or in changing user behaviors that negatively affect Polestar’s business and product development plans.”). Moreover, the legal uncertainty created by the Data Security Law and the recent Chinese government actions could materially adversely affect Polestar’s ability, on favorable terms, to raise capital, including engaging in follow-on offerings of its securities in the U.S. market.</w:t>
      </w:r>
    </w:p>
    <w:p>
      <w:pPr>
        <w:spacing w:after="0" w:line="295" w:lineRule="exact"/>
        <w:rPr>
          <w:sz w:val="20"/>
          <w:szCs w:val="20"/>
          <w:color w:val="auto"/>
        </w:rPr>
      </w:pPr>
    </w:p>
    <w:p>
      <w:pPr>
        <w:ind w:left="120" w:right="3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Polestar and its subsidiaries (i) may not receive or maintain permissions or approvals from the CAC or other relevant authorities to operate in China, (ii) may inadvertently conclude that such permissions or approvals are not required or (iii) may be required to obtain new permissions or approvals in the future due to changes in applicable laws, regulations or interpretations related thereto.</w:t>
      </w:r>
    </w:p>
    <w:p>
      <w:pPr>
        <w:spacing w:after="0" w:line="67" w:lineRule="exact"/>
        <w:rPr>
          <w:sz w:val="20"/>
          <w:szCs w:val="20"/>
          <w:color w:val="auto"/>
        </w:rPr>
      </w:pPr>
    </w:p>
    <w:p>
      <w:pPr>
        <w:jc w:val="both"/>
        <w:ind w:left="120" w:right="180" w:firstLine="440"/>
        <w:spacing w:after="0" w:line="289" w:lineRule="auto"/>
        <w:rPr>
          <w:sz w:val="20"/>
          <w:szCs w:val="20"/>
          <w:color w:val="auto"/>
        </w:rPr>
      </w:pPr>
      <w:r>
        <w:rPr>
          <w:rFonts w:ascii="Times New Roman" w:cs="Times New Roman" w:eastAsia="Times New Roman" w:hAnsi="Times New Roman"/>
          <w:sz w:val="17"/>
          <w:szCs w:val="17"/>
          <w:color w:val="auto"/>
        </w:rPr>
        <w:t>Polestar and its subsidiaries in China are not classified as a “critical information infrastructure operators” or “network platform operators” under the Cybersecurity Review Measures, nor have Polestar and its subsidiaries received any notice from the CAC defining them as the foregoing operator, which would require Polestar or its subsidiaries to apply for a cybersecurity review with the CAC. See “Risk Factors—Risks Related to Polestar’s</w:t>
      </w:r>
    </w:p>
    <w:p>
      <w:pPr>
        <w:spacing w:after="0" w:line="9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120"/>
          </w:cols>
          <w:pgMar w:left="320" w:top="455" w:right="45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Business and Industry—Compliance with China’s new Data Security Law, Cybersecurity Review Measures (revised draft for public consultation), Personal Information Protection Law, regulations and guidelines relating to the multi-level protection scheme and any other future laws and regulations may entail significant expenses and could materially affect Polestar’s business.” However, if it is determined in the future that approvals or permissions from the CAC or other regulatory authorities are required, these regulatory authorities may impose fines, suspend Polestar’s relevant businesses or halt operations, revoke relevant business permits or operational license, limit Polestar’s ability to pay dividends outside of China, limit Polestar’s operating privileges in China or take other actions that could materially and adversely affect Polestar’s business, financial condition, results of operations and prospects, as well as the trading price of ADSs. The CAC or other relevant authorities may also take actions requiring Polestar, or making it advisable for Polestar, to halt operations before any potential future offerings. In addition, if the CAC or other regulatory authorities later promulgate new rules or explanations requiring that Polestar or its subsidiaries obtain their approvals or accomplish any required filing or other regulatory procedures, Polestar may be unable to obtain a waiver of such approval requirements, if and when procedures are established to obtain such a waiver. Any uncertainties or negative publicity regarding such approval requirements could materially and adversely affect Polestar’s business, prospects, financial condition, reputation and the trading price of ADSs.</w:t>
      </w:r>
    </w:p>
    <w:p>
      <w:pPr>
        <w:spacing w:after="0" w:line="294" w:lineRule="exact"/>
        <w:rPr>
          <w:sz w:val="20"/>
          <w:szCs w:val="20"/>
          <w:color w:val="auto"/>
        </w:rPr>
      </w:pPr>
    </w:p>
    <w:p>
      <w:pPr>
        <w:ind w:left="120" w:right="6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Polestar may be adversely affected by the complexity, uncertainties and changes in the regulations on internet-related business, automotive businesses and other business carried out by Polestar’s operating entities in China.</w:t>
      </w:r>
    </w:p>
    <w:p>
      <w:pPr>
        <w:spacing w:after="0" w:line="51"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The Chinese government extensively regulates the internet and automotive industries and other business carried out by Polestar’s operating entities in China. Such laws and regulations are relatively new and evolving, and their interpretation and enforcement involve significant uncertainties. As a result, in certain circumstances it may be difficult to determine what actions or omissions may be deemed to be in violation of applicable laws and regulations.</w:t>
      </w:r>
    </w:p>
    <w:p>
      <w:pPr>
        <w:spacing w:after="0" w:line="180" w:lineRule="exact"/>
        <w:rPr>
          <w:sz w:val="20"/>
          <w:szCs w:val="20"/>
          <w:color w:val="auto"/>
        </w:rPr>
      </w:pPr>
    </w:p>
    <w:p>
      <w:pPr>
        <w:ind w:left="120" w:right="160" w:firstLine="440"/>
        <w:spacing w:after="0" w:line="274" w:lineRule="auto"/>
        <w:rPr>
          <w:sz w:val="20"/>
          <w:szCs w:val="20"/>
          <w:color w:val="auto"/>
        </w:rPr>
      </w:pPr>
      <w:r>
        <w:rPr>
          <w:rFonts w:ascii="Times New Roman" w:cs="Times New Roman" w:eastAsia="Times New Roman" w:hAnsi="Times New Roman"/>
          <w:sz w:val="17"/>
          <w:szCs w:val="17"/>
          <w:color w:val="auto"/>
        </w:rPr>
        <w:t>Several regulatory authorities in China, such as the State Administration for Market Regulation, the National Development and Reform Commission, the Ministry of Industry and Information Technology and the Ministry of Commerce, oversee different aspects of the electric vehicle business, and Polestar’s operating entities in China are required to obtain a wide range of government approvals, licenses, permits and registrations in connection with their operations in China. For example, certain filings must be made by automobile dealers through the information system for the national automobile circulation operated by the relevant commerce department within 90 days after the receipt of a business license. Furthermore, the electric vehicle industry is relatively immature in China, and the government has not adopted a clear regulatory framework to regulate the industry.</w:t>
      </w:r>
    </w:p>
    <w:p>
      <w:pPr>
        <w:spacing w:after="0" w:line="173" w:lineRule="exact"/>
        <w:rPr>
          <w:sz w:val="20"/>
          <w:szCs w:val="20"/>
          <w:color w:val="auto"/>
        </w:rPr>
      </w:pPr>
    </w:p>
    <w:p>
      <w:pPr>
        <w:ind w:left="120" w:right="40" w:firstLine="440"/>
        <w:spacing w:after="0" w:line="272" w:lineRule="auto"/>
        <w:rPr>
          <w:sz w:val="20"/>
          <w:szCs w:val="20"/>
          <w:color w:val="auto"/>
        </w:rPr>
      </w:pPr>
      <w:r>
        <w:rPr>
          <w:rFonts w:ascii="Times New Roman" w:cs="Times New Roman" w:eastAsia="Times New Roman" w:hAnsi="Times New Roman"/>
          <w:sz w:val="17"/>
          <w:szCs w:val="17"/>
          <w:color w:val="auto"/>
        </w:rPr>
        <w:t>There are substantial uncertainties regarding the interpretation and application of the existing laws, regulations and policies and possible new laws, regulations or policies in China relating to internet-related businesses as well as automotive businesses and companies. There is no assurance that Polestar will be able to obtain all the permits or licenses related to its business in China, or will be able to maintain its existing permits and licenses or obtain new ones. In the event that the Chinese government considers that Polestar was or is operating without the proper approvals, licenses or permits, promulgates new laws and regulations that require additional approvals or licenses, or imposes additional restrictions on the operation of any part of Polestar’s business, the Chinese government has the power, among other things, to levy fines, confiscate Polestar’s illegal income, revoke its business licenses and require Polestar to discontinue the relevant business or impose restrictions on the affected portion of its business. Any of these actions by the Chinese government may have a material and adverse effect on Polestar’s business, prospects, financial condition and results of operations.</w:t>
      </w:r>
    </w:p>
    <w:p>
      <w:pPr>
        <w:spacing w:after="0" w:line="276" w:lineRule="exact"/>
        <w:rPr>
          <w:sz w:val="20"/>
          <w:szCs w:val="20"/>
          <w:color w:val="auto"/>
        </w:rPr>
      </w:pPr>
    </w:p>
    <w:p>
      <w:pPr>
        <w:ind w:left="120" w:right="2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Polestar updates or discontinues the use of its manufacturing equipment more quickly than expected, it may have to shorten the useful lives of any equipment to be retired as a result of any such update, and the resulting acceleration in Polestar’s depreciation could negatively affect its financial results.</w:t>
      </w:r>
    </w:p>
    <w:p>
      <w:pPr>
        <w:spacing w:after="0" w:line="67" w:lineRule="exact"/>
        <w:rPr>
          <w:sz w:val="20"/>
          <w:szCs w:val="20"/>
          <w:color w:val="auto"/>
        </w:rPr>
      </w:pPr>
    </w:p>
    <w:p>
      <w:pPr>
        <w:ind w:left="120" w:right="920" w:firstLine="440"/>
        <w:spacing w:after="0" w:line="282" w:lineRule="auto"/>
        <w:rPr>
          <w:sz w:val="20"/>
          <w:szCs w:val="20"/>
          <w:color w:val="auto"/>
        </w:rPr>
      </w:pPr>
      <w:r>
        <w:rPr>
          <w:rFonts w:ascii="Times New Roman" w:cs="Times New Roman" w:eastAsia="Times New Roman" w:hAnsi="Times New Roman"/>
          <w:sz w:val="18"/>
          <w:szCs w:val="18"/>
          <w:color w:val="auto"/>
        </w:rPr>
        <w:t>Polestar has invested and expects to continue to invest significantly in what it believes is state of the art tooling, machinery and other manufacturing equipment, and Polestar depreciates the cost of such equipment over</w:t>
      </w:r>
    </w:p>
    <w:p>
      <w:pPr>
        <w:spacing w:after="0" w:line="9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040"/>
          </w:cols>
          <w:pgMar w:left="320" w:top="455" w:right="5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its expected useful lives. However, manufacturing technology may evolve rapidly, and Polestar may decide to update its manufacturing processes more quickly than expected. Moreover, as Polestar ramps the commercial production of its vehicles, Polestar’s experience may cause it to discontinue the use of already installed equipment in favor of different or additional equipment. The useful life of any equipment that would be retired early as a result would be shortened, causing the depreciation on such equipment to be accelerated, and Polestar’s results of operations could be negatively impacted.</w:t>
      </w:r>
    </w:p>
    <w:p>
      <w:pPr>
        <w:spacing w:after="0" w:line="284" w:lineRule="exact"/>
        <w:rPr>
          <w:sz w:val="20"/>
          <w:szCs w:val="20"/>
          <w:color w:val="auto"/>
        </w:rPr>
      </w:pPr>
    </w:p>
    <w:p>
      <w:pPr>
        <w:ind w:left="120"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Polestar’s main distribution approach is different from the currently predominant distribution model for automakers, and its long-term viability is unproven. Polestar does not have a third-party retail product distribution network in all of the countries in which it operates, and Polestar may face regulatory challenges to or limitations on its ability to sell vehicles directly.</w:t>
      </w:r>
    </w:p>
    <w:p>
      <w:pPr>
        <w:spacing w:after="0" w:line="67"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color w:val="auto"/>
        </w:rPr>
        <w:t>Polestar’s main distribution approach is not common in the automotive industry today. Polestar vehicles are sold either directly to users (rather than through dealerships), or, in certain countries, through third parties via a franchising model. In North America, for example, all sales are conducted through trusted representatives. Polestar’s direct to consumer approach of vehicle distribution is relatively new and has a shorter track record to prove long-term effectiveness. It thus subjects Polestar to risks as it requires, in the aggregate, significant expenditures and may provide for slower expansion of Polestar’s distribution and sales systems than the traditional dealership system. For example, Polestar does not utilize long established sales channels developed through a dealership system to increase its sales volume. However, Polestar does leverage the existing Volvo Cars network of dealers as a pipeline of potential operators of Polestar Locations or distributors (depending on the distribution approach in each country). Moreover, Polestar competes with automakers with well-established distribution channels. If Polestar’s lack of a traditional dealer distribution network results in lost opportunities to generate sales, it could limit Polestar’s ability to grow. Polestar’s expansion of its network of retail locations and service points may not fully meet users’ expectations. Polestar’s success will depend in large part on its ability to effectively develop its own sales channels and marketing strategies. Implementing its business model is subject to numerous challenges, including obtaining permits and approvals from government authorities, and Polestar may not be successful in addressing these challenges.</w:t>
      </w:r>
    </w:p>
    <w:p>
      <w:pPr>
        <w:spacing w:after="0" w:line="190"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Polestar’s experience distributing directly to consumers only started in 2019 with the launch of Polestar 1 and at a larger scale in 2020 with the launch of Polestar 2. Therefore, Polestar expects that the building of an in-house sales and marketing function will be expensive and time consuming. To the extent Polestar is unable to successfully execute on its current direct distribution plans, it may be required to change such plans, which may prove costly, time-consuming or ineffective. If Polestar’s use of an in-house sales and marketing team is not effective, Polestar’s results of operations and financial conditions could be adversely affected.</w:t>
      </w:r>
    </w:p>
    <w:p>
      <w:pPr>
        <w:spacing w:after="0" w:line="287" w:lineRule="exact"/>
        <w:rPr>
          <w:sz w:val="20"/>
          <w:szCs w:val="20"/>
          <w:color w:val="auto"/>
        </w:rPr>
      </w:pPr>
    </w:p>
    <w:p>
      <w:pPr>
        <w:ind w:left="120"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Insufficient reserves to cover future warranty or part replacement needs or other vehicle repair requirements, including any potential software upgrades, could have a material and adverse effect on Polestar’s business, prospects, financial condition and results of operations.</w:t>
      </w:r>
    </w:p>
    <w:p>
      <w:pPr>
        <w:spacing w:after="0" w:line="5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Polestar provides a manufacturer’s warranty on all vehicles, components and systems it sells. Polestar needs to maintain reserves to cover part replacement and other vehicle repair needs, including any potential software upgrades or warranty claims. In addition, Polestar provides additional warranties on installation workmanship or performance guarantees. Warranty reserves will include Polestar’s management team’s best estimate of the projected costs to repair or to replace items under warranty. Such estimates are inherently uncertain, particularly in light of Polestar’s limited operating history and the limited field data available to it, and changes to such estimates based on real-world observations may cause material changes to Polestar’s warranty reserves in the future. If Polestar’s reserves are inadequate to cover future maintenance requirements on its vehicles, its business, prospects, financial condition and results of operations could be materially and adversely affected. Polestar may become subject to significant and unexpected expenses as well as claims from its customers, including loss of revenue or damages. There can be no assurances that then-existing reserves will be sufficient to cover all claims. In addition, if future laws or regulations impose additional warranty obligations on Polestar that go beyond Polestar’s manufacturer’s warranty, Polestar may be exposed to materially higher warranty, parts replacement and repair expenses than it expects, and its reserves may be insufficient to cover such expenses.</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120"/>
          </w:cols>
          <w:pgMar w:left="320" w:top="455" w:right="45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Polestar may be unable to offer attractive leasing and financing options for its current vehicle models and future vehicles, which would adversely affect consumer demand for its vehicles.</w:t>
      </w:r>
    </w:p>
    <w:p>
      <w:pPr>
        <w:spacing w:after="0" w:line="51"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Polestar offers leasing and financing of its vehicles to potential customers through financing partners. Polestar believes that the ability to offer attractive leasing and financing options is particularly relevant to customers in the premium vehicle segments in which it competes, and if Polestar is unable to offer its customers an attractive option to finance the purchase or lease of its vehicles, such failure could substantially reduce the population of potential customers and decrease demand for Polestar’s vehicles.</w:t>
      </w:r>
    </w:p>
    <w:p>
      <w:pPr>
        <w:spacing w:after="0" w:line="284" w:lineRule="exact"/>
        <w:rPr>
          <w:sz w:val="20"/>
          <w:szCs w:val="20"/>
          <w:color w:val="auto"/>
        </w:rPr>
      </w:pPr>
    </w:p>
    <w:p>
      <w:pPr>
        <w:ind w:left="120" w:right="3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Polestar is subject to risks associated with advanced driver assistance system technology. Polestar is also working on adding autonomous driving technology to its vehicles and expects to be subject to the risks associated with this technology. Polestar cannot guarantee that its vehicles will achieve its targeted assisted or autonomous driving functionality within its projected timeframe, or ever.</w:t>
      </w:r>
    </w:p>
    <w:p>
      <w:pPr>
        <w:spacing w:after="0" w:line="67"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Polestar’s vehicles are designed with the advanced driver assistance system (“ADAS”) hardware, and Polestar expects to launch automation functionalities and additional capabilities, including autonomous driving (“AD”), over time. ADAS/AD technologies are emerging and subject to known and unknown risks, and there have been accidents and fatalities associated with such technologies. The safety of such technologies depends in part on user interaction, and users, as well as other drivers on the roadways, may not be accustomed to using or adapting to such technologies. In addition, self-driving technologies are the subject of intense public scrutiny and interest, and previous accidents involving autonomous driving features in other vehicles, including alleged failures or misuse of such features, have generated significant negative media attention and government investigations. To the extent accidents associated with Polestar’s ADAS or AD technologies occur, Polestar could be subject to significant liability, negative publicity, government scrutiny and further regulation. Any of the foregoing could materially and adversely affect Polestar’s results of operations, financial condition and growth prospects.</w:t>
      </w:r>
    </w:p>
    <w:p>
      <w:pPr>
        <w:spacing w:after="0" w:line="188"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In addition, Polestar faces substantial competition in the development and deployment of ADAS/AD technologies. Many of Polestar’s competitors, including Tesla, established automakers such as Mercedes-Benz, Audi and General Motors (including via its investments in Cruise Automation), and technology companies including Waymo (owned by Alphabet), Zoox.ai (owned by Amazon), Aurora (which recently announced a business combination with Uber’s subsidiary focused on self-driving technologies), Argo AI (jointly owned by Ford and Volkswagen), Mobileye (a subsidiary of Intel), Aptiv, Baidu, Nuro and Ghost.ai, have devoted significant time and resources to developing ADAS/AD technologies. If Polestar is unable to develop competitive or more advanced ADAS/AD technologies in-house or acquire access to such technology via partnerships or investments in other companies or assets, it may be unable to equip its vehicles with competitive ADAS/AD features, which could damage its brand, reduce consumer demand for its vehicles or trigger cancellations of reservations and could have a material and adverse effect on its business, results of operations, prospects and financial condition. ADAS/AD technologies are also subject to considerable regulatory uncertainty, which exposes Polestar to additional risks.</w:t>
      </w:r>
    </w:p>
    <w:p>
      <w:pPr>
        <w:spacing w:after="0" w:line="298" w:lineRule="exact"/>
        <w:rPr>
          <w:sz w:val="20"/>
          <w:szCs w:val="20"/>
          <w:color w:val="auto"/>
        </w:rPr>
      </w:pPr>
    </w:p>
    <w:p>
      <w:pPr>
        <w:ind w:left="120"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Uninsured losses, including losses resulting from product liability, accidents, acts of God and other claims against Polestar, could result in payment of substantial damages, which would decrease Polestar’s cash reserves and could harm its cash flow and financial condition.</w:t>
      </w:r>
    </w:p>
    <w:p>
      <w:pPr>
        <w:spacing w:after="0" w:line="51"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In the ordinary course of business, Polestar may be subject to losses resulting from product liability, accidents, acts of God and other claims against it, for which it may have no insurance coverage. While Polestar currently carries commercial general liability, commercial automobile liability, excess liability, product liability, crime, cargo stock throughput, property, workers’ compensation, employment practices, production and directors’ and officers’ insurance policies, it may not maintain as much insurance coverage as other companies do, and in some cases, it may not maintain any at all. Additionally, the policies it does have may include significant deductibles, and it cannot be certain that its insurance coverage will be sufficient to cover all or any</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100"/>
          </w:cols>
          <w:pgMar w:left="320" w:top="455" w:right="47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60"/>
        <w:spacing w:after="0" w:line="266" w:lineRule="auto"/>
        <w:rPr>
          <w:sz w:val="20"/>
          <w:szCs w:val="20"/>
          <w:color w:val="auto"/>
        </w:rPr>
      </w:pPr>
      <w:r>
        <w:rPr>
          <w:rFonts w:ascii="Times New Roman" w:cs="Times New Roman" w:eastAsia="Times New Roman" w:hAnsi="Times New Roman"/>
          <w:sz w:val="18"/>
          <w:szCs w:val="18"/>
          <w:color w:val="auto"/>
        </w:rPr>
        <w:t>future claims against it. A loss that is uninsured or exceeds policy limits may require Polestar to pay substantial amounts, which could adversely affect its financial condition and results of operations. Further, insurance coverage may not continue to be available to Polestar or, if available, may be at a significantly higher cost, especially if insurance providers perceive any increase in Polestar’s risk profile in the future.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Polestar’s vehicles make use of lithium-ion battery cells, which have been observed to catch fire or vent smoke and flame.</w:t>
      </w:r>
    </w:p>
    <w:p>
      <w:pPr>
        <w:spacing w:after="0" w:line="121"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The battery packs within Polestar’s vehicles make use of lithium-ion cells. On rare occasions, lithium-ion cells can rapidly release the energy they contain by venting smoke and flames in a manner that can ignite nearby materials as well as other lithium-ion cells. Any such events or failures of Polestar’s vehicles, battery packs or warning systems could subject Polestar to lawsuits, product recalls, or redesign efforts, all of which would be time consuming and expensive. Also, negative public perceptions regarding the suitability of lithium-ion cells for automotive applications or any future incident involving lithium-ion cells, such as a vehicle or other fire, even if such incident does not involve Polestar’s vehicles, could seriously harm Polestar’s business and reputation.</w:t>
      </w:r>
    </w:p>
    <w:p>
      <w:pPr>
        <w:spacing w:after="0" w:line="187"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Moreover, any failure of a competitor’s electric vehicle or energy storage product, as well as the mishandling of battery cells or a safety issue or fire or related to the cells at partners’ manufacturing facilities, may cause indirect adverse publicity for Polestar and its products. Such adverse publicity could negatively affect Polestar’s brand and harm its business, prospects, results of operations and financial condition.</w:t>
      </w:r>
    </w:p>
    <w:p>
      <w:pPr>
        <w:spacing w:after="0" w:line="280" w:lineRule="exact"/>
        <w:rPr>
          <w:sz w:val="20"/>
          <w:szCs w:val="20"/>
          <w:color w:val="auto"/>
        </w:rPr>
      </w:pPr>
    </w:p>
    <w:p>
      <w:pPr>
        <w:ind w:left="120" w:right="6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Polestar’s ability to generate meaningful product revenue will depend on consumer adoption of electric vehicles. However, the market for electric vehicles is still evolving and changes in governmental programs incentivizing consumers to purchase electric vehicles, fluctuations in energy prices, the sustainability of electric vehicles and other regulatory changes might negatively impact adoption of electric vehicles by consumers. If the pace and depth of electric vehicle adoption develops more slowly than Polestar expects, its revenue may decline or fail to grow, and Polestar may be materially and adversely affected.</w:t>
      </w:r>
    </w:p>
    <w:p>
      <w:pPr>
        <w:spacing w:after="0" w:line="75" w:lineRule="exact"/>
        <w:rPr>
          <w:sz w:val="20"/>
          <w:szCs w:val="20"/>
          <w:color w:val="auto"/>
        </w:rPr>
      </w:pPr>
    </w:p>
    <w:p>
      <w:pPr>
        <w:ind w:left="120" w:right="160" w:firstLine="440"/>
        <w:spacing w:after="0" w:line="254" w:lineRule="auto"/>
        <w:rPr>
          <w:sz w:val="20"/>
          <w:szCs w:val="20"/>
          <w:color w:val="auto"/>
        </w:rPr>
      </w:pPr>
      <w:r>
        <w:rPr>
          <w:rFonts w:ascii="Times New Roman" w:cs="Times New Roman" w:eastAsia="Times New Roman" w:hAnsi="Times New Roman"/>
          <w:sz w:val="18"/>
          <w:szCs w:val="18"/>
          <w:color w:val="auto"/>
        </w:rPr>
        <w:t>Polestar is only developing electric vehicles and, accordingly, its ability to generate meaningful product revenue will highly depend on sustained consumer demand for alternative fuel vehicles in general and electric vehicles in particular. If the market for electric vehicles does not develop as Polestar expects or develops more slowly than it expects, or if there is a decrease in consumer demand for electric vehicles, Polestar’s business, prospects, financial condition and results of operations will be harmed. The market for electric and other alternative fuel vehicles is relatively new and rapidly evolving and is characterized by rapidly changing technologies, price competition, additional competitors, evolving government regulations (including government incentives and subsidies) and industry standards, frequent new vehicle announcements and changing consumer demands and behaviors. Any number of changes in the industry could negatively affect consumer demand for electric vehicles in general and Polestar’s electric vehicles in particular.</w:t>
      </w:r>
    </w:p>
    <w:p>
      <w:pPr>
        <w:spacing w:after="0" w:line="192"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In addition, demand for electric vehicles may be affected by factors directly impacting automobile prices or the cost of purchasing and operating automobiles such as sales and financing incentives like tax credits, prices of raw materials and parts and components, cost of fuel or electricity, availability of consumer credit and governmental regulations, including tariffs, import regulation and other taxes. Volatility in demand may lead to lower vehicle unit sales, which may result in downward price pressure and adversely affect Polestar’s business, prospects, financial condition and results of operations. Further, sales of vehicles in the automotive industry tend to be cyclical in many markets, which may expose Polestar to increased volatility, especially as it expands and adjusts its operations and retail strategies. Specifically, it is uncertain how such macroeconomic factors will impact Polestar as a newer entrant in an industry that has globally been experiencing a recent decline in sales.</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Other factors that may influence the adoption of electric vehicles include:</w:t>
      </w:r>
    </w:p>
    <w:p>
      <w:pPr>
        <w:spacing w:after="0" w:line="131" w:lineRule="exact"/>
        <w:rPr>
          <w:sz w:val="20"/>
          <w:szCs w:val="20"/>
          <w:color w:val="auto"/>
        </w:rPr>
      </w:pPr>
    </w:p>
    <w:p>
      <w:pPr>
        <w:ind w:left="5540" w:right="4320" w:hanging="4884"/>
        <w:spacing w:after="0" w:line="454" w:lineRule="auto"/>
        <w:tabs>
          <w:tab w:leader="none" w:pos="109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perceptions about electric vehicle quality, safety, design, performance and cost; 34</w:t>
      </w:r>
    </w:p>
    <w:p>
      <w:pPr>
        <w:sectPr>
          <w:pgSz w:w="11900" w:h="16838" w:orient="portrait"/>
          <w:cols w:equalWidth="0" w:num="1">
            <w:col w:w="11120"/>
          </w:cols>
          <w:pgMar w:left="320" w:top="455" w:right="45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perceptions about the limited range over which electric vehicles may be driven on a single battery charge;</w:t>
      </w:r>
    </w:p>
    <w:p>
      <w:pPr>
        <w:spacing w:after="0" w:line="130" w:lineRule="exact"/>
        <w:rPr>
          <w:rFonts w:ascii="Times New Roman" w:cs="Times New Roman" w:eastAsia="Times New Roman" w:hAnsi="Times New Roman"/>
          <w:sz w:val="18"/>
          <w:szCs w:val="18"/>
          <w:color w:val="auto"/>
        </w:rPr>
      </w:pPr>
    </w:p>
    <w:p>
      <w:pPr>
        <w:ind w:left="1080" w:right="80" w:hanging="424"/>
        <w:spacing w:after="0" w:line="266"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perceptions about the total cost of ownership of electric vehicles, including the initial purchase price and operating and maintenance costs, both including and excluding the effect of government and other subsidies and incentives designed to promote the purchase of electric vehicles;</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concerns about electric grid capacity and reliability;</w:t>
      </w:r>
    </w:p>
    <w:p>
      <w:pPr>
        <w:spacing w:after="0" w:line="130"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perceptions about the sustainability and environmental impact of electric vehicles, including with respect to both the sourcing and disposal of materials for electric vehicle batteries and the generation of electricity provided in the electric grid;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other alternative fuel vehicles, including plug-in hybrid electric vehicles;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improvements in the fuel economy of the internal combustion engine;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quality and availability of service for electric vehicles, especially in international markets;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in the cost of oil, gasoline and electricity;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regulations and economic incentives promoting fuel efficiency and alternative forms of energy;</w:t>
      </w:r>
    </w:p>
    <w:p>
      <w:pPr>
        <w:spacing w:after="0" w:line="130" w:lineRule="exact"/>
        <w:rPr>
          <w:rFonts w:ascii="Times New Roman" w:cs="Times New Roman" w:eastAsia="Times New Roman" w:hAnsi="Times New Roman"/>
          <w:sz w:val="18"/>
          <w:szCs w:val="18"/>
          <w:color w:val="auto"/>
        </w:rPr>
      </w:pPr>
    </w:p>
    <w:p>
      <w:pPr>
        <w:ind w:left="1080" w:right="300" w:hanging="424"/>
        <w:spacing w:after="0" w:line="282"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access to charging stations and the cost to charge an electric vehicle, especially in international markets, and related infrastructure costs and standardization;</w:t>
      </w:r>
    </w:p>
    <w:p>
      <w:pPr>
        <w:spacing w:after="0" w:line="67"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tax and other governmental incentives to purchase and operate electric vehicles or future regulation requiring increased use of nonpolluting vehicles;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macroeconomic factors.</w:t>
      </w:r>
    </w:p>
    <w:p>
      <w:pPr>
        <w:spacing w:after="0" w:line="225"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influence of any of the factors described above or any other factors may cause a general reduction in consumer demand for electric vehicles or Polestar’s electric vehicles in particular, either of which would materially and adversely affect Polestar’s business, results of operations, financial condition and prospects.</w:t>
      </w:r>
    </w:p>
    <w:p>
      <w:pPr>
        <w:spacing w:after="0" w:line="280" w:lineRule="exact"/>
        <w:rPr>
          <w:sz w:val="20"/>
          <w:szCs w:val="20"/>
          <w:color w:val="auto"/>
        </w:rPr>
      </w:pPr>
    </w:p>
    <w:p>
      <w:pPr>
        <w:ind w:left="120"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Developments in electric vehicle or alternative fuel technology or improvements in the internal combustion engine may adversely affect the demand for Polestar’s vehicles.</w:t>
      </w:r>
    </w:p>
    <w:p>
      <w:pPr>
        <w:spacing w:after="0" w:line="51" w:lineRule="exact"/>
        <w:rPr>
          <w:sz w:val="20"/>
          <w:szCs w:val="20"/>
          <w:color w:val="auto"/>
        </w:rPr>
      </w:pPr>
    </w:p>
    <w:p>
      <w:pPr>
        <w:ind w:left="120" w:right="80" w:firstLine="440"/>
        <w:spacing w:after="0" w:line="252" w:lineRule="auto"/>
        <w:rPr>
          <w:sz w:val="20"/>
          <w:szCs w:val="20"/>
          <w:color w:val="auto"/>
        </w:rPr>
      </w:pPr>
      <w:r>
        <w:rPr>
          <w:rFonts w:ascii="Times New Roman" w:cs="Times New Roman" w:eastAsia="Times New Roman" w:hAnsi="Times New Roman"/>
          <w:sz w:val="18"/>
          <w:szCs w:val="18"/>
          <w:color w:val="auto"/>
        </w:rPr>
        <w:t>Polestar may be unable to keep up with changes in electric vehicle technology or alternatives to electricity as a fuel source and, as a result, its competitiveness may suffer. Significant developments in alternative technologies, such as alternative battery cell technologies, hydrogen fuel cell technology, advanced gasoline, ethanol or natural gas or improvements in the fuel economy of the internal combustion engine, may materially and adversely affect Polestar’s business and prospects in ways it does not currently anticipate. Existing and other battery cell technologies, fuels or sources of energy may emerge as customers’ preferred alternative to the technologies in Polestar’s electric vehicles. Any failure by Polestar to develop new or enhanced technologies or processes, or to react to changes in existing technologies, could materially delay its development and introduction of new and enhanced electric vehicles, which could result in the loss of competitiveness of its vehicles, decreased revenues and a loss of market share to competitors. In addition, Polestar expects to compete in part on the basis of its vehicles’ range, efficiency, charging speeds and performance, and improvements in the technology offered by competitors could reduce demand for Polestar’s vehicles. As technologies change, Polestar plans to upgrade or adapt its vehicles and introduce new models that reflect such technological developments, but its vehicles may become obsolete, and its research and development efforts may not be sufficient to adapt to changes in alternative fuel and electric vehicle technology. Additionally, as new companies and larger, existing vehicle manufacturers continue to enter the electric vehicle space, Polestar may lose any technological advantage it may have and suffer a decline in its competitive position. Any failure by Polestar to successfully react to changes in existing technologies or the development of new technologies could materially harm its competitive position and growth prospects.</w:t>
      </w:r>
    </w:p>
    <w:p>
      <w:pPr>
        <w:spacing w:after="0" w:line="13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120"/>
          </w:cols>
          <w:pgMar w:left="320" w:top="455" w:right="45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global COVID-19 outbreak and the global response could continue to affect Polestar’s business and operations.</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ongoing COVID-19 pandemic poses risks to Polestar’s business, including through its impact on general economic conditions, manufacturing and supply chain operations, stay-at-home orders and global financial markets. Its continued impact on the economy, even after the pandemic has subsided, could lead consumers to further reduce spending, delay purchases of Polestar’s vehicles or cancel their orders for Polestar’s vehicles. Because of Polestar’s premium brand positioning and pricing, an economic downturn is likely to have a heightened adverse effect on it, compared to many of its electric vehicle and traditional automotive industry competitors, to the extent that consumer demand for luxury goods is reduced in favor of lower-priced alternatives. Any economic recession or other downturn could also cause logistical challenges and other operational risks if any of Polestar’s suppliers, sub-suppliers or partners becomes insolvent or is otherwise unable to continue its operations. Further, the immediate or prolonged effects of the COVID-19 pandemic could significantly affect government finances and, accordingly, the continued availability of incentives related to electric vehicle purchases and other governmental support programs.</w:t>
      </w:r>
    </w:p>
    <w:p>
      <w:pPr>
        <w:spacing w:after="0" w:line="188" w:lineRule="exact"/>
        <w:rPr>
          <w:sz w:val="20"/>
          <w:szCs w:val="20"/>
          <w:color w:val="auto"/>
        </w:rPr>
      </w:pPr>
    </w:p>
    <w:p>
      <w:pPr>
        <w:ind w:left="120" w:right="300" w:firstLine="440"/>
        <w:spacing w:after="0" w:line="281" w:lineRule="auto"/>
        <w:rPr>
          <w:sz w:val="20"/>
          <w:szCs w:val="20"/>
          <w:color w:val="auto"/>
        </w:rPr>
      </w:pPr>
      <w:r>
        <w:rPr>
          <w:rFonts w:ascii="Times New Roman" w:cs="Times New Roman" w:eastAsia="Times New Roman" w:hAnsi="Times New Roman"/>
          <w:sz w:val="17"/>
          <w:szCs w:val="17"/>
          <w:color w:val="auto"/>
        </w:rPr>
        <w:t>The spread of COVID-19 has also periodically disrupted the manufacturing operations of other vehicle manufacturers and their suppliers. Any such disruptions to Polestar or to its suppliers could result in delays and could negatively affect its production volume. Please also see “Business— Recent Developments” for more information on government mandated quarantines and lockdowns in China due to COVID-19, their impact on the production and timely delivery of critical components for Polestar vehicles by supplies and their impact on anticipated Polestar car volumes.</w:t>
      </w:r>
    </w:p>
    <w:p>
      <w:pPr>
        <w:spacing w:after="0" w:line="164"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The pandemic has resulted in the imposition of travel bans and restrictions, quarantines, shelter-in-place and stay-at-home orders and business shutdowns. These measures pose numerous operational risks and logistical challenges to Polestar’s business. In addition, regional, national and international travel restrictions may result in adverse impacts to Polestar’s supply chain. Further, Polestar’s sales and marketing activities have been, and may in the future be, adversely affected due to the cancellation or reduction of in-person sales activities, meetings, events and conferences. The transition of Polestar’s personnel to a mostly remote workforce has also increased demand on its information technology resources and systems and increased data privacy and cybersecurity risks. These restrictive measures could be in place for a significant period of time and may be reinstituted or replaced with more burdensome restrictions if conditions deteriorate, which could adversely affect Polestar’s manufacturing and sales and distribution plans and timelines.</w:t>
      </w:r>
    </w:p>
    <w:p>
      <w:pPr>
        <w:spacing w:after="0" w:line="192" w:lineRule="exact"/>
        <w:rPr>
          <w:sz w:val="20"/>
          <w:szCs w:val="20"/>
          <w:color w:val="auto"/>
        </w:rPr>
      </w:pPr>
    </w:p>
    <w:p>
      <w:pPr>
        <w:ind w:left="120" w:right="180" w:firstLine="440"/>
        <w:spacing w:after="0" w:line="255" w:lineRule="auto"/>
        <w:rPr>
          <w:sz w:val="20"/>
          <w:szCs w:val="20"/>
          <w:color w:val="auto"/>
        </w:rPr>
      </w:pPr>
      <w:r>
        <w:rPr>
          <w:rFonts w:ascii="Times New Roman" w:cs="Times New Roman" w:eastAsia="Times New Roman" w:hAnsi="Times New Roman"/>
          <w:sz w:val="18"/>
          <w:szCs w:val="18"/>
          <w:color w:val="auto"/>
        </w:rPr>
        <w:t>In addition, the COVID-19 pandemic has resulted in extreme volatility in the global financial markets, which could increase Polestar’s cost of capital or limit its ability to access financing when needed. Broader impacts of the pandemic also include inflationary pressure on costs of good sold, including an increase in battery prices and freight and distribution costs, which impacts the cost at which Polestar can manufacture vehicles. For more information, also see “</w:t>
      </w:r>
      <w:r>
        <w:rPr>
          <w:rFonts w:ascii="Times New Roman" w:cs="Times New Roman" w:eastAsia="Times New Roman" w:hAnsi="Times New Roman"/>
          <w:sz w:val="18"/>
          <w:szCs w:val="18"/>
          <w:i w:val="1"/>
          <w:iCs w:val="1"/>
          <w:color w:val="auto"/>
        </w:rPr>
        <w:t>Risk Factors—Risks Related to Polestar’s Business and Industry—Changes in foreign currency rates, interest rate risks, 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inflation could materially affect Polestar’s results of operations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Operating And Financial Review And Prospects—Polestar Automotive Holding UK PLC (formerly known as Polestar Automotive Holding UK Limited)—Key factors affecting performance—Impact of COVID-19, Russo-Ukrainian War, and inflation</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jc w:val="both"/>
        <w:ind w:left="120" w:right="580" w:firstLine="440"/>
        <w:spacing w:after="0" w:line="266" w:lineRule="auto"/>
        <w:rPr>
          <w:sz w:val="20"/>
          <w:szCs w:val="20"/>
          <w:color w:val="auto"/>
        </w:rPr>
      </w:pPr>
      <w:r>
        <w:rPr>
          <w:rFonts w:ascii="Times New Roman" w:cs="Times New Roman" w:eastAsia="Times New Roman" w:hAnsi="Times New Roman"/>
          <w:sz w:val="18"/>
          <w:szCs w:val="18"/>
          <w:color w:val="auto"/>
        </w:rPr>
        <w:t>The severity, magnitude and duration of the COVID-19 pandemic and its economic and regulatory consequences are rapidly changing and uncertain. Accordingly, Polestar cannot predict the ultimate impact of the COVID-19 pandemic on its business, financial condition and results of operations.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Changes in foreign currency rates, interest rate risks, or inflation could materially affect Polestar’s results of operations.</w:t>
      </w:r>
    </w:p>
    <w:p>
      <w:pPr>
        <w:spacing w:after="0" w:line="121" w:lineRule="exact"/>
        <w:rPr>
          <w:sz w:val="20"/>
          <w:szCs w:val="20"/>
          <w:color w:val="auto"/>
        </w:rPr>
      </w:pPr>
    </w:p>
    <w:p>
      <w:pPr>
        <w:ind w:left="120" w:right="140" w:firstLine="440"/>
        <w:spacing w:after="0" w:line="312" w:lineRule="auto"/>
        <w:rPr>
          <w:sz w:val="20"/>
          <w:szCs w:val="20"/>
          <w:color w:val="auto"/>
        </w:rPr>
      </w:pPr>
      <w:r>
        <w:rPr>
          <w:rFonts w:ascii="Times New Roman" w:cs="Times New Roman" w:eastAsia="Times New Roman" w:hAnsi="Times New Roman"/>
          <w:sz w:val="17"/>
          <w:szCs w:val="17"/>
          <w:color w:val="auto"/>
        </w:rPr>
        <w:t>Due to its international operations, Polestar faces foreign currency risk exposure from fluctuating currency exchange rates, interest rate risk from its exposure to floating and variable interest rates, and inflation risk from existing and expected rates of inflation in the U.S. and other jurisdictions.</w:t>
      </w:r>
    </w:p>
    <w:p>
      <w:pPr>
        <w:spacing w:after="0" w:line="7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120"/>
          </w:cols>
          <w:pgMar w:left="320" w:top="455" w:right="45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Particularly COVID-19 and the Russo-Ukrainian War have led to increased inflationary pressures on prices of components, materials, labor, and equipment used in the production of Polestar vehicles. Increases in battery prices due to the increased prices of lithium, cobalt, and nickel are expected to lead to higher inventory and costs of goods sold. Higher oil prices have also increased freight and distribution costs across all markets. It is uncertain whether these inflationary pressures will persist in the future. See “</w:t>
      </w:r>
      <w:r>
        <w:rPr>
          <w:rFonts w:ascii="Times New Roman" w:cs="Times New Roman" w:eastAsia="Times New Roman" w:hAnsi="Times New Roman"/>
          <w:sz w:val="18"/>
          <w:szCs w:val="18"/>
          <w:i w:val="1"/>
          <w:iCs w:val="1"/>
          <w:color w:val="auto"/>
        </w:rPr>
        <w:t>Operating And Financial Review And Prospects—Polestar Automotive Holding UK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PLC (formerly known as Polestar Automotive Holding UK Limited)—Key factors affecting performance—Impact of COVID-19, Russo-Ukrainian War, and inflation</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Further, fluctuations in currency rates, interest rate hikes and existing and expected rates of inflation in the U.S. and other jurisdictions, including as a result of COVID-19 pandemic and the Russo-Ukrainian War, have resulted in extreme volatility in the global financial markets, which could increase Polestar’s cost of capital or limit its ability to access financing when needed. Polestar may not be able to obtain additional financing on terms favorable to it, if at all. See “</w:t>
      </w:r>
      <w:r>
        <w:rPr>
          <w:rFonts w:ascii="Times New Roman" w:cs="Times New Roman" w:eastAsia="Times New Roman" w:hAnsi="Times New Roman"/>
          <w:sz w:val="18"/>
          <w:szCs w:val="18"/>
          <w:i w:val="1"/>
          <w:iCs w:val="1"/>
          <w:color w:val="auto"/>
        </w:rPr>
        <w:t>—Risks Related to Financing and Strategic Transactions—Polestar will require additional capital to support 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growth, and this capital might not be available on commercially reasonable terms, or at all</w:t>
      </w:r>
      <w:r>
        <w:rPr>
          <w:rFonts w:ascii="Times New Roman" w:cs="Times New Roman" w:eastAsia="Times New Roman" w:hAnsi="Times New Roman"/>
          <w:sz w:val="18"/>
          <w:szCs w:val="18"/>
          <w:color w:val="auto"/>
        </w:rPr>
        <w:t>.”</w:t>
      </w:r>
    </w:p>
    <w:p>
      <w:pPr>
        <w:spacing w:after="0" w:line="287" w:lineRule="exact"/>
        <w:rPr>
          <w:sz w:val="20"/>
          <w:szCs w:val="20"/>
          <w:color w:val="auto"/>
        </w:rPr>
      </w:pPr>
    </w:p>
    <w:p>
      <w:pPr>
        <w:ind w:left="120"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Polestar’s facilities or operations could be and have been adversely affected by events outside of its control, such as natural disasters, wars, health epidemics or pandemics or security incidents.</w:t>
      </w:r>
    </w:p>
    <w:p>
      <w:pPr>
        <w:spacing w:after="0" w:line="51" w:lineRule="exact"/>
        <w:rPr>
          <w:sz w:val="20"/>
          <w:szCs w:val="20"/>
          <w:color w:val="auto"/>
        </w:rPr>
      </w:pPr>
    </w:p>
    <w:p>
      <w:pPr>
        <w:ind w:left="120" w:firstLine="440"/>
        <w:spacing w:after="0" w:line="269" w:lineRule="auto"/>
        <w:rPr>
          <w:sz w:val="20"/>
          <w:szCs w:val="20"/>
          <w:color w:val="auto"/>
        </w:rPr>
      </w:pPr>
      <w:r>
        <w:rPr>
          <w:rFonts w:ascii="Times New Roman" w:cs="Times New Roman" w:eastAsia="Times New Roman" w:hAnsi="Times New Roman"/>
          <w:sz w:val="17"/>
          <w:szCs w:val="17"/>
          <w:color w:val="auto"/>
        </w:rPr>
        <w:t>Polestar may be impacted by natural disasters, wars, health epidemics or pandemics or other events outside of its control. For example, flooding impacted Polestar’s manufacturing facility in July 2019 and stopped production for one half of a day. Further, if major disasters such as earthquakes, wildfires, tornadoes or other events occur, or if Polestar’s information system or communications network breaks down or operates improperly, Polestar’s facilities and manufacturing may be seriously damaged or affected, or Polestar may have to stop or delay production and shipment of its products. In addition, the ongoing COVID-19 pandemic has impacted economic markets, manufacturing operations, supply chains, employment and consumer behavior in nearly every geographic region and industry across the world, and Polestar has been, and may in the future be, adversely affected as a result. Please also see “Business—Recent Developments” for more information on government mandated quarantines and lockdowns in China due to COVID-19, their impact on the production and timely delivery of critical components for Polestar vehicles by supplies and their impact on anticipated Polestar car volumes. Furthermore, Polestar could be impacted by physical security incidents at its facilities, which could result in significant damage to such facilities that could require Polestar to delay or discontinue production of its vehicles. Polestar may incur significant expenses or delays relating to such events outside of its control, which could have a material adverse impact on its business, results of operations and financial condition.</w:t>
      </w:r>
    </w:p>
    <w:p>
      <w:pPr>
        <w:spacing w:after="0" w:line="286" w:lineRule="exact"/>
        <w:rPr>
          <w:sz w:val="20"/>
          <w:szCs w:val="20"/>
          <w:color w:val="auto"/>
        </w:rPr>
      </w:pPr>
    </w:p>
    <w:p>
      <w:pPr>
        <w:ind w:left="120"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conflict between Russia and Ukraine has, and is likely to continue to, generate uncertain geopolitical conditions, including sanctions that could adversely affect Polestar’s business prospects and results of operations.</w:t>
      </w:r>
    </w:p>
    <w:p>
      <w:pPr>
        <w:spacing w:after="0" w:line="51"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Russia and Ukraine are not Polestar markets, and there are no plans to launch in either market in the near future. Nevertheless, the uncertain geopolitical conditions, sanctions, and other potential impacts on the global economic environment resulting from Russia’s invasion of Ukraine may weaken demand for Polestar’s vehicles, which could make it difficult for Polestar to forecast its financial results and manage its inventory levels. The uncertainty surrounding these conditions and the current, and potentially expanded, scope of international sanctions against Russia may cause unanticipated changes in customers’ buying patterns, adversely impact operations of our suppliers, or interrupt Polestar’s ability to source products from this region. Sanctions have also created supply constraints and driven inflation that has impacted, and may continue to impact, Polestar’s operations and could create or exacerbate risks facing Polestar’s business.</w:t>
      </w:r>
    </w:p>
    <w:p>
      <w:pPr>
        <w:spacing w:after="0" w:line="189"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Polestar vehicles are manufactured at facilities owned and operated by Volvo Cars. While we understand that Volvo Cars does not have any “Tier 1” suppliers from Russia, car production is a complex process, with thousands of components sourced from all over the world. There can be no assurance, therefore, that there will not be some components sourced from suppliers subject to sanctions against Russia nor that the resulting disruption to the supply chain will not have an adverse impact on our business and results of operations.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120"/>
          </w:cols>
          <w:pgMar w:left="320" w:top="455" w:right="45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In the event geopolitical tensions deteriorate further or fail to abate, additional governmental sanctions may be enacted that could adversely impact the global economy, banking and monetary systems, markets, and the operations of Polestar and its suppliers.</w:t>
      </w:r>
    </w:p>
    <w:p>
      <w:pPr>
        <w:spacing w:after="0" w:line="266" w:lineRule="exact"/>
        <w:rPr>
          <w:sz w:val="20"/>
          <w:szCs w:val="20"/>
          <w:color w:val="auto"/>
        </w:rPr>
      </w:pPr>
    </w:p>
    <w:p>
      <w:pPr>
        <w:ind w:left="120"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vehicle owners customize Polestar vehicles or change the charging infrastructure with aftermarket products, the vehicle may not operate properly, which may create negative publicity and could harm Polestar’s business.</w:t>
      </w:r>
    </w:p>
    <w:p>
      <w:pPr>
        <w:spacing w:after="0" w:line="51" w:lineRule="exact"/>
        <w:rPr>
          <w:sz w:val="20"/>
          <w:szCs w:val="20"/>
          <w:color w:val="auto"/>
        </w:rPr>
      </w:pPr>
    </w:p>
    <w:p>
      <w:pPr>
        <w:ind w:left="120" w:right="120" w:firstLine="440"/>
        <w:spacing w:after="0" w:line="277" w:lineRule="auto"/>
        <w:rPr>
          <w:sz w:val="20"/>
          <w:szCs w:val="20"/>
          <w:color w:val="auto"/>
        </w:rPr>
      </w:pPr>
      <w:r>
        <w:rPr>
          <w:rFonts w:ascii="Times New Roman" w:cs="Times New Roman" w:eastAsia="Times New Roman" w:hAnsi="Times New Roman"/>
          <w:sz w:val="17"/>
          <w:szCs w:val="17"/>
          <w:color w:val="auto"/>
        </w:rPr>
        <w:t>Automobile enthusiasts may seek to alter Polestar’s vehicles to modify their performance, which could compromise vehicle safety systems. Also, customers may customize their vehicles with after-market parts that can compromise driver safety. Polestar does not test, nor does it endorse, such changes or products. In addition, the use of improper external cabling or unsafe charging outlets can expose customers to injury from high voltage electricity. Such unauthorized modifications could reduce the safety of Polestar’s vehicles and any injuries resulting from such modifications could result in adverse publicity that would negatively affect Polestar’s brand and harm its business, prospects, financial condition and operating results.</w:t>
      </w:r>
    </w:p>
    <w:p>
      <w:pPr>
        <w:spacing w:after="0" w:line="2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Cybersecurity and Data Privacy</w:t>
      </w:r>
    </w:p>
    <w:p>
      <w:pPr>
        <w:spacing w:after="0" w:line="117" w:lineRule="exact"/>
        <w:rPr>
          <w:sz w:val="20"/>
          <w:szCs w:val="20"/>
          <w:color w:val="auto"/>
        </w:rPr>
      </w:pPr>
    </w:p>
    <w:p>
      <w:pPr>
        <w:ind w:left="120"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Polestar relies on its and Volvo Cars’ IT systems and any material disruption to its or Volvo Cars’ IT systems could have a material and adverse effect on Polestar.</w:t>
      </w:r>
    </w:p>
    <w:p>
      <w:pPr>
        <w:spacing w:after="0" w:line="51"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The availability and effectiveness of Polestar’s services depend on the continued operation of its information technology and communications systems. Polestar relies on its and Volvo Cars’ IT systems, and such systems are vulnerable to damage or interruption from, among other adverse effects, fire, terrorist attacks, natural disasters, power loss, telecommunications failures, computer viruses, computer denial of service attacks or other attempts to harm its systems. Polestar’s products and services are also highly technical and complex and may contain errors or vulnerabilities that could result in interruptions in its services or the failure of its systems or the systems on which it relies. For more information on the data breach Volvo Cars announced on December 10, 2021 and that involved a Volvo Cars server that shared information relevant to Polestar, please see “Business—Related Party Agreements with Volvo Cars and Geely.”</w:t>
      </w:r>
    </w:p>
    <w:p>
      <w:pPr>
        <w:spacing w:after="0" w:line="293" w:lineRule="exact"/>
        <w:rPr>
          <w:sz w:val="20"/>
          <w:szCs w:val="20"/>
          <w:color w:val="auto"/>
        </w:rPr>
      </w:pPr>
    </w:p>
    <w:p>
      <w:pPr>
        <w:ind w:left="120"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unauthorized control or manipulation of Polestar’s products, digital sales tools and systems could result in loss of confidence in Polestar and its products.</w:t>
      </w:r>
    </w:p>
    <w:p>
      <w:pPr>
        <w:spacing w:after="0" w:line="51"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Polestar’s products contain complex information technology systems. Polestar collects, stores, transmits and otherwise processes data from vehicles, customers, employees and other third parties as part of its business operations, which may include personal data or confidential or proprietary information. Polestar also works with third parties that collect, store and process such data on its behalf and also uses digital tools to sell vehicles to its customers. Polestar has created a foundation of security polices and an information security directive and is in the process of creating and testing information security policies to deployed systems. Polestar is creating measures to implement such policies, including encryption technologies, to prevent unauthorized access and plans to continue deploying additional security measures as it grows. Polestar’s third-party service providers and vendors are and will be obliged to take steps to protect the security and integrity of Polestar’s and their information technology systems and Polestar’s and their customers’ information. However, there can be no assurance that such systems and measures will not be compromised as a result of intentional misconduct, including by employees, contractors or vendors, as well as by software bugs, human error or technical malfunctions.</w:t>
      </w:r>
    </w:p>
    <w:p>
      <w:pPr>
        <w:spacing w:after="0" w:line="188"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Furthermore, hackers may in the future attempt to gain unauthorized access to, modify, alter and use Polestar’s vehicles, products, digital sales tools and systems to (i) gain control of, (ii) change the functionality, user interface and performance characteristics of or (iii) gain access to data stored in or generated by, Polestar’s vehicles, products, digital sales tools and systems. Advances in technology, an increased level of sophistication and diversity of Polestar’s products, digital sales tools and services, an increased level of expertise of hackers and</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140"/>
          </w:cols>
          <w:pgMar w:left="320" w:top="455" w:right="4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54" w:lineRule="auto"/>
        <w:rPr>
          <w:sz w:val="20"/>
          <w:szCs w:val="20"/>
          <w:color w:val="auto"/>
        </w:rPr>
      </w:pPr>
      <w:r>
        <w:rPr>
          <w:rFonts w:ascii="Times New Roman" w:cs="Times New Roman" w:eastAsia="Times New Roman" w:hAnsi="Times New Roman"/>
          <w:sz w:val="18"/>
          <w:szCs w:val="18"/>
          <w:color w:val="auto"/>
        </w:rPr>
        <w:t>new discoveries in the field of cryptography could lead to a compromise or breach of the measures that Polestar or its service providers uses. Polestar and its service providers’ systems have in the past and may in the future be affected by security incidents. Polestar’s systems are also vulnerable to damage or interruption from, among other things, physical theft, fire, terrorist attacks, natural disasters, power loss, war, telecommunications failures, computer viruses, computer denial or degradation of service attacks, ransomware, social engineering schemes, domain name spoofing, insider theft or misuse or other attempts to harm its products and systems. Polestar’s and its service providers’ or vendors’ data centers could be subject to break-ins, sabotage and intentional acts of vandalism causing potential disruptions. Some of Polestar’s systems are not and will not be fully redundant. Further, its disaster recovery planning is not yet fully developed and cannot account for all eventualities. Any problems at Polestar’s or its service providers’ or vendors’ data centers could result in lengthy interruptions in Polestar’s service. There can be no assurance that any security or other operational measures that Polestar or its service providers or vendors have implemented will be effective against any of the foregoing threats or issues.</w:t>
      </w:r>
    </w:p>
    <w:p>
      <w:pPr>
        <w:spacing w:after="0" w:line="188" w:lineRule="exact"/>
        <w:rPr>
          <w:sz w:val="20"/>
          <w:szCs w:val="20"/>
          <w:color w:val="auto"/>
        </w:rPr>
      </w:pPr>
    </w:p>
    <w:p>
      <w:pPr>
        <w:ind w:left="120" w:right="20" w:firstLine="440"/>
        <w:spacing w:after="0" w:line="252" w:lineRule="auto"/>
        <w:rPr>
          <w:sz w:val="20"/>
          <w:szCs w:val="20"/>
          <w:color w:val="auto"/>
        </w:rPr>
      </w:pPr>
      <w:r>
        <w:rPr>
          <w:rFonts w:ascii="Times New Roman" w:cs="Times New Roman" w:eastAsia="Times New Roman" w:hAnsi="Times New Roman"/>
          <w:sz w:val="18"/>
          <w:szCs w:val="18"/>
          <w:color w:val="auto"/>
        </w:rPr>
        <w:t>If Polestar is unable to protect its products, digital sales tools and systems (and the information stored on such platforms) from unauthorized access, use, disclosure, disruption, modification, destruction or other breach, such problems or security breaches could have negative consequences for its business and future prospects, subjecting Polestar to substantial fines, penalties, damages and other liabilities under applicable laws and regulations, incurring substantial costs to respond to, investigate and remedy such incidents, reducing customer demand for Polestar’s products, harming its reputation and brand and compromising or leading to a loss of protection of its intellectual property or trade secrets. In addition, regardless of their veracity, reports of unauthorized access to Polestar’s vehicles, systems or data, as well as other factors that may result in the perception that its vehicles, systems or data are capable of being “hacked,” could negatively affect Polestar’s brand. In addition, some members of the U.S. federal government, including certain members of Congress and the National Highway Traffic Safety Administration (“NHTSA”), have recently focused attention on automotive cybersecurity issues and may in the future propose or implement regulations specific to automotive cybersecurity. In addition, the United Nations Economic Commission for Europe has introduced new regulations governing connected vehicle cybersecurity, which became effective in January 2021 and applies in the European Union to all new vehicle types beginning in July 2022 and will become mandatory for all new vehicles produced from July 2024. Such regulations are also in effect, or expected to come into effect, in certain other international jurisdictions. These and other regulations could adversely affect Polestar’s business in Europe and other markets, and if such regulations or other future regulations are inconsistent with Polestar’s approach to automotive cybersecurity, Polestar would be required to modify its systems to comply with such regulations, which would impose additional costs and delays and could expose Polestar to potential liability to the extent its automotive cybersecurity systems and practices are inconsistent with such regulation.</w:t>
      </w:r>
    </w:p>
    <w:p>
      <w:pPr>
        <w:spacing w:after="0" w:line="195"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In addition, Polestar’s vehicles depend on the ability of software and hardware to store, retrieve, process and manage immense amounts of data. Polestar’s software and hardware, including any over-the-air or other updates, may contain, errors, bugs, design defects or vulnerabilities, and its systems may be subject to technical limitations that may compromise its ability to meet its objectives. Some errors, bugs or vulnerabilities may be inherently difficult to detect and may only be discovered after code has been released for external or internal use. Although Polestar will attempt to remedy any issues it observes in its vehicles as effectively and rapidly as possible, such efforts may not be timely, may hamper production or may not be to the satisfaction of its customers. Additionally, if Polestar is able to deploy updates to the software addressing any issues, but its over-the-air update procedures fail to properly update the software, Polestar’s customers would then need to arrange for installing such updates to the software, and their software may be subject to deficiencies and vulnerabilities until they do so. Any compromise of Polestar’s intellectual property, proprietary information, systems or vehicles or inability to prevent or effectively remedy errors, bugs, vulnerabilities or defects in Polestar’s software and hardware may cause Polestar to suffer lengthy interruptions to its ability to operate its business and its customers’ ability to operate their vehicles, damage to Polestar’s reputation, loss of customers, loss of revenue, governmental fines, investigations or litigation or liability for damages, any of which could materially and adversely affect its business, results of operations, prospects and financial condition.</w:t>
      </w:r>
    </w:p>
    <w:p>
      <w:pPr>
        <w:spacing w:after="0" w:line="12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100"/>
          </w:cols>
          <w:pgMar w:left="320" w:top="455" w:right="47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both"/>
        <w:ind w:left="120" w:right="5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Data privacy concerns are generally increasing, which could result in new legislation, in negative public perception of Polestar’s current data collection practices and certain of its services or technologies and/or in changing user behaviors that negatively affect Polestar’s business and product development plans.</w:t>
      </w:r>
    </w:p>
    <w:p>
      <w:pPr>
        <w:spacing w:after="0" w:line="67" w:lineRule="exact"/>
        <w:rPr>
          <w:sz w:val="20"/>
          <w:szCs w:val="20"/>
          <w:color w:val="auto"/>
        </w:rPr>
      </w:pPr>
    </w:p>
    <w:p>
      <w:pPr>
        <w:ind w:left="120" w:firstLine="440"/>
        <w:spacing w:after="0" w:line="281" w:lineRule="auto"/>
        <w:rPr>
          <w:sz w:val="20"/>
          <w:szCs w:val="20"/>
          <w:color w:val="auto"/>
        </w:rPr>
      </w:pPr>
      <w:r>
        <w:rPr>
          <w:rFonts w:ascii="Times New Roman" w:cs="Times New Roman" w:eastAsia="Times New Roman" w:hAnsi="Times New Roman"/>
          <w:sz w:val="17"/>
          <w:szCs w:val="17"/>
          <w:color w:val="auto"/>
        </w:rPr>
        <w:t>In the course of its operations, Polestar collects, uses, stores, discloses, transfers and otherwise processes personal information from its customers, employees and third parties with whom it conducts business, including names, accounts, user IDs and passwords and payment or transaction related information. Additionally, Polestar uses its vehicles’ electronic systems to log information about vehicle use, such as charge time, battery usage, mileage and driving behavior, in order to aid it in vehicle diagnostics, repair and maintenance, as well as to help it customize and improve the driving experience.</w:t>
      </w:r>
    </w:p>
    <w:p>
      <w:pPr>
        <w:spacing w:after="0" w:line="164" w:lineRule="exact"/>
        <w:rPr>
          <w:sz w:val="20"/>
          <w:szCs w:val="20"/>
          <w:color w:val="auto"/>
        </w:rPr>
      </w:pPr>
    </w:p>
    <w:p>
      <w:pPr>
        <w:jc w:val="both"/>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Data privacy concerns of consumers are generally increasing, which could result in new legislation, in negative public perception of Polestar’s current data collection practices and certain of its services or technologies and/or in changing user behaviors that negatively affect Polestar’s business and product development plans.</w:t>
      </w:r>
    </w:p>
    <w:p>
      <w:pPr>
        <w:spacing w:after="0" w:line="280" w:lineRule="exact"/>
        <w:rPr>
          <w:sz w:val="20"/>
          <w:szCs w:val="20"/>
          <w:color w:val="auto"/>
        </w:rPr>
      </w:pPr>
    </w:p>
    <w:p>
      <w:pPr>
        <w:jc w:val="both"/>
        <w:ind w:left="120" w:right="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Polestar is subject to evolving laws, regulations, standards, policies and contractual obligations related to data privacy, security and consumer protection, and any actual or perceived failure to comply with such obligations could harm Polestar’s reputation and brand, subject Polestar to significant fines and liability, or otherwise adversely affect its business.</w:t>
      </w:r>
    </w:p>
    <w:p>
      <w:pPr>
        <w:spacing w:after="0" w:line="67"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Due to Polestar’s data collection practices, products, services and technologies, Polestar is subject to or affected by a number of federal, state, local and international laws and regulations, as well as contractual obligations and industry standards, that impose certain obligations and restrictions with respect to data privacy and security and govern its collection, storage, retention, protection, use, processing, transmission, sharing and disclosure of personal information including that of Polestar’s employees, customers and other third parties with whom Polestar conducts business. These laws, regulations and standards may be interpreted and applied differently over time and from jurisdiction to jurisdiction, and it is possible that they will be interpreted and applied in ways that may have a material and adverse impact on Polestar’s business, financial condition and results of operations.</w:t>
      </w:r>
    </w:p>
    <w:p>
      <w:pPr>
        <w:spacing w:after="0" w:line="187"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global data protection landscape is rapidly evolving, and implementation standards and enforcement practices are likely to remain uncertain for the foreseeable future. Polestar may not be able to monitor and react to all developments in a timely manner. The European Union adopted the General Data Protection Regulation (“GDPR”), which became effective on May 25, 2018, and California adopted the California Consumer Privacy Act of 2018 (“CCPA”), which became effective in January 2020. Both the GDPR and the CCPA impose additional obligations on companies regarding the handling of personal data and provides certain privacy rights to individual persons whose data is collected. Compliance with existing, proposed and recently enacted laws and regulations (including implementation of the privacy and process enhancements called for under the GDPR and CCPA) can be costly, and any failure to comply with these regulatory standards could subject Polestar to legal and reputational risks.</w:t>
      </w:r>
    </w:p>
    <w:p>
      <w:pPr>
        <w:spacing w:after="0" w:line="189"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Specifically, the CCPA establishes a privacy framework for covered businesses, including an expansive definition of personal information and data privacy rights for California residents. The CCPA includes a framework with potentially severe statutory damages for violations and a private right of action for certain data breaches. The CCPA requires covered businesses to provide California residents with new privacy-related disclosures and new ways to opt-out of certain uses and disclosures of personal information. As Polestar expands its operations, the CCPA may increase its compliance costs and potential liability. Some observers have noted that the CCPA could mark the beginning of a trend toward more stringent privacy legislation in the United States.</w:t>
      </w:r>
    </w:p>
    <w:p>
      <w:pPr>
        <w:spacing w:after="0" w:line="187" w:lineRule="exact"/>
        <w:rPr>
          <w:sz w:val="20"/>
          <w:szCs w:val="20"/>
          <w:color w:val="auto"/>
        </w:rPr>
      </w:pPr>
    </w:p>
    <w:p>
      <w:pPr>
        <w:jc w:val="both"/>
        <w:ind w:left="120" w:right="320" w:firstLine="440"/>
        <w:spacing w:after="0" w:line="266" w:lineRule="auto"/>
        <w:rPr>
          <w:sz w:val="20"/>
          <w:szCs w:val="20"/>
          <w:color w:val="auto"/>
        </w:rPr>
      </w:pPr>
      <w:r>
        <w:rPr>
          <w:rFonts w:ascii="Times New Roman" w:cs="Times New Roman" w:eastAsia="Times New Roman" w:hAnsi="Times New Roman"/>
          <w:sz w:val="18"/>
          <w:szCs w:val="18"/>
          <w:color w:val="auto"/>
        </w:rPr>
        <w:t>Additionally, effective in most respects starting on January 1, 2023, the California Privacy Rights Act (“CPRA”) will significantly modify the CCPA, including by expanding California residents’ rights with respect to certain sensitive personal information. The CPRA also creates a new state agency that will be vested with authority to implement and enforce the CCPA and the CPRA.</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120"/>
          </w:cols>
          <w:pgMar w:left="320" w:top="455" w:right="45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Other jurisdictions have begun to propose similar laws. Compliance with applicable privacy and data security laws and regulations is a rigorous and time-intensive process, and Polestar may be required to put in place additional mechanisms to comply with such laws and regulations, which could cause Polestar to incur substantial costs or require Polestar to change its business practices, including its data practices, in a manner adverse to its business. In particular, certain emerging privacy laws are still subject to a high degree of uncertainty as to their interpretation and application. Failure to comply with applicable laws or regulations or to secure personal information could result in investigations, enforcement actions and other proceedings against Polestar, which could result in substantial fines, damages and other liability as well as damage to Polestar’s reputation and credibility, which could have a negative impact on revenues and profits.</w:t>
      </w:r>
    </w:p>
    <w:p>
      <w:pPr>
        <w:spacing w:after="0" w:line="189" w:lineRule="exact"/>
        <w:rPr>
          <w:sz w:val="20"/>
          <w:szCs w:val="20"/>
          <w:color w:val="auto"/>
        </w:rPr>
      </w:pPr>
    </w:p>
    <w:p>
      <w:pPr>
        <w:ind w:left="120" w:firstLine="440"/>
        <w:spacing w:after="0" w:line="267" w:lineRule="auto"/>
        <w:rPr>
          <w:sz w:val="20"/>
          <w:szCs w:val="20"/>
          <w:color w:val="auto"/>
        </w:rPr>
      </w:pPr>
      <w:r>
        <w:rPr>
          <w:rFonts w:ascii="Times New Roman" w:cs="Times New Roman" w:eastAsia="Times New Roman" w:hAnsi="Times New Roman"/>
          <w:sz w:val="17"/>
          <w:szCs w:val="17"/>
          <w:color w:val="auto"/>
        </w:rPr>
        <w:t>There are also ongoing complex, uncertain, rapid development and changes of data privacy and security related laws in China. Polestar and its business partners in China could be affected by intervention by the Chinese government relating to, for example, information-sharing and cybersecurity matters. The risk of such interventions could be heightened in connection with a listing of shares of Polestar or any of its business partners, and could result in prohibitions of the sale and/or marketing of certain products. For example, on December 28, 2021, the CAC published the Cybersecurity Review Measures, which came into effect on February 15, 2022, specifying that the cybersecurity review must be conducted in the event the data processing operators in possession of personal information of over 1 million users intend to list their securities in a foreign country. Polestar has not exceeded this threshold as of the date of this prospectus. However, under the Cybersecurity Review Measure, the CAC could also initiate cybersecurity review under certain situations, for example, if a regulatory agency within the cyber-security review coordination mechanism believes a network product or service, data processing activity impacts or might impact Chinese national security Furthermore, on July 7, 2022, the CAC issued Security Assessment Measures for Outbound Data Transfers, which became effective on September 1, 2022. The Security Assessment Measures for Outbound Data Transfers requires that the data processor shall apply for the security assessment organized by the CAC under any of the following circumstances before the information is transferred outbound: (i) where a data processor provides key data overseas, (ii) critical information infrastructure operator and personal information processors who process more than 1 million individual’s personal information; (iii) where a data processor has provided personal information of over 100,000 individuals or sensitive personal information of over 10,000 individuals in total abroad since January 1 of the previous year. If Polestar would be subject to such review and be found to be non-compliant with applicable data protection laws, Polestar may face administrative fines up to RMB 10 million. Additionally, significant restrictions may be imposed on Polestar’s operation in China, or relevant Chinese licenses may be completely or partially revoked. Also, other Chinese regulatory agencies might examine Polestar with regulatory scrutiny and enact sanctions. Finally, Polestar may suffer significant public opinion damage, and there is a risk that its reputation may be materially harmed. Any of these events could have a material and adverse effect on Polestar’s results of operation and financial position as well as on its possibilities to carry out business in China.</w:t>
      </w:r>
    </w:p>
    <w:p>
      <w:pPr>
        <w:spacing w:after="0" w:line="200" w:lineRule="exact"/>
        <w:rPr>
          <w:sz w:val="20"/>
          <w:szCs w:val="20"/>
          <w:color w:val="auto"/>
        </w:rPr>
      </w:pPr>
    </w:p>
    <w:p>
      <w:pPr>
        <w:spacing w:after="0" w:line="205"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Polestar posts public privacy policies on its websites and provides privacy notices to the categories of persons whose personal information it collects, processes, uses or discloses. Although Polestar endeavors to comply with its published policies and other documentation, Polestar may at times fail to do so or may be perceived to have failed to do so. Moreover, despite its efforts, Polestar may not be successful in achieving compliance if its employees, contractors, service providers, vendors or other third parties fail to comply with its published policies and documentation. Such failures could carry similar consequences or subject Polestar to potential local, state and federal action if they are found to be deceptive, unfair or misrepresentative of Polestar’s actual practices. Claims that Polestar has violated individuals’ privacy rights or failed to comply with data protection laws or applicable privacy notices could, even if Polestar is not found liable, be expensive and time-consuming to defend and could result in adverse publicity that could harm its business.</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120"/>
          </w:cols>
          <w:pgMar w:left="320" w:top="455" w:right="45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Most jurisdictions have enacted laws requiring companies to notify individuals, regulatory authorities and other third parties of security breaches involving certain types of data. Such laws may be inconsistent or may change or additional laws may be adopted. In addition, Polestar’s agreements with certain customers may require it to notify them in the event of a security breach. Such mandatory disclosures are costly, could lead to negative publicity, penalties or fines, litigation and Polestar’s customers losing confidence in the effectiveness of its security measures, and could require it to expend significant capital and other resources to respond to or alleviate problems caused by the actual or perceived security breach. Any of the foregoing could materially and adversely affect Polestar’s business, prospects, results of operations and financial condition.</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Polestar’s Employees and Human Resources</w:t>
      </w:r>
    </w:p>
    <w:p>
      <w:pPr>
        <w:spacing w:after="0" w:line="117" w:lineRule="exact"/>
        <w:rPr>
          <w:sz w:val="20"/>
          <w:szCs w:val="20"/>
          <w:color w:val="auto"/>
        </w:rPr>
      </w:pPr>
    </w:p>
    <w:p>
      <w:pPr>
        <w:ind w:left="120" w:righ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Polestar’s ability to effectively manage its growth relies on the performance of highly skilled personnel, including its Chief Executive Officer, Thomas Ingenlath, its senior management team and other key employees, and Polestar’s ability to recruit and retain key employees. The loss of key personnel or an inability to attract, retain and motivate qualified personnel may impair Polestar’s ability to expand its business.</w:t>
      </w:r>
    </w:p>
    <w:p>
      <w:pPr>
        <w:spacing w:after="0" w:line="67" w:lineRule="exact"/>
        <w:rPr>
          <w:sz w:val="20"/>
          <w:szCs w:val="20"/>
          <w:color w:val="auto"/>
        </w:rPr>
      </w:pPr>
    </w:p>
    <w:p>
      <w:pPr>
        <w:ind w:left="120" w:right="20" w:firstLine="440"/>
        <w:spacing w:after="0" w:line="252" w:lineRule="auto"/>
        <w:rPr>
          <w:sz w:val="20"/>
          <w:szCs w:val="20"/>
          <w:color w:val="auto"/>
        </w:rPr>
      </w:pPr>
      <w:r>
        <w:rPr>
          <w:rFonts w:ascii="Times New Roman" w:cs="Times New Roman" w:eastAsia="Times New Roman" w:hAnsi="Times New Roman"/>
          <w:sz w:val="18"/>
          <w:szCs w:val="18"/>
          <w:color w:val="auto"/>
        </w:rPr>
        <w:t>Polestar’s success is substantially dependent upon the continued service and performance of its senior management team and key personnel with digital, technical and automotive expertise. Although Polestar anticipates that its management and key personnel will remain in place for the foreseeable future, it is possible that Polestar could lose some key personnel. For example, Polestar is highly dependent on the services of Thomas Ingenlath, its Chief Executive Officer. Mr. Ingenlath has a significant influence on and is a driver of Polestar’s business plan and business, design and technology development. If Mr. Ingenlath were to discontinue his service to Polestar, Polestar would be significantly disadvantaged. The replacement of any members of Polestar’s senior management team or other key personnel likely would involve significant time and costs and may significantly delay or prevent the achievement of Polestar’s business objectives. Polestar’s future success also depends, in part, on its ability to continue to attract, integrate and retain highly skilled personnel. Competition for highly skilled personnel is frequently intense. As with any company, there can be no guarantee that Polestar will be able to attract such individuals or that the presence of such individuals will necessarily translate into Polestar’s profitability. Because Polestar operates in a newly emerging industry, there may also be limited personnel available with relevant business experience, and such individuals may be subject to non-competition and other agreements that restrict their ability to work for Polestar. Polestar’s inability to attract and retain key personnel may materially and adversely affect Polestar’s business operations. Any failure by Polestar’s management to effectively anticipate, implement and manage the changes required to sustain Polestar’s growth would have a material and adverse effect on its business, financial condition and results of operations.</w:t>
      </w:r>
    </w:p>
    <w:p>
      <w:pPr>
        <w:spacing w:after="0" w:line="301" w:lineRule="exact"/>
        <w:rPr>
          <w:sz w:val="20"/>
          <w:szCs w:val="20"/>
          <w:color w:val="auto"/>
        </w:rPr>
      </w:pPr>
    </w:p>
    <w:p>
      <w:pPr>
        <w:ind w:left="120"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Polestar’s manufacturing partners will need to hire and train a significant number of employees to engage in full-scale operational and commercial operations, and Polestar’s business could be adversely affected by labor and union activities.</w:t>
      </w:r>
    </w:p>
    <w:p>
      <w:pPr>
        <w:spacing w:after="0" w:line="51"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Polestar’s manufacturing partners will need to hire and train a significant number of employees to engage in full-scale operational and commercial operations. There are various risks and challenges associated with hiring, training and managing a large workforce. If Polestar’s manufacturing partners are unsuccessful in hiring and training a workforce in a timely and cost-effective manner, Polestar’s business, financial condition and results of operations could be adversely affected.</w:t>
      </w:r>
    </w:p>
    <w:p>
      <w:pPr>
        <w:spacing w:after="0" w:line="180"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Furthermore, it is common throughout the automobile industry generally for many employees at automobile companies to belong to a union, which can result in higher employee costs and increased risk of work stoppages. Moreover, regulations in some jurisdictions outside of the U.S. mandate employee participation in industrial collective bargaining agreements and work councils with certain consultation rights with respect to the relevant companies’ operations. Approximately 50% of Polestar’s workforce is covered by collective bargaining agreements in Austria, Finland, the Netherlands and Sweden. Labor unions or labor organizations could also seek to organize some or all of Polestar’s non-unionized workforce. Future negotiations with the union or other</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120"/>
          </w:cols>
          <w:pgMar w:left="320" w:top="455" w:right="45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00"/>
        <w:spacing w:after="0" w:line="254" w:lineRule="auto"/>
        <w:rPr>
          <w:sz w:val="20"/>
          <w:szCs w:val="20"/>
          <w:color w:val="auto"/>
        </w:rPr>
      </w:pPr>
      <w:r>
        <w:rPr>
          <w:rFonts w:ascii="Times New Roman" w:cs="Times New Roman" w:eastAsia="Times New Roman" w:hAnsi="Times New Roman"/>
          <w:sz w:val="18"/>
          <w:szCs w:val="18"/>
          <w:color w:val="auto"/>
        </w:rPr>
        <w:t>certified bargaining representatives could divert management attention and disrupt operations, which may result in increased operating expenses and lower net income. Additionally, if Polestar is unable to reach labor agreements with any current or future unionized work groups, it may be subject to work interruptions or stoppages, which may adversely affect its ability to conduct its operations. Moreover, future agreements with unionized and non-unionized employees may be on terms that are not as attractive as Polestar’s current agreements or comparable to agreements entered into by Polestar’s competitors. Furthermore, Polestar may be directly or indirectly dependent upon companies, such as parts suppliers and trucking and freight companies, with unionized work forces, and work stoppages or strikes organized by such unions could have a material adverse impact on Polestar’s business, financial condition or results of operations. If a work stoppage occurs, it could delay the manufacture and sale of Polestar’s products and have a material and adverse effect on its business, prospects, results of operations or financial condition.</w:t>
      </w:r>
    </w:p>
    <w:p>
      <w:pPr>
        <w:spacing w:after="0" w:line="296" w:lineRule="exact"/>
        <w:rPr>
          <w:sz w:val="20"/>
          <w:szCs w:val="20"/>
          <w:color w:val="auto"/>
        </w:rPr>
      </w:pPr>
    </w:p>
    <w:p>
      <w:pPr>
        <w:ind w:left="120" w:right="5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Misconduct by Polestar’s employees and independent contractors during and before their employment with Polestar could expose Polestar to potentially significant legal liabilities, reputational harm and/or other damages to its business.</w:t>
      </w:r>
    </w:p>
    <w:p>
      <w:pPr>
        <w:spacing w:after="0" w:line="51"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Many of Polestar’s employees play critical roles in ensuring the safety and reliability of its vehicles and/or its compliance with relevant laws and regulations. Certain of Polestar’s employees have access to sensitive information and/or proprietary technologies and know-how. While Polestar has adopted codes of conduct for all of its employees and implemented policies relating to intellectual property, confidentiality and the protection of company assets, Polestar cannot assure you that its employees will always abide by these codes, policies and procedures, nor that the precautions Polestar takes to detect and prevent employee misconduct will always be effective. If any of Polestar’s employees engages in any misconduct, illegal or suspicious activities, including but not limited to misappropriation or leakage of sensitive customer information or proprietary information, Polestar and such employees could be subject to legal claims and liabilities and Polestar’s reputation and business could be adversely affected as a result.</w:t>
      </w:r>
    </w:p>
    <w:p>
      <w:pPr>
        <w:spacing w:after="0" w:line="189"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In addition, while Polestar has screening procedures during the recruitment process, Polestar cannot assure you that it will be able to uncover misconduct of job applicants that occurred before Polestar offered them employment, or that Polestar will not be affected by legal proceedings against its existing or former employees as a result of their actual or alleged misconduct. Any negative publicity surrounding such cases, especially in the event that any of Polestar’s employees is found to have committed any wrongdoing, could negatively affect Polestar’s reputation and may have an adverse impact on its business.</w:t>
      </w:r>
    </w:p>
    <w:p>
      <w:pPr>
        <w:spacing w:after="0" w:line="183"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Furthermore, Polestar faces the risk that its employees and independent contractors may engage in other types of misconduct or other illegal activity, such as intentional, reckless or negligent conduct that violates production standards, workplace health and safety regulations, fraud, abuse or consumer protection laws, other similar non-U.S. laws or laws that require the true, complete and accurate reporting of financial information or data. It is not always possible to identify and deter misconduct by employees and other third parties, and the precautions Polestar takes to detect and prevent this activity may not be effective in controlling unknown or unmanaged risks or losses or in protecting Polestar from governmental investigations or other actions or lawsuits stemming from a failure to be in compliance with such laws or regulations. In addition, Polestar is subject to the risk that a person or government could allege such fraud or other misconduct, even if none occurred. If any such actions are instituted against Polestar and Polestar is not successful in defending itself or asserting its rights, those actions could have a significant impact on Polestar’s business, prospects, financial condition and results of operations, including, without limitation, the imposition of significant civil, criminal and administrative penalties, damages, monetary fines, disgorgement, integrity oversight and reporting obligations to resolve allegations of non-compliance, imprisonment, other sanctions, contractual damages, reputational harm, diminished profits and future earnings and curtailment of Polestar’s operations, any of which could adversely affect its business, prospects, financial condition and results of operations.</w:t>
      </w:r>
    </w:p>
    <w:p>
      <w:pPr>
        <w:spacing w:after="0" w:line="12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120"/>
          </w:cols>
          <w:pgMar w:left="320" w:top="455" w:right="45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Litigation and Regulation</w:t>
      </w:r>
    </w:p>
    <w:p>
      <w:pPr>
        <w:spacing w:after="0" w:line="117" w:lineRule="exact"/>
        <w:rPr>
          <w:sz w:val="20"/>
          <w:szCs w:val="20"/>
          <w:color w:val="auto"/>
        </w:rPr>
      </w:pPr>
    </w:p>
    <w:p>
      <w:pPr>
        <w:ind w:left="120" w:right="7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Polestar is subject to evolving laws and regulations that could impose substantial costs, legal prohibitions or unfavorable changes upon its operations or products, and any failure to comply with these laws and regulations, including as they evolve, could result in litigation and substantially harm its business and results of operations.</w:t>
      </w:r>
    </w:p>
    <w:p>
      <w:pPr>
        <w:spacing w:after="0" w:line="67"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color w:val="auto"/>
        </w:rPr>
        <w:t>Polestar is or will be subject to complex environmental, manufacturing, and health and safety laws and regulations at numerous jurisdictional levels, including laws relating to the use, handling, storage, recycling, disposal, release of and exposure to hazardous materials and with respect to constructing, expanding and maintaining its facilities. For example, Polestar is subject to laws, regulations and regulatory agencies like EU Regulation 2018/858 in the EU, the Environmental Protection Agency (“EPA”) and NHTSA in the United States and the Provisions on the Administration of Investments in the Automotive Industry in China. The costs of compliance, including remediating contamination if any is found on Polestar’s properties and any changes to Polestar’s operations mandated by new or amended laws, may be significant and such costs may increase in the event of new, or changes to existing, environmental or climate change laws, regulations or rules. Polestar may also face unexpected delays in obtaining permits and approvals required by such laws in connection with the manufacturing and sale of its vehicles, which would hinder its ability to conduct its operations. Such costs and delays may adversely impact its business prospects and results of operations. Furthermore, any violations of these laws may result in litigation, substantial fines and penalties, remediation costs, third party damages or a suspension or cessation of Polestar’s operations.</w:t>
      </w:r>
    </w:p>
    <w:p>
      <w:pPr>
        <w:spacing w:after="0" w:line="194"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In addition, motor vehicles are subject to substantial regulation under international, federal, state and local laws. Polestar has incurred, and expects to continue to incur, significant costs in complying with these regulations. Any failures to comply could result in litigation, significant expenses, delays or fines. Generally, vehicles must meet or exceed mandated motor vehicle safety standards to be certified under applicable regulations. Rigorous testing and the use of approved materials and equipment are among the requirements for achieving certification. Any future vehicles will be subject to substantial regulation under federal, state and local laws and standards. These regulations include those promulgated by the EPA, NHTSA, other federal agencies, various state agencies and various state boards (including the California Air Resources Board (“CARB”)), and compliance certification is required for each new model year and changes to the model within a model year. These laws and standards are subject to change from time to time, and Polestar could become subject to additional regulations in the future, which would increase the effort and expense of compliance. In addition, federal, state and local laws and industrial standards for electric vehicles are still developing, and Polestar faces risks associated with changes to these regulations, which could have an impact on the acceptance of its electric vehicles, and increased sensitivity by regulators to the needs of established automobile manufacturers with large employment bases, high fixed costs and business models based on the internal combustion engine, which could lead them to pass regulations that could reduce the compliance costs of such established manufacturers or mitigate the effects of government efforts to promote electric vehicles. Compliance with these regulations is challenging, burdensome, time consuming and expensive. If compliance results in litigation, delays or substantial expenses, Polestar’s business could be adversely affected.</w:t>
      </w:r>
    </w:p>
    <w:p>
      <w:pPr>
        <w:spacing w:after="0" w:line="197"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Polestar is also subject to laws and regulations applicable to the supply, manufacture, import, sale and service of automobiles internationally, including in Europe, North America and Asia Pacific. Regulations such as standards relating to vehicle safety, fuel economy and emissions, among other things, often vary materially from country to country and compliance with such regulations will therefore require additional time, effort and expense to ensure regulatory compliance in those countries. This process may include official review and certification of Polestar’s vehicles by foreign regulatory agencies prior to market entry, as well as compliance with foreign reporting and recall management systems requirements. The costs of achieving international regulatory compliance or the failure to achieve international regulatory compliance could harm Polestar’s business, prospects, results of operations and financial condition.</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120"/>
          </w:cols>
          <w:pgMar w:left="320" w:top="455" w:right="45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Polestar may face regulatory limitations on its ability to sell vehicles directly, which require Polestar to implement alternative consumer approaches through dealers or importers.</w:t>
      </w:r>
    </w:p>
    <w:p>
      <w:pPr>
        <w:spacing w:after="0" w:line="51" w:lineRule="exact"/>
        <w:rPr>
          <w:sz w:val="20"/>
          <w:szCs w:val="20"/>
          <w:color w:val="auto"/>
        </w:rPr>
      </w:pPr>
    </w:p>
    <w:p>
      <w:pPr>
        <w:ind w:left="120" w:right="280" w:firstLine="440"/>
        <w:spacing w:after="0" w:line="261" w:lineRule="auto"/>
        <w:rPr>
          <w:sz w:val="20"/>
          <w:szCs w:val="20"/>
          <w:color w:val="auto"/>
        </w:rPr>
      </w:pPr>
      <w:r>
        <w:rPr>
          <w:rFonts w:ascii="Times New Roman" w:cs="Times New Roman" w:eastAsia="Times New Roman" w:hAnsi="Times New Roman"/>
          <w:sz w:val="18"/>
          <w:szCs w:val="18"/>
          <w:color w:val="auto"/>
        </w:rPr>
        <w:t>Polestar’s business model includes the direct sale of vehicles to retail consumers. The laws governing licensing of dealers and sales of motor vehicles vary from country to country and, within a country, from state to state, and the application of these local laws to Polestar’s operations can be difficult to predict. Certain jurisdictions require a dealer license to sell new motor vehicles within the country or state. Where required, Polestar anticipates that it can become a licensed dealer in certain countries.</w:t>
      </w:r>
    </w:p>
    <w:p>
      <w:pPr>
        <w:spacing w:after="0" w:line="180"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In countries where Polestar is required to resort to dealers, other challenges may arise. In the United States, for example, some automobile dealers have brought a claim before the Illinois Motor Vehicle Review Board claiming that they have a right to sell Polestar vehicles because of their franchise with Volvo Cars and in accordance with the Illinois Motor Vehicle Franchise Act. Further, even in jurisdictions where Polestar believes applicable laws and regulations do not currently prohibit its direct sales model, legislatures may impose additional requirements. Because the laws vary from country to country, and, within a country, from state to state, Polestar’s distribution model and its sales and service processes is continually monitored and adapted for compliance with the various jurisdictional requirements and may change from time to time. Regulatory compliance and likely challenges to the distribution model may add to the cost of Polestar’s business.</w:t>
      </w:r>
    </w:p>
    <w:p>
      <w:pPr>
        <w:spacing w:after="0" w:line="293" w:lineRule="exact"/>
        <w:rPr>
          <w:sz w:val="20"/>
          <w:szCs w:val="20"/>
          <w:color w:val="auto"/>
        </w:rPr>
      </w:pPr>
    </w:p>
    <w:p>
      <w:pPr>
        <w:ind w:left="120"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Polestar has undertaken, and in the future may choose to or be compelled to undertake, product recalls or to take other actions that could result in litigation and adversely affect its business, prospects, results of operations, reputation and financial condition.</w:t>
      </w:r>
    </w:p>
    <w:p>
      <w:pPr>
        <w:spacing w:after="0" w:line="51"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As of the date of this prospectus, Polestar has issued 5 recalls of its vehicles. These recalls were due to (i) the mal-production of seatbelts which could result in the early activation of the locking feature used to tightly secure a child restraint system, (ii) the too high adjustment of headlamps which could result in excessive glare for oncoming traffic, (iii) a software error causing an internal reset in the Battery Energy Control Module, resulting in the control unit opening the high voltage connectors during driving (which caused two recalls) and (iv) a supplier design issue known as “tin whiskers,” which caused a short circuit inside the front and rear inverters. Product recalls in the future may result in litigation and adverse publicity and may damage Polestar’s reputation and adversely affect its business, prospects, results of operations and financial condition. In the future, Polestar may, voluntarily or involuntarily, initiate a recall if any of its electric vehicles or components (including its battery cells) prove to be defective or noncompliant with applicable federal motor vehicle safety standards. If a large number of vehicles are the subject of a recall or if needed replacement parts are not in adequate supply, Polestar may be unable to service and repair recalled vehicles for a significant period of time. These types of disruptions could jeopardize Polestar’s ability to fulfill existing contractual commitments or satisfy demand for its electric vehicles and could also result in the loss of business to its competitors. Such recalls, whether caused by systems or components engineered or manufactured by Polestar or its suppliers, would involve significant expense and diversion of management’s attention and other resources, which could adversely affect Polestar’s brand image in its target market and its business, prospects, results of operations and financial condition.</w:t>
      </w:r>
    </w:p>
    <w:p>
      <w:pPr>
        <w:spacing w:after="0" w:line="291" w:lineRule="exact"/>
        <w:rPr>
          <w:sz w:val="20"/>
          <w:szCs w:val="20"/>
          <w:color w:val="auto"/>
        </w:rPr>
      </w:pPr>
    </w:p>
    <w:p>
      <w:pPr>
        <w:ind w:left="120" w:right="32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Polestar may in the future be subject to legal proceedings, regulatory disputes and governmental inquiries that could cause it to incur significant expenses, divert its management’s attention and materially harm its business, results of operations, cash flows and financial condition.</w:t>
      </w:r>
    </w:p>
    <w:p>
      <w:pPr>
        <w:spacing w:after="0" w:line="28"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From time to time, Polestar may be subject to claims, lawsuits, government investigations and other proceedings involving product liability, consumer protection, competition and antitrust, intellectual property, privacy, securities, tax, labor and employment, health and safety, its direct distribution model, environmental claims, commercial disputes, corporate and other matters that could adversely affect its business, results of operations, cash flows and financial condition. In the ordinary course of business, Polestar has been the subject of complaints or litigation, including claims related to consumer complaints and intellectual property matters. Furthermore, for example, Polestar Singapore failed to hold an annual general meeting for approving the audited report and the annual return for lodgment in Accounting and Corporate Regulatory Authority (“ACRA”) in Singapore and will be subject to enforcement actions by ACRA.</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140"/>
          </w:cols>
          <w:pgMar w:left="320" w:top="455" w:right="4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20" w:firstLine="440"/>
        <w:spacing w:after="0" w:line="258" w:lineRule="auto"/>
        <w:rPr>
          <w:sz w:val="20"/>
          <w:szCs w:val="20"/>
          <w:color w:val="auto"/>
        </w:rPr>
      </w:pPr>
      <w:r>
        <w:rPr>
          <w:rFonts w:ascii="Times New Roman" w:cs="Times New Roman" w:eastAsia="Times New Roman" w:hAnsi="Times New Roman"/>
          <w:sz w:val="18"/>
          <w:szCs w:val="18"/>
          <w:color w:val="auto"/>
        </w:rPr>
        <w:t>Litigation and regulatory proceedings may be protracted and expensive, and the results are difficult to predict. Additionally, Polestar’s litigation costs could be significant, even if it achieves favorable outcomes. Adverse outcomes with respect to litigation or any of these legal proceedings may result in significant settlement costs or judgments, penalties and fines, or require Polestar to modify, make temporarily unavailable or stop manufacturing or selling its vehicles in some or all markets, all of which could negatively affect its sales and revenue growth and adversely affect its business, prospects, results of operations, cash flows and financial condition.</w:t>
      </w:r>
    </w:p>
    <w:p>
      <w:pPr>
        <w:spacing w:after="0" w:line="183"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The results of litigation, investigations, claims and regulatory proceedings cannot be predicted with certainty, and determining reserves for pending litigation and other legal and regulatory matters requires significant judgment. There can be no assurances that Polestar’s expectations will prove correct, and even if these matters are resolved in Polestar’s favor or without significant cash settlements, these matters, and the time and resources necessary to litigate or resolve them, could harm Polestar’s business, results of operations, cash flows and financial condition. In addition, the threat or announcement of litigation or investigations by governmental authorities or other parties, irrespective of the merits of the underlying claims, may itself have an adverse impact on the trading price of the Company’s securities.</w:t>
      </w:r>
    </w:p>
    <w:p>
      <w:pPr>
        <w:spacing w:after="0" w:line="291" w:lineRule="exact"/>
        <w:rPr>
          <w:sz w:val="20"/>
          <w:szCs w:val="20"/>
          <w:color w:val="auto"/>
        </w:rPr>
      </w:pPr>
    </w:p>
    <w:p>
      <w:pPr>
        <w:ind w:left="120"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Polestar may become subject to product liability claims, which could harm its financial condition and liquidity if it is not able to successfully defend or insure against such claims.</w:t>
      </w:r>
    </w:p>
    <w:p>
      <w:pPr>
        <w:spacing w:after="0" w:line="5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Polestar may become subject to product liability claims, which could harm its business, prospects, results of operations and financial condition. The automotive industry experiences significant product liability claims, and Polestar faces inherent risks of exposure to claims in the event its vehicles do not perform or are claimed not to perform as expected or malfunction, resulting in property damage, personal injury or death. Polestar also expects that, as is true for other automakers, Polestar’s vehicles will be involved in crashes resulting in death or personal injury, and even if not caused by the failure of its vehicles, Polestar may face product liability claims and adverse publicity in connection with such incidents. In addition, Polestar may face claims arising from or related to failures, claimed failures or misuse of new technologies that Polestar expects to offer, including ADAS/AD features and future upgrades in its vehicles. In addition, the battery packs that Polestar utilizes make use of lithium-ion cells. On rare occasions, lithium-ion cells can rapidly release the energy they contain by venting smoke and flames in a manner that can ignite nearby materials as well as other lithium-ion cells (see “Risk Factors—Risks Related to Polestar’s Business and Industry—Polestar’s vehicles make use of lithium-ion battery cells, which have been observed to catch fire or vent smoke and flame.”). Any such events or failures of Polestar’s vehicles, battery packs or warning systems could subject it to lawsuits, product recalls or redesign efforts, all of which would be time consuming and expensive.</w:t>
      </w:r>
    </w:p>
    <w:p>
      <w:pPr>
        <w:spacing w:after="0" w:line="192"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A successful product liability claim against Polestar could require it to pay a substantial monetary award. Moreover, a product liability claim against Polestar or its competitors could generate substantial negative publicity about its vehicles and business and inhibit or prevent commercialization of its future vehicles, which would have material and adverse effects on its brand, business, prospects and results of operations. Polestar’s insurance coverage might not be sufficient to cover all potential product liability claims, and insurance coverage may not continue to be available to Polestar or, if available, may be at a significantly higher cost. Any lawsuit seeking significant monetary damages or other product liability claims may have a material and adverse effect on Polestar’s reputation, business and financial condition.</w:t>
      </w:r>
    </w:p>
    <w:p>
      <w:pPr>
        <w:spacing w:after="0" w:line="291" w:lineRule="exact"/>
        <w:rPr>
          <w:sz w:val="20"/>
          <w:szCs w:val="20"/>
          <w:color w:val="auto"/>
        </w:rPr>
      </w:pPr>
    </w:p>
    <w:p>
      <w:pPr>
        <w:ind w:left="120"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Polestar’s manufacturing partners may be exposed to delays, limitations and risks related to the environmental permits and other operating permits required to operate manufacturing facilities for its vehicles.</w:t>
      </w:r>
    </w:p>
    <w:p>
      <w:pPr>
        <w:spacing w:after="0" w:line="5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Operation of an automobile manufacturing facility requires land use and environmental permits and other operating permits from federal, state and local government entities. Polestar plans to expand its manufacturing capacities by entering into additional agreements with its manufacturing partners over time to achieve a future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120"/>
          </w:cols>
          <w:pgMar w:left="320" w:top="455" w:right="45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target production capacity and will be required to apply for and secure various environmental (including wastewater) and land use permits and certificates of occupancy necessary for the commercial operation and occupation of such expanded and additional facilities and will also rely on its partners’ ability to apply for and secure various environmental and land use permits and certificates of occupancy necessary for the commercial operation and occupation of such expanded and additional facilities. Delays, denials or restrictions on any of the applications for or assignment of the permits to operate Polestar’s manufacturing facilities could adversely affect its ability to execute on its business plans and objectives based on its current target production capacity or its future target production capacity.</w:t>
      </w:r>
    </w:p>
    <w:p>
      <w:pPr>
        <w:spacing w:after="0" w:line="291" w:lineRule="exact"/>
        <w:rPr>
          <w:sz w:val="20"/>
          <w:szCs w:val="20"/>
          <w:color w:val="auto"/>
        </w:rPr>
      </w:pPr>
    </w:p>
    <w:p>
      <w:pPr>
        <w:ind w:left="120"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Polestar and its manufacturing partners are and will be subject to various environmental, health and safety laws and regulations that could impose substantial costs on it and cause delays in expanding its production capabilities.</w:t>
      </w:r>
    </w:p>
    <w:p>
      <w:pPr>
        <w:spacing w:after="0" w:line="51"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Polestar and its manufacturing partners’ operations are subject to federal, state and local environmental laws and regulations in different jurisdictions and are and will be subject to international environmental laws, including laws relating to the use, handling, storage, disposal of and human exposure to hazardous materials. Environmental, health and safety laws and regulations are complex and continuously evolving, and Polestar‘s compliance obligations under such laws are still relatively new. Moreover, Polestar and its manufacturing partners may be affected by future amendments to such laws or other new environmental, health and safety laws and regulations which may require it to change or otherwise adapt its operations in order to comply, potentially resulting in a material and adverse effect on its business, prospects, results of operations and financial condition. These laws can give rise to liability for administrative oversight costs, cleanup costs, property damage, bodily injury, fines and penalties. Capital and operating expenses needed to comply with environmental laws and regulations can be significant, and violations could result in litigation and substantial fines and penalties, third-party damages, suspension of production, cessation of operations or negative reputational concerns.</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Polestar is planning to introduce ADAS/AD technology, which is subject to uncertain and evolving regulations.</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Polestar expects to introduce new ADAS/AD technologies into its vehicles over time. ADAS/AD technology is subject to considerable regulatory uncertainty as the law in different jurisdictions evolves to catch up with the rapidly evolving nature of the technology itself, all of which is beyond Polestar’s control. There is a variety of international, federal and state regulations that may apply to self-driving and driver-assisted vehicles, which include many existing vehicle standards that were not originally intended to apply to vehicles that may not have a driver. There are currently no federal U.S. regulations pertaining to the safety of self-driving vehicles; however, NHTSA has established recommended guidelines. Certain states have legal restrictions on self-driving vehicles, and many other states are considering them. In Europe, certain vehicle safety regulations apply to self-driving braking and steering systems, and certain treaties also restrict the legality of certain higher levels of self-driving vehicles. Self-driving laws and regulations are expected to continue to evolve in numerous jurisdictions in the U.S. and foreign countries, which increases the likelihood of a patchwork of complex or conflicting regulations that may delay products or restrict self-driving features and availability, which could adversely affect Polestar’s business. Polestar’s vehicles may not achieve the requisite level of autonomy that may be required in some countries or jurisdictions for certification and rollout to consumers or may not satisfy changing regulatory requirements which could require Polestar to redesign, modify or update its ADAS/AD hardware and related software systems. Any such requirements or limitations could impose significant expense or delays and could harm its competitive position, which could adversely affect Polestar’s business, prospects, results of operations and financial condition.</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120"/>
          </w:cols>
          <w:pgMar w:left="320" w:top="455" w:right="45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Polestar is and will be subject to anti-corruption, anti-bribery, anti-money laundering, financial and economic sanctions and similar laws, and noncompliance with such laws can subject Polestar to administrative, civil and criminal penalties, collateral consequences, remedial measures and legal expenses, all of which could adversely affect its business, results of operations, financial condition and reputation.</w:t>
      </w:r>
    </w:p>
    <w:p>
      <w:pPr>
        <w:spacing w:after="0" w:line="67"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Polestar is and will be subject to anti-corruption, anti-bribery, anti-money laundering, financial and economic sanctions, and similar laws and regulations in various jurisdictions in which it conducts activities, including the U.S. Foreign Corrupt Practices Act (“FCPA”), the United Kingdom Bribery Act 2010 (“Bribery Act”) and other applicable anti-corruption laws and regulations. These applicable anti-corruption laws and regulations prohibit Polestar and its officers, directors, employees and relevant other persons acting on its behalf, from corruptly offering, promising, authorizing or providing anything of value to a “foreign official” for the purposes of influencing official decisions or obtaining or retaining business or otherwise obtaining favorable treatment. The FCPA also requires companies to make and keep books, records and accounts that accurately reflect transactions and dispositions of assets and to maintain a system of adequate internal accounting controls. Similarly, the Bribery Act also requires companies to implement “adequate procedures” designed to ensure compliance with the provisions of the Bribery Act. A violation of these laws or regulations could adversely affect Polestar’s business, reputation, financial condition and results of operations.</w:t>
      </w:r>
    </w:p>
    <w:p>
      <w:pPr>
        <w:spacing w:after="0" w:line="188"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Polestar has direct or indirect interactions with officials and employees of government agencies and state-owned affiliated entities in the ordinary course of business. It also has business collaborations with government agencies and state-owned affiliated entities. These interactions subject Polestar to an increasing level of compliance-related concerns. Polestar has implemented policies and procedures designed to ensure compliance by Polestar and its directors, officers, employees, representatives, consultants, agents and business partners with applicable anti-corruption, anti-bribery, anti-money laundering, financial and economic sanctions and similar laws and regulations, including the FCPA and the Bribery Act. However, its policies and procedures may not be sufficient and its directors, officers, employees and relevant other persons acting on its behalf could engage in improper conduct for which Polestar may be held responsible.</w:t>
      </w:r>
    </w:p>
    <w:p>
      <w:pPr>
        <w:spacing w:after="0" w:line="189"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Non-compliance with anti-corruption, anti-bribery, anti-money laundering or financial and economic sanctions laws could subject Polestar to whistleblower complaints, adverse media coverage, investigations and severe administrative, civil and criminal sanctions, collateral consequences, remedial measures and legal expenses, all of which could materially and adversely affect Polestar’s business, reputation, financial condition and results of operations.</w:t>
      </w:r>
    </w:p>
    <w:p>
      <w:pPr>
        <w:spacing w:after="0" w:line="284" w:lineRule="exact"/>
        <w:rPr>
          <w:sz w:val="20"/>
          <w:szCs w:val="20"/>
          <w:color w:val="auto"/>
        </w:rPr>
      </w:pPr>
    </w:p>
    <w:p>
      <w:pPr>
        <w:ind w:left="120"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unavailability, reduction, elimination or the conditionality of certain government and economic programs could have a material and adverse effect on Polestar’s business, prospects, financial condition and results of operations.</w:t>
      </w:r>
    </w:p>
    <w:p>
      <w:pPr>
        <w:spacing w:after="0" w:line="51"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Polestar has benefited from government subsidies, economic incentives and government policies that support the growth of electric vehicles. These government and economic programs are subject to certain limits as well as changes that are beyond Polestar’s control, and Polestar cannot assure you that future changes, if any, would be favorable to its business and could result in margin pressures. For example, if government regulations and economic programs have the effect of imposing electric vehicle production quotas on automobile manufacturers, the market for electric vehicles may become oversaturated. Further, any uncertainty or delay in collection of the government subsidies may also have an adverse impact on Polestar’s financial condition. Any of the foregoing could materially and adversely affect Polestar’s business, financial condition and results of operations.</w:t>
      </w:r>
    </w:p>
    <w:p>
      <w:pPr>
        <w:spacing w:after="0" w:line="187"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Further, Polestar may not be able to obtain or agree on acceptable terms and conditions for all or a significant portion of the government grants, loans and other incentives for which it may apply. As a result, Polestar’s business and prospects may be adversely affected.</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060"/>
          </w:cols>
          <w:pgMar w:left="320" w:top="455" w:right="51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Although the audit report included in this prospectus is prepared by auditors who are currently inspected fully by the United States Public Company Accounting Oversight Board (the “PCAOB”), there is no guarantee that future audit reports will be prepared by auditors that are completely inspected by the PCAOB and, as such, future investors may be deprived of such inspections, which could result in limitations or restrictions to the Company’s access to U.S. capital markets. Furthermore, trading in the Company’s securities may be prohibited under the Holding Foreign Companies Accountable Act or the Accelerating Holding Foreign Companies Accountable Act if the SEC subsequently determines that the Company’s audit work is performed by auditors that the PCAOB is unable to inspect or investigate completely and, as a result, U.S. national securities exchanges, such as Nasdaq, may determine to delist the Company’s securities. Furthermore, on June 22, 2021, the U.S. Senate passed the Accelerating Holding Foreign Companies Accountable Act, which, if enacted, would amend the HFCA Act and require the SEC to prohibit an issuer’s securities from trading on any U.S. stock exchange if its auditor is not subject to PCAOB inspections for two consecutive years instead of three.</w:t>
      </w:r>
    </w:p>
    <w:p>
      <w:pPr>
        <w:spacing w:after="0" w:line="81" w:lineRule="exact"/>
        <w:rPr>
          <w:sz w:val="20"/>
          <w:szCs w:val="20"/>
          <w:color w:val="auto"/>
        </w:rPr>
      </w:pPr>
    </w:p>
    <w:p>
      <w:pPr>
        <w:ind w:left="120" w:right="20" w:firstLine="440"/>
        <w:spacing w:after="0" w:line="281" w:lineRule="auto"/>
        <w:rPr>
          <w:sz w:val="20"/>
          <w:szCs w:val="20"/>
          <w:color w:val="auto"/>
        </w:rPr>
      </w:pPr>
      <w:r>
        <w:rPr>
          <w:rFonts w:ascii="Times New Roman" w:cs="Times New Roman" w:eastAsia="Times New Roman" w:hAnsi="Times New Roman"/>
          <w:sz w:val="17"/>
          <w:szCs w:val="17"/>
          <w:color w:val="auto"/>
        </w:rPr>
        <w:t>As an auditor of companies that are registered with the SEC and publicly traded in the United States and a firm registered with the PCAOB, Deloitte is required under the laws of the United States to undergo regular inspections by the PCAOB to assess their compliance with the laws of the United States and professional standards. Although Polestar relies on its and its partners’ operations within China, a jurisdiction where the PCAOB is currently unable to conduct inspections without the approval of the Chinese government authorities, Deloitte is currently inspected fully by the PCAOB.</w:t>
      </w:r>
    </w:p>
    <w:p>
      <w:pPr>
        <w:spacing w:after="0" w:line="164"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Inspections of other auditors conducted by the PCAOB outside China have at times identified deficiencies in those auditors’ audit procedures and quality control procedures, which may be addressed as part of the inspection process to improve future audit quality. The lack of PCAOB inspections of audit work undertaken in China prevents the PCAOB from regularly evaluating auditors’ audits and their quality control procedures. As a result, to the extent that any component of Deloitte’s work papers are or become located in China, such work papers will not be subject to inspection by the PCAOB. As a result, investors would be deprived of such PCAOB inspections, which could result in limitations or restrictions to the Company’s access of the U.S. capital markets.</w:t>
      </w:r>
    </w:p>
    <w:p>
      <w:pPr>
        <w:spacing w:after="0" w:line="187"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As part of a continued regulatory focus in the United States on access to audit and other information currently protected by national law, in particular China’s, in June 2019, a bipartisan group of lawmakers introduced bills in both houses of the U.S. Congress which, if passed, would require the SEC to maintain a list of issuers for which PCAOB is not able to inspect or investigate the audit work performed by a foreign public accounting firm completely. The proposed Ensuring Quality Information and Transparency for Abroad-Based Listings on our Exchanges Act prescribes increased disclosure requirements for these issuers and, beginning in 2025, the delisting from U.S. national securities exchanges such as Nasdaq of issuers included on the SEC’s list for three consecutive years. It is unclear if this proposed legislation will be enacted. Furthermore, on May 20, 2020, the U.S. Senate passed the Holding Foreign Companies Accountable Act (the “HFCA Act”), which includes requirements for the SEC to identify issuers whose audit work is performed by auditors that the PCAOB is unable to inspect or investigate completely because of a restriction imposed by a non-U.S. authority in the auditor’s local jurisdiction. The U.S. House of Representatives passed the HFCA Act on December 2, 2020, and the HFCA Act was signed into law on December 18, 2020. On March 24, 2021, the SEC adopted interim final rules relating to the implementation of certain disclosure and documentation requirements of the HFCA Act. The Company will be required to comply with these rules if the SEC identifies it as having a “non-inspection” year (as defined in the interim final rules) under a process to be subsequently established by the SEC. The SEC is assessing how to implement other requirements of the HFCA Act, including listing and trading prohibition requirements. Under the HFCA Act, the Company’s securities may be prohibited from trading on Nasdaq or other U.S. stock exchanges if its auditor is not inspected by the PCAOB for three consecutive years, and this ultimately could result in the Company’s securities being delisted. Furthermore, on June 22, 2021, the U.S. Senate passed the Accelerating Holding Foreign Companies Accountable Act, which, if enacted, would amend the HFCA Act and require the SEC to prohibit an issuer’s securities from trading on any U.S. stock exchange if its auditor is not subject to PCAOB inspections for two consecutive years instead of three. On September 22,</w:t>
      </w:r>
    </w:p>
    <w:p>
      <w:pPr>
        <w:spacing w:after="0" w:line="12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100"/>
          </w:cols>
          <w:pgMar w:left="320" w:top="455" w:right="47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20"/>
        <w:spacing w:after="0" w:line="266" w:lineRule="auto"/>
        <w:rPr>
          <w:sz w:val="20"/>
          <w:szCs w:val="20"/>
          <w:color w:val="auto"/>
        </w:rPr>
      </w:pPr>
      <w:r>
        <w:rPr>
          <w:rFonts w:ascii="Times New Roman" w:cs="Times New Roman" w:eastAsia="Times New Roman" w:hAnsi="Times New Roman"/>
          <w:sz w:val="18"/>
          <w:szCs w:val="18"/>
          <w:color w:val="auto"/>
        </w:rPr>
        <w:t>2021, the PCAOB adopted a final rule implementing the HFCA Act, which provides a framework for the PCAOB to use when determining, as contemplated under the HFCA Act, whether the PCAOB is unable to inspect or investigate completely registered public accounting firms located in a foreign jurisdiction because of a position taken by one or more authorities in that jurisdiction.</w:t>
      </w:r>
    </w:p>
    <w:p>
      <w:pPr>
        <w:spacing w:after="0" w:line="176" w:lineRule="exact"/>
        <w:rPr>
          <w:sz w:val="20"/>
          <w:szCs w:val="20"/>
          <w:color w:val="auto"/>
        </w:rPr>
      </w:pPr>
    </w:p>
    <w:p>
      <w:pPr>
        <w:ind w:left="120" w:right="300" w:firstLine="440"/>
        <w:spacing w:after="0" w:line="261" w:lineRule="auto"/>
        <w:rPr>
          <w:sz w:val="20"/>
          <w:szCs w:val="20"/>
          <w:color w:val="auto"/>
        </w:rPr>
      </w:pPr>
      <w:r>
        <w:rPr>
          <w:rFonts w:ascii="Times New Roman" w:cs="Times New Roman" w:eastAsia="Times New Roman" w:hAnsi="Times New Roman"/>
          <w:sz w:val="18"/>
          <w:szCs w:val="18"/>
          <w:color w:val="auto"/>
        </w:rPr>
        <w:t>There can be no assurance that the Company will be able to comply with requirements imposed by U.S. regulators. The market price of the Company’s securities could be adversely affected as a result of anticipated negative impacts of these executive or legislative actions upon, as well as negative investor sentiment towards, companies reliant upon operations in China that are listed in the United States, regardless of whether these executive or legislative actions are implemented and regardless of the Company’s actual operating performance.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Intellectual Property</w:t>
      </w:r>
    </w:p>
    <w:p>
      <w:pPr>
        <w:spacing w:after="0" w:line="117" w:lineRule="exact"/>
        <w:rPr>
          <w:sz w:val="20"/>
          <w:szCs w:val="20"/>
          <w:color w:val="auto"/>
        </w:rPr>
      </w:pPr>
    </w:p>
    <w:p>
      <w:pPr>
        <w:jc w:val="both"/>
        <w:ind w:left="120" w:right="2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Polestar may fail to adequately obtain, maintain, enforce and protect its intellectual property and licensing rights, and may not be able to prevent third parties from unauthorized use of its intellectual property and proprietary technology. If Polestar is unsuccessful in any of the foregoing, its competitive position could be harmed and it could be required to incur significant expenses to enforce its rights.</w:t>
      </w:r>
    </w:p>
    <w:p>
      <w:pPr>
        <w:spacing w:after="0" w:line="67"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Polestar’s ability to compete effectively is dependent in part upon its ability to obtain, maintain, enforce and protect its intellectual property, proprietary technology and licensing rights, but it may not be able to prevent third parties from the unauthorized use of its intellectual property and proprietary technology, which could harm its business and competitive position. Polestar establishes and protects its intellectual property and proprietary technology through a combination of licensing agreements, nondisclosure and confidentiality agreements and other contractual provisions, as well as through patent, trademark, copyright and trade secret laws in the United States and other jurisdictions. Despite Polestar’s efforts to obtain and protect intellectual property rights, there can be no assurance that these protections will be available in all cases or will be adequate or timely to prevent Polestar’s competitors or other third parties from copying, reverse engineering or otherwise obtaining and using Polestar’s technology or products or seeking court declarations that they do not infringe, misappropriate or otherwise violate Polestar’s intellectual property. Failure to adequately obtain, maintain, enforce and protect Polestar’s intellectual property could result in its competitors offering identical or similar products, potentially resulting in the loss of Polestar’s competitive advantage and a decrease in its revenue, which would adversely affect its business, prospects, financial condition and results of operations.</w:t>
      </w:r>
    </w:p>
    <w:p>
      <w:pPr>
        <w:spacing w:after="0" w:line="192" w:lineRule="exact"/>
        <w:rPr>
          <w:sz w:val="20"/>
          <w:szCs w:val="20"/>
          <w:color w:val="auto"/>
        </w:rPr>
      </w:pPr>
    </w:p>
    <w:p>
      <w:pPr>
        <w:ind w:left="120" w:right="460" w:firstLine="440"/>
        <w:spacing w:after="0" w:line="282" w:lineRule="auto"/>
        <w:rPr>
          <w:sz w:val="20"/>
          <w:szCs w:val="20"/>
          <w:color w:val="auto"/>
        </w:rPr>
      </w:pPr>
      <w:r>
        <w:rPr>
          <w:rFonts w:ascii="Times New Roman" w:cs="Times New Roman" w:eastAsia="Times New Roman" w:hAnsi="Times New Roman"/>
          <w:sz w:val="18"/>
          <w:szCs w:val="18"/>
          <w:color w:val="auto"/>
        </w:rPr>
        <w:t>The measures Polestar takes to obtain, maintain, protect and enforce its intellectual property, including preventing unauthorized use by third parties, may not be effective for various reasons, including the following:</w:t>
      </w:r>
    </w:p>
    <w:p>
      <w:pPr>
        <w:spacing w:after="0" w:line="67" w:lineRule="exact"/>
        <w:rPr>
          <w:sz w:val="20"/>
          <w:szCs w:val="20"/>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patent application Polestar files may not result in the issuance of a patent;</w:t>
      </w:r>
    </w:p>
    <w:p>
      <w:pPr>
        <w:spacing w:after="0" w:line="130"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Polestar may not be the first inventor of the subject matter to which it has filed a particular patent application, and/or it may not be the first party to file such a patent application;</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Polestar’s issued patents may not be sufficient to protect its inventions and proprietary technology;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Polestar’s issued patents may be challenged by its competitors or other third parties and invalidated by courts or other tribunals;</w:t>
      </w:r>
    </w:p>
    <w:p>
      <w:pPr>
        <w:spacing w:after="0" w:line="130"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patents have a finite term, and competitors and other third parties may offer identical or similar products after the expiration of Polestar’s patents that cover such products;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Polestar’s employees, contractors or business partners may breach their confidentiality, non-disclosure and non-use obligations;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competitors and other third parties may independently develop technologies that are the same or similar to Polestar’s;</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100"/>
          </w:cols>
          <w:pgMar w:left="320" w:top="455" w:right="47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right="320" w:hanging="424"/>
        <w:spacing w:after="0" w:line="282"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enforcing patents or other intellectual property rights, or confidentiality and invention assignment agreements may make enforcement impracticable;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competitors and other third parties may circumvent or otherwise design around Polestar’s patents or other intellectual property.</w:t>
      </w:r>
    </w:p>
    <w:p>
      <w:pPr>
        <w:spacing w:after="0" w:line="225"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Patent, trademark, copyright and trade secret laws vary significantly throughout the world. The laws of some countries, including countries in which Polestar’s products are or will be sold, may not be as protective of intellectual property rights as those in the United States or Sweden, and mechanisms for obtaining and enforcing intellectual property rights may be ineffectual or inadequate. Therefore, Polestar’s intellectual property may not be as strong or as predictably obtained or enforced outside of the United States or Sweden. Further, policing the unauthorized use of Polestar’s intellectual property in some jurisdictions may be difficult or too expensive to be practical. In addition, third parties may seek to challenge, invalidate or circumvent Polestar’s patents, trademarks, copyrights, trade secrets or other intellectual property, or applications for any of the foregoing, which could permit Polestar’s competitors or other third parties to develop and commercialize products and technologies that are the same or similar to Polestar’s.</w:t>
      </w:r>
    </w:p>
    <w:p>
      <w:pPr>
        <w:spacing w:after="0" w:line="18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While Polestar has registered and applied for registration of trademarks in an effort to protect its brand and goodwill with customers, competitors or other third parties have in the past and may in the future oppose its trademark applications or otherwise challenge Polestar’s use of the trademarks and other brand names in which it has invested. Such oppositions and challenges can be expensive and may adversely affect Polestar’s ability to maintain the goodwill gained in connection with a particular trademark. In addition, Polestar may lose its trademark rights if it is unable to submit specimens or other evidence of use by the applicable deadline to perfect such trademark rights.</w:t>
      </w:r>
    </w:p>
    <w:p>
      <w:pPr>
        <w:spacing w:after="0" w:line="183" w:lineRule="exact"/>
        <w:rPr>
          <w:sz w:val="20"/>
          <w:szCs w:val="20"/>
          <w:color w:val="auto"/>
        </w:rPr>
      </w:pPr>
    </w:p>
    <w:p>
      <w:pPr>
        <w:ind w:left="120" w:right="260" w:firstLine="440"/>
        <w:spacing w:after="0" w:line="255" w:lineRule="auto"/>
        <w:rPr>
          <w:sz w:val="20"/>
          <w:szCs w:val="20"/>
          <w:color w:val="auto"/>
        </w:rPr>
      </w:pPr>
      <w:r>
        <w:rPr>
          <w:rFonts w:ascii="Times New Roman" w:cs="Times New Roman" w:eastAsia="Times New Roman" w:hAnsi="Times New Roman"/>
          <w:sz w:val="18"/>
          <w:szCs w:val="18"/>
          <w:color w:val="auto"/>
        </w:rPr>
        <w:t>It is Polestar’s policy to enter into confidentiality and invention assignment agreements with its employees and contractors that have developed material intellectual property for Polestar, but these agreements may not be self-executing and may not otherwise adequately protect Polestar’s intellectual property, particularly with respect to conflicts of ownership relating to work product generated by the employees and contractors. Furthermore, Polestar cannot be certain that these agreements will not be breached and that third parties will not improperly gain access to its trade secrets, know-how and other proprietary technology. Third parties may also independently develop the same or substantially similar proprietary technology. Monitoring unauthorized use of Polestar’s intellectual property is difficult and costly, as are the steps Polestar has taken or will take to prevent misappropriation.</w:t>
      </w:r>
    </w:p>
    <w:p>
      <w:pPr>
        <w:spacing w:after="0" w:line="189" w:lineRule="exact"/>
        <w:rPr>
          <w:sz w:val="20"/>
          <w:szCs w:val="20"/>
          <w:color w:val="auto"/>
        </w:rPr>
      </w:pPr>
    </w:p>
    <w:p>
      <w:pPr>
        <w:ind w:left="120" w:right="240" w:firstLine="440"/>
        <w:spacing w:after="0" w:line="256" w:lineRule="auto"/>
        <w:rPr>
          <w:sz w:val="20"/>
          <w:szCs w:val="20"/>
          <w:color w:val="auto"/>
        </w:rPr>
      </w:pPr>
      <w:r>
        <w:rPr>
          <w:rFonts w:ascii="Times New Roman" w:cs="Times New Roman" w:eastAsia="Times New Roman" w:hAnsi="Times New Roman"/>
          <w:sz w:val="18"/>
          <w:szCs w:val="18"/>
          <w:color w:val="auto"/>
        </w:rPr>
        <w:t>Polestar has acquired or licensed, and plans to further acquire licenses, patents and other intellectual property from third parties, including suppliers and service providers, and it may face claims that its use of this acquired or in-licensed technology infringes, misappropriates or otherwise violates the intellectual property rights of third parties. In such cases, Polestar will seek indemnification from its licensors or other applicable entities. However, Polestar’s rights to indemnification may be unavailable or insufficient to cover its costs and losses. Furthermore, disputes may arise with Polestar’s licensors or other applicable entities regarding the intellectual property subject to, and any of Polestar’s rights and obligations under, any license or other commercial agreement.</w:t>
      </w:r>
    </w:p>
    <w:p>
      <w:pPr>
        <w:spacing w:after="0" w:line="187"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To prevent the unauthorized use of Polestar’s intellectual property, it may be necessary to prosecute actions for infringement, misappropriation or other violation of Polestar’s intellectual property against third parties. Any such action could result in significant costs and diversion of Polestar’s resources and management’s attention, and there can be no assurances that Polestar will be successful in any such action, and may result in a loss of intellectual property rights. Furthermore, many of Polestar’s current and potential competitors have the ability to dedicate substantially greater resources to enforce their intellectual property rights than Polestar currently does. Accordingly, despite its efforts, Polestar may not be able to prevent third parties from infringing, misappropriating or otherwise violating its intellectual property. Any of the foregoing could adversely affect Polestar’s business, prospects, financial condition and results of operations.</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120"/>
          </w:cols>
          <w:pgMar w:left="320" w:top="455" w:right="45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both"/>
        <w:ind w:left="120" w:right="2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Polestar uses other parties’ software and other intellectual property in its proprietary software, including “open source” software. Any inability to continuously use such software or other intellectual property in the future could have a material adverse impact on Polestar’s business, financial condition, results of operations and prospects.</w:t>
      </w:r>
    </w:p>
    <w:p>
      <w:pPr>
        <w:spacing w:after="0" w:line="67"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Polestar uses open source software in its products and anticipates using open source software in the future. Some open source software licenses require those who distribute open source software as part of their own software product to publicly disclose all or part of the source code to such software product or to make available any derivative works of the open source code on unfavorable terms or at no cost, and Polestar may be subject to such terms. The terms of many open source licenses to which Polestar is subject have not been interpreted by U.S. or other courts, and there is a risk that open source software licenses could be construed in a manner that imposes unanticipated conditions or restrictions on Polestar’s ability to provide or distribute its products or services. Any actual or claimed requirement to disclose Polestar’s proprietary source code or pay damages for breach of contract could harm Polestar’s business and could help third parties, including Polestar’s competitors, develop products and services that are similar to or better than Polestar’s. While Polestar monitors its use of open source software and tries to ensure that none is used in a manner that would require it to disclose its proprietary source code or that would otherwise breach the terms of an open source agreement, such use could inadvertently occur, or could be claimed to have occurred. Additionally, Polestar could face claims from third parties claiming ownership of, or demanding release of, the open source software or derivative works that it developed using such software, which could include its proprietary source code, or otherwise seeking to enforce the terms of the applicable open source license. These claims could result in litigation and could require Polestar to make its software source code freely available, purchase a costly license or cease offering the implicated products or services unless and until it can re-engineer them to avoid infringement, which may be a costly and time-consuming process, and Polestar may not be able to complete the re-engineering process successfully.</w:t>
      </w:r>
    </w:p>
    <w:p>
      <w:pPr>
        <w:spacing w:after="0" w:line="197" w:lineRule="exact"/>
        <w:rPr>
          <w:sz w:val="20"/>
          <w:szCs w:val="20"/>
          <w:color w:val="auto"/>
        </w:rPr>
      </w:pPr>
    </w:p>
    <w:p>
      <w:pPr>
        <w:ind w:left="120" w:right="40" w:firstLine="440"/>
        <w:spacing w:after="0" w:line="274" w:lineRule="auto"/>
        <w:rPr>
          <w:sz w:val="20"/>
          <w:szCs w:val="20"/>
          <w:color w:val="auto"/>
        </w:rPr>
      </w:pPr>
      <w:r>
        <w:rPr>
          <w:rFonts w:ascii="Times New Roman" w:cs="Times New Roman" w:eastAsia="Times New Roman" w:hAnsi="Times New Roman"/>
          <w:sz w:val="17"/>
          <w:szCs w:val="17"/>
          <w:color w:val="auto"/>
        </w:rPr>
        <w:t>Additionally, the use of certain open source software can lead to greater risks than use of other parties’ commercial software, as open source licensors generally do not provide warranties or controls on the origin of software. There is typically no support available for open source software, and Polestar cannot ensure that the authors of such open source software will implement or push updates to address security risks or will not abandon further development and maintenance. Many of the risks associated with the use of open source software, such as the lack of warranties or assurances of title or performance, cannot be eliminated, and could, if not properly addressed, negatively affect Polestar’s business. Any of these risks could be difficult to eliminate or manage and, if not addressed, could have a material and adverse effect on Polestar’s business, financial condition and results of operations.</w:t>
      </w:r>
    </w:p>
    <w:p>
      <w:pPr>
        <w:spacing w:after="0" w:line="277" w:lineRule="exact"/>
        <w:rPr>
          <w:sz w:val="20"/>
          <w:szCs w:val="20"/>
          <w:color w:val="auto"/>
        </w:rPr>
      </w:pPr>
    </w:p>
    <w:p>
      <w:pPr>
        <w:ind w:lef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Polestar may become subject to claims of intellectual property infringement by third parties which, regardless of merit, could be time-consuming and costly and result in significant legal liability, and could negatively impact Polestar’s business, financial condition, results of operations and prospects.</w:t>
      </w:r>
    </w:p>
    <w:p>
      <w:pPr>
        <w:spacing w:after="0" w:line="67" w:lineRule="exact"/>
        <w:rPr>
          <w:sz w:val="20"/>
          <w:szCs w:val="20"/>
          <w:color w:val="auto"/>
        </w:rPr>
      </w:pPr>
    </w:p>
    <w:p>
      <w:pPr>
        <w:ind w:left="120" w:right="80" w:firstLine="440"/>
        <w:spacing w:after="0" w:line="253" w:lineRule="auto"/>
        <w:rPr>
          <w:sz w:val="20"/>
          <w:szCs w:val="20"/>
          <w:color w:val="auto"/>
        </w:rPr>
      </w:pPr>
      <w:r>
        <w:rPr>
          <w:rFonts w:ascii="Times New Roman" w:cs="Times New Roman" w:eastAsia="Times New Roman" w:hAnsi="Times New Roman"/>
          <w:sz w:val="18"/>
          <w:szCs w:val="18"/>
          <w:color w:val="auto"/>
        </w:rPr>
        <w:t>Polestar’s competitors or other third parties may hold or obtain patents, copyrights, trademarks or other proprietary rights that could prevent, limit or interfere with Polestar’s ability to make, use, develop, sell or market Polestar’s products and services, which could make it more difficult for Polestar to operate. From time to time, the holders of such intellectual property rights may assert their rights and urge Polestar to take licenses and/ or may bring suits alleging infringement or misappropriation of such rights, which could result in substantial costs, negative publicity and management attention, regardless of merit. While Polestar endeavors to obtain and protect the intellectual property rights that it expects will allow it to retain or advance its strategic initiatives, there can be no assurance that it will be able to adequately identify and protect the portions of intellectual property that are strategic to its business, or mitigate the risk of potential suits or other legal demands by its competitors. Accordingly, Polestar may consider entering into licensing agreements with respect to such rights, although no assurance can be given that such licenses can be obtained on acceptable terms or that litigation will not occur, and such licenses and associated litigation could significantly increase Polestar’s operating expenses. In addition, if Polestar is determined to have or believes there is a high likelihood that it has infringed upon a</w:t>
      </w:r>
    </w:p>
    <w:p>
      <w:pPr>
        <w:spacing w:after="0" w:line="1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140"/>
          </w:cols>
          <w:pgMar w:left="320" w:top="455" w:right="4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60"/>
        <w:spacing w:after="0" w:line="261" w:lineRule="auto"/>
        <w:rPr>
          <w:sz w:val="20"/>
          <w:szCs w:val="20"/>
          <w:color w:val="auto"/>
        </w:rPr>
      </w:pPr>
      <w:r>
        <w:rPr>
          <w:rFonts w:ascii="Times New Roman" w:cs="Times New Roman" w:eastAsia="Times New Roman" w:hAnsi="Times New Roman"/>
          <w:sz w:val="18"/>
          <w:szCs w:val="18"/>
          <w:color w:val="auto"/>
        </w:rPr>
        <w:t>third party’s intellectual property rights, it may be required to cease making, selling or incorporating certain components or intellectual property into its goods and services, to pay substantial damages and/or license royalties, to redesign its products and services and/or to establish and maintain alternative branding for its products and services. In the event that Polestar is required to take one or more such actions, its brand, business, financial condition and operating results may be harmed.</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Tax</w:t>
      </w:r>
    </w:p>
    <w:p>
      <w:pPr>
        <w:spacing w:after="0" w:line="117" w:lineRule="exact"/>
        <w:rPr>
          <w:sz w:val="20"/>
          <w:szCs w:val="20"/>
          <w:color w:val="auto"/>
        </w:rPr>
      </w:pPr>
    </w:p>
    <w:p>
      <w:pPr>
        <w:ind w:lef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Unanticipated tax laws or any change in the application of existing tax laws to Polestar or Polestar’s customers may adversely impact its profitability and business.</w:t>
      </w:r>
    </w:p>
    <w:p>
      <w:pPr>
        <w:spacing w:after="0" w:line="51"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Polestar operates and is subject to income and other taxes in Sweden, China, the United States and a growing number of other jurisdictions throughout the world. Existing domestic and foreign tax laws, statutes, rules, regulations or ordinances could be interpreted, changed, modified or applied adversely to Polestar (possibly with retroactive effect), which could require Polestar to change its transfer pricing policies and pay additional tax amounts, fines or penalties, surcharges and interest charges for past amounts due, the amounts and timing of which are difficult to discern. Existing tax laws, statutes, rules, regulations or ordinances could also be interpreted, changed, modified or applied adversely to Polestar’s customers (possibly with retroactive effect) and, if Polestar’s customers are required to pay additional surcharges, it could adversely affect demand for Polestar’s vehicles. Furthermore, changes to tax laws on income, sales, use, import/export, indirect or other tax laws, statutes, rules, regulations or ordinances on multinational corporations continue to be considered by countries in the European Union, the United States and other countries where Polestar currently operates or plans to operate. These contemplated tax initiatives, if finalized and adopted by countries, and the other tax issues described above may materially and adversely impact Polestar’s operating activities, effective tax rate, deferred tax assets, operating income and cash flows.</w:t>
      </w:r>
    </w:p>
    <w:p>
      <w:pPr>
        <w:spacing w:after="0" w:line="298" w:lineRule="exact"/>
        <w:rPr>
          <w:sz w:val="20"/>
          <w:szCs w:val="20"/>
          <w:color w:val="auto"/>
        </w:rPr>
      </w:pPr>
    </w:p>
    <w:p>
      <w:pPr>
        <w:ind w:left="120"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Transfers of ADSs or the underlying Company securities may be subject to stamp duty or stamp duty reserve tax in the U.K., which would increase the cost of dealing in the Company’s securities.</w:t>
      </w:r>
    </w:p>
    <w:p>
      <w:pPr>
        <w:spacing w:after="0" w:line="51"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Stamp duty or stamp duty reserve tax (“SDRT”) is imposed in the U.K. on certain transfers of chargeable securities (which include securities in companies incorporated in the U.K.) at a rate of 0.5% of the consideration paid for the transfer. Certain issues or transfers of securities to depositories or into clearance systems may be charged at a higher rate of 1.5%, unless an election has been made and maintained by the depository or clearance system under section 97A of the UK Finance Act 1986. We are not aware of any such election having been made.</w:t>
      </w:r>
    </w:p>
    <w:p>
      <w:pPr>
        <w:spacing w:after="0" w:line="180" w:lineRule="exact"/>
        <w:rPr>
          <w:sz w:val="20"/>
          <w:szCs w:val="20"/>
          <w:color w:val="auto"/>
        </w:rPr>
      </w:pPr>
    </w:p>
    <w:p>
      <w:pPr>
        <w:ind w:left="120" w:right="600" w:firstLine="440"/>
        <w:spacing w:after="0" w:line="282" w:lineRule="auto"/>
        <w:rPr>
          <w:sz w:val="20"/>
          <w:szCs w:val="20"/>
          <w:color w:val="auto"/>
        </w:rPr>
      </w:pPr>
      <w:r>
        <w:rPr>
          <w:rFonts w:ascii="Times New Roman" w:cs="Times New Roman" w:eastAsia="Times New Roman" w:hAnsi="Times New Roman"/>
          <w:sz w:val="18"/>
          <w:szCs w:val="18"/>
          <w:color w:val="auto"/>
        </w:rPr>
        <w:t>Any stamp duty or SDRT payable on a transfer of the underlying Company securities to a depository or a clearance system will in practice generally be paid by the transferors or participants in the depository or a clearance system.</w:t>
      </w:r>
    </w:p>
    <w:p>
      <w:pPr>
        <w:spacing w:after="0" w:line="162"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Transfers of ADSs representing underlying Company securities that have been deposited with the depository, which will take place in book entry form through the Depository Trust Company (“DTC”), currently do not attract a charge to stamp duty or SDRT in the U.K., provided no written instrument of transfer is used to effect the transfer. If, following a change in law, transfers of Company securities effected through DTC attracted a charge to SDRT or stamp duty, then this would increase the cost of dealing in the Company securities.</w:t>
      </w:r>
    </w:p>
    <w:p>
      <w:pPr>
        <w:spacing w:after="0" w:line="180" w:lineRule="exact"/>
        <w:rPr>
          <w:sz w:val="20"/>
          <w:szCs w:val="20"/>
          <w:color w:val="auto"/>
        </w:rPr>
      </w:pPr>
    </w:p>
    <w:p>
      <w:pPr>
        <w:ind w:left="120" w:right="200" w:firstLine="440"/>
        <w:spacing w:after="0" w:line="274" w:lineRule="auto"/>
        <w:rPr>
          <w:sz w:val="20"/>
          <w:szCs w:val="20"/>
          <w:color w:val="auto"/>
        </w:rPr>
      </w:pPr>
      <w:r>
        <w:rPr>
          <w:rFonts w:ascii="Times New Roman" w:cs="Times New Roman" w:eastAsia="Times New Roman" w:hAnsi="Times New Roman"/>
          <w:sz w:val="17"/>
          <w:szCs w:val="17"/>
          <w:color w:val="auto"/>
        </w:rPr>
        <w:t>A transfer of title in the underlying Company securities from the depository to another person and any subsequent transfers of title in the Company securities will generally attract a charge to stamp duty or SDRT at a rate of 0.5% of any consideration, which is generally payable by the transferee of the underlying Company securities. To the extent such transfer is effected by a written instrument of transfer, then any such duty must be paid (and the relevant instrument of transfer stamped by HM Revenue &amp; Customs (“HMRC”)) before the transfer can be registered in the register of members of the Company. However, if those underlying Company securities are redeposited with the depository, the redeposit is expected to attract stamp duty or SDRT at the rate of 1.5% of the value of the Company securities, which will, in practice, be required to be paid by the transferor.</w:t>
      </w:r>
    </w:p>
    <w:p>
      <w:pPr>
        <w:spacing w:after="0" w:line="1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120"/>
          </w:cols>
          <w:pgMar w:left="320" w:top="455" w:right="45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Company may be classified as a passive foreign investment company for U.S. federal income tax purposes, which could result in adverse U.S.</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federal income tax consequences to U.S. Holders of ADSs.</w:t>
      </w:r>
    </w:p>
    <w:p>
      <w:pPr>
        <w:spacing w:after="0" w:line="9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A foreign corporation will be treated as a “passive foreign investment company,” or “PFIC,” for U.S. federal income tax purposes if either (i) 75% or more of the gross income for a taxable year constitutes passive income for purposes of the PFIC rules, or (ii) 50% or more of such foreign corporation’s assets in any taxable year is attributable to assets, including cash, that produce passive income or are held for the production of passive income. Passive income generally includes dividends, interest, royalties and certain rents. U.S. shareholders of a PFIC are subject to a disadvantageous U.S. federal income tax regime with respect to the income derived by the PFIC, the distributions they receive from the PFIC, and the gain, if any, they derive from the sale or other disposition of their interests in the PFIC.</w:t>
      </w:r>
    </w:p>
    <w:p>
      <w:pPr>
        <w:spacing w:after="0" w:line="187" w:lineRule="exact"/>
        <w:rPr>
          <w:sz w:val="20"/>
          <w:szCs w:val="20"/>
          <w:color w:val="auto"/>
        </w:rPr>
      </w:pPr>
    </w:p>
    <w:p>
      <w:pPr>
        <w:jc w:val="both"/>
        <w:ind w:left="120" w:firstLine="440"/>
        <w:spacing w:after="0" w:line="258" w:lineRule="auto"/>
        <w:rPr>
          <w:sz w:val="20"/>
          <w:szCs w:val="20"/>
          <w:color w:val="auto"/>
        </w:rPr>
      </w:pPr>
      <w:r>
        <w:rPr>
          <w:rFonts w:ascii="Times New Roman" w:cs="Times New Roman" w:eastAsia="Times New Roman" w:hAnsi="Times New Roman"/>
          <w:sz w:val="18"/>
          <w:szCs w:val="18"/>
          <w:color w:val="auto"/>
        </w:rPr>
        <w:t>Based on the projected composition of the Company’s income and assets, the Company does not expect to be classified as a PFIC for the current taxable year or, to the best of its current estimates, for subsequent taxable years. However, the application of the PFIC rules is subject to uncertainty as the composition of the Company’s income and assets may change in the future and, therefore, no assurances can be provided that the Company will not be a PFIC for the current taxable year or in a future year. It is also possible that the IRS would not agree with the Company’s conclusion, or that U.S. tax laws could change significantly. For additional information, see “Taxation—Material U.S. Federal Income Tax Considerations.”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As a result of the Business Combination, the IRS may not agree that the Company is a foreign corporation for U.S. federal tax purposes.</w:t>
      </w:r>
    </w:p>
    <w:p>
      <w:pPr>
        <w:spacing w:after="0" w:line="121" w:lineRule="exact"/>
        <w:rPr>
          <w:sz w:val="20"/>
          <w:szCs w:val="20"/>
          <w:color w:val="auto"/>
        </w:rPr>
      </w:pPr>
    </w:p>
    <w:p>
      <w:pPr>
        <w:ind w:left="120" w:right="60" w:firstLine="440"/>
        <w:spacing w:after="0" w:line="252" w:lineRule="auto"/>
        <w:rPr>
          <w:sz w:val="20"/>
          <w:szCs w:val="20"/>
          <w:color w:val="auto"/>
        </w:rPr>
      </w:pPr>
      <w:r>
        <w:rPr>
          <w:rFonts w:ascii="Times New Roman" w:cs="Times New Roman" w:eastAsia="Times New Roman" w:hAnsi="Times New Roman"/>
          <w:sz w:val="18"/>
          <w:szCs w:val="18"/>
          <w:color w:val="auto"/>
        </w:rPr>
        <w:t>A corporation generally is considered to be a tax resident for U.S. federal income tax purposes in the jurisdiction of its organization or incorporation. Accordingly, under the generally applicable U.S. federal income tax rules, the Company, which is incorporated under the laws of the U.K., would be classified as a non-U.S. corporation (and, therefore, not a U.S. tax resident) for U.S. federal income tax purposes. Section 7874 of the Code provides an exception to this general rule under which a non-U.S. incorporated entity may, in certain circumstances, be treated as a U.S. corporation for U.S. federal income tax purposes. If the Company were to be treated as a U.S. corporation for U.S. federal income tax purposes as a result of the Business Combination, it could be subject to substantial liability for additional U.S. income taxes. However, dividend payments to U.S. Holders (as defined below) would generally constitute “qualified dividends” and be subject to tax at the rates accorded to long-term capital gains. In addition, even if the Company is not treated as a U.S. corporation, it may be subject to unfavorable treatment as a “surrogate foreign corporation” in the event that, following the Business Combination, ownership attributable to former GGI stockholders exceeds a threshold amount. If it were determined that the Company is treated as a surrogate foreign corporation for U.S. federal income tax purposes under Section 7874 of the Code and the Treasury regulations promulgated thereunder, dividends paid by the Company would not qualify for “qualified dividend income” treatment, and U.S. affiliates of the Company could be subject to increased taxation under the inversion gain rules and the “base erosion anti-abuse tax” of Section 59A of the Code. Furthermore, the ability of the U.S. subsidiaries of the Company to utilize certain U.S. tax attributes against income or gain recognized pursuant to certain transactions could be limited.</w:t>
      </w:r>
    </w:p>
    <w:p>
      <w:pPr>
        <w:spacing w:after="0" w:line="197"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Polestar does not expect the Company to be treated as a U.S. corporation for U.S. federal income tax purposes or otherwise be subject to unfavorable treatment as a surrogate foreign corporation for U.S. federal income tax purposes as a result of the Business Combination. However, the rules for determining ownership under Section 7874 will be finally determined after completion of the Business Combination, by which time there could be adverse changes to the relevant facts and circumstances or adverse rule changes. In addition, the rules for determining ownership under Section 7874 are complex and unclear. For additional discussion of the U.S. federal income tax treatment of the Company, see “Taxation—Material U.S. Federal Income Tax Considerations.”</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100"/>
          </w:cols>
          <w:pgMar w:left="320" w:top="455" w:right="47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Financing and Strategic Transactions</w:t>
      </w:r>
    </w:p>
    <w:p>
      <w:pPr>
        <w:spacing w:after="0" w:line="117" w:lineRule="exact"/>
        <w:rPr>
          <w:sz w:val="20"/>
          <w:szCs w:val="20"/>
          <w:color w:val="auto"/>
        </w:rPr>
      </w:pPr>
    </w:p>
    <w:p>
      <w:pPr>
        <w:ind w:left="120"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Polestar will require additional capital to support business growth, and this capital might not be available on commercially reasonable terms, or at all.</w:t>
      </w:r>
    </w:p>
    <w:p>
      <w:pPr>
        <w:spacing w:after="0" w:line="51"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Polestar anticipates that it will need to raise additional funds through equity or debt financings. Polestar’s business is capital-intensive, and Polestar expects that the costs and expenses associated with its planned operations will continue to increase in the near term. Polestar does not expect to achieve positive cash flow from operations before 2024, if at all. Polestar’s plan to grow its business is dependent upon the timely availability of funds and further investment in development, component procurement, testing and the build-out of manufacturing capabilities. In addition, the fact that Polestar has a limited operating history means that it has limited historical data on the demand for its vehicles. As a result, Polestar’s future capital requirements are uncertain, and actual capital requirements may be greater than what it currently anticipates.</w:t>
      </w:r>
    </w:p>
    <w:p>
      <w:pPr>
        <w:spacing w:after="0" w:line="187"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If Polestar raises additional funds through further issuances of equity or convertible debt securities, Polestar’s shareholders could suffer significant dilution and economic loss, and any new equity securities Polestar issues could have rights, preferences and privileges superior to those of holders of Polestar’s current equity securities. Any debt financing in the future could involve additional restrictive covenants relating to Polestar’s capital raising activities and other financial and operational matters, which may make it more difficult for Polestar to obtain additional capital and to pursue business opportunities, including potential acquisitions.</w:t>
      </w:r>
    </w:p>
    <w:p>
      <w:pPr>
        <w:spacing w:after="0" w:line="183"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Polestar may not be able to obtain additional financing on terms favorable to it, if at all. Polestar’s ability to raise additional capital through the sale of equity or convertible debt securities could be significantly impacted by the resale of the Resale Securities by the Selling Securityholders pursuant to this prospectus which could result in a significant decline in the trading price of our ADSs and potentially hinder Polestar’s ability to raise capital at terms that are acceptable to Polestar or at all. Further, Polestar’s ability to obtain such financing could be adversely affected by a number of other factors, including general conditions in the global economy and in the global financial markets, including recent volatility and disruptions in the capital and credit markets, including as a result of the ongoing COVID-19 pandemic, inflation, interest rate changes and the ongoing conflict between Ukraine and Russia, or investor acceptance of its business model. For more information, also see “</w:t>
      </w:r>
      <w:r>
        <w:rPr>
          <w:rFonts w:ascii="Times New Roman" w:cs="Times New Roman" w:eastAsia="Times New Roman" w:hAnsi="Times New Roman"/>
          <w:sz w:val="18"/>
          <w:szCs w:val="18"/>
          <w:i w:val="1"/>
          <w:iCs w:val="1"/>
          <w:color w:val="auto"/>
        </w:rPr>
        <w:t>—Risks Related to Polestar’s Business and Industry—Changes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 foreign currency rates, interest rate risks, or inflation could materially affect </w:t>
      </w:r>
      <w:r>
        <w:rPr>
          <w:rFonts w:ascii="Times New Roman" w:cs="Times New Roman" w:eastAsia="Times New Roman" w:hAnsi="Times New Roman"/>
          <w:sz w:val="18"/>
          <w:szCs w:val="18"/>
          <w:color w:val="auto"/>
        </w:rPr>
        <w:t>Polestar’s</w:t>
      </w:r>
      <w:r>
        <w:rPr>
          <w:rFonts w:ascii="Times New Roman" w:cs="Times New Roman" w:eastAsia="Times New Roman" w:hAnsi="Times New Roman"/>
          <w:sz w:val="18"/>
          <w:szCs w:val="18"/>
          <w:i w:val="1"/>
          <w:iCs w:val="1"/>
          <w:color w:val="auto"/>
        </w:rPr>
        <w:t xml:space="preserve"> results of operations” and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Operating And Financial Review And Prospects—Polestar Automotive Holding UK PLC (formerly known as Polestar Automotive Holding UK Limited)—Key factors affecting performance—Impact of COVID-19, Russo-Ukrainian War, and inflation</w:t>
      </w:r>
      <w:r>
        <w:rPr>
          <w:rFonts w:ascii="Times New Roman" w:cs="Times New Roman" w:eastAsia="Times New Roman" w:hAnsi="Times New Roman"/>
          <w:sz w:val="18"/>
          <w:szCs w:val="18"/>
          <w:color w:val="auto"/>
        </w:rPr>
        <w:t>.” These factors may make the timing, amount, terms and conditions of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financing unattractive or unavailable to Polestar. If Polestar is unable to obtain adequate financing or financing on terms satisfactory to it, when it requires it, Polestar will have to significantly reduce its spending, delay or cancel its planned activities or substantially change its corporate structure, and it might not have sufficient resources to conduct or support its business as projected, which would have a material and adverse effect on its results of operations, prospects and financial condition.</w:t>
      </w:r>
    </w:p>
    <w:p>
      <w:pPr>
        <w:spacing w:after="0" w:line="30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Polestar’s financial results may vary significantly from period to period due to fluctuations in its operating costs, product demand and other factors.</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Polestar expects its period-to-period financial results to vary based on its operating costs and product demand, which it anticipates will fluctuate as it continues to design, develop and manufacture new vehicles, increase production capacity and establish or expand design, research and development, production, sales and service facilities. Polestar’s revenues from period to period may fluctuate as it identifies and investigates areas of demand, adjusts volumes and adds new product derivatives based on market demand and margin opportunities, develops and introduces new vehicles or introduces existing vehicles to new markets for the first time. In addition, automotive manufacturers typically experience significant seasonality, with comparatively low sales in the first quarter and comparatively high sales in the fourth quarter. Polestar’s period-to-period results of operations may also fluctuate because of other factors including labor availability and costs for hourly and</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120"/>
          </w:cols>
          <w:pgMar w:left="320" w:top="455" w:right="45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management personnel; profitability of its vehicles, especially in new markets; changes in interest rates; impairment of long-lived assets; macroeconomic conditions, both internationally and locally; negative publicity relating to its vehicles; changes in consumer preferences and competitive conditions; or investment in expansion into new markets. As a result of these factors, Polestar believes that period-to-period comparisons of its financial results, especially in the short term, may have limited utility as an indicator of future performance. Significant variation in Polestar’s quarterly performance could significantly and adversely affect the trading price of the ADSs.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Ownership of Polestar’s Securities</w:t>
      </w:r>
    </w:p>
    <w:p>
      <w:pPr>
        <w:spacing w:after="0" w:line="117" w:lineRule="exact"/>
        <w:rPr>
          <w:sz w:val="20"/>
          <w:szCs w:val="20"/>
          <w:color w:val="auto"/>
        </w:rPr>
      </w:pPr>
    </w:p>
    <w:p>
      <w:pPr>
        <w:ind w:left="120"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Business Combination’s benefits do not meet the expectations of investors, stockholders or financial analysts, the market price of the ADSs may decline.</w:t>
      </w:r>
    </w:p>
    <w:p>
      <w:pPr>
        <w:spacing w:after="0" w:line="5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Prior to the Business Combination, there has not been a public market for Polestar’s securities. An active trading market for the ADSs may never develop or, if developed, it may not be sustained. You may be unable to sell your ADSs unless a market can be established and sustained. Fluctuations in the price of the ADSs could contribute to the loss of all or part of your investment. The valuation ascribed to Polestar in the Business Combination may not be indicative of the price of Polestar that will prevail in the trading market. The trading price of the ADSs could be volatile and subject to wide fluctuations in response to various factors, some of which are beyond Polestar’s control. Any of the factors listed below could have a material and adverse effect on the trading price of the ADSs, which may trade at prices significantly below the price you paid for the shares of GGI Class A Common Stock that were converted into the ADSs and in the Business Combination. In such circumstances, the trading price of the ADSs may not recover and may experience a further decline.</w:t>
      </w:r>
    </w:p>
    <w:p>
      <w:pPr>
        <w:spacing w:after="0" w:line="19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Factors affecting the trading price of the ADSs may include:</w:t>
      </w:r>
    </w:p>
    <w:p>
      <w:pPr>
        <w:spacing w:after="0" w:line="131" w:lineRule="exact"/>
        <w:rPr>
          <w:sz w:val="20"/>
          <w:szCs w:val="20"/>
          <w:color w:val="auto"/>
        </w:rPr>
      </w:pPr>
    </w:p>
    <w:p>
      <w:pPr>
        <w:ind w:left="1080" w:right="480" w:hanging="424"/>
        <w:spacing w:after="0" w:line="282"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Polestar’s periodic financial results or the periodic financial results of companies perceived to be similar to Polestar;</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market’s expectations about Polestar’s operating results;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public’s reaction to Polestar’s press releases, other public announcements and filings with the SEC;</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speculation in the press or investment community;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 of competitors;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Polestar’s operating results failing to meet the expectation of securities analysts or investors in a particular period;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financial estimates and recommendations by securities analysts concerning Polestar or the market in general;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and stock price performance of other companies that investors deem comparable to Polestar;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Polestar’s ability to market new and enhanced features or services on a timely basis;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and regulations affecting Polestar’s business;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commencement of, or involvement in, litigation involving Polestar;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Polestar’s capital structure, such as future issuances of securities or the incurrence of additional debt;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volume of ADSs available for public sale;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volume of the ADSs on Nasdaq;</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major change in the Board or management;</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120"/>
          </w:cols>
          <w:pgMar w:left="320" w:top="455" w:right="45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right="320" w:hanging="424"/>
        <w:spacing w:after="0" w:line="282"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substantial amounts of ADSs by Polestar’s directors, officers or significant stockholders or the perception that such sales could occur;</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realization of any of the risk factors presented in this prospectus;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personnel;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comply with the requirements of Nasdaq;</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comply with the Sarbanes-Oxley Act or other laws or regulations;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potential or perceived control, accounting or reporting problems;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principles, policies and guidelines; and</w:t>
      </w:r>
    </w:p>
    <w:p>
      <w:pPr>
        <w:spacing w:after="0" w:line="130" w:lineRule="exact"/>
        <w:rPr>
          <w:rFonts w:ascii="Times New Roman" w:cs="Times New Roman" w:eastAsia="Times New Roman" w:hAnsi="Times New Roman"/>
          <w:sz w:val="18"/>
          <w:szCs w:val="18"/>
          <w:color w:val="auto"/>
        </w:rPr>
      </w:pPr>
    </w:p>
    <w:p>
      <w:pPr>
        <w:ind w:left="1080" w:right="220" w:hanging="424"/>
        <w:spacing w:after="0" w:line="266"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political conditions such as recessions, interest rates, international currency fluctuations and health epidemics and pandemics (including the ongoing COVID-19 pandemic), inflation, changes in diplomatic and trade relationships and acts of war or terrorism.</w:t>
      </w:r>
    </w:p>
    <w:p>
      <w:pPr>
        <w:spacing w:after="0" w:line="176"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Broad market and industry factors may materially harm the market price of the ADSs irrespective of its operating performance. The stock market in general and Nasdaq have experienced price and volume fluctuations that have often been unrelated or disproportionate to the operating performance of the particular companies affected. The trading prices and valuations of these stocks, and of Polestar’s securities, may not be predictable. A loss of investor confidence in the market for the stocks of other companies that investors perceive to be similar to Polestar could depress the price of ADSs regardless of Polestar’s business, prospects, financial conditions or results of operations. A decline in the market price of the ADSs also could adversely affect its ability to issue additional securities and obtain additional financing in the future.</w:t>
      </w:r>
    </w:p>
    <w:p>
      <w:pPr>
        <w:spacing w:after="0" w:line="187"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In the past, securities class action litigation has often been initiated against companies following periods of volatility in their stock price. This type of litigation could result in substantial costs and divert management’s attention and resources, and could also require Polestar to make substantial payments to satisfy judgments or to settle litigation.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grant and future exercise of registration rights may adversely affect the market price of the ADSs.</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Pursuant to the Registration Rights Agreement, the Registration Rights Holders can each demand that Polestar register their registrable securities under certain circumstances and will each also have piggyback registration rights for these securities in connection with certain registrations of securities that Polestar undertakes. In addition, Polestar is required to file and maintain an effective registration statement under the Securities Act covering such securities and certain other securities of Polestar. Additionally, pursuant to the Subscription Agreements and Registration Rights Agreement, Polestar must file a registration statement within 30 days after the consummation of the Business Combination registering up to approximately 2,212 million Class A ADSs held by the PIPE Investors and Class A ADSs held by the Registration Rights Holders.</w:t>
      </w:r>
    </w:p>
    <w:p>
      <w:pPr>
        <w:spacing w:after="0" w:line="187"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The registration of the resale of these securities will permit the public sale of such securities. The registration and availability of such a significant number of securities for trading in the public market may have an adverse effect on the market price of ADSs.</w:t>
      </w:r>
    </w:p>
    <w:p>
      <w:pPr>
        <w:spacing w:after="0" w:line="266" w:lineRule="exact"/>
        <w:rPr>
          <w:sz w:val="20"/>
          <w:szCs w:val="20"/>
          <w:color w:val="auto"/>
        </w:rPr>
      </w:pPr>
    </w:p>
    <w:p>
      <w:pPr>
        <w:ind w:left="120"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Class C ADSs will be exercisable for the Class A ADSs, which would increase the number of AD securities eligible for future resale in the public market and result in dilution to its shareholders.</w:t>
      </w:r>
    </w:p>
    <w:p>
      <w:pPr>
        <w:spacing w:after="0" w:line="51" w:lineRule="exact"/>
        <w:rPr>
          <w:sz w:val="20"/>
          <w:szCs w:val="20"/>
          <w:color w:val="auto"/>
        </w:rPr>
      </w:pPr>
    </w:p>
    <w:p>
      <w:pPr>
        <w:ind w:left="120" w:firstLine="440"/>
        <w:spacing w:after="0" w:line="289" w:lineRule="auto"/>
        <w:rPr>
          <w:sz w:val="20"/>
          <w:szCs w:val="20"/>
          <w:color w:val="auto"/>
        </w:rPr>
      </w:pPr>
      <w:r>
        <w:rPr>
          <w:rFonts w:ascii="Times New Roman" w:cs="Times New Roman" w:eastAsia="Times New Roman" w:hAnsi="Times New Roman"/>
          <w:sz w:val="17"/>
          <w:szCs w:val="17"/>
          <w:color w:val="auto"/>
        </w:rPr>
        <w:t>GGI issued GGI Public Warrants to purchase 16,000,000 shares of GGI Class A Common Stock as part of the GGI initial public offering, consummated on March 25, 2021, and, on the closing date of the GGI initial public offering, GGI issued Private Placement Warrants to the GGI Sponsor to purchase 9,000,000 shares of GGI Class A Common Stock, in each case at $11.50 per share. The GGI Private Placement Warrants were identical to</w:t>
      </w:r>
    </w:p>
    <w:p>
      <w:pPr>
        <w:spacing w:after="0" w:line="9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120"/>
          </w:cols>
          <w:pgMar w:left="320" w:top="455" w:right="45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40"/>
        <w:spacing w:after="0" w:line="256" w:lineRule="auto"/>
        <w:rPr>
          <w:sz w:val="20"/>
          <w:szCs w:val="20"/>
          <w:color w:val="auto"/>
        </w:rPr>
      </w:pPr>
      <w:r>
        <w:rPr>
          <w:rFonts w:ascii="Times New Roman" w:cs="Times New Roman" w:eastAsia="Times New Roman" w:hAnsi="Times New Roman"/>
          <w:sz w:val="18"/>
          <w:szCs w:val="18"/>
          <w:color w:val="auto"/>
        </w:rPr>
        <w:t>the GGI Public Warrants sold as part of the GGI public units (consisting of one share of GGI Class A Common Stock and one-fifth of one GGI Public Warrant) except that, so long as they are held by the GGI Sponsor or its permitted transferees: (i) they may not be redeemable by GGI, except as described in the SPAC Warrant Agreement; (ii) they (including the GGI Class A Common Stock issuable upon exercise of these warrants) may not, subject to certain limited exceptions, be transferred, assigned or sold by the GGI Sponsor until 30 days after the completion of an initial business combination involving GGI and one or more businesses; (iii) they may be exercised by the holders on a cashless basis; and (iv) they are subject to registration rights. The GGI Warrants were exercisable on the later of 30 days after the consummation of the Business Combination.</w:t>
      </w:r>
    </w:p>
    <w:p>
      <w:pPr>
        <w:spacing w:after="0" w:line="187"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In connection with the Business Combination, each GGI Warrant converted into a Class C ADS, of which the underlying Class C Share is exercisable for a Class A ADS representing one Class C Share and subject to substantially the same terms as were applicable to the GGI Warrants under the SPAC Warrant Agreement. Please see the sections entitled “Description of Share Capital and Articles of Assocation” and “Description of American Depositary Shares.” The Class A ADSs issued upon exercise of the Class C ADSs will result in dilution to then existing Company shareholders and increase the number of AD securities eligible for resale in the public market. Sales of substantial numbers of such shares in the public market could adversely affect the market price of Class A ADSs.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There is no guarantee that the Class C ADSs will be in the money at the time they become exercisable, and they may expire worthless.</w:t>
      </w:r>
    </w:p>
    <w:p>
      <w:pPr>
        <w:spacing w:after="0" w:line="121" w:lineRule="exact"/>
        <w:rPr>
          <w:sz w:val="20"/>
          <w:szCs w:val="20"/>
          <w:color w:val="auto"/>
        </w:rPr>
      </w:pPr>
    </w:p>
    <w:p>
      <w:pPr>
        <w:jc w:val="both"/>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The exercise price for the Class C ADSs is $11.50 per Class C ADS (excluding any fees due to the depository in connection with the conversion of the Class C ADSs and the issuance of the Class A ADSs). There is no guarantee that the Class C ADS will be in the money following the time they become exercisable and prior to their expiration, and as such, the Class C ADSs may expire worthless.</w:t>
      </w:r>
    </w:p>
    <w:p>
      <w:pPr>
        <w:spacing w:after="0" w:line="176"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Polestar may amend the terms of the Class C ADSs in a manner that may be adverse to holders. As a result, the exercise price of your Class C ADSs could be increased, the exercise period could be shortened and the number of Class A ADSs purchasable upon exercise of a Class C ADS could be decreased, all without your approval. With respect to the Class C-1 ADSs, in accordance with the U.K. Companies Act 2006 (the “Companies Ac</w:t>
      </w:r>
      <w:r>
        <w:rPr>
          <w:rFonts w:ascii="Times New Roman" w:cs="Times New Roman" w:eastAsia="Times New Roman" w:hAnsi="Times New Roman"/>
          <w:sz w:val="18"/>
          <w:szCs w:val="18"/>
          <w:i w:val="1"/>
          <w:iCs w:val="1"/>
          <w:color w:val="auto"/>
        </w:rPr>
        <w:t>t</w:t>
      </w:r>
      <w:r>
        <w:rPr>
          <w:rFonts w:ascii="Times New Roman" w:cs="Times New Roman" w:eastAsia="Times New Roman" w:hAnsi="Times New Roman"/>
          <w:sz w:val="18"/>
          <w:szCs w:val="18"/>
          <w:color w:val="auto"/>
        </w:rPr>
        <w:t>”) and the Polestar Articles, such amendment would require (i) in order to amend the relevant provisions in the Polestar Articles, a special resolution (requiring approval by at least 75% of members entitled to vote at a meeting of members of Polestar) and (ii) written consent to such amendment by holders of at least 75% of the then-outstanding Class C-1 ADSs.</w:t>
      </w:r>
    </w:p>
    <w:p>
      <w:pPr>
        <w:spacing w:after="0" w:line="291" w:lineRule="exact"/>
        <w:rPr>
          <w:sz w:val="20"/>
          <w:szCs w:val="20"/>
          <w:color w:val="auto"/>
        </w:rPr>
      </w:pPr>
    </w:p>
    <w:p>
      <w:pPr>
        <w:ind w:left="120"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Polestar may redeem unexpired Class C-1 ADSs prior to their exercise at a time that is disadvantageous to holders, thereby making their Class C-1 ADSs worthless.</w:t>
      </w:r>
    </w:p>
    <w:p>
      <w:pPr>
        <w:spacing w:after="0" w:line="5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Polestar has the ability to redeem outstanding Class C-1 ADSs at any time after they become exercisable and prior to their expiration, at a price of $0.01 per Class C-1 ADS; provided that the last reported sales price of Class A ADSs equals or exceeds $18.00 per share for any 20 trading days within a 30 trading-day period ending on the third trading day prior to the date on which Polestar gives proper notice of such redemption to the holders of Class C-1 ADSs and provided certain other conditions are met. Polestar will not redeem the Class C-1 ADSs unless an effective registration statement under the Securities Act covering the issuance of the Class A ADSs issuable upon exercise of the Class C-1 ADSs is effective and a current prospectus relating to those Class C-1 ADSs is available throughout the 30-day redemption period, except if the Class C-1 ADSs may be exercised on a cashless basis and such cashless exercise is exempt from registration under the Securities Act. If and when the Class C-1 ADSs become redeemable by Polestar, Polestar may exercise its redemption right even if Polestar is unable to register or qualify the underlying securities for sale under all applicable state securities laws. Redemption of the outstanding Class C-1 ADSs could force the holders of such Class C-1 ADSs: (i) to exercise their Class C-1 ADSs and pay the exercise price therefor at a time when it may be disadvantageous for them to do so; (ii) to sell their Class C-1 ADSs at the then-current market price when they might otherwise wish to hold</w:t>
      </w:r>
    </w:p>
    <w:p>
      <w:pPr>
        <w:spacing w:after="0" w:line="12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060"/>
          </w:cols>
          <w:pgMar w:left="320" w:top="455" w:right="51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their Class C-1 ADSs; or (iii) to accept the nominal redemption price which, at the time the outstanding Class C-1 ADSs are called for redemption, is likely to be substantially less than the market value of their Class C-1 ADSs. Additionally, if a significant number of holders of Class C-1 ADSs exercise their Class C-1 ADSs instead of accepting the nominal redemption price, the issuance of these Class A ADSs would dilute other equity holders, which could reduce the market price of Class A ADSs. As of the date of this prospectus, the Class A ADSs have never traded above $18.00 per share.</w:t>
      </w:r>
    </w:p>
    <w:p>
      <w:pPr>
        <w:spacing w:after="0" w:line="180"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In addition, Polestar may redeem Class C-1 ADSs after they become exercisable for a number of Class A ADSs determined based on the redemption date and the fair market value of Class A ADSs, starting at a trading price of $10.00. Any such redemption may have similar consequences to a cash redemption described above. In addition, such redemption may occur at a time when the Class C-1 ADSs are “out-of-the-money,” in which case holders of Class C-1 ADSs would lose any potential embedded value from a subsequent increase in the value of the Class A ADSs had such holders’ Class C-1 ADSs remained outstanding. None of the Class C-2 ADSs will be redeemable by Polestar (except as set forth in the Polestar Articles) so long as they are held by the GGI Sponsor or its permitted transferees. The Class A ADSs currently trade below $10.00; however, trading prior to the Class C ADSs becoming exercisable is not relevant to the Company’s ability to redeem the Class C-1 ADSs.</w:t>
      </w:r>
    </w:p>
    <w:p>
      <w:pPr>
        <w:spacing w:after="0" w:line="189" w:lineRule="exact"/>
        <w:rPr>
          <w:sz w:val="20"/>
          <w:szCs w:val="20"/>
          <w:color w:val="auto"/>
        </w:rPr>
      </w:pPr>
    </w:p>
    <w:p>
      <w:pPr>
        <w:ind w:left="120" w:right="380" w:firstLine="440"/>
        <w:spacing w:after="0" w:line="261" w:lineRule="auto"/>
        <w:rPr>
          <w:sz w:val="20"/>
          <w:szCs w:val="20"/>
          <w:color w:val="auto"/>
        </w:rPr>
      </w:pPr>
      <w:r>
        <w:rPr>
          <w:rFonts w:ascii="Times New Roman" w:cs="Times New Roman" w:eastAsia="Times New Roman" w:hAnsi="Times New Roman"/>
          <w:sz w:val="18"/>
          <w:szCs w:val="18"/>
          <w:color w:val="auto"/>
        </w:rPr>
        <w:t>In the event Polestar elects to redeem the outstanding Class C-1 ADSs, Polestar will fix a date for the redemption (the “Class C Redemption Date”) and provide notice of the redemption to be mailed by first class mail, postage prepaid by Polestar not less than 30 days prior to the Class C Redemption Date to the registered holders of the Class C-1 ADSs (who will, in turn, notify the beneficial holders thereof). For addition information regarding the Class C-2 ADSs and the Class C-1 ADSs, please see the applicable sections in the Polestar Articles.</w:t>
      </w:r>
    </w:p>
    <w:p>
      <w:pPr>
        <w:spacing w:after="0" w:line="284" w:lineRule="exact"/>
        <w:rPr>
          <w:sz w:val="20"/>
          <w:szCs w:val="20"/>
          <w:color w:val="auto"/>
        </w:rPr>
      </w:pPr>
    </w:p>
    <w:p>
      <w:pPr>
        <w:ind w:left="120"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Polestar may issue additional equity securities or convertible debt securities without the approval of the holders of the ADSs, which would dilute ownership interests and may depress the market price of the ADSs.</w:t>
      </w:r>
    </w:p>
    <w:p>
      <w:pPr>
        <w:spacing w:after="0" w:line="51" w:lineRule="exact"/>
        <w:rPr>
          <w:sz w:val="20"/>
          <w:szCs w:val="20"/>
          <w:color w:val="auto"/>
        </w:rPr>
      </w:pPr>
    </w:p>
    <w:p>
      <w:pPr>
        <w:ind w:left="120" w:right="540" w:firstLine="440"/>
        <w:spacing w:after="0" w:line="282" w:lineRule="auto"/>
        <w:rPr>
          <w:sz w:val="20"/>
          <w:szCs w:val="20"/>
          <w:color w:val="auto"/>
        </w:rPr>
      </w:pPr>
      <w:r>
        <w:rPr>
          <w:rFonts w:ascii="Times New Roman" w:cs="Times New Roman" w:eastAsia="Times New Roman" w:hAnsi="Times New Roman"/>
          <w:sz w:val="18"/>
          <w:szCs w:val="18"/>
          <w:color w:val="auto"/>
        </w:rPr>
        <w:t>Polestar will continue to require significant capital investment to support its business, and Polestar may issue additional equity securities or convertible debt securities of equal or senior rank in the future without approval of the holders of the ADSs in certain circumstances.</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Polestar’s issuance of additional equity securities or convertible debt securities of equal or senior rank may have the following effects:</w:t>
      </w:r>
    </w:p>
    <w:p>
      <w:pPr>
        <w:spacing w:after="0" w:line="27" w:lineRule="exact"/>
        <w:rPr>
          <w:sz w:val="20"/>
          <w:szCs w:val="20"/>
          <w:color w:val="auto"/>
        </w:rPr>
      </w:pPr>
    </w:p>
    <w:p>
      <w:pPr>
        <w:ind w:left="120" w:right="60" w:hanging="4"/>
        <w:spacing w:after="0" w:line="255" w:lineRule="auto"/>
        <w:tabs>
          <w:tab w:leader="none" w:pos="33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Polestar’s shareholders’ proportionate ownership interest in Polestar may decrease; (ii) the amount of cash available per share, including for payment of dividends in the future, may decrease; (iii) the relative voting power of each previously outstanding Class A ADS may be diminished; and (iv) the market price of ADSs may decline.</w:t>
      </w:r>
    </w:p>
    <w:p>
      <w:pPr>
        <w:spacing w:after="0" w:line="186" w:lineRule="exact"/>
        <w:rPr>
          <w:sz w:val="20"/>
          <w:szCs w:val="20"/>
          <w:color w:val="auto"/>
        </w:rPr>
      </w:pPr>
    </w:p>
    <w:p>
      <w:pPr>
        <w:ind w:left="120" w:right="140" w:firstLine="440"/>
        <w:spacing w:after="0" w:line="289" w:lineRule="auto"/>
        <w:rPr>
          <w:sz w:val="20"/>
          <w:szCs w:val="20"/>
          <w:color w:val="auto"/>
        </w:rPr>
      </w:pPr>
      <w:r>
        <w:rPr>
          <w:rFonts w:ascii="Times New Roman" w:cs="Times New Roman" w:eastAsia="Times New Roman" w:hAnsi="Times New Roman"/>
          <w:sz w:val="17"/>
          <w:szCs w:val="17"/>
          <w:color w:val="auto"/>
        </w:rPr>
        <w:t>Furthermore, it is anticipated that employees of Polestar and its subsidiaries will be granted equity awards under the Equity Plan and the Employee Stock Purchase Plan (each as defined below). Holders of ADSs will experience additional dilution when those equity awards become vested and settled or exercised, as applicable, for Company securities. See “Compensation—Compensation Arrangements after the Business Combination.”</w:t>
      </w:r>
    </w:p>
    <w:p>
      <w:pPr>
        <w:spacing w:after="0" w:line="2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and trading volume of the ADSs may be volatile and could decline significantly.</w:t>
      </w:r>
    </w:p>
    <w:p>
      <w:pPr>
        <w:spacing w:after="0" w:line="121" w:lineRule="exact"/>
        <w:rPr>
          <w:sz w:val="20"/>
          <w:szCs w:val="20"/>
          <w:color w:val="auto"/>
        </w:rPr>
      </w:pPr>
    </w:p>
    <w:p>
      <w:pPr>
        <w:ind w:left="120" w:right="300" w:firstLine="440"/>
        <w:spacing w:after="0" w:line="256" w:lineRule="auto"/>
        <w:rPr>
          <w:sz w:val="20"/>
          <w:szCs w:val="20"/>
          <w:color w:val="auto"/>
        </w:rPr>
      </w:pPr>
      <w:r>
        <w:rPr>
          <w:rFonts w:ascii="Times New Roman" w:cs="Times New Roman" w:eastAsia="Times New Roman" w:hAnsi="Times New Roman"/>
          <w:sz w:val="18"/>
          <w:szCs w:val="18"/>
          <w:color w:val="auto"/>
        </w:rPr>
        <w:t>The stock markets, including Nasdaq, on which Polestar has listed the Class A ADSs and the Class C-1 ADSs under the symbols “PSNY” and “PSNYW,” respectively, have from time to time experienced significant price and volume fluctuations. Even if an active, liquid and orderly trading market develops and is sustained for the ADSs, the market price of the ADSs may be volatile and could decline significantly. In addition, the trading volume in the ADSs may fluctuate and cause significant price variations to occur. If the market price of the ADSs declines significantly, you may be unable to resell your Company securities and ADSs at or above the market price of the ADSs as of the date of the consummation of the Business Combination. Polestar cannot</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120"/>
          </w:cols>
          <w:pgMar w:left="320" w:top="455" w:right="45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assure you that the market price of the ADSs will not fluctuate widely or decline significantly in the future in response to a number of factors, including, among others, the following:</w:t>
      </w:r>
    </w:p>
    <w:p>
      <w:pPr>
        <w:spacing w:after="0" w:line="67" w:lineRule="exact"/>
        <w:rPr>
          <w:sz w:val="20"/>
          <w:szCs w:val="20"/>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realization of any of the risk factors presented in this prospectus;</w:t>
      </w:r>
    </w:p>
    <w:p>
      <w:pPr>
        <w:spacing w:after="0" w:line="130"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differences in Polestar’s estimates, or in the estimates of analysts, for Polestar’s revenues, results of operations, level of indebtedness, liquidity or financial condition;</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and departures of key personnel;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comply with the requirements of Nasdaq;</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comply with the Sarbanes-Oxley Act or other laws or regulations;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issuances, sales, resales or repurchases or anticipated issuances, sales, resales or repurchases, of Company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publication of research reports about Polestar;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and market valuations of other similar companies;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commencement of, or involvement in, litigation involving Polestar;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broad disruptions in the financial markets, including sudden disruptions in the credit markets;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speculation in the press or investment community;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potential or perceived control, accounting or reporting problems;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principles, policies and guidelines; and</w:t>
      </w:r>
    </w:p>
    <w:p>
      <w:pPr>
        <w:spacing w:after="0" w:line="130" w:lineRule="exact"/>
        <w:rPr>
          <w:rFonts w:ascii="Times New Roman" w:cs="Times New Roman" w:eastAsia="Times New Roman" w:hAnsi="Times New Roman"/>
          <w:sz w:val="18"/>
          <w:szCs w:val="18"/>
          <w:color w:val="auto"/>
        </w:rPr>
      </w:pPr>
    </w:p>
    <w:p>
      <w:pPr>
        <w:ind w:left="1080" w:right="620" w:hanging="424"/>
        <w:spacing w:after="0" w:line="282" w:lineRule="auto"/>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events or factors, including those resulting from infectious diseases, health epidemics and pandemics (including the ongoing COVID-19 pandemic), natural disasters, war, acts of terrorism or responses to these events.</w:t>
      </w:r>
    </w:p>
    <w:p>
      <w:pPr>
        <w:spacing w:after="0" w:line="162" w:lineRule="exact"/>
        <w:rPr>
          <w:sz w:val="20"/>
          <w:szCs w:val="20"/>
          <w:color w:val="auto"/>
        </w:rPr>
      </w:pPr>
    </w:p>
    <w:p>
      <w:pPr>
        <w:jc w:val="both"/>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In the past, securities class-action litigation has often been instituted against companies following periods of volatility in the market price of their shares. This type of litigation could result in substantial costs and divert Polestar’s management’s attention and resources, which could have a material and adverse effect on Polestar.</w:t>
      </w:r>
    </w:p>
    <w:p>
      <w:pPr>
        <w:spacing w:after="0" w:line="280" w:lineRule="exact"/>
        <w:rPr>
          <w:sz w:val="20"/>
          <w:szCs w:val="20"/>
          <w:color w:val="auto"/>
        </w:rPr>
      </w:pPr>
    </w:p>
    <w:p>
      <w:pPr>
        <w:ind w:left="120"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Nasdaq may not continue to list the Class A ADSs and Class C-1 ADSs, which could limit investors’ ability to make transactions in the Company’s securities and subject the Company to additional trading restrictions.</w:t>
      </w:r>
    </w:p>
    <w:p>
      <w:pPr>
        <w:spacing w:after="0" w:line="51"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The Class A ADSs and Class C-1 ADSs are currently listed on Nasdaq. There can be no assurance that the Company will be able to comply with the continued listing standards of Nasdaq. If Nasdaq delists the Class A ADSs or Class C-1 ADSs from trading on its exchange for failure to meet the listing standards, holders of the Company’s securities could face significant material adverse consequences including:</w:t>
      </w:r>
    </w:p>
    <w:p>
      <w:pPr>
        <w:spacing w:after="0" w:line="81" w:lineRule="exact"/>
        <w:rPr>
          <w:sz w:val="20"/>
          <w:szCs w:val="20"/>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 availability of market quotations for the Company’s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liquidity for the Company’s securities;</w:t>
      </w:r>
    </w:p>
    <w:p>
      <w:pPr>
        <w:spacing w:after="0" w:line="130" w:lineRule="exact"/>
        <w:rPr>
          <w:rFonts w:ascii="Times New Roman" w:cs="Times New Roman" w:eastAsia="Times New Roman" w:hAnsi="Times New Roman"/>
          <w:sz w:val="18"/>
          <w:szCs w:val="18"/>
          <w:color w:val="auto"/>
        </w:rPr>
      </w:pPr>
    </w:p>
    <w:p>
      <w:pPr>
        <w:ind w:left="1080" w:right="420" w:hanging="424"/>
        <w:spacing w:after="0" w:line="282"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determination that the Class A ADSs are a “penny stock” which will require brokers trading in the Class A ADSs to adhere to more stringent rules and possibly result in a reduced level of trading activity in the secondary market for the Company’s securities;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 amount of news and analyst coverage;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decreased ability to issue additional securities or obtain additional financing in the future.</w:t>
      </w:r>
    </w:p>
    <w:p>
      <w:pPr>
        <w:spacing w:after="0" w:line="15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080"/>
          </w:cols>
          <w:pgMar w:left="320" w:top="455" w:right="49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right="1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securities being offered in this prospectus represent a substantial percentage of the outstanding Class A ADSs, and the sales of such securities, or the perception that these sales could occur, could cause the market price of the securities of the Company to decline significantly and certain Selling Securityholders still may receive significant proceeds.</w:t>
      </w:r>
    </w:p>
    <w:p>
      <w:pPr>
        <w:spacing w:after="0" w:line="67" w:lineRule="exact"/>
        <w:rPr>
          <w:sz w:val="20"/>
          <w:szCs w:val="20"/>
          <w:color w:val="auto"/>
        </w:rPr>
      </w:pPr>
    </w:p>
    <w:p>
      <w:pPr>
        <w:ind w:left="120" w:right="40" w:firstLine="440"/>
        <w:spacing w:after="0" w:line="252" w:lineRule="auto"/>
        <w:rPr>
          <w:sz w:val="20"/>
          <w:szCs w:val="20"/>
          <w:color w:val="auto"/>
        </w:rPr>
      </w:pPr>
      <w:r>
        <w:rPr>
          <w:rFonts w:ascii="Times New Roman" w:cs="Times New Roman" w:eastAsia="Times New Roman" w:hAnsi="Times New Roman"/>
          <w:sz w:val="18"/>
          <w:szCs w:val="18"/>
          <w:color w:val="auto"/>
        </w:rPr>
        <w:t>This prospectus relates to the offer and sale from time to time by the Selling Securityholders of up to (a) 2,228,977,574 Class A ADSs and (b) 9,000,000 Class C-2 ADSs. The Class A ADSs described in clause (a) of the prior sentence include (i) 294,877,349 Class A ADSs issued to Parent as merger consideration in connection with the Business Combination at an equity consideration value of $10.00 per share, (ii) up to 24,078,638 Class A ADSs which are issuable to Parent and, after the liquidation of Parent and the distribution of the securities held by Parent to its shareholders, the Parent Shareholders as earn out consideration (valued as $10.00 per Class A ADS at the time of the Business Combination) upon the achievement of certain price thresholds for the Class A ADSs, as further described in this prospectus, (iii) up to 1,776,332,546 Class A ADSs issuable upon conversion of Class B ADSs, including up to 134,098,971 Class B ADSs which are issuable to Parent and, after the liquidation of Parent and the distribution of the securities held by Parent to its shareholders, Parent Shareholders as earn out consideration (valued as $10.00 per Class B ADS at the time of the Business Combination) upon the achievement of certain price thresholds for the Class A ADSs, as further described in this prospectus, (iv) 18,459,165 Class A ADSs issued to the GGI Sponsor in connection with the Business Combination in exchange for the 18,459,165 shares of GGI Class F Common Stock that the GGI Sponsor initially purchased at $0.001 per share of GGI Class F Common Stock and that the GGI Sponsor retained after forfeiture of 1,540,835 shares of GGI Class F Common Stock; (v) 26,540,835 Class A ADSs issued to GGI Sponsor, the PIPE Investors and Snita pursuant to the Sponsor Subscription Agreement, the PIPE Subscription Agreements and the Volvo Cars PIPE Subscription Agreement, respectively, at an average cash price of $9.42 per Class A ADS, (vi) 58,882,610 Class A ADSs issued to Snita upon conversion of the Volvo Cars Preference Subscription Shares at the time of the Business Combination at a $10.00 conversion price, (vii) 4,306,466 Class A ADSs that were issued to Parent Convertible Note Holders upon conversion of the Parent Convertible Notes at the time of the Business Combination at a conversion price of $8.18, (viii) up to 500,000 Class A ADSs issuable to a service provider in exchange for the performance of marketing consulting services valued at up to $5,000,000, and (ix) up to 24,999,965 Class A ADSs issuable upon conversion of the Class C ADSs, including up to 9,000,000 Class A ADSs issuable upon conversion of the Class C-2 ADSs held by the GGI Sponsor. The prospectus also covers any additional securities that may become issuable by reason of share splits, share dividends or similar transactions.</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connection with the Business Combination, holders of 16,265,203 shares of GGI Class A Common Stock, or approximately 20.3% of the issued</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and outstanding shares of GGI Class A Common Stock, exercised their right to redeem their shares for cash at a redemption price of approximately</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$10.00 per share, for an aggregate redemption amount of approximately $162,652,030. The Resale Securities represent a substantial percentage of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total outstanding ADSs as of the date of this prospectus. The Class A ADSs being offered in this prospectus represent approximately 477.1% of our</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outstanding Class A ADSs, assuming the Earn Out Shares issuable pursuant to the Business Combination Agreement are not outstanding, or</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approximately 356.5% assuming they are outstanding and converted into Class A ADSs. Additionally, if all the Class C ADSs are exercised and all</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Class A ADSs are issued to a service provider in exchange for the performance of marketing consulting services, the Selling Securityholders would own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an additional 25,499,965 shares of Class A ADSs, representing an additional 5.5% of the total outstanding Class A ADSs. The sale of all the securities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being offered in this prospectus, or the perception that these sales could occur, could result in a significant decline in the public trading price of our</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securities. The frequency of such sales could also cause the market price of our securities to decline or increase the volatility in the market price of our</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securities. For example, certain lock-up restrictions entered into in connection with the Business Combination will expire 180 days following closing of</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Business Combination, or December 20, 2022, and sales by the GGI Sponsor, Parent or Snita could occur.</w:t>
      </w:r>
    </w:p>
    <w:p>
      <w:pPr>
        <w:spacing w:after="0" w:line="207"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Upon expiration or waiver of the applicable lock-up periods, and upon effectiveness of this registration statement, or upon satisfaction of the requirements of Rule 144 under the Securities Act, certain shareholders of Polestar may sell large amounts of Company securities and AD securities in the open market or in privately</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140"/>
          </w:cols>
          <w:pgMar w:left="320" w:top="455" w:right="4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340"/>
        <w:spacing w:after="0" w:line="282" w:lineRule="auto"/>
        <w:rPr>
          <w:sz w:val="20"/>
          <w:szCs w:val="20"/>
          <w:color w:val="auto"/>
        </w:rPr>
      </w:pPr>
      <w:r>
        <w:rPr>
          <w:rFonts w:ascii="Times New Roman" w:cs="Times New Roman" w:eastAsia="Times New Roman" w:hAnsi="Times New Roman"/>
          <w:sz w:val="18"/>
          <w:szCs w:val="18"/>
          <w:color w:val="auto"/>
        </w:rPr>
        <w:t>negotiated transactions, which could have the effect of increasing the volatility in or putting significant downward pressure on the price of ADSs. In addition, the issuance of any additional Company securities or ADSs may have an adverse effect on the market price of the ADSs.</w:t>
      </w:r>
    </w:p>
    <w:p>
      <w:pPr>
        <w:spacing w:after="0" w:line="162"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Polestar may issue up to an aggregate of 158,177,609 additional ADSs to Parent or, after its liquidation, to certain Parent Shareholders if certain stock price hurdles are achieved over a five-year period from the 180th day following the Closing. A significant decline in the public trading price of our Class A ADSs could result in no Earn Out Shares being issued. If Earn Out Shares are issued, the holders thereof may seek to sell some or all of Earn Out Shares, which sales or perception of potential sales could also depress the market price of the securities of the Company.</w:t>
      </w:r>
    </w:p>
    <w:p>
      <w:pPr>
        <w:spacing w:after="0" w:line="180" w:lineRule="exact"/>
        <w:rPr>
          <w:sz w:val="20"/>
          <w:szCs w:val="20"/>
          <w:color w:val="auto"/>
        </w:rPr>
      </w:pPr>
    </w:p>
    <w:p>
      <w:pPr>
        <w:ind w:left="120" w:right="40" w:firstLine="440"/>
        <w:spacing w:after="0" w:line="270" w:lineRule="auto"/>
        <w:rPr>
          <w:sz w:val="20"/>
          <w:szCs w:val="20"/>
          <w:color w:val="auto"/>
        </w:rPr>
      </w:pPr>
      <w:r>
        <w:rPr>
          <w:rFonts w:ascii="Times New Roman" w:cs="Times New Roman" w:eastAsia="Times New Roman" w:hAnsi="Times New Roman"/>
          <w:sz w:val="17"/>
          <w:szCs w:val="17"/>
          <w:color w:val="auto"/>
        </w:rPr>
        <w:t>Despite a significant decline in the public trading price of our securities, the Selling Securityholders may still experience a positive rate of return on the securities they purchased due to the differences in the purchase prices described above and the public trading price of our securities. Based on the closing price of our Class A ADSs of $6.27 as of September 22, 2022, upon the sale of our Class A ADSs, (a) Parent may experience a potential loss of up to $3.73 per Class A ADS, (b) GGI Sponsor, the PIPE Investors and Snita may experience a potential loss of up to $3.15 per Subscription Share,</w:t>
      </w:r>
    </w:p>
    <w:p>
      <w:pPr>
        <w:spacing w:after="0" w:line="3" w:lineRule="exact"/>
        <w:rPr>
          <w:sz w:val="20"/>
          <w:szCs w:val="20"/>
          <w:color w:val="auto"/>
        </w:rPr>
      </w:pPr>
    </w:p>
    <w:p>
      <w:pPr>
        <w:ind w:left="120" w:right="100" w:hanging="4"/>
        <w:spacing w:after="0" w:line="252" w:lineRule="auto"/>
        <w:tabs>
          <w:tab w:leader="none" w:pos="36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GGI Sponsor may experience a potential profit of approximately $6.27 per Class A ADS issued to the GGI Sponsor upon conversion of the shares of GGI Class F Common Stock, (d) Snita may experience a potential loss of up to $3.73 per Class A ADS issued to Snita upon conversion of the Volvo Cars Preference Subscription Shares, (e) the marketing consulting service provider may experience a potential loss of up to $3.73 per Class A ADS, and (f) Parent Convertible Note Holders may experience a potential loss of up to $1.91 per Class A ADS. Based on the closing price of our Class C-1 ADSs of $1.27 as of September 22, 2022, upon the sale of the Class C-2 ADSs, the GGI Sponsor may experience a potential loss of up to $0.73 per Class C-2 ADS.</w:t>
      </w:r>
    </w:p>
    <w:p>
      <w:pPr>
        <w:spacing w:after="0" w:line="2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Polestar’s management team has limited experience managing a public company.</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Most members of Polestar’s management team have limited experience managing a publicly traded company, interacting with public company investors and complying with the increasingly complex laws pertaining to public companies. Polestar’s management team may not successfully or efficiently manage Polestar’s transition to a public company subject to significant regulatory oversight and reporting obligations under the federal securities laws and the continuous scrutiny of securities analysts and investors. These new obligations and constituents will require significant attention from Polestar’s senior management and could divert their attention away from the day-to-day management of Polestar’s business, which could adversely affect its business, results of operations, cash flows and financial condition. In addition, Polestar expects to hire additional personnel to support its operations as a public company, which will increase its operating costs in future periods.</w:t>
      </w:r>
    </w:p>
    <w:p>
      <w:pPr>
        <w:spacing w:after="0" w:line="293" w:lineRule="exact"/>
        <w:rPr>
          <w:sz w:val="20"/>
          <w:szCs w:val="20"/>
          <w:color w:val="auto"/>
        </w:rPr>
      </w:pPr>
    </w:p>
    <w:p>
      <w:pPr>
        <w:ind w:left="120"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requirements of being a public company may strain Polestar’s resources and distract its management, which could make it difficult to manage its business.</w:t>
      </w:r>
    </w:p>
    <w:p>
      <w:pPr>
        <w:spacing w:after="0" w:line="51" w:lineRule="exact"/>
        <w:rPr>
          <w:sz w:val="20"/>
          <w:szCs w:val="20"/>
          <w:color w:val="auto"/>
        </w:rPr>
      </w:pPr>
    </w:p>
    <w:p>
      <w:pPr>
        <w:ind w:left="120" w:right="300" w:firstLine="440"/>
        <w:spacing w:after="0" w:line="266" w:lineRule="auto"/>
        <w:rPr>
          <w:sz w:val="20"/>
          <w:szCs w:val="20"/>
          <w:color w:val="auto"/>
        </w:rPr>
      </w:pPr>
      <w:r>
        <w:rPr>
          <w:rFonts w:ascii="Times New Roman" w:cs="Times New Roman" w:eastAsia="Times New Roman" w:hAnsi="Times New Roman"/>
          <w:sz w:val="18"/>
          <w:szCs w:val="18"/>
          <w:color w:val="auto"/>
        </w:rPr>
        <w:t>Polestar is required to comply with various regulatory and reporting requirements, including those required by the SEC. Complying with these reporting and other regulatory requirements are time-consuming and will continue to result in increased costs to Polestar and could have a negative effect on Polestar’s results of operations, financial condition or business.</w:t>
      </w:r>
    </w:p>
    <w:p>
      <w:pPr>
        <w:spacing w:after="0" w:line="176"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As a public company, Polestar is subject to the reporting requirements of the Exchange Act and the requirements of the Sarbanes-Oxley Act. These requirements may place a strain on Polestar’s systems and resources. The Exchange Act requires that Polestar file an annual report with respect to its business and financial condition. In addition, it intends to publish certain results on a quarterly basis as press releases, distributed pursuant to the rules and regulations of Nasdaq. Press releases relating to certain financial results and material events will also be furnished to the SEC on Form 6-K. The Sarbanes-Oxley Act requires that Polestar implement and maintain effective disclosure controls and procedures and internal controls over financial reporting. To</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120"/>
          </w:cols>
          <w:pgMar w:left="320" w:top="455" w:right="45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implement, maintain and improve the effectiveness of its disclosure controls and procedures, Polestar will need to commit and has committed significant resources, has hired and will continue to hire additional staff and has provided and will continue to provide additional management oversight. Polestar has implemented and will continue to implement additional procedures and processes for the purpose of addressing the standards and requirements applicable to public companies. Sustaining its growth also will require Polestar to commit additional management, operational and financial resources to identify new professionals to join it and to maintain appropriate operational and financial systems to adequately support expansion. These activities may divert management’s attention from other business concerns, which could have a material and adverse effect on Polestar’s results of operations, financial condition or business.</w:t>
      </w:r>
    </w:p>
    <w:p>
      <w:pPr>
        <w:spacing w:after="0" w:line="189" w:lineRule="exact"/>
        <w:rPr>
          <w:sz w:val="20"/>
          <w:szCs w:val="20"/>
          <w:color w:val="auto"/>
        </w:rPr>
      </w:pPr>
    </w:p>
    <w:p>
      <w:pPr>
        <w:ind w:left="120" w:right="220" w:firstLine="440"/>
        <w:spacing w:after="0" w:line="261" w:lineRule="auto"/>
        <w:rPr>
          <w:sz w:val="20"/>
          <w:szCs w:val="20"/>
          <w:color w:val="auto"/>
        </w:rPr>
      </w:pPr>
      <w:r>
        <w:rPr>
          <w:rFonts w:ascii="Times New Roman" w:cs="Times New Roman" w:eastAsia="Times New Roman" w:hAnsi="Times New Roman"/>
          <w:sz w:val="18"/>
          <w:szCs w:val="18"/>
          <w:color w:val="auto"/>
        </w:rPr>
        <w:t>Polestar’s independent registered public accounting firm will not be required to formally attest to the effectiveness of the combined company’s internal control over financial reporting until its second annual report. Polestar has identified material weaknesses in its internal control over financial reporting related to not maintaining an effective control environment and cannot assure you that there will not be material weaknesses or significant deficiencies in its internal controls in the future.</w:t>
      </w:r>
    </w:p>
    <w:p>
      <w:pPr>
        <w:spacing w:after="0" w:line="180"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Polestar expects to incur additional expenses and devote increased management effort toward ensuring compliance with the applicable regulations. Polestar cannot predict or estimate the amount of additional costs Polestar may incur as a result of becoming a public company or the timing of such costs.</w:t>
      </w:r>
    </w:p>
    <w:p>
      <w:pPr>
        <w:spacing w:after="0" w:line="280" w:lineRule="exact"/>
        <w:rPr>
          <w:sz w:val="20"/>
          <w:szCs w:val="20"/>
          <w:color w:val="auto"/>
        </w:rPr>
      </w:pPr>
    </w:p>
    <w:p>
      <w:pPr>
        <w:ind w:left="120" w:right="5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Polestar is a foreign private issuer within the meaning of the rules under the Exchange Act and, as such, it is exempt from certain provisions applicable to United States domestic public companies.</w:t>
      </w:r>
    </w:p>
    <w:p>
      <w:pPr>
        <w:spacing w:after="0" w:line="51" w:lineRule="exact"/>
        <w:rPr>
          <w:sz w:val="20"/>
          <w:szCs w:val="20"/>
          <w:color w:val="auto"/>
        </w:rPr>
      </w:pPr>
    </w:p>
    <w:p>
      <w:pPr>
        <w:ind w:left="120" w:right="40" w:firstLine="440"/>
        <w:spacing w:after="0" w:line="270" w:lineRule="auto"/>
        <w:rPr>
          <w:sz w:val="20"/>
          <w:szCs w:val="20"/>
          <w:color w:val="auto"/>
        </w:rPr>
      </w:pPr>
      <w:r>
        <w:rPr>
          <w:rFonts w:ascii="Times New Roman" w:cs="Times New Roman" w:eastAsia="Times New Roman" w:hAnsi="Times New Roman"/>
          <w:sz w:val="17"/>
          <w:szCs w:val="17"/>
          <w:color w:val="auto"/>
        </w:rPr>
        <w:t>Because Polestar qualifies as a foreign private issuer under the Exchange Act, it is exempt from certain provisions of the securities rules and regulations in the United States that are applicable to U.S. domestic issuers, including: (i) the rules under the Exchange Act requiring the filing with the SEC of quarterly reports on Form 10-Q, quarterly certifications by the principal executive and financial officers or current reports on Form 8-K; (ii) the sections of the Exchange Act regulating the solicitation of proxies, consents or authorizations in respect of a security registered under the Exchange Act;</w:t>
      </w:r>
    </w:p>
    <w:p>
      <w:pPr>
        <w:spacing w:after="0" w:line="3" w:lineRule="exact"/>
        <w:rPr>
          <w:sz w:val="20"/>
          <w:szCs w:val="20"/>
          <w:color w:val="auto"/>
        </w:rPr>
      </w:pPr>
    </w:p>
    <w:p>
      <w:pPr>
        <w:ind w:left="120" w:right="40" w:hanging="4"/>
        <w:spacing w:after="0" w:line="255" w:lineRule="auto"/>
        <w:tabs>
          <w:tab w:leader="none" w:pos="43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sections of the Exchange Act requiring insiders to file public reports of their stock ownership and trading activities and liability for insiders who profit from trades made in a short period of time; and (iv) the selective disclosure rules by issuers of material nonpublic information under Regulation FD.</w:t>
      </w:r>
    </w:p>
    <w:p>
      <w:pPr>
        <w:spacing w:after="0" w:line="186" w:lineRule="exact"/>
        <w:rPr>
          <w:sz w:val="20"/>
          <w:szCs w:val="20"/>
          <w:color w:val="auto"/>
        </w:rPr>
      </w:pPr>
    </w:p>
    <w:p>
      <w:pPr>
        <w:ind w:left="120" w:right="160" w:firstLine="440"/>
        <w:spacing w:after="0" w:line="255" w:lineRule="auto"/>
        <w:rPr>
          <w:sz w:val="20"/>
          <w:szCs w:val="20"/>
          <w:color w:val="auto"/>
        </w:rPr>
      </w:pPr>
      <w:r>
        <w:rPr>
          <w:rFonts w:ascii="Times New Roman" w:cs="Times New Roman" w:eastAsia="Times New Roman" w:hAnsi="Times New Roman"/>
          <w:sz w:val="18"/>
          <w:szCs w:val="18"/>
          <w:color w:val="auto"/>
        </w:rPr>
        <w:t>Polestar is required to file an annual report on Form 20-F within four months of the end of each fiscal year. In addition, it intends to publish its results on a quarterly basis as press releases, distributed pursuant to the rules and regulations of Nasdaq. Press releases relating to financial results and material events will also be furnished to the SEC on Form 6-K. However, the information Polestar is required to file with or furnish to the SEC is less extensive and less timely compared to that required to be filed with the SEC by U.S. domestic issuers. For example, U.S. domestic issuers are required to file annual reports within 60 to 90 days from the end of each fiscal year. As a result, there may be less publicly available information concerning Polestar’s business than there would be if Polestar were a U.S. public company, and you may not be afforded the same protections or information that would be made available to you were you investing in a U.S. domestic issuer.</w:t>
      </w:r>
    </w:p>
    <w:p>
      <w:pPr>
        <w:spacing w:after="0" w:line="293" w:lineRule="exact"/>
        <w:rPr>
          <w:sz w:val="20"/>
          <w:szCs w:val="20"/>
          <w:color w:val="auto"/>
        </w:rPr>
      </w:pPr>
    </w:p>
    <w:p>
      <w:pPr>
        <w:ind w:left="120"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As Polestar is a foreign private issuer and follows certain home country corporate governance practices, its shareholders may not have the same protections afforded to shareholders of companies that are subject to all of Nasdaq’s corporate governance requirements.</w:t>
      </w:r>
    </w:p>
    <w:p>
      <w:pPr>
        <w:spacing w:after="0" w:line="51" w:lineRule="exact"/>
        <w:rPr>
          <w:sz w:val="20"/>
          <w:szCs w:val="20"/>
          <w:color w:val="auto"/>
        </w:rPr>
      </w:pPr>
    </w:p>
    <w:p>
      <w:pPr>
        <w:jc w:val="both"/>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As a foreign private issuer, Polestar is subject to different U.S. securities laws than domestic U.S. issuers. As long as Polestar continues to qualify as a foreign private issuer under the Exchange Act, Polestar is exempt from certain provisions of the Exchange Act that are applicable to U.S. domestic public companies, including:</w:t>
      </w:r>
    </w:p>
    <w:p>
      <w:pPr>
        <w:spacing w:after="0" w:line="81" w:lineRule="exact"/>
        <w:rPr>
          <w:sz w:val="20"/>
          <w:szCs w:val="20"/>
          <w:color w:val="auto"/>
        </w:rPr>
      </w:pPr>
    </w:p>
    <w:p>
      <w:pPr>
        <w:ind w:left="1080" w:right="160" w:hanging="424"/>
        <w:spacing w:after="0" w:line="282"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sections of the Exchange Act regulating the solicitation of proxies, consents or authorizations in respect of a security registered under the Exchange Act;</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120"/>
          </w:cols>
          <w:pgMar w:left="320" w:top="455" w:right="45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right="340" w:hanging="424"/>
        <w:spacing w:after="0" w:line="282" w:lineRule="auto"/>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sections of the Exchange Act requiring insiders to file public reports of their stock ownership and trading activities and liability for insiders who profit from trades made in a short period of time; and</w:t>
      </w:r>
    </w:p>
    <w:p>
      <w:pPr>
        <w:spacing w:after="0" w:line="67"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rules under the Exchange Act requiring the filing with the SEC of quarterly reports on Form 10-Q containing unaudited financial and other specified information, or current reports on Form 8-K, upon the occurrence of specified significant events.</w:t>
      </w:r>
    </w:p>
    <w:p>
      <w:pPr>
        <w:spacing w:after="0" w:line="162" w:lineRule="exact"/>
        <w:rPr>
          <w:sz w:val="20"/>
          <w:szCs w:val="20"/>
          <w:color w:val="auto"/>
        </w:rPr>
      </w:pPr>
    </w:p>
    <w:p>
      <w:pPr>
        <w:jc w:val="both"/>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In addition, Polestar is not required to file annual reports and financial statements with the SEC as promptly as U.S. domestic companies whose securities are registered under the Exchange Act, and is not required to comply with Regulation FD, which restricts the selective disclosure of material information.</w:t>
      </w:r>
    </w:p>
    <w:p>
      <w:pPr>
        <w:spacing w:after="0" w:line="176" w:lineRule="exact"/>
        <w:rPr>
          <w:sz w:val="20"/>
          <w:szCs w:val="20"/>
          <w:color w:val="auto"/>
        </w:rPr>
      </w:pPr>
    </w:p>
    <w:p>
      <w:pPr>
        <w:ind w:left="120" w:right="280" w:firstLine="440"/>
        <w:spacing w:after="0" w:line="261" w:lineRule="auto"/>
        <w:rPr>
          <w:sz w:val="20"/>
          <w:szCs w:val="20"/>
          <w:color w:val="auto"/>
        </w:rPr>
      </w:pPr>
      <w:r>
        <w:rPr>
          <w:rFonts w:ascii="Times New Roman" w:cs="Times New Roman" w:eastAsia="Times New Roman" w:hAnsi="Times New Roman"/>
          <w:sz w:val="18"/>
          <w:szCs w:val="18"/>
          <w:color w:val="auto"/>
        </w:rPr>
        <w:t>Further, Polestar is exempt from certain corporate governance requirements of Nasdaq by virtue of being a foreign private issuer. Although the foreign private issuer status exempts Polestar from most of Nasdaq’s corporate governance requirements, Polestar has decided to voluntarily comply with these requirements, except for the requirement to have a compensation committee and a nominating and corporate governance committee consisting entirely of independent directors.</w:t>
      </w:r>
    </w:p>
    <w:p>
      <w:pPr>
        <w:spacing w:after="0" w:line="180"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Furthermore, Nasdaq rules also generally require each listed company to obtain shareholder approval prior to the issuance of securities in certain circumstances in connection with the acquisition of the stock or assets of another company, equity based compensation of officers, directors, employees or consultants, change of control and certain transactions other than a public offering. As a foreign private issuer, Polestar is exempt from these requirements and may elect not to obtain shareholders’ approval prior to any further issuance of our Class A ADSs other than as may be required by the laws of England and Wales.</w:t>
      </w:r>
    </w:p>
    <w:p>
      <w:pPr>
        <w:spacing w:after="0" w:line="183"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Subject to requirements under the Polestar Articles and Shareholder Acknowledgment Agreement that the Board be comprised of a majority of independent directors for the three years following the Closing, Polestar may in the future elect to avail itself of these exemptions or to follow home country practices with regard to other matters. As a result, its shareholders will not have the same protections afforded to shareholders of companies that are subject to all of Nasdaq’s corporate governance requirements.</w:t>
      </w:r>
    </w:p>
    <w:p>
      <w:pPr>
        <w:spacing w:after="0" w:line="180" w:lineRule="exact"/>
        <w:rPr>
          <w:sz w:val="20"/>
          <w:szCs w:val="20"/>
          <w:color w:val="auto"/>
        </w:rPr>
      </w:pPr>
    </w:p>
    <w:p>
      <w:pPr>
        <w:ind w:left="120" w:right="480" w:firstLine="440"/>
        <w:spacing w:after="0" w:line="282" w:lineRule="auto"/>
        <w:rPr>
          <w:sz w:val="20"/>
          <w:szCs w:val="20"/>
          <w:color w:val="auto"/>
        </w:rPr>
      </w:pPr>
      <w:r>
        <w:rPr>
          <w:rFonts w:ascii="Times New Roman" w:cs="Times New Roman" w:eastAsia="Times New Roman" w:hAnsi="Times New Roman"/>
          <w:sz w:val="18"/>
          <w:szCs w:val="18"/>
          <w:color w:val="auto"/>
        </w:rPr>
        <w:t>Further, by virtue of being a controlled company under Nasdaq listing rules, Polestar may elect not to comply with certain Nasdaq corporate governance requirements, including that:</w:t>
      </w:r>
    </w:p>
    <w:p>
      <w:pPr>
        <w:spacing w:after="0" w:line="67" w:lineRule="exact"/>
        <w:rPr>
          <w:sz w:val="20"/>
          <w:szCs w:val="20"/>
          <w:color w:val="auto"/>
        </w:rPr>
      </w:pPr>
    </w:p>
    <w:p>
      <w:pPr>
        <w:ind w:left="1080" w:right="600" w:hanging="424"/>
        <w:spacing w:after="0" w:line="266" w:lineRule="auto"/>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majority of the board of directors consist of independent directors (however, pursuant to the Polestar Articles and Shareholder Acknowledgment Agreement, for the three years following the Closing, the Board must be comprised of a majority of independent directors);</w:t>
      </w:r>
    </w:p>
    <w:p>
      <w:pPr>
        <w:spacing w:after="0" w:line="81"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compensation committee be composed entirely of independent directors with a written charter addressing the committee’s purpose and responsibilities;</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nominating and governance committee be composed entirely of independent directors with a written charter addressing the committee’s purpose and responsibilities;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be an annual performance evaluation of the compensation and nominating and corporate governance committees.</w:t>
      </w:r>
    </w:p>
    <w:p>
      <w:pPr>
        <w:spacing w:after="0" w:line="225"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Other than as specified above, Polestar may in the future elect to avail itself of these exemptions. As a result, its shareholders will not have the same protections afforded to shareholders of companies that are subject to all of Nasdaq’s corporate governance requirements.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Polestar may lose its foreign private issuer status in the future, which could result in significant additional costs and expenses.</w:t>
      </w:r>
    </w:p>
    <w:p>
      <w:pPr>
        <w:spacing w:after="0" w:line="121"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As discussed above, Polestar is a foreign private issuer, and therefore will not be required to comply with all of the periodic disclosure and current reporting requirements of the Exchange Act and may take advantage of</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120"/>
          </w:cols>
          <w:pgMar w:left="320" w:top="455" w:right="45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certain exemptions to Nasdaq’s corporate governance rules. The determination of foreign private issuer status is made annually on the last business day of an issuer’s most recently completed second fiscal quarter, and, accordingly, the next determination will be made with respect to Polestar on June 30, 2022. In the future, Polestar would lose its foreign private issuer status if (i) more than 50% of its outstanding voting securities are owned by U.S. residents and (ii) a majority of its directors or executive officers are U.S. citizens or residents, or it fails to meet additional requirements necessary to avoid loss of foreign private issuer status. If Polestar loses its foreign private issuer status, it will be required to file with the SEC periodic reports and registration statements on U.S. domestic issuer forms, which are more detailed and extensive than the forms available to a foreign private issuer. Polestar would also have to mandatorily comply with U.S. federal proxy requirements, and its officers, directors and principal shareholders will become subject to the short-swing profit disclosure and recovery provisions of Section 16 of the Exchange Act. In addition, it would lose its ability to rely upon exemptions from certain corporate governance requirements under the listing rules of Nasdaq. As an U.S. listed public company that is not a foreign private issuer, Polestar would incur significant additional legal, accounting and other expenses that it will not incur as a foreign private issuer.</w:t>
      </w:r>
    </w:p>
    <w:p>
      <w:pPr>
        <w:spacing w:after="0" w:line="194"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If Polestar no longer qualifies as a foreign private issuer, it may be eligible to take advantage of exemptions from Nasdaq’s corporate governance standards if it continues to qualify as a “controlled company.” Under these rules, a company of which more than 50% of the voting power for the election of directors is held by an individual, a group or another company is a “controlled company.” Without giving effect to any issuance of Earn Out Shares and assuming no conversion of the Class C ADSs, Parent (of which 42.7% is owned by PSD Investment Limited and 48.8% is owned by Volvo Cars) and its affiliates beneficially hold approximately 99.3% of the outstanding voting power of Shares. Mr. Li Shufu controls PSD Investment Limited and directly or indirectly owns approximately 91.9% of equity interests in Geely, which owns approximately 82.0% of equity interests in Volvo Cars. Therefore, Mr. Li Shufu, as a controlling equity interest holder in Geely and PSD Investment Limited, effectively controls Parent, and beneficially holds approximately 99.3% of the outstanding voting power of Shares. In addition, under the terms of the Volvo Cars Preference Subscription Agreement, Snita, a wholly-owned subsidiary of Volvo Cars, purchased, substantially concurrently with the Closing, Preference Shares. As of the date hereof, all of the Preference Shares have converted into Class A ADSs, in accordance with, and subject to, the terms of the Preference Shares. As a result, Polestar is a “controlled company” within the meaning of Nasdaq rules, which permit a “controlled company” to elect not to comply with certain corporate governance requirements, including:</w:t>
      </w:r>
    </w:p>
    <w:p>
      <w:pPr>
        <w:spacing w:after="0" w:line="95" w:lineRule="exact"/>
        <w:rPr>
          <w:sz w:val="20"/>
          <w:szCs w:val="20"/>
          <w:color w:val="auto"/>
        </w:rPr>
      </w:pPr>
    </w:p>
    <w:p>
      <w:pPr>
        <w:ind w:left="1080" w:right="320" w:hanging="424"/>
        <w:spacing w:after="0" w:line="266" w:lineRule="auto"/>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that a majority of its board of directors consist of independent directors (however, pursuant to the Polestar Articles and Shareholder Acknowledgment Agreement, for the three years following the Closing, the Board must be comprised of a majority of independent directors);</w:t>
      </w:r>
    </w:p>
    <w:p>
      <w:pPr>
        <w:spacing w:after="0" w:line="81" w:lineRule="exact"/>
        <w:rPr>
          <w:rFonts w:ascii="Times New Roman" w:cs="Times New Roman" w:eastAsia="Times New Roman" w:hAnsi="Times New Roman"/>
          <w:sz w:val="18"/>
          <w:szCs w:val="18"/>
          <w:color w:val="auto"/>
        </w:rPr>
      </w:pPr>
    </w:p>
    <w:p>
      <w:pPr>
        <w:ind w:left="1080" w:right="440" w:hanging="424"/>
        <w:spacing w:after="0" w:line="266" w:lineRule="auto"/>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that compensation of its executive officers be determined by a majority of the independent directors of the board or a compensation committee comprised solely of independent directors with a written charter addressing the committee’s purpose and responsibilities; and</w:t>
      </w:r>
    </w:p>
    <w:p>
      <w:pPr>
        <w:spacing w:after="0" w:line="81" w:lineRule="exact"/>
        <w:rPr>
          <w:rFonts w:ascii="Times New Roman" w:cs="Times New Roman" w:eastAsia="Times New Roman" w:hAnsi="Times New Roman"/>
          <w:sz w:val="18"/>
          <w:szCs w:val="18"/>
          <w:color w:val="auto"/>
        </w:rPr>
      </w:pPr>
    </w:p>
    <w:p>
      <w:pPr>
        <w:ind w:left="1080" w:right="440" w:hanging="424"/>
        <w:spacing w:after="0" w:line="266" w:lineRule="auto"/>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that director nominees be selected, or recommended for the board’s selection, either by a majority of the independent directors of the board or a nominating committee comprised solely of independent directors with a written charter addressing the committee’s purpose and responsibilities.</w:t>
      </w:r>
    </w:p>
    <w:p>
      <w:pPr>
        <w:spacing w:after="0" w:line="176"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Other than as specified above, Polestar may in the future elect to avail itself of these exemptions. As a result, its shareholders will not have the same protections afforded to shareholders of companies that are subject to all of Nasdaq’s corporate governance requirements.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120"/>
          </w:cols>
          <w:pgMar w:left="320" w:top="455" w:right="45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right="5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Polestar has identified material weaknesses in its internal control over financial reporting. If Polestar is unable to remediate these material weaknesses or identifies additional material weaknesses, it could lead to errors in Polestar’s financial reporting, which could adversely affect Polestar’s business and the market price of the ADSs.</w:t>
      </w:r>
    </w:p>
    <w:p>
      <w:pPr>
        <w:spacing w:after="0" w:line="67"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As a private company, Polestar has not been required to document and test its internal controls over financial reporting nor has management been required to certify the effectiveness of its internal controls and its auditors have not been required to opine on the effectiveness of its internal control over financial reporting. Polestar is subject to the internal control over financial reporting requirements established pursuant to the Sarbanes-Oxley Act and will become subject to the auditor attestation requirements in the year in which it files its second annual report. Polestar may not be able to complete its evaluation, testing and any required remediation in a timely fashion. In addition, Polestar’s current controls and any new controls that it or Polestar develops may become inadequate because of poor design and changes in its business, including increased complexity resulting from any international expansion. Any failure to implement and maintain effective internal controls over financial reporting could adversely affect the results of assessments by its independent registered public accounting firm and its attestation reports.</w:t>
      </w:r>
    </w:p>
    <w:p>
      <w:pPr>
        <w:spacing w:after="0" w:line="192"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Polestar has identified material weaknesses in its internal control over financial reporting. Consequently, Polestar may not be able to detect errors timely, Polestar’s financial statements could be misstated, Polestar could be subject to regulatory scrutiny and a loss of confidence by stakeholders, which could harm Polestar’s business and adversely affect the market price of ADSs.</w:t>
      </w:r>
    </w:p>
    <w:p>
      <w:pPr>
        <w:spacing w:after="0" w:line="280" w:lineRule="exact"/>
        <w:rPr>
          <w:sz w:val="20"/>
          <w:szCs w:val="20"/>
          <w:color w:val="auto"/>
        </w:rPr>
      </w:pPr>
    </w:p>
    <w:p>
      <w:pPr>
        <w:ind w:left="120"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Polestar has identified material weaknesses in its internal control over financial reporting. If Polestar fails to develop and maintain an effective system of internal control over financial reporting, it may be unable to accurately report its financial results or prevent fraud.</w:t>
      </w:r>
    </w:p>
    <w:p>
      <w:pPr>
        <w:spacing w:after="0" w:line="51"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In the course of auditing the Polestar Automotive Holding Limited’s financial statements as of and for the years ended December 31, 2021 and 2020, the Polestar Automotive Holding Limited and its independent registered public accounting firm identified material weaknesses in the Polestar Automotive Holding Limited’s internal control over financial reporting as well as other control deficiencies. As defined in standards established by the PCAOB, a “material weakness” is a deficiency, or a combination of deficiencies, in internal control over financial reporting, such that there is a reasonable possibility that a material misstatement of the Polestar Automotive Holding Limited’s annual or interim financial statements will not be prevented or detected on a timely basis. As of December 31, 2020, the material weaknesses identified relate to Polestar failing to design and maintain an effective control environment with the appropriate associated control activities, including over its IT environment, as evidenced by internal controls that were not formalized and lacked evidence of review. In addition, the accounting department does not have a sufficient number of personnel with SEC technical accounting expertise to perform supervisory reviews and monitor activities over financial reporting matters and controls. Remediation of this material weakness is ongoing and management has determined there is still a material weakness as of December 31, 2021. Further, as of December 31, 2021, Polestar does not have the appropriate process and controls to recognize revenue in accordance with agreements with customers. Moreover, Polestar does not have the appropriate process and controls to properly recognize intangible assets at period end in accordance with their service agreement for the upcoming Polestar 4 model.</w:t>
      </w:r>
    </w:p>
    <w:p>
      <w:pPr>
        <w:spacing w:after="0" w:line="187"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As a result, the Polestar Group is in the process of designing and implementing the following measures to strengthen its SEC financial reporting capabilities and its internal audit function:</w:t>
      </w:r>
    </w:p>
    <w:p>
      <w:pPr>
        <w:spacing w:after="0" w:line="67" w:lineRule="exact"/>
        <w:rPr>
          <w:sz w:val="20"/>
          <w:szCs w:val="20"/>
          <w:color w:val="auto"/>
        </w:rPr>
      </w:pPr>
    </w:p>
    <w:p>
      <w:pPr>
        <w:ind w:left="1080" w:right="220" w:hanging="532"/>
        <w:spacing w:after="0" w:line="282" w:lineRule="auto"/>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Polestar Group will continue to hire additional accounting and finance resources with appropriate technical accounting and reporting experience to execute key controls related to various financial reporting processes;</w:t>
      </w:r>
    </w:p>
    <w:p>
      <w:pPr>
        <w:spacing w:after="0" w:line="67" w:lineRule="exact"/>
        <w:rPr>
          <w:rFonts w:ascii="Times New Roman" w:cs="Times New Roman" w:eastAsia="Times New Roman" w:hAnsi="Times New Roman"/>
          <w:sz w:val="18"/>
          <w:szCs w:val="18"/>
          <w:color w:val="auto"/>
        </w:rPr>
      </w:pPr>
    </w:p>
    <w:p>
      <w:pPr>
        <w:ind w:left="1080" w:right="200" w:hanging="532"/>
        <w:spacing w:after="0" w:line="282" w:lineRule="auto"/>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Polestar Group will continue to document, evaluate, remediate and test internal controls over financial reporting, including those that operate at a sufficient level of precision and frequency or that evidence the performance of the control; and</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120"/>
          </w:cols>
          <w:pgMar w:left="320" w:top="455" w:right="45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right="380" w:hanging="532"/>
        <w:spacing w:after="0" w:line="282" w:lineRule="auto"/>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Polestar Group will assess existing entity-level controls and information technology general controls and, as necessary, design and implement enhancements to such controls.</w:t>
      </w:r>
    </w:p>
    <w:p>
      <w:pPr>
        <w:spacing w:after="0" w:line="162"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All internal control systems, no matter how well designed, have inherent limitations including the possibility of human error and the circumvention or overriding of controls. Further, because of changes in conditions, the effectiveness of internal controls may vary over time. Projections of any evaluation of effectiveness to future periods are subject to the risk that controls may become inadequate because of changes in conditions, or that the degree of compliance with the policies or procedures may deteriorate. Accordingly, even those systems determined to be effective can provide only reasonable assurance with respect to financial statement preparation and presentation.</w:t>
      </w:r>
    </w:p>
    <w:p>
      <w:pPr>
        <w:spacing w:after="0" w:line="183"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The Polestar Group cannot be certain that these measures will successfully remediate the material weakness or that other material weaknesses will not be discovered in the future. If the Polestar Group’s efforts are not successful or other material weaknesses or control deficiencies occur in the future, the Polestar Group may be unable to report its financial results accurately on a timely basis or help prevent fraud, which could cause its reported financial results to be materially misstated and result in the loss of investor confidence or delisting and cause the market price of Polestar’s AD securities to decline. In addition, it could in turn limit Polestar’s access to capital markets, harm its results of operations and lead to a decline in the trading price of Polestar’s securities. Additionally, ineffective internal control over financial reporting could expose it to increased risk of fraud or misuse of corporate assets and subject it to potential delisting from the stock exchange on which Polestar lists, regulatory investigations and civil or criminal sanctions. Polestar may also be required to restate its financial statements from prior periods.</w:t>
      </w:r>
    </w:p>
    <w:p>
      <w:pPr>
        <w:spacing w:after="0" w:line="192"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Polestar is a public limited company incorporated under the laws of England and Wales and as a U.S. public company is subject to the Sarbanes-Oxley Act. Section 404 of the Sarbanes-Oxley Act requires public companies to include a report of management on its internal control over financial reporting in certain of its filings. In addition, when Polestar files its second annual report, its independent registered public accounting firm must attest to and report on the effectiveness of Polestar’s internal control over financial reporting. Polestar’s management may conclude that its internal control over financial reporting is not effective. Moreover, even if Polestar’s management concludes that its internal control over financial reporting is effective, its independent registered public accounting firm, after conducting such public accounting firm’s own independent testing, may issue a report that is qualified if it is not satisfied with Polestar’s internal controls or the level at which its controls are documented, designed, operated or reviewed, or if such public accounting firm interprets the relevant requirements differently from Polestar. In addition, after Polestar becomes a public company, its reporting obligations may place a significant strain on its management, operational and financial resources and systems for the foreseeable future. Polestar may be unable to timely complete its evaluation testing and any required remediation.</w:t>
      </w:r>
    </w:p>
    <w:p>
      <w:pPr>
        <w:spacing w:after="0" w:line="194"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During the course of documenting and testing its internal control procedures, in order to satisfy the requirements of Section 404 of the Sarbanes-Oxley Act, Polestar may identify other weaknesses and deficiencies in its internal control over financial reporting. In addition, if Polestar fails to maintain the adequacy of its internal control over financial reporting, as these standards are modified, supplemented or amended from time to time, it may not be able to conclude on an ongoing basis that it has effective internal control over financial reporting in accordance with Section 404 of the Sarbanes-Oxley Act. Generally, if Polestar fails to achieve and maintain an effective internal control environment, it could suffer material misstatements in its financial statements and fail to meet its reporting obligations, which would likely cause investors to lose confidence in its reported financial information. This could in turn limit Polestar’s access to capital markets, and harm its results of operations. Additionally, ineffective internal control over financial reporting could expose Polestar to increased risk of fraud or misuse of corporate assets and subject it to potential delisting from the stock exchange on which it lists, regulatory investigations and civil or criminal sanctions.</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120"/>
          </w:cols>
          <w:pgMar w:left="320" w:top="455" w:right="45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Polestar’s dual-class voting structure may limit your ability to influence corporate matters and could discourage others from pursuing any change of control transactions that holders of the Company securities or ADSs may view as beneficial.</w:t>
      </w:r>
    </w:p>
    <w:p>
      <w:pPr>
        <w:spacing w:after="0" w:line="51"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Polestar’s authorized and issued ordinary shares are divided into Class A Shares and Class B Shares. Each Class A Share is entitled to one vote, while each Class B Share is entitled to 10 votes. Only the Class A ADSs, which represent an underlying Class A Share, are listed and traded on Nasdaq, and Polestar intends to maintain the dual-class voting structure.</w:t>
      </w:r>
    </w:p>
    <w:p>
      <w:pPr>
        <w:spacing w:after="0" w:line="176" w:lineRule="exact"/>
        <w:rPr>
          <w:sz w:val="20"/>
          <w:szCs w:val="20"/>
          <w:color w:val="auto"/>
        </w:rPr>
      </w:pPr>
    </w:p>
    <w:p>
      <w:pPr>
        <w:ind w:left="120" w:right="320" w:firstLine="440"/>
        <w:spacing w:after="0" w:line="261" w:lineRule="auto"/>
        <w:rPr>
          <w:sz w:val="20"/>
          <w:szCs w:val="20"/>
          <w:color w:val="auto"/>
        </w:rPr>
      </w:pPr>
      <w:r>
        <w:rPr>
          <w:rFonts w:ascii="Times New Roman" w:cs="Times New Roman" w:eastAsia="Times New Roman" w:hAnsi="Times New Roman"/>
          <w:sz w:val="18"/>
          <w:szCs w:val="18"/>
          <w:color w:val="auto"/>
        </w:rPr>
        <w:t>Parent and its affiliates hold all of the outstanding Class B Shares and have control of the voting power of all outstanding Class B Shares. As a result, without giving effect to Class C Shares, any issuance of Earn Out Shares and assuming no conversion of the Class C ADSs, Parent and its affiliates control approximately 99.3% of the total voting power of all issued and outstanding Shares voting together as a single class, even though Parent only owns approximately 94.6% of outstanding Shares.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U.K. City Code on Takeovers and Mergers, or the Takeover Code, may apply to Polestar.</w:t>
      </w:r>
    </w:p>
    <w:p>
      <w:pPr>
        <w:spacing w:after="0" w:line="121"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The Takeover Code applies, among other things, to an offer for a public company whose registered office is in the U.K. (or the Channel Islands or the Isle of Man) and whose securities are not admitted to trading on a regulated market in the U.K. (or the Channel Islands or the Isle of Man) if the company is considered by the Panel on Takeovers and Mergers, or the Takeover Panel, to have its place of central management and control in the U.K. (or the Channel Islands or the Isle of Man). This is known as the “residency test.” Under the Takeover Code, the Takeover Panel will determine whether Polestar’s place of central management and control is in the U.K. by looking at various factors, including the structure of the Board, the functions of the directors of the Board and where they are resident.</w:t>
      </w:r>
    </w:p>
    <w:p>
      <w:pPr>
        <w:spacing w:after="0" w:line="187"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If at the time of a takeover offer, the Takeover Panel determines that Polestar’s place of central management and control is in the U.K., Polestar would be subject to a number of rules and restrictions, including, but not limited to, the following: (i) Polestar’s ability to enter into deal protection arrangements with a bidder would be extremely limited; (ii) Polestar might not, without the approval of shareholders, be able to perform certain actions that could have the effect of frustrating an offer, such as issuing shares or carrying out acquisitions or disposals; and (iii) Polestar would be obliged to provide equality of information to all bona fide competing bidders.</w:t>
      </w:r>
    </w:p>
    <w:p>
      <w:pPr>
        <w:spacing w:after="0" w:line="183"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A majority of the Board resides outside of the U.K., the Channel Islands and the Isle of Man. Accordingly, based upon Polestar’s current Board and management structure and its intended plans for its directors and management, for the purposes of the Takeover Code, Polestar is considered to have its place of central management and control outside the U.K., the Channel Islands or the Isle of Man. The Takeover Code is not expected to apply to Polestar. It is possible that in the future circumstances, and in particular the Board composition, could change which may cause the Takeover Code to apply to Polestar.</w:t>
      </w:r>
    </w:p>
    <w:p>
      <w:pPr>
        <w:spacing w:after="0" w:line="287" w:lineRule="exact"/>
        <w:rPr>
          <w:sz w:val="20"/>
          <w:szCs w:val="20"/>
          <w:color w:val="auto"/>
        </w:rPr>
      </w:pPr>
    </w:p>
    <w:p>
      <w:pPr>
        <w:ind w:left="120"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publish inaccurate or unfavorable research or cease publishing research about Polestar, the ADS trading prices and trading volumes could decline significantly.</w:t>
      </w:r>
    </w:p>
    <w:p>
      <w:pPr>
        <w:spacing w:after="0" w:line="5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trading market for the ADSs will depend, in part, on the research and reports that securities or industry analysts publish about Polestar or its business. Polestar may be unable to sustain coverage by well-regarded securities and industry analysts. If either none or only a limited number of securities or industry analysts maintain coverage of Polestar, or if these securities or industry analysts are not widely respected within the general investment community, the demand for the ADSs could decrease, which might cause the ADSs’ trading price and trading volume to decline significantly. In the event that Polestar obtains securities or industry analyst coverage, if one or more of the analysts who cover Polestar downgrades their assessment of Polestar or publish inaccurate or unfavorable research about Polestar’s business, the market price and liquidity for the ADSs could be negatively impacted.</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140"/>
          </w:cols>
          <w:pgMar w:left="320" w:top="455" w:right="4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In addition, organizations that provide information to investors on corporate governance and related matters have developed ratings processes for evaluating companies on their approach to environmental, social and governance (“ESG”) matters. Such ratings are used by some investors to inform their investment and voting decisions. Inaccurate or unfavorable ESG ratings could lead to negative investor sentiment towards Polestar, which could have a negative impact on the market price and demand for Polestar’s securities, as well as Polestar’s access to and cost of capital.</w:t>
      </w:r>
    </w:p>
    <w:p>
      <w:pPr>
        <w:spacing w:after="0" w:line="284" w:lineRule="exact"/>
        <w:rPr>
          <w:sz w:val="20"/>
          <w:szCs w:val="20"/>
          <w:color w:val="auto"/>
        </w:rPr>
      </w:pPr>
    </w:p>
    <w:p>
      <w:pPr>
        <w:jc w:val="both"/>
        <w:ind w:left="120"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You may face difficulties in protecting your interests, and your ability to protect your rights through U.S. courts may be limited, because Polestar is incorporated under the laws of England and Wales and because Polestar conducts substantially all of its operations outside of the United States and a majority of Polestar’s directors and executive officers reside outside of the United States.</w:t>
      </w:r>
    </w:p>
    <w:p>
      <w:pPr>
        <w:spacing w:after="0" w:line="67"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Polestar is a public limited company incorporated under the laws of England and Wales, and conducts a majority of its operations outside the United States through Polestar Sweden (which is a wholly-owned subsidiary of Polestar). Substantially all of Polestar’s assets are located outside the United States. A majority of Polestar’s officers and directors reside outside the United States and a substantial portion of the assets of those persons are located outside of the United States. As a result, it could be difficult or impossible for you to bring an action against Polestar or against these individuals outside of the United States in the event that you believe that your rights have been infringed upon under the applicable securities laws or otherwise. Even if you are successful in bringing an action of this kind, the laws of England and Wales and of the jurisdictions in which Polestar primarily operates could render you unable to enforce a judgment against Polestar’s assets or the assets of Polestar’s directors and officers.</w:t>
      </w:r>
    </w:p>
    <w:p>
      <w:pPr>
        <w:spacing w:after="0" w:line="189" w:lineRule="exact"/>
        <w:rPr>
          <w:sz w:val="20"/>
          <w:szCs w:val="20"/>
          <w:color w:val="auto"/>
        </w:rPr>
      </w:pPr>
    </w:p>
    <w:p>
      <w:pPr>
        <w:jc w:val="both"/>
        <w:ind w:left="120" w:right="300" w:firstLine="440"/>
        <w:spacing w:after="0" w:line="261" w:lineRule="auto"/>
        <w:rPr>
          <w:sz w:val="20"/>
          <w:szCs w:val="20"/>
          <w:color w:val="auto"/>
        </w:rPr>
      </w:pPr>
      <w:r>
        <w:rPr>
          <w:rFonts w:ascii="Times New Roman" w:cs="Times New Roman" w:eastAsia="Times New Roman" w:hAnsi="Times New Roman"/>
          <w:sz w:val="18"/>
          <w:szCs w:val="18"/>
          <w:color w:val="auto"/>
        </w:rPr>
        <w:t>Polestar’s management has been advised that there is currently no treaty between the United States and the United Kingdom providing for the reciprocal recognition and enforcement of judgments of United States courts by the courts of England and Wales. Further, it is unclear if extradition treaties now in effect between the United States and applicable jurisdictions would permit effective enforcement of criminal penalties of U.S. federal securities laws.</w:t>
      </w:r>
    </w:p>
    <w:p>
      <w:pPr>
        <w:spacing w:after="0" w:line="180"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In addition, Polestar’s corporate affairs are governed by the Polestar Articles, the Companies Act and the laws of England and Wales. The rights of Polestar’s shareholders and the fiduciary duties of Polestar’s directors under the laws of England and Wales may not be as clearly established as they would be under statutes or judicial precedent in some jurisdictions in the United States. In particular, England and Wales have a different body of securities laws than the United States. Some U.S. states, such as Delaware, may have more fully developed and judicially interpreted bodies of corporate law than England and Wales. In addition, companies organized under the laws of England and Wales may not have standing to initiate a shareholder derivative action in a federal court of the United States.</w:t>
      </w:r>
    </w:p>
    <w:p>
      <w:pPr>
        <w:spacing w:after="0" w:line="187"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Certain corporate governance practices in England and Wales, which is Polestar’s home jurisdiction, differ significantly from requirements for companies incorporated in other jurisdictions such as the United States. To the extent Polestar chooses to follow home country practice with respect to corporate governance matters, its shareholders may be afforded less protection than they otherwise would under rules and regulations applicable to U.S. domestic issuers.</w:t>
      </w:r>
    </w:p>
    <w:p>
      <w:pPr>
        <w:spacing w:after="0" w:line="180" w:lineRule="exact"/>
        <w:rPr>
          <w:sz w:val="20"/>
          <w:szCs w:val="20"/>
          <w:color w:val="auto"/>
        </w:rPr>
      </w:pPr>
    </w:p>
    <w:p>
      <w:pPr>
        <w:ind w:left="120" w:right="300" w:firstLine="440"/>
        <w:spacing w:after="0" w:line="266" w:lineRule="auto"/>
        <w:rPr>
          <w:sz w:val="20"/>
          <w:szCs w:val="20"/>
          <w:color w:val="auto"/>
        </w:rPr>
      </w:pPr>
      <w:r>
        <w:rPr>
          <w:rFonts w:ascii="Times New Roman" w:cs="Times New Roman" w:eastAsia="Times New Roman" w:hAnsi="Times New Roman"/>
          <w:sz w:val="18"/>
          <w:szCs w:val="18"/>
          <w:color w:val="auto"/>
        </w:rPr>
        <w:t>As a result of all of the above, Polestar’s shareholders may have more difficulty in protecting their interests in the face of actions taken by management, members of the board of directors or controlling shareholders than they would as public shareholders of a company incorporated in the United States.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It is not expected that Polestar will pay dividends in the foreseeable future.</w:t>
      </w:r>
    </w:p>
    <w:p>
      <w:pPr>
        <w:spacing w:after="0" w:line="121" w:lineRule="exact"/>
        <w:rPr>
          <w:sz w:val="20"/>
          <w:szCs w:val="20"/>
          <w:color w:val="auto"/>
        </w:rPr>
      </w:pPr>
    </w:p>
    <w:p>
      <w:pPr>
        <w:ind w:left="120" w:right="380" w:firstLine="440"/>
        <w:spacing w:after="0" w:line="282" w:lineRule="auto"/>
        <w:rPr>
          <w:sz w:val="20"/>
          <w:szCs w:val="20"/>
          <w:color w:val="auto"/>
        </w:rPr>
      </w:pPr>
      <w:r>
        <w:rPr>
          <w:rFonts w:ascii="Times New Roman" w:cs="Times New Roman" w:eastAsia="Times New Roman" w:hAnsi="Times New Roman"/>
          <w:sz w:val="18"/>
          <w:szCs w:val="18"/>
          <w:color w:val="auto"/>
        </w:rPr>
        <w:t>It is expected that Polestar will retain most, if not all, of its available funds and any future earnings to fund the development and growth of its business. As a result, it is not expected that Polestar will pay any cash dividends in the foreseeable future.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120"/>
          </w:cols>
          <w:pgMar w:left="320" w:top="455" w:right="45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The Board has complete discretion as to whether to distribute dividends. Even if the Board decides to declare and pay dividends, the timing, amount and form of future dividends, if any, will depend on the future results of operations and cash flow, capital requirements and surplus, the amount of distributions, if any, received by Polestar from subsidiaries, Polestar’s financial condition, contractual restrictions and other factors deemed relevant by the Board. There is no guarantee that the ADSs will appreciate in value after the Business Combination or that the trading price of the ADSs will not decline.</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Polestar is a holding company and will depend on the ability of its subsidiaries to pay dividends.</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Polestar is a holding company without any direct operations and has no significant assets other than its ownership interest in Polestar Sweden. Accordingly, Polestar’s ability to pay dividends will depend upon the financial condition, liquidity and results of operations of, and Polestar’s receipt of dividends, loans or other funds from, Polestar Sweden and its subsidiaries. Polestar’s subsidiaries are separate and distinct legal entities and have no obligation to make funds available to Polestar. In addition, there are various statutory, regulatory and contractual limitations and business considerations on the extent, if any, to which Polestar’s subsidiaries may pay dividends, make loans or otherwise provide funds to Polestar.</w:t>
      </w:r>
    </w:p>
    <w:p>
      <w:pPr>
        <w:spacing w:after="0" w:line="287" w:lineRule="exact"/>
        <w:rPr>
          <w:sz w:val="20"/>
          <w:szCs w:val="20"/>
          <w:color w:val="auto"/>
        </w:rPr>
      </w:pPr>
    </w:p>
    <w:p>
      <w:pPr>
        <w:ind w:left="120" w:right="6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Polestar has granted, and anticipates granting additional, share-based incentives, which may result in increased share-based compensation expenses.</w:t>
      </w:r>
    </w:p>
    <w:p>
      <w:pPr>
        <w:spacing w:after="0" w:line="5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Polestar has adopted the Equity Plan and the Employee Stock Purchase Plan. Initially, the maximum number of Class A ADSs that may be issued under the Equity Plan is 10,000,000 Class A ADSs. This amount may be increased each year during the term of the Equity Plan by up to 0.5% of the total number of Shares outstanding on each December 31 immediately prior to the date of such increase. The Equity Plan permits the award of options, stock appreciation rights, restricted stock, restricted stock units, performance awards, other stock-based awards, cash awards and substitute awards to employees of Polestar and its subsidiaries and affiliates. Polestar will account for compensation costs for all awards granted under the Equity Plan using a fair-value based method and recognize expenses in its consolidated statements of profit or loss in accordance with IFRS.</w:t>
      </w:r>
    </w:p>
    <w:p>
      <w:pPr>
        <w:spacing w:after="0" w:line="187" w:lineRule="exact"/>
        <w:rPr>
          <w:sz w:val="20"/>
          <w:szCs w:val="20"/>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Initially, the maximum number of Class A ADSs that may be issued under the Employee Stock Purchase Plan is 2,000,000 Class A ADSs. This amount may be increased each year during the term of the Employee Stock Purchase Plan by up to 0.1% of the total number of Shares outstanding on each December 31 immediately prior to the date of such increase. The Employee Stock Purchase Plan provides employees of Polestar and its subsidiaries and affiliates with the opportunity to purchase Class A ADSs and, in certain instances, to receive matching awards of Class A ADSs from Polestar.</w:t>
      </w:r>
    </w:p>
    <w:p>
      <w:pPr>
        <w:spacing w:after="0" w:line="183" w:lineRule="exact"/>
        <w:rPr>
          <w:sz w:val="20"/>
          <w:szCs w:val="20"/>
          <w:color w:val="auto"/>
        </w:rPr>
      </w:pPr>
    </w:p>
    <w:p>
      <w:pPr>
        <w:ind w:left="120" w:right="200" w:firstLine="440"/>
        <w:spacing w:after="0" w:line="289" w:lineRule="auto"/>
        <w:rPr>
          <w:sz w:val="20"/>
          <w:szCs w:val="20"/>
          <w:color w:val="auto"/>
        </w:rPr>
      </w:pPr>
      <w:r>
        <w:rPr>
          <w:rFonts w:ascii="Times New Roman" w:cs="Times New Roman" w:eastAsia="Times New Roman" w:hAnsi="Times New Roman"/>
          <w:sz w:val="17"/>
          <w:szCs w:val="17"/>
          <w:color w:val="auto"/>
        </w:rPr>
        <w:t>Polestar believes the granting of share-based compensation is of significant importance to its ability to attract and retain key employees, and as such, Polestar has granted, and plans to continue to grant, share-based compensation and incur share-based compensation expenses. As a result, expenses associated with share-based compensation may increase, which may have an adverse effect on Polestar’s business and results of operations.</w:t>
      </w:r>
    </w:p>
    <w:p>
      <w:pPr>
        <w:spacing w:after="0" w:line="158"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Specifically, as of the date of this registration statement, Polestar has implemented equity programs under the Equity Plan providing for awards of restricted stock units (“RSUs”) and performance stock units (“PSUs”). Polestar also anticipates implementing a Bonus Shares program under the Equity Plan and a Share Purchase and Matching program under the Employee Stock Purchase Plan. Each of these programs will continue to be made available, or will become available, to eligible Polestar employees as permitted by, and subject to, applicable laws. All employees in the relevant jurisdictions will be eligible to participate in the Bonus Shares program, which provides for a one-time issuance of Class A ADSs in a value equal to 4% of the awardee’s base salary (net of applicable taxes), with Bonus Shares to be subject to transfer restrictions until the first anniversary of the Closing (or an earlier change in control). Polestar has also awarded grants of RSUs and PSUs to certain employees of Polestar as selected by Polestar’s Board. Certain RSUs will vest based on the recipient’s continued service through the second anniversary of the Closing. In addition, Polestar has implemented a long-term incentive program providing for annual grants of equity-based awards vesting over three years, consisting of</w:t>
      </w:r>
    </w:p>
    <w:p>
      <w:pPr>
        <w:spacing w:after="0" w:line="12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060"/>
          </w:cols>
          <w:pgMar w:left="320" w:top="455" w:right="51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54" w:lineRule="auto"/>
        <w:rPr>
          <w:sz w:val="20"/>
          <w:szCs w:val="20"/>
          <w:color w:val="auto"/>
        </w:rPr>
      </w:pPr>
      <w:r>
        <w:rPr>
          <w:rFonts w:ascii="Times New Roman" w:cs="Times New Roman" w:eastAsia="Times New Roman" w:hAnsi="Times New Roman"/>
          <w:sz w:val="18"/>
          <w:szCs w:val="18"/>
          <w:color w:val="auto"/>
        </w:rPr>
        <w:t>awards of (i) 100% PSUs granted to Polestar’s executive management team, and (ii) 50% RSUs and 50% PSUs granted to other eligible Polestar employees, with such RSUs to vest in full based on continued service through the third anniversary of the Closing and such PSUs to vest based on achievement of certain Polestar performance metrics (described following) and continued service through the third anniversary of the Closing. Specifically, such PSUs will vest based on Polestar’s level of achievement with respect to each of the following metrics through December 31, 2024: 25% with respect to value creation relative to a selected group of peer companies; 25% with respect to unleveraged free cash flow; 20% with respect to ESG achievement measured based on yearly greenhouse gas emissions; and 30% with respect to the achievement of certain operational milestones. The Share Purchase and Matching program is anticipated to include an annual share matching program whereby the awardee is offered the opportunity to invest up to 1% of their base compensation on a recurring basis and receive a match in the form of Class A ADSs in equal value for free, subject to satisfaction of a one-year holding period for the corresponding purchased shares.</w:t>
      </w:r>
    </w:p>
    <w:p>
      <w:pPr>
        <w:spacing w:after="0" w:line="292" w:lineRule="exact"/>
        <w:rPr>
          <w:sz w:val="20"/>
          <w:szCs w:val="20"/>
          <w:color w:val="auto"/>
        </w:rPr>
      </w:pPr>
    </w:p>
    <w:p>
      <w:pPr>
        <w:ind w:left="120"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Holders of ADSs have fewer rights than direct holders of the Company securities and must act through the depositary to exercise their rights. The voting rights of holders of ADSs are limited by the terms of the Deposit Agreements, and such holders may not be able to exercise their right to vote their Company securities directly.</w:t>
      </w:r>
    </w:p>
    <w:p>
      <w:pPr>
        <w:spacing w:after="0" w:line="67"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Holders of ADSs do not have the same rights as Polestar shareholders who hold Company securities directly. Holders of the AD securities are only be able to exercise the voting rights with respect to the underlying Company securities in accordance with the provisions of the Deposit Agreements. The holders and beneficial owners of the AD securities are parties to and bound by the terms of the Deposit Agreements for the AD securities they own. Under the Deposit Agreements, ADS holders must vote by giving voting instructions to the depositary. If Polestar asks for instructions of ADS holders, then upon receipt of such voting instructions, the depositary will try to vote the underlying Company securities in accordance with these instructions. ADS holders are not able to directly exercise their right to vote with respect to the underlying Company securities unless they present their ADSs for cancellation and withdraw the underlying Company securities prior to the applicable record date for the meeting. When a meeting is convened, an ADS holder may not receive sufficient advance notice to withdraw the underlying Company securities his or her AD securities to allow such holder to vote with respect to any specific matter. Polestar has agreed to give the depositary prior notice of meetings of holders of shares and warrants. Nevertheless, Polestar cannot assure you that holders of AD securities will receive the voting materials in time to ensure that holders of AD securities can instruct the depositary to vote the underlying shares. In addition, the depositary and its agents are not responsible for failing to carry out voting instructions or for their manner of carrying out holders’ of AD securities voting instructions. This means that a holder of AD securities may not be able to exercise the right to vote and may have no legal remedy if the underlying Company securities underlying his or her of AD securities are not voted as such holder requested. Please see the section entitled “Description of American Depositary Shares” in this prospectus for additional information.</w:t>
      </w:r>
    </w:p>
    <w:p>
      <w:pPr>
        <w:spacing w:after="0" w:line="300" w:lineRule="exact"/>
        <w:rPr>
          <w:sz w:val="20"/>
          <w:szCs w:val="20"/>
          <w:color w:val="auto"/>
        </w:rPr>
      </w:pPr>
    </w:p>
    <w:p>
      <w:pPr>
        <w:ind w:left="120" w:right="1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depositary for the AD securities will give Polestar a discretionary proxy to vote the Company securities underlying the AD securities if the holders of such AD securities do not give timely voting instructions to the depositary, except in limited circumstances, which could adversely affect the interests of holders of the ADSs.</w:t>
      </w:r>
    </w:p>
    <w:p>
      <w:pPr>
        <w:spacing w:after="0" w:line="6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Under the Deposit Agreements for the AD securities, if any holders of AD securities do not vote their AD securities, the depositary will give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Polestar a discretionary proxy to vote the Company securities underlying such AD securities at shareholders’ meetings unless:</w:t>
      </w:r>
    </w:p>
    <w:p>
      <w:pPr>
        <w:spacing w:after="0" w:line="112" w:lineRule="exact"/>
        <w:rPr>
          <w:sz w:val="20"/>
          <w:szCs w:val="20"/>
          <w:color w:val="auto"/>
        </w:rPr>
      </w:pPr>
    </w:p>
    <w:p>
      <w:pPr>
        <w:ind w:left="1080" w:hanging="424"/>
        <w:spacing w:after="0"/>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Polestar has failed to timely provide the depositary with notice of meeting and related voting materials;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Polestar has instructed the depositary that it does not wish a discretionary proxy to be given;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Polestar has informed the depositary that there is substantial opposition as to a matter to be voted on at the meeting;</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matter to be voted on at the meeting would have a material adverse impact on shareholders;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voting at the meeting is to be made on a show of hands.</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100"/>
          </w:cols>
          <w:pgMar w:left="320" w:top="455" w:right="47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The effect of this discretionary proxy is that if any such holder of the AD securities does not provide timely and valid voting instructions, such holder cannot prevent the Company securities underlying such AD securities from being voted, except under the circumstances described above. This may make it more difficult for holders of AD securities to influence the management of Polestar.</w:t>
      </w:r>
    </w:p>
    <w:p>
      <w:pPr>
        <w:spacing w:after="0" w:line="280" w:lineRule="exact"/>
        <w:rPr>
          <w:sz w:val="20"/>
          <w:szCs w:val="20"/>
          <w:color w:val="auto"/>
        </w:rPr>
      </w:pPr>
    </w:p>
    <w:p>
      <w:pPr>
        <w:ind w:left="120" w:right="8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The Polestar Articles and the Deposit Agreements provide that the federal district courts of the United States of America will be the exclusive forum for resolving any complaint asserting a cause of action arising under the Securities Act and the Exchange Act and that certain claims may only be instituted in the courts of England and Wales, which could limit the ability of securityholders of Polestar to choose a favorable judicial forum for disputes with Polestar or Polestar’s directors, officers or employees.</w:t>
      </w:r>
    </w:p>
    <w:p>
      <w:pPr>
        <w:spacing w:after="0" w:line="72" w:lineRule="exact"/>
        <w:rPr>
          <w:sz w:val="20"/>
          <w:szCs w:val="20"/>
          <w:color w:val="auto"/>
        </w:rPr>
      </w:pPr>
    </w:p>
    <w:p>
      <w:pPr>
        <w:jc w:val="both"/>
        <w:ind w:left="120" w:right="360" w:firstLine="440"/>
        <w:spacing w:after="0" w:line="276" w:lineRule="auto"/>
        <w:rPr>
          <w:sz w:val="20"/>
          <w:szCs w:val="20"/>
          <w:color w:val="auto"/>
        </w:rPr>
      </w:pPr>
      <w:r>
        <w:rPr>
          <w:rFonts w:ascii="Times New Roman" w:cs="Times New Roman" w:eastAsia="Times New Roman" w:hAnsi="Times New Roman"/>
          <w:sz w:val="17"/>
          <w:szCs w:val="17"/>
          <w:color w:val="auto"/>
        </w:rPr>
        <w:t>The Polestar Articles provide that unless Polestar consents in writing to the selection of an alternative forum, the courts of England and Wales will, to the fullest extent permitted by law, be the sole and exclusive forum for (i) any derivative action or proceeding brought on behalf of Polestar;</w:t>
      </w:r>
    </w:p>
    <w:p>
      <w:pPr>
        <w:spacing w:after="0" w:line="1" w:lineRule="exact"/>
        <w:rPr>
          <w:sz w:val="20"/>
          <w:szCs w:val="20"/>
          <w:color w:val="auto"/>
        </w:rPr>
      </w:pPr>
    </w:p>
    <w:p>
      <w:pPr>
        <w:ind w:left="380" w:hanging="264"/>
        <w:spacing w:after="0"/>
        <w:tabs>
          <w:tab w:leader="none" w:pos="3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including any action commenced by a member of Polestar in its own name or on behalf of Polestar, asserting a claim of breach of any</w:t>
      </w:r>
    </w:p>
    <w:p>
      <w:pPr>
        <w:spacing w:after="0" w:line="9" w:lineRule="exact"/>
        <w:rPr>
          <w:rFonts w:ascii="Times New Roman" w:cs="Times New Roman" w:eastAsia="Times New Roman" w:hAnsi="Times New Roman"/>
          <w:sz w:val="18"/>
          <w:szCs w:val="18"/>
          <w:color w:val="auto"/>
        </w:rPr>
      </w:pPr>
    </w:p>
    <w:p>
      <w:pPr>
        <w:ind w:left="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fiduciary or other duty owed by any director, officer or other employee of Polestar (including but not limited to duties arising under the Companies Act);</w:t>
      </w:r>
    </w:p>
    <w:p>
      <w:pPr>
        <w:spacing w:after="0" w:line="20"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arising out of or in connection with the Polestar Articles or otherwise in any way relating to the constitution or conduct of Polestar; or</w:t>
      </w:r>
    </w:p>
    <w:p>
      <w:pPr>
        <w:spacing w:after="0" w:line="9" w:lineRule="exact"/>
        <w:rPr>
          <w:rFonts w:ascii="Times New Roman" w:cs="Times New Roman" w:eastAsia="Times New Roman" w:hAnsi="Times New Roman"/>
          <w:sz w:val="18"/>
          <w:szCs w:val="18"/>
          <w:color w:val="auto"/>
        </w:rPr>
      </w:pPr>
    </w:p>
    <w:p>
      <w:pPr>
        <w:ind w:left="120" w:right="20" w:hanging="4"/>
        <w:spacing w:after="0" w:line="252" w:lineRule="auto"/>
        <w:tabs>
          <w:tab w:leader="none" w:pos="42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against Polestar governed by the internal affairs doctrine (as such concept is recognized under the laws of the United States of America). The Deposit Agreements also provide for exclusive forum in state and federal courts in the City of New York. This forum selection provision in the Polestar Articles will not apply to actions or suits brought to enforce any liability or duty created by the Securities Act, Exchange Act or any claim for which the federal district courts of the United States of America are, as a matter of the laws of the United States of America, the sole and exclusive forum for determination of such a claim. The Polestar Articles provide that the federal district courts in the United States will be the exclusive forum for claims against Polestar under the Securities Act and the Exchange Act.</w:t>
      </w:r>
    </w:p>
    <w:p>
      <w:pPr>
        <w:spacing w:after="0" w:line="190" w:lineRule="exact"/>
        <w:rPr>
          <w:sz w:val="20"/>
          <w:szCs w:val="20"/>
          <w:color w:val="auto"/>
        </w:rPr>
      </w:pPr>
    </w:p>
    <w:p>
      <w:pPr>
        <w:ind w:left="120" w:right="80" w:firstLine="440"/>
        <w:spacing w:after="0" w:line="253" w:lineRule="auto"/>
        <w:rPr>
          <w:sz w:val="20"/>
          <w:szCs w:val="20"/>
          <w:color w:val="auto"/>
        </w:rPr>
      </w:pPr>
      <w:r>
        <w:rPr>
          <w:rFonts w:ascii="Times New Roman" w:cs="Times New Roman" w:eastAsia="Times New Roman" w:hAnsi="Times New Roman"/>
          <w:sz w:val="18"/>
          <w:szCs w:val="18"/>
          <w:color w:val="auto"/>
        </w:rPr>
        <w:t>Although Polestar believes these exclusive forum provisions will benefit Polestar by providing increased consistency in the application of U.S. federal securities laws and the laws of England and Wales in the types of lawsuits to which they apply, these choice of forum provisions may increase a securityholder’s cost and limit the securityholder’s ability to bring a claim in a judicial forum that it finds favorable for disputes with Polestar or Polestar’s directors, officers or other employees, which may discourage lawsuits against Polestar and Polestar’s directors, officers and other employees. Polestar’s shareholders will not be deemed to have waived Polestar’s compliance with the U.S. federal securities laws and the rules and regulations thereunder as a result of Polestar’s exclusive forum provision. Any person or entity purchasing or otherwise acquiring any of the Company securities or other securities, whether by transfer, sale, operation of law or otherwise, will be deemed to have notice of and have irrevocably agreed and consented to these provisions. There is uncertainty as to whether a court would enforce such provisions. The Securities Act provides that state courts and federal courts will have concurrent jurisdiction over claims under the Securities Act, and the enforceability of similar choice of forum provisions in other companies’ charter documents has been challenged in legal proceedings. It is possible that a court could find this type of provision to be inapplicable or unenforceable, and if a court were to find this provision in the Polestar Articles to be inapplicable or unenforceable in an action, Polestar may incur additional costs associated with resolving the dispute in other jurisdictions, which could have adverse effect on Polestar’s business and financial performance.</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An ADS holder’s right to pursue claims against the depositary is limited by the terms of the Deposit Agreements.</w:t>
      </w:r>
    </w:p>
    <w:p>
      <w:pPr>
        <w:spacing w:after="0" w:line="121" w:lineRule="exact"/>
        <w:rPr>
          <w:sz w:val="20"/>
          <w:szCs w:val="20"/>
          <w:color w:val="auto"/>
        </w:rPr>
      </w:pPr>
    </w:p>
    <w:p>
      <w:pPr>
        <w:jc w:val="both"/>
        <w:ind w:left="120" w:right="80" w:firstLine="440"/>
        <w:spacing w:after="0" w:line="289" w:lineRule="auto"/>
        <w:rPr>
          <w:sz w:val="20"/>
          <w:szCs w:val="20"/>
          <w:color w:val="auto"/>
        </w:rPr>
      </w:pPr>
      <w:r>
        <w:rPr>
          <w:rFonts w:ascii="Times New Roman" w:cs="Times New Roman" w:eastAsia="Times New Roman" w:hAnsi="Times New Roman"/>
          <w:sz w:val="17"/>
          <w:szCs w:val="17"/>
          <w:color w:val="auto"/>
        </w:rPr>
        <w:t>Under the Deposit Agreements, any action or proceeding against or involving the depositary arising out of or based upon the Deposit Agreements or the transactions contemplated thereby or by virtue of owning the ADS may only be instituted in state and federal courts in the City of New York, and a holder of the ADS will have irrevocably waived any objection which such holder may have to the laying of venue of any such proceeding, and</w:t>
      </w:r>
    </w:p>
    <w:p>
      <w:pPr>
        <w:spacing w:after="0" w:line="9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120"/>
          </w:cols>
          <w:pgMar w:left="320" w:top="455" w:right="45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00"/>
        <w:spacing w:after="0" w:line="258" w:lineRule="auto"/>
        <w:rPr>
          <w:sz w:val="20"/>
          <w:szCs w:val="20"/>
          <w:color w:val="auto"/>
        </w:rPr>
      </w:pPr>
      <w:r>
        <w:rPr>
          <w:rFonts w:ascii="Times New Roman" w:cs="Times New Roman" w:eastAsia="Times New Roman" w:hAnsi="Times New Roman"/>
          <w:sz w:val="18"/>
          <w:szCs w:val="18"/>
          <w:color w:val="auto"/>
        </w:rPr>
        <w:t>irrevocably submitted to the exclusive jurisdiction of such courts in any such action or proceeding. However, there is uncertainty as to whether a court would enforce this exclusive jurisdiction provision. Furthermore, investors cannot waive compliance with the U.S. federal securities laws and rules and regulations promulgated thereunder. Also, Polestar may amend or terminate the Deposit Agreement without the consent of any holder of ADSs. If a holder continues to hold its ADSs after an amendment to the Deposit Agreement, such holder agrees to be bound by the applicable Deposit Agreement as so amended.</w:t>
      </w:r>
    </w:p>
    <w:p>
      <w:pPr>
        <w:spacing w:after="0" w:line="287" w:lineRule="exact"/>
        <w:rPr>
          <w:sz w:val="20"/>
          <w:szCs w:val="20"/>
          <w:color w:val="auto"/>
        </w:rPr>
      </w:pPr>
    </w:p>
    <w:p>
      <w:pPr>
        <w:ind w:left="120"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ADS holders may not be entitled to a jury trial with respect to claims arising under the Deposit Agreements, which could result in less favorable results to the plaintiff(s) in any such action.</w:t>
      </w:r>
    </w:p>
    <w:p>
      <w:pPr>
        <w:spacing w:after="0" w:line="51"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The Deposit Agreements governing the ADSs provide that owners and holders of ADSs irrevocably waive the right to a trial by jury in any legal proceeding arising out of or relating to the Deposit Agreements or the ADSs, including claims under U.S. federal securities laws, against Polestar or the depositary to the fullest extent permitted by applicable law. If this jury trial waiver provision is prohibited by applicable law, an action could nevertheless proceed under the terms of the Deposit Agreements with a jury trial. Although Polestar is not aware of a specific federal decision that addresses the enforceability of a jury trial waiver in the context of U.S. federal securities laws, it is Polestar’s understanding that jury trial waivers are generally enforceable. Moreover, insofar as the Deposit Agreements are governed by the laws of the State of New York, New York laws similarly recognize the validity of jury trial waivers in appropriate circumstances. In determining whether to enforce a jury trial waiver provision, New York courts and federal courts will consider whether the visibility of the jury trial waiver provision within the agreement is sufficiently prominent such that a party has knowingly waived any right to trial by jury. Polestar believes that this is the case with respect to the Deposit Agreements and the ADSs.</w:t>
      </w:r>
    </w:p>
    <w:p>
      <w:pPr>
        <w:spacing w:after="0" w:line="188"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In addition, New York courts will not enforce a jury trial waiver provision in order to bar a viable setoff or counterclaim of fraud or one which is based upon a creditor’s negligence in failing to liquidate collateral upon a guarantor’s demand, or in the case of an intentional tort claim (as opposed to a contract dispute). No condition, stipulation or provision of the Deposit Agreements or ADSs serves as a waiver by any holder or beneficial owner of ADSs or by Polestar or the depositary of compliance with any provision of U.S. federal securities laws and the rules and regulations promulgated thereunder.</w:t>
      </w:r>
    </w:p>
    <w:p>
      <w:pPr>
        <w:spacing w:after="0" w:line="183"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If any owner or holder of ADSs brings a claim against Polestar or the depositary in connection with matters arising under the Deposit Agreements or the ADSs, including claims under U.S. federal securities laws, such owner or holder may not be entitled to a jury trial with respect to such claims, which may have the effect of limiting and discouraging lawsuits against Polestar or the depositary. If a lawsuit is brought against Polestar or the depositary under the Deposit Agreements, it may be heard only by a judge or justice of the applicable trial court, which would be conducted according to different civil procedures and may result in different results than a trial by jury would have had, including results that could be less favorable to the plaintiff(s) in any such action, depending on, among other things, the nature of the claims, the judge or justice hearing such claims and the venue of the hearing.</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depositary for the ADSs is entitled to charge holders fees for various services, including annual service fees.</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depositary for the ADSs is entitled to charge holders fees for various services, including for the issuance of the ADSs upon deposit of Company securities (other than in the case of ADSs issued pursuant to the Business Combination), cancellation of ADSs, distributions of cash dividends or other cash distributions, distributions of ADSs pursuant to share dividends or other free share distributions, distributions of securities other than ADSs and annual service fees. For more information, please see “Description of American Depositary Shares.” In the case of ADSs issued by the depositary into the DTC the fees will be charged by the DTC participant to the account of the applicable beneficial owner in accordance with the procedures and practices of the DTC participant as in effect at the time. The depositary for the ADSs will not be responsible for any United Kingdom stamp duty or SDRT arising upon the issuance or transfer of ADSs but will require the person who</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120"/>
          </w:cols>
          <w:pgMar w:left="320" w:top="455" w:right="45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deposits shares or warrants to pay the applicable United Kingdom stamp duty or SDRT. For more information, please see “Risk Factors—Risks Related to Tax—Transfers of ADSs or the underlying Company securities may be subject to stamp duty or stamp duty reserve tax in the U.K., which would increase the cost of dealing in the Company’s securities.”</w:t>
      </w:r>
    </w:p>
    <w:p>
      <w:pPr>
        <w:spacing w:after="0" w:line="280" w:lineRule="exact"/>
        <w:rPr>
          <w:sz w:val="20"/>
          <w:szCs w:val="20"/>
          <w:color w:val="auto"/>
        </w:rPr>
      </w:pPr>
    </w:p>
    <w:p>
      <w:pPr>
        <w:ind w:left="120"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ADS holders may not receive dividends or other distributions of the Company securities and the holders thereof may not receive any value for them, if it is illegal or impractical to make them available to such holders.</w:t>
      </w:r>
    </w:p>
    <w:p>
      <w:pPr>
        <w:spacing w:after="0" w:line="51"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Under the terms of the Deposit Agreements, the depositary of the ADSs will agree to distribute to holders of the ADSs the cash dividends or other distributions it or the custodian receives on the applicable deposited securities underlying the ADSs, after deducting its fees, taxes and expenses. For more information, please see “Descriptions of American Depositary Shares.” Holders of the ADSs will receive these distributions in proportion to the number of ADSs they hold. However, the depositary is not responsible for making such distributions if it decides that such distributions are unlawful or impractical. For example, it would be unlawful to make a distribution to a holder of ADSs if it consists of securities that require registration under the Securities Act but such securities are not properly registered or distributed under an applicable exemption from registration. The depositary may also determine that it is not practicable to distribute certain property through the mail. Additionally, the value of certain distributions may be less than the cost of mailing them. In these cases, the depositary may determine not to distribute such property. Polestar has no obligation to register under U.S. securities laws securities received through such distributions. Polestar also has no obligation to take any other action to permit the distribution of ADSs. This means that holders of the ADSs may not receive distributions Polestar makes on its securities or any value for them if it is illegal or impractical for Polestar to make them available to such holders. These restrictions may cause a material decline in the value of the ADSs.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Holders of ADSs may experience dilution of their holdings due to their inability to participate in rights offerings.</w:t>
      </w:r>
    </w:p>
    <w:p>
      <w:pPr>
        <w:spacing w:after="0" w:line="121"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Polestar may, from time to time, distribute rights to its shareholders, including rights to acquire securities. Under the Deposit Agreements for the ADSs, the depositary will not distribute rights to holders of ADSs unless the distribution and sale of rights and the securities to which these rights relate are either exempt from registration under the Securities Act with respect to all holders of ADSs or are registered under the provisions of the Securities Act. The depositary may, but is not required to, attempt to sell these undistributed rights to third parties, and may allow the rights to lapse. Polestar may be unable to establish an exemption from registration under the Securities Act, and Polestar is under no obligation to file a registration statement with respect to these rights or underlying securities or to endeavor to have a registration statement declared effective. Accordingly, holders of ADSs may be unable to participate in Polestar’s rights offerings and may experience dilution of their holdings as a result.</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Holders of ADSs may be subject to limitations on transfer of their ADSs.</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ADSs are transferable on the books of the depositary. However, the depositary may close its books at any time or from time to time when it deems expedient in connection with the performance of its duties. The depositary may close its books from time to time for a number of reasons, including in connection with corporate events such as a rights offering, during which time the depositary needs to maintain an exact number of ADSs on its books for a specified period. The depositary may also close its books in emergencies, and on weekends and public holidays. The depositary may refuse to deliver, transfer or register transfers of ADSs generally when Polestar’s share register or the books of the depositary are closed, or at any time if Polestar or the depositary thinks it is advisable to do so because of any requirement of law or of any government or governmental body, or under any provision of the Deposit Agreement, or for any other reason.</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120"/>
          </w:cols>
          <w:pgMar w:left="320" w:top="455" w:right="45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CAPITALIZATION AND INDEBTEDNESS</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sets forth our capitalization and indebtedness of the Company as of June 30, 2022, and should be read in conjunction with</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Operating And Financial Review And Prospects</w:t>
      </w:r>
      <w:r>
        <w:rPr>
          <w:rFonts w:ascii="Times New Roman" w:cs="Times New Roman" w:eastAsia="Times New Roman" w:hAnsi="Times New Roman"/>
          <w:sz w:val="17"/>
          <w:szCs w:val="17"/>
          <w:color w:val="auto"/>
        </w:rPr>
        <w:t xml:space="preserve">” and the </w:t>
      </w:r>
      <w:r>
        <w:rPr>
          <w:rFonts w:ascii="Times New Roman" w:cs="Times New Roman" w:eastAsia="Times New Roman" w:hAnsi="Times New Roman"/>
          <w:sz w:val="17"/>
          <w:szCs w:val="17"/>
          <w:i w:val="1"/>
          <w:iCs w:val="1"/>
          <w:color w:val="auto"/>
        </w:rPr>
        <w:t>“Unaudited Condensed Consolidated Financial Statements for the six months ended June 30,</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 xml:space="preserve">2022 and 2021,” </w:t>
      </w:r>
      <w:r>
        <w:rPr>
          <w:rFonts w:ascii="Times New Roman" w:cs="Times New Roman" w:eastAsia="Times New Roman" w:hAnsi="Times New Roman"/>
          <w:sz w:val="18"/>
          <w:szCs w:val="18"/>
          <w:color w:val="auto"/>
        </w:rPr>
        <w:t>and the notes and schedules related thereto, which are included at the end of this prospectus.</w:t>
      </w:r>
    </w:p>
    <w:p>
      <w:pPr>
        <w:sectPr>
          <w:pgSz w:w="11900" w:h="16838" w:orient="portrait"/>
          <w:cols w:equalWidth="0" w:num="1">
            <w:col w:w="11100"/>
          </w:cols>
          <w:pgMar w:left="320" w:top="455" w:right="479" w:bottom="1440" w:gutter="0" w:footer="0" w:header="0"/>
        </w:sectPr>
      </w:pPr>
    </w:p>
    <w:p>
      <w:pPr>
        <w:spacing w:after="0" w:line="360"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4"/>
          <w:szCs w:val="14"/>
          <w:b w:val="1"/>
          <w:bCs w:val="1"/>
          <w:i w:val="1"/>
          <w:iCs w:val="1"/>
          <w:u w:val="single" w:color="auto"/>
          <w:color w:val="auto"/>
        </w:rPr>
        <w:t>As of June 30, 2022 (in TUSD)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17780</wp:posOffset>
            </wp:positionV>
            <wp:extent cx="4749165" cy="13716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spacing w:after="0" w:line="9"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16"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Cash and cash equivalents</w:t>
      </w:r>
    </w:p>
    <w:p>
      <w:pPr>
        <w:spacing w:after="0" w:line="32"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b w:val="1"/>
          <w:bCs w:val="1"/>
          <w:color w:val="auto"/>
        </w:rPr>
        <w:t>Borrowings and other financial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-116840</wp:posOffset>
            </wp:positionV>
            <wp:extent cx="4749165" cy="13716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spacing w:after="0" w:line="11"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Other non-current interest-bearing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5715</wp:posOffset>
            </wp:positionV>
            <wp:extent cx="4749165" cy="13716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ind w:left="1880"/>
        <w:spacing w:after="0"/>
        <w:rPr>
          <w:sz w:val="20"/>
          <w:szCs w:val="20"/>
          <w:color w:val="auto"/>
        </w:rPr>
      </w:pPr>
      <w:r>
        <w:rPr>
          <w:rFonts w:ascii="Times New Roman" w:cs="Times New Roman" w:eastAsia="Times New Roman" w:hAnsi="Times New Roman"/>
          <w:sz w:val="18"/>
          <w:szCs w:val="18"/>
          <w:color w:val="auto"/>
        </w:rPr>
        <w:t>Liabilities to credit institutions</w:t>
      </w:r>
    </w:p>
    <w:p>
      <w:pPr>
        <w:spacing w:after="0" w:line="9"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Interest-bearing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5715</wp:posOffset>
            </wp:positionV>
            <wp:extent cx="4749165" cy="13716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ind w:left="1880"/>
        <w:spacing w:after="0"/>
        <w:rPr>
          <w:sz w:val="20"/>
          <w:szCs w:val="20"/>
          <w:color w:val="auto"/>
        </w:rPr>
      </w:pPr>
      <w:r>
        <w:rPr>
          <w:rFonts w:ascii="Times New Roman" w:cs="Times New Roman" w:eastAsia="Times New Roman" w:hAnsi="Times New Roman"/>
          <w:sz w:val="18"/>
          <w:szCs w:val="18"/>
          <w:color w:val="auto"/>
        </w:rPr>
        <w:t>Interest-bearing current liabilities—related parties</w:t>
      </w:r>
    </w:p>
    <w:p>
      <w:pPr>
        <w:spacing w:after="0" w:line="9"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Trade payables—related parties</w:t>
      </w:r>
    </w:p>
    <w:p>
      <w:pPr>
        <w:spacing w:after="0" w:line="14"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b w:val="1"/>
          <w:bCs w:val="1"/>
          <w:color w:val="auto"/>
        </w:rPr>
        <w:t>Total Borrowings and other financial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-116840</wp:posOffset>
            </wp:positionV>
            <wp:extent cx="4749165" cy="13716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spacing w:after="0" w:line="16"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b w:val="1"/>
          <w:bCs w:val="1"/>
          <w:color w:val="auto"/>
        </w:rPr>
        <w:t>Total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19685</wp:posOffset>
            </wp:positionV>
            <wp:extent cx="4749165" cy="13716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spacing w:after="0" w:line="11"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Share Capital (the Company)</w:t>
      </w:r>
    </w:p>
    <w:p>
      <w:pPr>
        <w:spacing w:after="0" w:line="9"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Other contributed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5715</wp:posOffset>
            </wp:positionV>
            <wp:extent cx="4749165" cy="13716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ind w:left="1880"/>
        <w:spacing w:after="0"/>
        <w:rPr>
          <w:sz w:val="20"/>
          <w:szCs w:val="20"/>
          <w:color w:val="auto"/>
        </w:rPr>
      </w:pPr>
      <w:r>
        <w:rPr>
          <w:rFonts w:ascii="Times New Roman" w:cs="Times New Roman" w:eastAsia="Times New Roman" w:hAnsi="Times New Roman"/>
          <w:sz w:val="18"/>
          <w:szCs w:val="18"/>
          <w:color w:val="auto"/>
        </w:rPr>
        <w:t>Accumulated Deficit</w:t>
      </w:r>
    </w:p>
    <w:p>
      <w:pPr>
        <w:spacing w:after="0" w:line="14"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b w:val="1"/>
          <w:bCs w:val="1"/>
          <w:color w:val="auto"/>
        </w:rPr>
        <w:t>Total deficit (equity)</w:t>
      </w:r>
    </w:p>
    <w:p>
      <w:pPr>
        <w:spacing w:after="0" w:line="36"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b w:val="1"/>
          <w:bCs w:val="1"/>
          <w:color w:val="auto"/>
        </w:rPr>
        <w:t>Total Capitalization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-116840</wp:posOffset>
            </wp:positionV>
            <wp:extent cx="4749165" cy="13716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spacing w:after="0" w:line="142" w:lineRule="exact"/>
        <w:rPr>
          <w:sz w:val="20"/>
          <w:szCs w:val="20"/>
          <w:color w:val="auto"/>
        </w:rPr>
      </w:pPr>
    </w:p>
    <w:p>
      <w:pPr>
        <w:jc w:val="right"/>
        <w:ind w:right="1880"/>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jc w:val="center"/>
        <w:ind w:right="1860"/>
        <w:spacing w:after="0"/>
        <w:rPr>
          <w:sz w:val="20"/>
          <w:szCs w:val="20"/>
          <w:color w:val="auto"/>
        </w:rPr>
      </w:pPr>
      <w:r>
        <w:rPr>
          <w:rFonts w:ascii="Times New Roman" w:cs="Times New Roman" w:eastAsia="Times New Roman" w:hAnsi="Times New Roman"/>
          <w:sz w:val="14"/>
          <w:szCs w:val="14"/>
          <w:b w:val="1"/>
          <w:bCs w:val="1"/>
          <w:i w:val="1"/>
          <w:iCs w:val="1"/>
          <w:color w:val="auto"/>
        </w:rPr>
        <w:t>Polestar</w:t>
      </w:r>
    </w:p>
    <w:p>
      <w:pPr>
        <w:spacing w:after="0" w:line="8" w:lineRule="exact"/>
        <w:rPr>
          <w:sz w:val="20"/>
          <w:szCs w:val="20"/>
          <w:color w:val="auto"/>
        </w:rPr>
      </w:pPr>
    </w:p>
    <w:p>
      <w:pPr>
        <w:jc w:val="center"/>
        <w:ind w:right="1860"/>
        <w:spacing w:after="0"/>
        <w:rPr>
          <w:sz w:val="20"/>
          <w:szCs w:val="20"/>
          <w:color w:val="auto"/>
        </w:rPr>
      </w:pPr>
      <w:r>
        <w:rPr>
          <w:rFonts w:ascii="Times New Roman" w:cs="Times New Roman" w:eastAsia="Times New Roman" w:hAnsi="Times New Roman"/>
          <w:sz w:val="14"/>
          <w:szCs w:val="14"/>
          <w:b w:val="1"/>
          <w:bCs w:val="1"/>
          <w:i w:val="1"/>
          <w:iCs w:val="1"/>
          <w:color w:val="auto"/>
        </w:rPr>
        <w:t>Historical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133350</wp:posOffset>
            </wp:positionV>
            <wp:extent cx="59118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91185" cy="8890"/>
                    </a:xfrm>
                    <a:prstGeom prst="rect">
                      <a:avLst/>
                    </a:prstGeom>
                    <a:noFill/>
                  </pic:spPr>
                </pic:pic>
              </a:graphicData>
            </a:graphic>
          </wp:anchor>
        </w:drawing>
      </w:r>
    </w:p>
    <w:p>
      <w:pPr>
        <w:spacing w:after="0" w:line="195" w:lineRule="exact"/>
        <w:rPr>
          <w:sz w:val="20"/>
          <w:szCs w:val="20"/>
          <w:color w:val="auto"/>
        </w:rPr>
      </w:pPr>
    </w:p>
    <w:p>
      <w:pPr>
        <w:jc w:val="right"/>
        <w:ind w:right="1860"/>
        <w:spacing w:after="0"/>
        <w:rPr>
          <w:sz w:val="20"/>
          <w:szCs w:val="20"/>
          <w:color w:val="auto"/>
        </w:rPr>
      </w:pPr>
      <w:r>
        <w:rPr>
          <w:rFonts w:ascii="Times New Roman" w:cs="Times New Roman" w:eastAsia="Times New Roman" w:hAnsi="Times New Roman"/>
          <w:sz w:val="18"/>
          <w:szCs w:val="18"/>
          <w:b w:val="1"/>
          <w:bCs w:val="1"/>
          <w:u w:val="single" w:color="auto"/>
          <w:color w:val="auto"/>
        </w:rPr>
        <w:t>$  1,381,637</w:t>
      </w:r>
    </w:p>
    <w:p>
      <w:pPr>
        <w:spacing w:after="0" w:line="256" w:lineRule="exact"/>
        <w:rPr>
          <w:sz w:val="20"/>
          <w:szCs w:val="20"/>
          <w:color w:val="auto"/>
        </w:rPr>
      </w:pPr>
    </w:p>
    <w:p>
      <w:pPr>
        <w:jc w:val="right"/>
        <w:ind w:right="1800"/>
        <w:spacing w:after="0"/>
        <w:rPr>
          <w:sz w:val="20"/>
          <w:szCs w:val="20"/>
          <w:color w:val="auto"/>
        </w:rPr>
      </w:pPr>
      <w:r>
        <w:rPr>
          <w:rFonts w:ascii="Times New Roman" w:cs="Times New Roman" w:eastAsia="Times New Roman" w:hAnsi="Times New Roman"/>
          <w:sz w:val="18"/>
          <w:szCs w:val="18"/>
          <w:color w:val="auto"/>
        </w:rPr>
        <w:t>(60,473)</w:t>
      </w:r>
    </w:p>
    <w:p>
      <w:pPr>
        <w:spacing w:after="0" w:line="27" w:lineRule="exact"/>
        <w:rPr>
          <w:sz w:val="20"/>
          <w:szCs w:val="20"/>
          <w:color w:val="auto"/>
        </w:rPr>
      </w:pPr>
    </w:p>
    <w:p>
      <w:pPr>
        <w:jc w:val="right"/>
        <w:ind w:right="1800"/>
        <w:spacing w:after="0"/>
        <w:rPr>
          <w:sz w:val="20"/>
          <w:szCs w:val="20"/>
          <w:color w:val="auto"/>
        </w:rPr>
      </w:pPr>
      <w:r>
        <w:rPr>
          <w:rFonts w:ascii="Times New Roman" w:cs="Times New Roman" w:eastAsia="Times New Roman" w:hAnsi="Times New Roman"/>
          <w:sz w:val="18"/>
          <w:szCs w:val="18"/>
          <w:color w:val="auto"/>
        </w:rPr>
        <w:t>(809,933)</w:t>
      </w:r>
    </w:p>
    <w:p>
      <w:pPr>
        <w:spacing w:after="0" w:line="9" w:lineRule="exact"/>
        <w:rPr>
          <w:sz w:val="20"/>
          <w:szCs w:val="20"/>
          <w:color w:val="auto"/>
        </w:rPr>
      </w:pPr>
    </w:p>
    <w:p>
      <w:pPr>
        <w:jc w:val="right"/>
        <w:ind w:right="1800"/>
        <w:spacing w:after="0"/>
        <w:rPr>
          <w:sz w:val="20"/>
          <w:szCs w:val="20"/>
          <w:color w:val="auto"/>
        </w:rPr>
      </w:pPr>
      <w:r>
        <w:rPr>
          <w:rFonts w:ascii="Times New Roman" w:cs="Times New Roman" w:eastAsia="Times New Roman" w:hAnsi="Times New Roman"/>
          <w:sz w:val="18"/>
          <w:szCs w:val="18"/>
          <w:color w:val="auto"/>
        </w:rPr>
        <w:t>(17,363)</w:t>
      </w:r>
    </w:p>
    <w:p>
      <w:pPr>
        <w:spacing w:after="0" w:line="9" w:lineRule="exact"/>
        <w:rPr>
          <w:sz w:val="20"/>
          <w:szCs w:val="20"/>
          <w:color w:val="auto"/>
        </w:rPr>
      </w:pPr>
    </w:p>
    <w:p>
      <w:pPr>
        <w:jc w:val="right"/>
        <w:ind w:right="1800"/>
        <w:spacing w:after="0"/>
        <w:rPr>
          <w:sz w:val="20"/>
          <w:szCs w:val="20"/>
          <w:color w:val="auto"/>
        </w:rPr>
      </w:pPr>
      <w:r>
        <w:rPr>
          <w:rFonts w:ascii="Times New Roman" w:cs="Times New Roman" w:eastAsia="Times New Roman" w:hAnsi="Times New Roman"/>
          <w:sz w:val="18"/>
          <w:szCs w:val="18"/>
          <w:color w:val="auto"/>
        </w:rPr>
        <w:t>(11,902)</w:t>
      </w:r>
    </w:p>
    <w:p>
      <w:pPr>
        <w:spacing w:after="0" w:line="9" w:lineRule="exact"/>
        <w:rPr>
          <w:sz w:val="20"/>
          <w:szCs w:val="20"/>
          <w:color w:val="auto"/>
        </w:rPr>
      </w:pPr>
    </w:p>
    <w:p>
      <w:pPr>
        <w:jc w:val="right"/>
        <w:ind w:right="1800"/>
        <w:spacing w:after="0"/>
        <w:rPr>
          <w:sz w:val="20"/>
          <w:szCs w:val="20"/>
          <w:color w:val="auto"/>
        </w:rPr>
      </w:pPr>
      <w:r>
        <w:rPr>
          <w:rFonts w:ascii="Times New Roman" w:cs="Times New Roman" w:eastAsia="Times New Roman" w:hAnsi="Times New Roman"/>
          <w:sz w:val="18"/>
          <w:szCs w:val="18"/>
          <w:color w:val="auto"/>
        </w:rPr>
        <w:t>(876,384)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5715</wp:posOffset>
            </wp:positionV>
            <wp:extent cx="59118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91185" cy="8890"/>
                    </a:xfrm>
                    <a:prstGeom prst="rect">
                      <a:avLst/>
                    </a:prstGeom>
                    <a:noFill/>
                  </pic:spPr>
                </pic:pic>
              </a:graphicData>
            </a:graphic>
          </wp:anchor>
        </w:drawing>
      </w:r>
    </w:p>
    <w:p>
      <w:pPr>
        <w:jc w:val="right"/>
        <w:ind w:right="1800"/>
        <w:spacing w:after="0"/>
        <w:rPr>
          <w:sz w:val="20"/>
          <w:szCs w:val="20"/>
          <w:color w:val="auto"/>
        </w:rPr>
      </w:pPr>
      <w:r>
        <w:rPr>
          <w:rFonts w:ascii="Times New Roman" w:cs="Times New Roman" w:eastAsia="Times New Roman" w:hAnsi="Times New Roman"/>
          <w:sz w:val="18"/>
          <w:szCs w:val="18"/>
          <w:b w:val="1"/>
          <w:bCs w:val="1"/>
          <w:color w:val="auto"/>
        </w:rPr>
        <w:t>(1,776,055)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19685</wp:posOffset>
            </wp:positionV>
            <wp:extent cx="59118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91185" cy="8255"/>
                    </a:xfrm>
                    <a:prstGeom prst="rect">
                      <a:avLst/>
                    </a:prstGeom>
                    <a:noFill/>
                  </pic:spPr>
                </pic:pic>
              </a:graphicData>
            </a:graphic>
          </wp:anchor>
        </w:drawing>
      </w:r>
    </w:p>
    <w:p>
      <w:pPr>
        <w:spacing w:after="0" w:line="236" w:lineRule="exact"/>
        <w:rPr>
          <w:sz w:val="20"/>
          <w:szCs w:val="20"/>
          <w:color w:val="auto"/>
        </w:rPr>
      </w:pPr>
    </w:p>
    <w:p>
      <w:pPr>
        <w:jc w:val="right"/>
        <w:ind w:right="1800"/>
        <w:spacing w:after="0"/>
        <w:rPr>
          <w:sz w:val="20"/>
          <w:szCs w:val="20"/>
          <w:color w:val="auto"/>
        </w:rPr>
      </w:pPr>
      <w:r>
        <w:rPr>
          <w:rFonts w:ascii="Times New Roman" w:cs="Times New Roman" w:eastAsia="Times New Roman" w:hAnsi="Times New Roman"/>
          <w:sz w:val="18"/>
          <w:szCs w:val="18"/>
          <w:color w:val="auto"/>
        </w:rPr>
        <w:t>(21,090)</w:t>
      </w:r>
    </w:p>
    <w:p>
      <w:pPr>
        <w:spacing w:after="0" w:line="27" w:lineRule="exact"/>
        <w:rPr>
          <w:sz w:val="20"/>
          <w:szCs w:val="20"/>
          <w:color w:val="auto"/>
        </w:rPr>
      </w:pPr>
    </w:p>
    <w:p>
      <w:pPr>
        <w:jc w:val="right"/>
        <w:ind w:right="1800"/>
        <w:spacing w:after="0"/>
        <w:rPr>
          <w:sz w:val="20"/>
          <w:szCs w:val="20"/>
          <w:color w:val="auto"/>
        </w:rPr>
      </w:pPr>
      <w:r>
        <w:rPr>
          <w:rFonts w:ascii="Times New Roman" w:cs="Times New Roman" w:eastAsia="Times New Roman" w:hAnsi="Times New Roman"/>
          <w:sz w:val="18"/>
          <w:szCs w:val="18"/>
          <w:color w:val="auto"/>
        </w:rPr>
        <w:t>(3,578,804)</w:t>
      </w:r>
    </w:p>
    <w:p>
      <w:pPr>
        <w:spacing w:after="0" w:line="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3,763,720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5715</wp:posOffset>
            </wp:positionV>
            <wp:extent cx="59118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91185" cy="8255"/>
                    </a:xfrm>
                    <a:prstGeom prst="rect">
                      <a:avLst/>
                    </a:prstGeom>
                    <a:noFill/>
                  </pic:spPr>
                </pic:pic>
              </a:graphicData>
            </a:graphic>
          </wp:anchor>
        </w:drawing>
      </w:r>
    </w:p>
    <w:p>
      <w:pPr>
        <w:jc w:val="right"/>
        <w:ind w:right="1860"/>
        <w:spacing w:after="0"/>
        <w:rPr>
          <w:sz w:val="20"/>
          <w:szCs w:val="20"/>
          <w:color w:val="auto"/>
        </w:rPr>
      </w:pPr>
      <w:r>
        <w:rPr>
          <w:rFonts w:ascii="Times New Roman" w:cs="Times New Roman" w:eastAsia="Times New Roman" w:hAnsi="Times New Roman"/>
          <w:sz w:val="18"/>
          <w:szCs w:val="18"/>
          <w:b w:val="1"/>
          <w:bCs w:val="1"/>
          <w:color w:val="auto"/>
        </w:rPr>
        <w:t>163,826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19685</wp:posOffset>
            </wp:positionV>
            <wp:extent cx="59118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91185" cy="8255"/>
                    </a:xfrm>
                    <a:prstGeom prst="rect">
                      <a:avLst/>
                    </a:prstGeom>
                    <a:noFill/>
                  </pic:spPr>
                </pic:pic>
              </a:graphicData>
            </a:graphic>
          </wp:anchor>
        </w:drawing>
      </w:r>
    </w:p>
    <w:p>
      <w:pPr>
        <w:spacing w:after="0" w:line="16" w:lineRule="exact"/>
        <w:rPr>
          <w:sz w:val="20"/>
          <w:szCs w:val="20"/>
          <w:color w:val="auto"/>
        </w:rPr>
      </w:pPr>
    </w:p>
    <w:p>
      <w:pPr>
        <w:jc w:val="right"/>
        <w:ind w:right="1800"/>
        <w:spacing w:after="0"/>
        <w:rPr>
          <w:sz w:val="20"/>
          <w:szCs w:val="20"/>
          <w:color w:val="auto"/>
        </w:rPr>
      </w:pPr>
      <w:r>
        <w:rPr>
          <w:rFonts w:ascii="Times New Roman" w:cs="Times New Roman" w:eastAsia="Times New Roman" w:hAnsi="Times New Roman"/>
          <w:sz w:val="18"/>
          <w:szCs w:val="18"/>
          <w:b w:val="1"/>
          <w:bCs w:val="1"/>
          <w:color w:val="auto"/>
        </w:rPr>
        <w:t>$ (1,612,229)</w:t>
      </w:r>
    </w:p>
    <w:p>
      <w:pPr>
        <w:sectPr>
          <w:pgSz w:w="11900" w:h="16838" w:orient="portrait"/>
          <w:cols w:equalWidth="0" w:num="2">
            <w:col w:w="7600" w:space="720"/>
            <w:col w:w="2780"/>
          </w:cols>
          <w:pgMar w:left="320" w:top="455" w:right="479" w:bottom="1440" w:gutter="0" w:footer="0" w:header="0"/>
          <w:type w:val="continuous"/>
        </w:sectPr>
      </w:pPr>
    </w:p>
    <w:bookmarkStart w:id="90" w:name="page91"/>
    <w:bookmarkEnd w:id="9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All of the Class A ADSs and the Class C-2 ADSs offered by the Selling Securityholders pursuant to this prospectus will be sold by the Selling Securityholders for their respective accounts. We will not receive any of the proceeds from such sales. We will pay certain expenses associated with the registration of the securities covered by this prospectus, as described in the section entitled “Plan of Distribution.”</w:t>
      </w:r>
    </w:p>
    <w:p>
      <w:pPr>
        <w:spacing w:after="0" w:line="176"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We will receive up to an aggregate of approximately $287.5 million from the exercise of the Class C ADSs, assuming the exercise in full of all of the Class C ADSs for cash. We expect to use the net proceeds from the exercise of the Class C ADSs for general corporate purposes. We will have broad discretion over the use of proceeds from the exercise of the Class C ADSs. There is no assurance that the holders of the Class C ADSs will elect to exercise any or all of such Class C ADSs. To the extent that any of the Class C ADSs are exercised on a “cashless basis,” the amount of cash we would receive from the exercise of the Class C ADSs will decrease.</w:t>
      </w:r>
    </w:p>
    <w:p>
      <w:pPr>
        <w:spacing w:after="0" w:line="183"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We believe the likelihood that holders will exercise their Class C ADSs, and therefore the amount of cash proceeds that we would receive, is dependent upon the market price of our Class A ADSs. When the market price for our Class A ADSs is less than $11.50 per share (i.e., the Class C ADSs are “out of the money”), which it is as of the date of this prospectus, we believe holders of Class C ADSs will be unlikely to exercise their Class C ADSs.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120"/>
          </w:cols>
          <w:pgMar w:left="320" w:top="455" w:right="45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MARKET PRICE OF OUR SECURITIES AND DIVIDEND POLICY</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Class A ADSs and Class C-1 ADSs are listed on the Nasdaq, under the trading symbols “PSNY” and “PSNYW,” respectively. On</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September 22, 2022, the closing price for our Class A ADSs on Nasdaq was $6.27. On September 22, 2022, the closing price for our Class C-1 ADSs on</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Nasdaq was $1.27.</w:t>
      </w:r>
    </w:p>
    <w:p>
      <w:pPr>
        <w:spacing w:after="0" w:line="207"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As of June 23, 2022, the date Polestar closed the Business Combination, there were approximately 97 shareholders of record for our Class A ADSs, one shareholder of record for our Class B ADSs and three shareholders of record for our Class C ADSs. The actual number of shareholders is greater than this number of record holders and includes shareholders who are beneficial owners but whose shares are held in street name by brokers and other nominees. This number of holders of record also does not include shareholders whose shares may be held in trust or by other entities.</w:t>
      </w:r>
    </w:p>
    <w:p>
      <w:pPr>
        <w:spacing w:after="0" w:line="180"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have never declared or paid any cash dividend on our Class A ADSs. We currently intend to retain any future earnings and do not expect to pay any dividends in the foreseeable future. Any further determination to pay dividends on our Class A ADSs would be at the discretion of our board of directors, subject to applicable laws, and would depend on our financial condition, results of operations, capital requirements, general business conditions, and other factors that our board of directors may deem relevant. For more information, also see “Description of Share Capital and Articles of Association—Polestar Articles and English Law Considerations—Other English Law Considerations—Distributions &amp; Dividends.”</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100"/>
          </w:cols>
          <w:pgMar w:left="320" w:top="455" w:right="47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BUSINESS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Summary</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Polestar is determined to improve society by accelerating the shift to sustainable mobility.</w:t>
      </w:r>
    </w:p>
    <w:p>
      <w:pPr>
        <w:spacing w:after="0" w:line="225"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Polestar is a pure play, premium electric performance car brand headquartered in Sweden, designing products engineered to excite consumers and drive change. Polestar defines market-leading standards in design, technology and sustainability. Polestar was established as a premium electric car brand by Volvo Cars and Geely in 2017. Polestar benefits from the technological, engineering and manufacturing capabilities of these established global car manufacturers. Polestar has an asset-light, highly scalable business model with immediate operating leverage.</w:t>
      </w:r>
    </w:p>
    <w:p>
      <w:pPr>
        <w:spacing w:after="0" w:line="180"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Polestar 1, an electric performance hybrid GT, was launched to establish Polestar in the premium luxury electric vehicle market in 2019. With a carbon fiber body, Polestar 1 has a combined 609 horse power (hp) and 1,000 Newton-meter (Nm) of torque. Production of the Polestar 1 ceased at the end of 2021, making Polestar a dedicated electric vehicle manufacturer. Polestar 2, an electric performance fastback and our first fully electric, high volume car was launched in 2020. Polestar 2 has three variants with a combination of long- and standard range batteries as large as 78 kWh, and dual-and single-motor powertrains with up to 300 kW / 408 hp and 660 Nm of torque. Polestar 1 and Polestar 2 have received major acclaim, winning multiple globally recognized awards across design, innovation and sustainability. Highlights for Polestar 1 include Insider car of the year and GQ’s Best Hybrid Sports Car awards. Polestar 2 alone has won over 50 awards, including various Car of the Year awards, the Golden Steering Wheel, Red Dot’s Best of the Best Product Design and a 2021 Innovation by Design award from Fast Company.</w:t>
      </w:r>
    </w:p>
    <w:p>
      <w:pPr>
        <w:spacing w:after="0" w:line="192"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As of June 30, 2022, Polestar’s cars are on the road in 25 markets across Europe, North America, China and Asia Pacific. Polestar intends to continue its rapid market expansion with the aim that its cars will be available in an aggregate of 30 markets by the end of 2023. Polestar also plans to introduce four new electric vehicles by 2026; Polestar 3, an aerodynamically optimized SUV; Polestar 4, a sporty SUV coupe; Polestar 5, a luxury 4 door GT; and Polestar 6, an electric performance roadster. Polestar’s target is a production volume of approximately 290,000 vehicles per annum by the end of 2025. With these expanded markets and additional vehicles, Polestar expects to compete in segments constituting almost 80% of the global premium luxury vehicle market by volume of units sold. Polestar believes the premium luxury vehicle segment is one of the fastest growing vehicle segments, and expects the electric-only vehicle portion of this segment to grow at a faster rate than the overall segment.</w:t>
      </w:r>
    </w:p>
    <w:p>
      <w:pPr>
        <w:spacing w:after="0" w:line="189" w:lineRule="exact"/>
        <w:rPr>
          <w:sz w:val="20"/>
          <w:szCs w:val="20"/>
          <w:color w:val="auto"/>
        </w:rPr>
      </w:pPr>
    </w:p>
    <w:p>
      <w:pPr>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Polestar has set itself the important goal to create a truly climate neutral car by the end of 2030, which it refers to as the Polestar 0 project. The development of a truly climate neutral car by the end of 2030 is a significant milestone on the path to Polestar’s goal of becoming a climate neutral company by the end of 2040.</w:t>
      </w:r>
    </w:p>
    <w:p>
      <w:pPr>
        <w:spacing w:after="0" w:line="176"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Polestar’s vehicles are currently manufactured at a plant in Luqiao, China that is owned and operated by Volvo Cars. The plant, referred to by Volvo Cars as the “Taizhou” plant, was acquired by Volvo Cars from Geely in December 2021. Prior to that time, the plant had been owned by Geely and operated by Volvo Cars. The Polestar 2 vehicles have been manufactured at this plant since production commenced in 2020. Commencing with the Polestar 3, Polestar intends to produce vehicles both in China and in Charleston, South Carolina in the United States (a facility operated by Volvo Cars). Polestar’s ability to leverage the manufacturing footprint of both Volvo Cars and Geely, provides it with access to a combined installed production capacity of about 750,000 units per annum across three continents, and gives Polestar’s highly scalable business model immediate operating leverage. Polestar also plans on expanding its production capacity in Europe by leveraging plants that are owned and operated by Volvo Cars.</w:t>
      </w:r>
    </w:p>
    <w:p>
      <w:pPr>
        <w:spacing w:after="0" w:line="189"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Polestar uses a digital first, direct to consumer approach that enables its customers to browse Polestar’s products, configure their preferred vehicle and place their order on-line. Alternatively, Polestar Locations are</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1080"/>
          </w:cols>
          <w:pgMar w:left="320" w:top="455" w:right="49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where customers can see, feel and test drive our vehicles prior to making an on-line purchase. Polestar believes this combination of digital and physical retail presence delivers a seamless experience for its customers. Polestar’s customer experience is further enhanced by its comprehensive service network that leverages the existing Volvo Cars service center network. As of June 30, 2022, there are 125 Polestar Locations. Polestar plans to extend its retail locations to a total of over 150 in existing and new markets by the end of 2023. In addition, Polestar leverages the Volvo Cars service center network to provide access to 934 customer service points worldwide (as of June 30, 2022) in support of its international expansion.</w:t>
      </w:r>
    </w:p>
    <w:p>
      <w:pPr>
        <w:spacing w:after="0" w:line="183"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Polestar’s research and development expertise is a core competence and Polestar believes it is a significant competitive advantage. Current proprietary technologies under development include bonded aluminum chassis architectures and their manufacture, a high-performance electric motor and bi-directional compatible battery packs and charging technology.</w:t>
      </w:r>
    </w:p>
    <w:p>
      <w:pPr>
        <w:spacing w:after="0" w:line="176" w:lineRule="exact"/>
        <w:rPr>
          <w:sz w:val="20"/>
          <w:szCs w:val="20"/>
          <w:color w:val="auto"/>
        </w:rPr>
      </w:pPr>
    </w:p>
    <w:p>
      <w:pPr>
        <w:ind w:left="120" w:right="440" w:firstLine="440"/>
        <w:spacing w:after="0" w:line="266" w:lineRule="auto"/>
        <w:rPr>
          <w:sz w:val="20"/>
          <w:szCs w:val="20"/>
          <w:color w:val="auto"/>
        </w:rPr>
      </w:pPr>
      <w:r>
        <w:rPr>
          <w:rFonts w:ascii="Times New Roman" w:cs="Times New Roman" w:eastAsia="Times New Roman" w:hAnsi="Times New Roman"/>
          <w:sz w:val="18"/>
          <w:szCs w:val="18"/>
          <w:color w:val="auto"/>
        </w:rPr>
        <w:t>Polestar has drawn extensively on the industrial heritage, knowledge and market infrastructure of Volvo Cars. This combination of deep automotive expertise, paired with cutting-edge technologies and an agile, entrepreneurial culture, underpins Polestar’s differentiation, potential for growth and success.</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100"/>
          </w:cols>
          <w:pgMar w:left="320" w:top="455" w:right="47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Recent Developments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Key Figures</w:t>
      </w:r>
    </w:p>
    <w:p>
      <w:pPr>
        <w:spacing w:after="0" w:line="119" w:lineRule="exact"/>
        <w:rPr>
          <w:sz w:val="20"/>
          <w:szCs w:val="20"/>
          <w:color w:val="auto"/>
        </w:rPr>
      </w:pPr>
    </w:p>
    <w:p>
      <w:pPr>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The table below summarizes the key financial results of Polestar for the six months ended June 30, 2022 and 2021 and for the year ended December 31, 2021. The following should be read in conjunction with the sections entitled “Risk Factors” and “</w:t>
      </w:r>
      <w:r>
        <w:rPr>
          <w:rFonts w:ascii="Times New Roman" w:cs="Times New Roman" w:eastAsia="Times New Roman" w:hAnsi="Times New Roman"/>
          <w:sz w:val="18"/>
          <w:szCs w:val="18"/>
          <w:i w:val="1"/>
          <w:iCs w:val="1"/>
          <w:color w:val="auto"/>
        </w:rPr>
        <w:t>Operating And Financial Review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Prospects</w:t>
      </w:r>
      <w:r>
        <w:rPr>
          <w:rFonts w:ascii="Times New Roman" w:cs="Times New Roman" w:eastAsia="Times New Roman" w:hAnsi="Times New Roman"/>
          <w:sz w:val="18"/>
          <w:szCs w:val="18"/>
          <w:color w:val="auto"/>
        </w:rPr>
        <w:t>” and the financial statements included in this prospectus.</w:t>
      </w:r>
    </w:p>
    <w:p>
      <w:pPr>
        <w:spacing w:after="0" w:line="18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900" w:type="dxa"/>
            <w:vAlign w:val="bottom"/>
          </w:tcPr>
          <w:p>
            <w:pPr>
              <w:spacing w:after="0"/>
              <w:rPr>
                <w:sz w:val="13"/>
                <w:szCs w:val="13"/>
                <w:color w:val="auto"/>
              </w:rPr>
            </w:pPr>
          </w:p>
        </w:tc>
        <w:tc>
          <w:tcPr>
            <w:tcW w:w="2960" w:type="dxa"/>
            <w:vAlign w:val="bottom"/>
            <w:gridSpan w:val="4"/>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For the six months</w:t>
            </w: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For the year</w:t>
            </w:r>
          </w:p>
        </w:tc>
      </w:tr>
      <w:tr>
        <w:trPr>
          <w:trHeight w:val="148"/>
        </w:trPr>
        <w:tc>
          <w:tcPr>
            <w:tcW w:w="6900" w:type="dxa"/>
            <w:vAlign w:val="bottom"/>
          </w:tcPr>
          <w:p>
            <w:pPr>
              <w:spacing w:after="0"/>
              <w:rPr>
                <w:sz w:val="12"/>
                <w:szCs w:val="12"/>
                <w:color w:val="auto"/>
              </w:rPr>
            </w:pPr>
          </w:p>
        </w:tc>
        <w:tc>
          <w:tcPr>
            <w:tcW w:w="1580" w:type="dxa"/>
            <w:vAlign w:val="bottom"/>
            <w:gridSpan w:val="2"/>
          </w:tcPr>
          <w:p>
            <w:pPr>
              <w:jc w:val="center"/>
              <w:ind w:left="872"/>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9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r>
      <w:tr>
        <w:trPr>
          <w:trHeight w:val="173"/>
        </w:trPr>
        <w:tc>
          <w:tcPr>
            <w:tcW w:w="6900" w:type="dxa"/>
            <w:vAlign w:val="bottom"/>
          </w:tcPr>
          <w:p>
            <w:pPr>
              <w:spacing w:after="0"/>
              <w:rPr>
                <w:sz w:val="15"/>
                <w:szCs w:val="15"/>
                <w:color w:val="auto"/>
              </w:rPr>
            </w:pPr>
          </w:p>
        </w:tc>
        <w:tc>
          <w:tcPr>
            <w:tcW w:w="1580" w:type="dxa"/>
            <w:vAlign w:val="bottom"/>
            <w:gridSpan w:val="2"/>
          </w:tcPr>
          <w:p>
            <w:pPr>
              <w:jc w:val="center"/>
              <w:ind w:left="872"/>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42"/>
        </w:trPr>
        <w:tc>
          <w:tcPr>
            <w:tcW w:w="6900" w:type="dxa"/>
            <w:vAlign w:val="bottom"/>
            <w:tcBorders>
              <w:bottom w:val="single" w:sz="8" w:color="CCEEFF"/>
            </w:tcBorders>
          </w:tcPr>
          <w:p>
            <w:pPr>
              <w:spacing w:after="0"/>
              <w:rPr>
                <w:sz w:val="12"/>
                <w:szCs w:val="12"/>
                <w:color w:val="auto"/>
              </w:rPr>
            </w:pPr>
          </w:p>
        </w:tc>
        <w:tc>
          <w:tcPr>
            <w:tcW w:w="1100" w:type="dxa"/>
            <w:vAlign w:val="bottom"/>
            <w:tcBorders>
              <w:top w:val="single" w:sz="8" w:color="auto"/>
              <w:bottom w:val="single" w:sz="8" w:color="auto"/>
            </w:tcBorders>
          </w:tcPr>
          <w:p>
            <w:pPr>
              <w:jc w:val="right"/>
              <w:ind w:right="31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480" w:type="dxa"/>
            <w:vAlign w:val="bottom"/>
            <w:tcBorders>
              <w:top w:val="single" w:sz="8" w:color="auto"/>
              <w:bottom w:val="single" w:sz="8" w:color="CCEEFF"/>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251"/>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420" w:type="dxa"/>
            <w:vAlign w:val="bottom"/>
            <w:tcBorders>
              <w:bottom w:val="single" w:sz="8" w:color="CCEEFF"/>
            </w:tcBorders>
          </w:tcPr>
          <w:p>
            <w:pPr>
              <w:spacing w:after="0"/>
              <w:rPr>
                <w:sz w:val="12"/>
                <w:szCs w:val="12"/>
                <w:color w:val="auto"/>
              </w:rPr>
            </w:pPr>
          </w:p>
        </w:tc>
        <w:tc>
          <w:tcPr>
            <w:tcW w:w="94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Borders>
              <w:bottom w:val="single" w:sz="8" w:color="CCEEFF"/>
            </w:tcBorders>
          </w:tcPr>
          <w:p>
            <w:pPr>
              <w:spacing w:after="0"/>
              <w:rPr>
                <w:sz w:val="12"/>
                <w:szCs w:val="12"/>
                <w:color w:val="auto"/>
              </w:rPr>
            </w:pPr>
          </w:p>
        </w:tc>
      </w:tr>
      <w:tr>
        <w:trPr>
          <w:trHeight w:val="196"/>
        </w:trPr>
        <w:tc>
          <w:tcPr>
            <w:tcW w:w="69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Statement of loss</w:t>
            </w:r>
          </w:p>
        </w:tc>
        <w:tc>
          <w:tcPr>
            <w:tcW w:w="1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16"/>
        </w:trPr>
        <w:tc>
          <w:tcPr>
            <w:tcW w:w="6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Revenue</w:t>
            </w:r>
          </w:p>
        </w:tc>
        <w:tc>
          <w:tcPr>
            <w:tcW w:w="15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1,041,297</w:t>
            </w:r>
          </w:p>
        </w:tc>
        <w:tc>
          <w:tcPr>
            <w:tcW w:w="13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534,779</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1,337,181</w:t>
            </w:r>
          </w:p>
        </w:tc>
      </w:tr>
      <w:tr>
        <w:trPr>
          <w:trHeight w:val="216"/>
        </w:trPr>
        <w:tc>
          <w:tcPr>
            <w:tcW w:w="6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Cost of sales</w:t>
            </w:r>
          </w:p>
        </w:tc>
        <w:tc>
          <w:tcPr>
            <w:tcW w:w="15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(987,881)</w:t>
            </w:r>
          </w:p>
        </w:tc>
        <w:tc>
          <w:tcPr>
            <w:tcW w:w="13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(498,966)</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(1,336,321)</w:t>
            </w:r>
          </w:p>
        </w:tc>
      </w:tr>
      <w:tr>
        <w:trPr>
          <w:trHeight w:val="223"/>
        </w:trPr>
        <w:tc>
          <w:tcPr>
            <w:tcW w:w="6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53,416</w:t>
            </w:r>
          </w:p>
        </w:tc>
        <w:tc>
          <w:tcPr>
            <w:tcW w:w="480" w:type="dxa"/>
            <w:vAlign w:val="bottom"/>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35,813</w:t>
            </w:r>
          </w:p>
        </w:tc>
        <w:tc>
          <w:tcPr>
            <w:tcW w:w="420" w:type="dxa"/>
            <w:vAlign w:val="bottom"/>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860</w:t>
            </w:r>
          </w:p>
        </w:tc>
        <w:tc>
          <w:tcPr>
            <w:tcW w:w="220" w:type="dxa"/>
            <w:vAlign w:val="bottom"/>
          </w:tcPr>
          <w:p>
            <w:pPr>
              <w:spacing w:after="0"/>
              <w:rPr>
                <w:sz w:val="19"/>
                <w:szCs w:val="19"/>
                <w:color w:val="auto"/>
              </w:rPr>
            </w:pPr>
          </w:p>
        </w:tc>
      </w:tr>
      <w:tr>
        <w:trPr>
          <w:trHeight w:val="216"/>
        </w:trPr>
        <w:tc>
          <w:tcPr>
            <w:tcW w:w="6900" w:type="dxa"/>
            <w:vAlign w:val="bottom"/>
            <w:shd w:val="clear" w:color="auto" w:fill="CCEEFF"/>
          </w:tcPr>
          <w:p>
            <w:pPr>
              <w:ind w:left="360"/>
              <w:spacing w:after="0" w:line="216" w:lineRule="exact"/>
              <w:rPr>
                <w:sz w:val="20"/>
                <w:szCs w:val="20"/>
                <w:color w:val="auto"/>
              </w:rPr>
            </w:pPr>
            <w:r>
              <w:rPr>
                <w:rFonts w:ascii="Times New Roman" w:cs="Times New Roman" w:eastAsia="Times New Roman" w:hAnsi="Times New Roman"/>
                <w:sz w:val="17"/>
                <w:szCs w:val="17"/>
                <w:color w:val="auto"/>
              </w:rPr>
              <w:t>Operating expenses</w:t>
            </w:r>
            <w:r>
              <w:rPr>
                <w:rFonts w:ascii="Times New Roman" w:cs="Times New Roman" w:eastAsia="Times New Roman" w:hAnsi="Times New Roman"/>
                <w:sz w:val="25"/>
                <w:szCs w:val="25"/>
                <w:color w:val="auto"/>
                <w:vertAlign w:val="superscript"/>
              </w:rPr>
              <w:t>1</w:t>
            </w:r>
          </w:p>
        </w:tc>
        <w:tc>
          <w:tcPr>
            <w:tcW w:w="15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(938,596)</w:t>
            </w:r>
          </w:p>
        </w:tc>
        <w:tc>
          <w:tcPr>
            <w:tcW w:w="13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(400,494)</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(995,699)</w:t>
            </w:r>
          </w:p>
        </w:tc>
      </w:tr>
      <w:tr>
        <w:trPr>
          <w:trHeight w:val="223"/>
        </w:trPr>
        <w:tc>
          <w:tcPr>
            <w:tcW w:w="6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(885,180)</w:t>
            </w:r>
          </w:p>
        </w:tc>
        <w:tc>
          <w:tcPr>
            <w:tcW w:w="480" w:type="dxa"/>
            <w:vAlign w:val="bottom"/>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(364,681)</w:t>
            </w:r>
          </w:p>
        </w:tc>
        <w:tc>
          <w:tcPr>
            <w:tcW w:w="420" w:type="dxa"/>
            <w:vAlign w:val="bottom"/>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(994,839)</w:t>
            </w:r>
          </w:p>
        </w:tc>
        <w:tc>
          <w:tcPr>
            <w:tcW w:w="220" w:type="dxa"/>
            <w:vAlign w:val="bottom"/>
          </w:tcPr>
          <w:p>
            <w:pPr>
              <w:spacing w:after="0"/>
              <w:rPr>
                <w:sz w:val="19"/>
                <w:szCs w:val="19"/>
                <w:color w:val="auto"/>
              </w:rPr>
            </w:pPr>
          </w:p>
        </w:tc>
      </w:tr>
      <w:tr>
        <w:trPr>
          <w:trHeight w:val="216"/>
        </w:trPr>
        <w:tc>
          <w:tcPr>
            <w:tcW w:w="6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Finance income and expense, net</w:t>
            </w:r>
          </w:p>
        </w:tc>
        <w:tc>
          <w:tcPr>
            <w:tcW w:w="15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389,585</w:t>
            </w:r>
          </w:p>
        </w:tc>
        <w:tc>
          <w:tcPr>
            <w:tcW w:w="13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2,819</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(12,279)</w:t>
            </w:r>
          </w:p>
        </w:tc>
      </w:tr>
      <w:tr>
        <w:trPr>
          <w:trHeight w:val="216"/>
        </w:trPr>
        <w:tc>
          <w:tcPr>
            <w:tcW w:w="6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Income tax expense</w:t>
            </w:r>
          </w:p>
        </w:tc>
        <w:tc>
          <w:tcPr>
            <w:tcW w:w="15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(7,139)</w:t>
            </w:r>
          </w:p>
        </w:tc>
        <w:tc>
          <w:tcPr>
            <w:tcW w:w="13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(6,357)</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(336)</w:t>
            </w:r>
          </w:p>
        </w:tc>
      </w:tr>
      <w:tr>
        <w:trPr>
          <w:trHeight w:val="27"/>
        </w:trPr>
        <w:tc>
          <w:tcPr>
            <w:tcW w:w="690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r>
      <w:tr>
        <w:trPr>
          <w:trHeight w:val="216"/>
        </w:trPr>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5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(502,734)</w:t>
            </w:r>
          </w:p>
        </w:tc>
        <w:tc>
          <w:tcPr>
            <w:tcW w:w="13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(368,219)</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(1,007,454)</w:t>
            </w:r>
          </w:p>
        </w:tc>
      </w:tr>
      <w:tr>
        <w:trPr>
          <w:trHeight w:val="216"/>
        </w:trPr>
        <w:tc>
          <w:tcPr>
            <w:tcW w:w="6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Statement of financial position</w:t>
            </w:r>
          </w:p>
        </w:tc>
        <w:tc>
          <w:tcPr>
            <w:tcW w:w="1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6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5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1,381,637</w:t>
            </w:r>
          </w:p>
        </w:tc>
        <w:tc>
          <w:tcPr>
            <w:tcW w:w="13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465,747</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756,677</w:t>
            </w:r>
          </w:p>
        </w:tc>
      </w:tr>
      <w:tr>
        <w:trPr>
          <w:trHeight w:val="216"/>
        </w:trPr>
        <w:tc>
          <w:tcPr>
            <w:tcW w:w="6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15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3,620,869</w:t>
            </w:r>
          </w:p>
        </w:tc>
        <w:tc>
          <w:tcPr>
            <w:tcW w:w="13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2,520,746</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3,309,693</w:t>
            </w:r>
          </w:p>
        </w:tc>
      </w:tr>
      <w:tr>
        <w:trPr>
          <w:trHeight w:val="216"/>
        </w:trPr>
        <w:tc>
          <w:tcPr>
            <w:tcW w:w="6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equity</w:t>
            </w:r>
          </w:p>
        </w:tc>
        <w:tc>
          <w:tcPr>
            <w:tcW w:w="15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169,951</w:t>
            </w:r>
          </w:p>
        </w:tc>
        <w:tc>
          <w:tcPr>
            <w:tcW w:w="13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(744,200)</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(122,496)</w:t>
            </w:r>
          </w:p>
        </w:tc>
      </w:tr>
      <w:tr>
        <w:trPr>
          <w:trHeight w:val="216"/>
        </w:trPr>
        <w:tc>
          <w:tcPr>
            <w:tcW w:w="6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liabilities</w:t>
            </w:r>
          </w:p>
        </w:tc>
        <w:tc>
          <w:tcPr>
            <w:tcW w:w="15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(3,790,820)</w:t>
            </w:r>
          </w:p>
        </w:tc>
        <w:tc>
          <w:tcPr>
            <w:tcW w:w="13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(1,776,546)</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(3,187,197)</w:t>
            </w:r>
          </w:p>
        </w:tc>
      </w:tr>
      <w:tr>
        <w:trPr>
          <w:trHeight w:val="216"/>
        </w:trPr>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Statement of cash flows</w:t>
            </w:r>
          </w:p>
        </w:tc>
        <w:tc>
          <w:tcPr>
            <w:tcW w:w="1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6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Cash used for operating activities</w:t>
            </w:r>
          </w:p>
        </w:tc>
        <w:tc>
          <w:tcPr>
            <w:tcW w:w="15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(401,926)</w:t>
            </w:r>
          </w:p>
        </w:tc>
        <w:tc>
          <w:tcPr>
            <w:tcW w:w="13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(112,940)</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(312,156)</w:t>
            </w:r>
          </w:p>
        </w:tc>
      </w:tr>
      <w:tr>
        <w:trPr>
          <w:trHeight w:val="216"/>
        </w:trPr>
        <w:tc>
          <w:tcPr>
            <w:tcW w:w="6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used for investing activities</w:t>
            </w:r>
          </w:p>
        </w:tc>
        <w:tc>
          <w:tcPr>
            <w:tcW w:w="15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(514,405)</w:t>
            </w:r>
          </w:p>
        </w:tc>
        <w:tc>
          <w:tcPr>
            <w:tcW w:w="13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(58,789)</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(129,672)</w:t>
            </w:r>
          </w:p>
        </w:tc>
      </w:tr>
      <w:tr>
        <w:trPr>
          <w:trHeight w:val="216"/>
        </w:trPr>
        <w:tc>
          <w:tcPr>
            <w:tcW w:w="6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Cash provided by financing activities</w:t>
            </w:r>
          </w:p>
        </w:tc>
        <w:tc>
          <w:tcPr>
            <w:tcW w:w="15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1,574,278</w:t>
            </w:r>
          </w:p>
        </w:tc>
        <w:tc>
          <w:tcPr>
            <w:tcW w:w="13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328,049</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909,572</w:t>
            </w:r>
          </w:p>
        </w:tc>
      </w:tr>
      <w:tr>
        <w:trPr>
          <w:trHeight w:val="216"/>
        </w:trPr>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Key metrics</w:t>
            </w:r>
          </w:p>
        </w:tc>
        <w:tc>
          <w:tcPr>
            <w:tcW w:w="1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6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Class A and B shares outstanding at period end</w:t>
            </w:r>
          </w:p>
        </w:tc>
        <w:tc>
          <w:tcPr>
            <w:tcW w:w="15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2,109,034,797</w:t>
            </w:r>
          </w:p>
        </w:tc>
        <w:tc>
          <w:tcPr>
            <w:tcW w:w="13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232,404,595</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232,404,595</w:t>
            </w:r>
          </w:p>
        </w:tc>
      </w:tr>
      <w:tr>
        <w:trPr>
          <w:trHeight w:val="216"/>
        </w:trPr>
        <w:tc>
          <w:tcPr>
            <w:tcW w:w="6900" w:type="dxa"/>
            <w:vAlign w:val="bottom"/>
            <w:shd w:val="clear" w:color="auto" w:fill="CCEEFF"/>
          </w:tcPr>
          <w:p>
            <w:pPr>
              <w:ind w:left="360"/>
              <w:spacing w:after="0" w:line="216" w:lineRule="exact"/>
              <w:rPr>
                <w:sz w:val="20"/>
                <w:szCs w:val="20"/>
                <w:color w:val="auto"/>
              </w:rPr>
            </w:pPr>
            <w:r>
              <w:rPr>
                <w:rFonts w:ascii="Times New Roman" w:cs="Times New Roman" w:eastAsia="Times New Roman" w:hAnsi="Times New Roman"/>
                <w:sz w:val="17"/>
                <w:szCs w:val="17"/>
                <w:color w:val="auto"/>
              </w:rPr>
              <w:t>Share price at period end</w:t>
            </w:r>
            <w:r>
              <w:rPr>
                <w:rFonts w:ascii="Times New Roman" w:cs="Times New Roman" w:eastAsia="Times New Roman" w:hAnsi="Times New Roman"/>
                <w:sz w:val="25"/>
                <w:szCs w:val="25"/>
                <w:color w:val="auto"/>
                <w:vertAlign w:val="superscript"/>
              </w:rPr>
              <w:t>2</w:t>
            </w:r>
          </w:p>
        </w:tc>
        <w:tc>
          <w:tcPr>
            <w:tcW w:w="15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8.81</w:t>
            </w:r>
          </w:p>
        </w:tc>
        <w:tc>
          <w:tcPr>
            <w:tcW w:w="13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8.04</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8.04</w:t>
            </w:r>
          </w:p>
        </w:tc>
      </w:tr>
      <w:tr>
        <w:trPr>
          <w:trHeight w:val="216"/>
        </w:trPr>
        <w:tc>
          <w:tcPr>
            <w:tcW w:w="6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15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(1.65)</w:t>
            </w:r>
          </w:p>
        </w:tc>
        <w:tc>
          <w:tcPr>
            <w:tcW w:w="13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(1.63)</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(4.39)</w:t>
            </w:r>
          </w:p>
        </w:tc>
      </w:tr>
      <w:tr>
        <w:trPr>
          <w:trHeight w:val="216"/>
        </w:trPr>
        <w:tc>
          <w:tcPr>
            <w:tcW w:w="6900" w:type="dxa"/>
            <w:vAlign w:val="bottom"/>
            <w:shd w:val="clear" w:color="auto" w:fill="CCEEFF"/>
          </w:tcPr>
          <w:p>
            <w:pPr>
              <w:ind w:left="360"/>
              <w:spacing w:after="0" w:line="216" w:lineRule="exact"/>
              <w:rPr>
                <w:sz w:val="20"/>
                <w:szCs w:val="20"/>
                <w:color w:val="auto"/>
              </w:rPr>
            </w:pPr>
            <w:r>
              <w:rPr>
                <w:rFonts w:ascii="Times New Roman" w:cs="Times New Roman" w:eastAsia="Times New Roman" w:hAnsi="Times New Roman"/>
                <w:sz w:val="17"/>
                <w:szCs w:val="17"/>
                <w:color w:val="auto"/>
              </w:rPr>
              <w:t>Equity ratio</w:t>
            </w:r>
            <w:r>
              <w:rPr>
                <w:rFonts w:ascii="Times New Roman" w:cs="Times New Roman" w:eastAsia="Times New Roman" w:hAnsi="Times New Roman"/>
                <w:sz w:val="25"/>
                <w:szCs w:val="25"/>
                <w:color w:val="auto"/>
                <w:vertAlign w:val="superscript"/>
              </w:rPr>
              <w:t>3</w:t>
            </w:r>
          </w:p>
        </w:tc>
        <w:tc>
          <w:tcPr>
            <w:tcW w:w="15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(4.69)%</w:t>
            </w: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29.52%</w:t>
            </w: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3.70%</w:t>
            </w:r>
          </w:p>
        </w:tc>
      </w:tr>
      <w:tr>
        <w:trPr>
          <w:trHeight w:val="216"/>
        </w:trPr>
        <w:tc>
          <w:tcPr>
            <w:tcW w:w="6900" w:type="dxa"/>
            <w:vAlign w:val="bottom"/>
          </w:tcPr>
          <w:p>
            <w:pPr>
              <w:ind w:left="360"/>
              <w:spacing w:after="0" w:line="216" w:lineRule="exact"/>
              <w:rPr>
                <w:sz w:val="20"/>
                <w:szCs w:val="20"/>
                <w:color w:val="auto"/>
              </w:rPr>
            </w:pPr>
            <w:r>
              <w:rPr>
                <w:rFonts w:ascii="Times New Roman" w:cs="Times New Roman" w:eastAsia="Times New Roman" w:hAnsi="Times New Roman"/>
                <w:sz w:val="17"/>
                <w:szCs w:val="17"/>
                <w:color w:val="auto"/>
              </w:rPr>
              <w:t>Global volumes</w:t>
            </w:r>
            <w:r>
              <w:rPr>
                <w:rFonts w:ascii="Times New Roman" w:cs="Times New Roman" w:eastAsia="Times New Roman" w:hAnsi="Times New Roman"/>
                <w:sz w:val="25"/>
                <w:szCs w:val="25"/>
                <w:color w:val="auto"/>
                <w:vertAlign w:val="superscript"/>
              </w:rPr>
              <w:t>4</w:t>
            </w:r>
          </w:p>
        </w:tc>
        <w:tc>
          <w:tcPr>
            <w:tcW w:w="15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21,185</w:t>
            </w:r>
          </w:p>
        </w:tc>
        <w:tc>
          <w:tcPr>
            <w:tcW w:w="13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9,510</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28,677</w:t>
            </w:r>
          </w:p>
        </w:tc>
      </w:tr>
      <w:tr>
        <w:trPr>
          <w:trHeight w:val="216"/>
        </w:trPr>
        <w:tc>
          <w:tcPr>
            <w:tcW w:w="69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Volume of external vehicles without repurchase obligations</w:t>
            </w:r>
          </w:p>
        </w:tc>
        <w:tc>
          <w:tcPr>
            <w:tcW w:w="15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19,614</w:t>
            </w:r>
          </w:p>
        </w:tc>
        <w:tc>
          <w:tcPr>
            <w:tcW w:w="13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8,848</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23,760</w:t>
            </w:r>
          </w:p>
        </w:tc>
      </w:tr>
      <w:tr>
        <w:trPr>
          <w:trHeight w:val="216"/>
        </w:trPr>
        <w:tc>
          <w:tcPr>
            <w:tcW w:w="69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Volume of external vehicles with repurchase obligations</w:t>
            </w:r>
          </w:p>
        </w:tc>
        <w:tc>
          <w:tcPr>
            <w:tcW w:w="15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730</w:t>
            </w:r>
          </w:p>
        </w:tc>
        <w:tc>
          <w:tcPr>
            <w:tcW w:w="13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208</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2,836</w:t>
            </w:r>
          </w:p>
        </w:tc>
      </w:tr>
      <w:tr>
        <w:trPr>
          <w:trHeight w:val="216"/>
        </w:trPr>
        <w:tc>
          <w:tcPr>
            <w:tcW w:w="69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Volume of internal vehicles</w:t>
            </w:r>
          </w:p>
        </w:tc>
        <w:tc>
          <w:tcPr>
            <w:tcW w:w="15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841</w:t>
            </w:r>
          </w:p>
        </w:tc>
        <w:tc>
          <w:tcPr>
            <w:tcW w:w="13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454</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2,081</w:t>
            </w:r>
          </w:p>
        </w:tc>
      </w:tr>
      <w:tr>
        <w:trPr>
          <w:trHeight w:val="216"/>
        </w:trPr>
        <w:tc>
          <w:tcPr>
            <w:tcW w:w="6900" w:type="dxa"/>
            <w:vAlign w:val="bottom"/>
          </w:tcPr>
          <w:p>
            <w:pPr>
              <w:ind w:left="360"/>
              <w:spacing w:after="0" w:line="216" w:lineRule="exact"/>
              <w:rPr>
                <w:sz w:val="20"/>
                <w:szCs w:val="20"/>
                <w:color w:val="auto"/>
              </w:rPr>
            </w:pPr>
            <w:r>
              <w:rPr>
                <w:rFonts w:ascii="Times New Roman" w:cs="Times New Roman" w:eastAsia="Times New Roman" w:hAnsi="Times New Roman"/>
                <w:sz w:val="17"/>
                <w:szCs w:val="17"/>
                <w:color w:val="auto"/>
              </w:rPr>
              <w:t>Markets</w:t>
            </w:r>
            <w:r>
              <w:rPr>
                <w:rFonts w:ascii="Times New Roman" w:cs="Times New Roman" w:eastAsia="Times New Roman" w:hAnsi="Times New Roman"/>
                <w:sz w:val="25"/>
                <w:szCs w:val="25"/>
                <w:color w:val="auto"/>
                <w:vertAlign w:val="superscript"/>
              </w:rPr>
              <w:t>5</w:t>
            </w:r>
          </w:p>
        </w:tc>
        <w:tc>
          <w:tcPr>
            <w:tcW w:w="15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25</w:t>
            </w:r>
          </w:p>
        </w:tc>
        <w:tc>
          <w:tcPr>
            <w:tcW w:w="13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14</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6900" w:type="dxa"/>
            <w:vAlign w:val="bottom"/>
            <w:shd w:val="clear" w:color="auto" w:fill="CCEEFF"/>
          </w:tcPr>
          <w:p>
            <w:pPr>
              <w:ind w:left="360"/>
              <w:spacing w:after="0" w:line="216" w:lineRule="exact"/>
              <w:rPr>
                <w:sz w:val="20"/>
                <w:szCs w:val="20"/>
                <w:color w:val="auto"/>
              </w:rPr>
            </w:pPr>
            <w:r>
              <w:rPr>
                <w:rFonts w:ascii="Times New Roman" w:cs="Times New Roman" w:eastAsia="Times New Roman" w:hAnsi="Times New Roman"/>
                <w:sz w:val="17"/>
                <w:szCs w:val="17"/>
                <w:color w:val="auto"/>
              </w:rPr>
              <w:t>Locations</w:t>
            </w:r>
            <w:r>
              <w:rPr>
                <w:rFonts w:ascii="Times New Roman" w:cs="Times New Roman" w:eastAsia="Times New Roman" w:hAnsi="Times New Roman"/>
                <w:sz w:val="25"/>
                <w:szCs w:val="25"/>
                <w:color w:val="auto"/>
                <w:vertAlign w:val="superscript"/>
              </w:rPr>
              <w:t>6</w:t>
            </w:r>
          </w:p>
        </w:tc>
        <w:tc>
          <w:tcPr>
            <w:tcW w:w="15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125</w:t>
            </w:r>
          </w:p>
        </w:tc>
        <w:tc>
          <w:tcPr>
            <w:tcW w:w="13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77</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103</w:t>
            </w:r>
          </w:p>
        </w:tc>
      </w:tr>
      <w:tr>
        <w:trPr>
          <w:trHeight w:val="355"/>
        </w:trPr>
        <w:tc>
          <w:tcPr>
            <w:tcW w:w="6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Service points</w:t>
            </w:r>
            <w:r>
              <w:rPr>
                <w:rFonts w:ascii="Times New Roman" w:cs="Times New Roman" w:eastAsia="Times New Roman" w:hAnsi="Times New Roman"/>
                <w:sz w:val="26"/>
                <w:szCs w:val="26"/>
                <w:color w:val="auto"/>
                <w:vertAlign w:val="superscript"/>
              </w:rPr>
              <w:t>7</w:t>
            </w:r>
          </w:p>
        </w:tc>
        <w:tc>
          <w:tcPr>
            <w:tcW w:w="15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934</w:t>
            </w:r>
          </w:p>
        </w:tc>
        <w:tc>
          <w:tcPr>
            <w:tcW w:w="13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665</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6350</wp:posOffset>
            </wp:positionV>
            <wp:extent cx="77152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5" w:lineRule="exact"/>
        <w:rPr>
          <w:sz w:val="20"/>
          <w:szCs w:val="20"/>
          <w:color w:val="auto"/>
        </w:rPr>
      </w:pPr>
    </w:p>
    <w:p>
      <w:pPr>
        <w:ind w:left="660" w:right="80" w:hanging="544"/>
        <w:spacing w:after="0" w:line="266" w:lineRule="auto"/>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operating expenses for the six months ended June 30, 2022 is a non-recurring as well as non-cash USD 372.3 million charge relating to listing expenses incurred upon the merger with GGI on June 23, 2022. See also section “</w:t>
      </w:r>
      <w:r>
        <w:rPr>
          <w:rFonts w:ascii="Times New Roman" w:cs="Times New Roman" w:eastAsia="Times New Roman" w:hAnsi="Times New Roman"/>
          <w:sz w:val="18"/>
          <w:szCs w:val="18"/>
          <w:i w:val="1"/>
          <w:iCs w:val="1"/>
          <w:color w:val="auto"/>
        </w:rPr>
        <w:t>Operating And Financial Review and Prospects—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Reverse recapitalization</w:t>
      </w:r>
      <w:r>
        <w:rPr>
          <w:rFonts w:ascii="Times New Roman" w:cs="Times New Roman" w:eastAsia="Times New Roman" w:hAnsi="Times New Roman"/>
          <w:sz w:val="18"/>
          <w:szCs w:val="18"/>
          <w:color w:val="auto"/>
        </w:rPr>
        <w:t>.”</w:t>
      </w:r>
    </w:p>
    <w:p>
      <w:pPr>
        <w:spacing w:after="0" w:line="81" w:lineRule="exact"/>
        <w:rPr>
          <w:sz w:val="20"/>
          <w:szCs w:val="20"/>
          <w:color w:val="auto"/>
        </w:rPr>
      </w:pPr>
    </w:p>
    <w:p>
      <w:pPr>
        <w:ind w:left="660" w:right="380" w:hanging="544"/>
        <w:spacing w:after="0" w:line="282" w:lineRule="auto"/>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share price of Class A ADSs at June 30, 2022 and in prior periods, the share price of GGI Common Stock (share price before closing of the Business Combination).</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1140"/>
          </w:cols>
          <w:pgMar w:left="320" w:top="455" w:right="4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660" w:right="20" w:hanging="544"/>
        <w:spacing w:after="0" w:line="282" w:lineRule="auto"/>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as total equity divided by total assets. Contributing factor to a negative equity ratio is the earn-out liability which has no cash impact. See also section “</w:t>
      </w:r>
      <w:r>
        <w:rPr>
          <w:rFonts w:ascii="Times New Roman" w:cs="Times New Roman" w:eastAsia="Times New Roman" w:hAnsi="Times New Roman"/>
          <w:sz w:val="18"/>
          <w:szCs w:val="18"/>
          <w:i w:val="1"/>
          <w:iCs w:val="1"/>
          <w:color w:val="auto"/>
        </w:rPr>
        <w:t>Operating And Financial Review and Prospects—Reverse recapitalization</w:t>
      </w:r>
      <w:r>
        <w:rPr>
          <w:rFonts w:ascii="Times New Roman" w:cs="Times New Roman" w:eastAsia="Times New Roman" w:hAnsi="Times New Roman"/>
          <w:sz w:val="18"/>
          <w:szCs w:val="18"/>
          <w:color w:val="auto"/>
        </w:rPr>
        <w:t>.”</w:t>
      </w:r>
    </w:p>
    <w:p>
      <w:pPr>
        <w:spacing w:after="0" w:line="67" w:lineRule="exact"/>
        <w:rPr>
          <w:sz w:val="20"/>
          <w:szCs w:val="20"/>
          <w:color w:val="auto"/>
        </w:rPr>
      </w:pPr>
    </w:p>
    <w:p>
      <w:pPr>
        <w:jc w:val="both"/>
        <w:ind w:left="660" w:right="40" w:hanging="544"/>
        <w:spacing w:after="0" w:line="261" w:lineRule="auto"/>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total volumes of new vehicles delivered, including external sales with recognition of revenue at time of delivery, external sales with repurchase commitments and internal sales of vehicles transferred for demonstration and commercial purposes as well as vehicles transferred to Polestar employees at time of registration. Transferred vehicles for demonstration and commercial purposes are owned by Polestar and included in Inventory.</w:t>
      </w:r>
    </w:p>
    <w:p>
      <w:pPr>
        <w:spacing w:after="0" w:line="85" w:lineRule="exact"/>
        <w:rPr>
          <w:sz w:val="20"/>
          <w:szCs w:val="20"/>
          <w:color w:val="auto"/>
        </w:rPr>
      </w:pPr>
    </w:p>
    <w:p>
      <w:pPr>
        <w:ind w:left="660" w:hanging="544"/>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markets in which Polestar operates.</w:t>
      </w:r>
    </w:p>
    <w:p>
      <w:pPr>
        <w:spacing w:after="0" w:line="131" w:lineRule="exact"/>
        <w:rPr>
          <w:sz w:val="20"/>
          <w:szCs w:val="20"/>
          <w:color w:val="auto"/>
        </w:rPr>
      </w:pPr>
    </w:p>
    <w:p>
      <w:pPr>
        <w:ind w:left="660" w:hanging="544"/>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Polestar Spaces, Polestar Destinations, and Polestar Test Drive Centers.</w:t>
      </w:r>
    </w:p>
    <w:p>
      <w:pPr>
        <w:spacing w:after="0" w:line="131" w:lineRule="exact"/>
        <w:rPr>
          <w:sz w:val="20"/>
          <w:szCs w:val="20"/>
          <w:color w:val="auto"/>
        </w:rPr>
      </w:pPr>
    </w:p>
    <w:p>
      <w:pPr>
        <w:ind w:left="660" w:hanging="544"/>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Volvo Cars service centers to provide access to customer service points worldwide in support of Polestar’s international expansion.</w:t>
      </w:r>
    </w:p>
    <w:p>
      <w:pPr>
        <w:spacing w:after="0" w:line="225"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Global volumes increased to 21,185 cars in the first six months of 2022, more than doubling deliveries from 9,510 cars in the same period in 2021, an increase of 123%. Polestar has also added six new markets since the start of 2022, including United Arab Emirates, Kuwait, Hong Kong, Ireland, Spain and Portugal. Polestar has 125 locations and 934 service points across its markets, up 22 and 123 respectively, since the end of 2021.</w:t>
      </w:r>
    </w:p>
    <w:p>
      <w:pPr>
        <w:spacing w:after="0" w:line="176"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Global volumes for the six months ended June 30, 2022 reflect, in part, global supply chain disruptions and logistical constraints incurred as a consequence of the conflict between Russia and Ukraine. In addition to these impacts, Polestar management also believes the impact of the prolonged COVID-19 government mandated quarantines and lockdowns in China have negatively impacted Polestar, and are expected to continue to negatively impact Polestar and its strategic and contract manufacturing partner, Volvo Cars’, ability to manufacture and deliver Polestar vehicles in the volumes previously anticipated by Polestar. Accordingly, Polestar currently estimates that global deliveries in 2022 will be approximately 50,000 vehicles as compared to its prior expectations of 65,000 vehicles. Polestar expects that vehicle deliveries will be weighted towards the fourth quarter, following disruptions from COVID-19 in China. See the “Operating And Financial Review and Prospects” “</w:t>
      </w:r>
      <w:r>
        <w:rPr>
          <w:rFonts w:ascii="Times New Roman" w:cs="Times New Roman" w:eastAsia="Times New Roman" w:hAnsi="Times New Roman"/>
          <w:sz w:val="18"/>
          <w:szCs w:val="18"/>
          <w:i w:val="1"/>
          <w:iCs w:val="1"/>
          <w:color w:val="auto"/>
        </w:rPr>
        <w:t>Risk Factors—Risks Related to Polestar’s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Business and Industry—Polestar is dependent on its strategic partners and suppliers, some of which are single-source suppliers, and the inability of these strategic partners and suppliers to deliver necessary components of Polestar’s products on schedule and at prices, quality levels and volumes acceptable to Polestar, or Polestar’s inability to efficiently manage these components, could have a material and adverse effect on Polestar’s results of operations and financial condition</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Risk Factors—Risks Related to Polestar’s Business and Industry—The global COVID-19 outbreak and the global response could continue to affect Polestar’s business and operations.</w:t>
      </w:r>
      <w:r>
        <w:rPr>
          <w:rFonts w:ascii="Times New Roman" w:cs="Times New Roman" w:eastAsia="Times New Roman" w:hAnsi="Times New Roman"/>
          <w:sz w:val="18"/>
          <w:szCs w:val="18"/>
          <w:color w:val="auto"/>
        </w:rPr>
        <w:t>” On July 13, 2022, Polestar also announced that following prolonged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government mandated COVID-19 lockdowns in China during the first half of 2022, which delayed production of Polestar vehicles, it is now pushing on with the introduction of a second shift in the Luqiao factory in China in order to recover some of the production lost earlier in the year, clearing the path for future growth.</w:t>
      </w:r>
    </w:p>
    <w:p>
      <w:pPr>
        <w:spacing w:after="0" w:line="196" w:lineRule="exact"/>
        <w:rPr>
          <w:sz w:val="20"/>
          <w:szCs w:val="20"/>
          <w:color w:val="auto"/>
        </w:rPr>
      </w:pPr>
    </w:p>
    <w:p>
      <w:pPr>
        <w:ind w:left="120" w:right="180"/>
        <w:spacing w:after="0" w:line="258" w:lineRule="auto"/>
        <w:rPr>
          <w:sz w:val="20"/>
          <w:szCs w:val="20"/>
          <w:color w:val="auto"/>
        </w:rPr>
      </w:pPr>
      <w:r>
        <w:rPr>
          <w:rFonts w:ascii="Times New Roman" w:cs="Times New Roman" w:eastAsia="Times New Roman" w:hAnsi="Times New Roman"/>
          <w:sz w:val="18"/>
          <w:szCs w:val="18"/>
          <w:color w:val="auto"/>
        </w:rPr>
        <w:t>Polestar also expects the effects from product and market mix to continue alongside foreign exchange and input cost inflation. Vehicle price increases and active cost management will help mitigate some of the impact on gross profit. For more information, also see “</w:t>
      </w:r>
      <w:r>
        <w:rPr>
          <w:rFonts w:ascii="Times New Roman" w:cs="Times New Roman" w:eastAsia="Times New Roman" w:hAnsi="Times New Roman"/>
          <w:sz w:val="18"/>
          <w:szCs w:val="18"/>
          <w:i w:val="1"/>
          <w:iCs w:val="1"/>
          <w:color w:val="auto"/>
        </w:rPr>
        <w:t>Risk Factors—Risks Related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Polestar’s Business and Industry—Changes in foreign currency rates, interest rate risks, or inflation could materially affect Polestar’s results of operations” and “Operating And Financial Review And Prospects—Polestar Automotive Holding UK PLC (formerly known as Polestar Automotive Holding UK Limited)—Key factors affecting performance—Impact of COVID-19, Russo-Ukrainian War, and inflation.</w:t>
      </w:r>
      <w:r>
        <w:rPr>
          <w:rFonts w:ascii="Times New Roman" w:cs="Times New Roman" w:eastAsia="Times New Roman" w:hAnsi="Times New Roman"/>
          <w:sz w:val="18"/>
          <w:szCs w:val="18"/>
          <w:color w:val="auto"/>
        </w:rPr>
        <w:t>”</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Other Announcements</w:t>
      </w:r>
    </w:p>
    <w:p>
      <w:pPr>
        <w:spacing w:after="0" w:line="133" w:lineRule="exact"/>
        <w:rPr>
          <w:sz w:val="20"/>
          <w:szCs w:val="20"/>
          <w:color w:val="auto"/>
        </w:rPr>
      </w:pPr>
    </w:p>
    <w:p>
      <w:pPr>
        <w:ind w:left="1080" w:right="420" w:hanging="424"/>
        <w:spacing w:after="0" w:line="282" w:lineRule="auto"/>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Polestar 3 electric performance SUV is scheduled for its world premiere in October 2022 in Copenhagen. For more information, please see the section “</w:t>
      </w:r>
      <w:r>
        <w:rPr>
          <w:rFonts w:ascii="Times New Roman" w:cs="Times New Roman" w:eastAsia="Times New Roman" w:hAnsi="Times New Roman"/>
          <w:sz w:val="18"/>
          <w:szCs w:val="18"/>
          <w:i w:val="1"/>
          <w:iCs w:val="1"/>
          <w:color w:val="auto"/>
        </w:rPr>
        <w:t>Business</w:t>
      </w:r>
      <w:r>
        <w:rPr>
          <w:rFonts w:ascii="Times New Roman" w:cs="Times New Roman" w:eastAsia="Times New Roman" w:hAnsi="Times New Roman"/>
          <w:sz w:val="18"/>
          <w:szCs w:val="18"/>
          <w:color w:val="auto"/>
        </w:rPr>
        <w:t>.”</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1060"/>
          </w:cols>
          <w:pgMar w:left="320" w:top="455" w:right="51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080" w:right="120" w:hanging="424"/>
        <w:spacing w:after="0" w:line="266" w:lineRule="auto"/>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August 2022, Polestar confirmed plans to put its electric roadster concept into production as Polestar 6, expected to launch in 2026. All 500 build slots of Polestar 6 LA Concept edition were reserved online within a week of the production announcement. For more information, please see the section “</w:t>
      </w:r>
      <w:r>
        <w:rPr>
          <w:rFonts w:ascii="Times New Roman" w:cs="Times New Roman" w:eastAsia="Times New Roman" w:hAnsi="Times New Roman"/>
          <w:sz w:val="18"/>
          <w:szCs w:val="18"/>
          <w:i w:val="1"/>
          <w:iCs w:val="1"/>
          <w:color w:val="auto"/>
        </w:rPr>
        <w:t>Business</w:t>
      </w:r>
      <w:r>
        <w:rPr>
          <w:rFonts w:ascii="Times New Roman" w:cs="Times New Roman" w:eastAsia="Times New Roman" w:hAnsi="Times New Roman"/>
          <w:sz w:val="18"/>
          <w:szCs w:val="18"/>
          <w:color w:val="auto"/>
        </w:rPr>
        <w:t>.”</w:t>
      </w:r>
    </w:p>
    <w:p>
      <w:pPr>
        <w:spacing w:after="0" w:line="81" w:lineRule="exact"/>
        <w:rPr>
          <w:rFonts w:ascii="Times New Roman" w:cs="Times New Roman" w:eastAsia="Times New Roman" w:hAnsi="Times New Roman"/>
          <w:sz w:val="18"/>
          <w:szCs w:val="18"/>
          <w:color w:val="auto"/>
        </w:rPr>
      </w:pPr>
    </w:p>
    <w:p>
      <w:pPr>
        <w:ind w:left="1080" w:right="40" w:hanging="424"/>
        <w:spacing w:after="0" w:line="261" w:lineRule="auto"/>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support of Polestar’s working capital needs, over the last three months, Polestar repaid two existing and entered into two new 12-month unsecured working capital loan agreements with two banks in China, totaling approximately USD 200 million. Furthermore, in late August 2022, Polestar entered into an additional credit facility with one of those banks for approximately USD 145 million. For more information, please see “Operating And Financial Review and Prospects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Global Strategic Partnership with Hertz</w:t>
      </w:r>
    </w:p>
    <w:p>
      <w:pPr>
        <w:spacing w:after="0" w:line="121" w:lineRule="exact"/>
        <w:rPr>
          <w:sz w:val="20"/>
          <w:szCs w:val="20"/>
          <w:color w:val="auto"/>
        </w:rPr>
      </w:pPr>
    </w:p>
    <w:p>
      <w:pPr>
        <w:ind w:left="120" w:right="160" w:firstLine="440"/>
        <w:spacing w:after="0" w:line="255" w:lineRule="auto"/>
        <w:rPr>
          <w:sz w:val="20"/>
          <w:szCs w:val="20"/>
          <w:color w:val="auto"/>
        </w:rPr>
      </w:pPr>
      <w:r>
        <w:rPr>
          <w:rFonts w:ascii="Times New Roman" w:cs="Times New Roman" w:eastAsia="Times New Roman" w:hAnsi="Times New Roman"/>
          <w:sz w:val="18"/>
          <w:szCs w:val="18"/>
          <w:color w:val="auto"/>
        </w:rPr>
        <w:t>On March 11, 2022, Polestar entered into a letter of intent with Hertz pursuant to which Hertz intends to commit to purchase 65,000 or more Polestar vehicles during a 5-year period beginning in 2022. Polestar and Hertz signed four regional purchase agreements covering the United States, Canada, Europe, and Australia. The new global strategic partnership was announced by Polestar and Hertz Global Holdings, Inc. (NASDAQ: HTZ) on April 4, 2022. Availability of vehicles was expected to begin in Spring 2022 in Europe and late 2022 in North America and Australia. Under the partnership, Hertz is expected to initially order Polestar 2s. Polestar announced on June 9, 2022 that it began delivering new Polestar 2 electric cars to Hertz as part of this agreement. Further, Polestar also announced that Hertz is now also adding the Polestar 1 electric performance hybrid to its Dream fleet.</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Declarations of Intent by Snita and PSD Investment Limited</w:t>
      </w:r>
    </w:p>
    <w:p>
      <w:pPr>
        <w:spacing w:after="0" w:line="121"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Polestar’s business is capital-intensive, and Polestar expects that the costs and expenses associated with its planned operations will continue to increase in the near term and, accordingly, Polestar anticipates that it will need to raise additional funds from time to time. Snita and PSD Investment Limited have each executed a Declaration of Intent (the “Declarations of Intent”). The Declarations of Intent are substantially identical and set forth the parties’ intention to subscribe for their pro rata share of equity or equity linked securities issued by Polestar in the event of any offering of such securities until March 31, 2024. The Declarations of Intent also provide that, (i) Polestar will actively seek appropriate debt financing and engage in raising capital from the market, and (ii) to the extent either Snita and/or PSD Investment Limited decide to make such investments, those investments will be made on market terms and conditions substantially identical to, or better than, those offered to third party investors and will be subject to all necessary corporate and/or regulatory approvals of Snita, Volvo Cars and/or PSD Investment Limited, as the case may be. The Declarations of Intent are not undertakings or guarantees, and any decision to invest in any offerings of securities by Polestar in the future are within the sole discretion of Snita and PSD Investment Limited, respectively. There can be no assurance that Snita and/or PSD Investment Limited will make any investment in the share capital of Polestar prior to March 31, 2024, or at all. There can also be no assurance that the amount of any further investment in Polestar by Snita and/or PSD Investment Limited will be sufficient to meet Polestar’s requirements or on terms acceptable to Polestar. See “Risk Factors—Risks Related to Financing and Strategic Transactions—Polestar will require additional capital to support business growth, and this capital might not be available on commercially reasonable terms, or at all” and “Certain Relationships and Related Party Transactions—Declarations of Intent by Snita and PSD Investment Limited.”</w:t>
      </w:r>
    </w:p>
    <w:p>
      <w:pPr>
        <w:spacing w:after="0" w:line="30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Polestar’s Strategy</w:t>
      </w:r>
    </w:p>
    <w:p>
      <w:pPr>
        <w:spacing w:after="0" w:line="121"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The global car industry is undergoing a fundamental transformation and Polestar believes it is optimally positioned at the forefront of this change. The premium luxury electric vehicle segment is one of the fastest growing in the global car market. This growth is driven by increasing consumer awareness of environmental impact, technological improvement and shifting consumer preference. Increasingly stringent environmental regulation and expanded charging infrastructure will also drive adoption of electric vehicles. Polestar expects growth in the</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1140"/>
          </w:cols>
          <w:pgMar w:left="320" w:top="455" w:right="4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80"/>
        <w:spacing w:after="0" w:line="266" w:lineRule="auto"/>
        <w:rPr>
          <w:sz w:val="20"/>
          <w:szCs w:val="20"/>
          <w:color w:val="auto"/>
        </w:rPr>
      </w:pPr>
      <w:r>
        <w:rPr>
          <w:rFonts w:ascii="Times New Roman" w:cs="Times New Roman" w:eastAsia="Times New Roman" w:hAnsi="Times New Roman"/>
          <w:sz w:val="18"/>
          <w:szCs w:val="18"/>
          <w:color w:val="auto"/>
        </w:rPr>
        <w:t>premium luxury electric vehicle segment to significantly outpace overall premium vehicle growth and estimate the global electric vehicle segment will represent a $280 billion to $320 billion market segment by 2025 based on management estimates. In order to capitalize on these trends, Polestar intends to implement the following strategy.</w:t>
      </w:r>
    </w:p>
    <w:p>
      <w:pPr>
        <w:spacing w:after="0" w:line="79" w:lineRule="exact"/>
        <w:rPr>
          <w:sz w:val="20"/>
          <w:szCs w:val="20"/>
          <w:color w:val="auto"/>
        </w:rPr>
      </w:pPr>
    </w:p>
    <w:p>
      <w:pPr>
        <w:ind w:left="1080" w:right="40" w:hanging="424"/>
        <w:spacing w:after="0" w:line="256" w:lineRule="auto"/>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Expand international sales, support and manufacturing presence. </w:t>
      </w:r>
      <w:r>
        <w:rPr>
          <w:rFonts w:ascii="Times New Roman" w:cs="Times New Roman" w:eastAsia="Times New Roman" w:hAnsi="Times New Roman"/>
          <w:sz w:val="18"/>
          <w:szCs w:val="18"/>
          <w:color w:val="auto"/>
        </w:rPr>
        <w:t>With global sales from day one, Polestar intends to continue its rapid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market expansion aiming to be present in an aggregate of 30 markets by the end of 2023. Polestar’s expansion plans include building presence in fast growing markets in the Asia Pacific region as well as the Middle East. Polestar’s digital first, direct to consumer approach enables its customers to browse Polestar’s products, configure their preferred vehicle and place their order on-line. Customers who wish to get to know the physical product or go for a test drive can visit one of the Polestar Locations. At December 31, 2020 Polestar had 26 permanent Polestar Locations (and a further 14 temporary or “pop up” locations). As of June 30, 2022, there are 125 Polestar Locations. Polestar plans to extend its retail locations to a total of over 150 in existing and new markets by the end of 2023.</w:t>
      </w:r>
    </w:p>
    <w:p>
      <w:pPr>
        <w:spacing w:after="0" w:line="76" w:lineRule="exact"/>
        <w:rPr>
          <w:rFonts w:ascii="Times New Roman" w:cs="Times New Roman" w:eastAsia="Times New Roman" w:hAnsi="Times New Roman"/>
          <w:sz w:val="18"/>
          <w:szCs w:val="18"/>
          <w:color w:val="auto"/>
        </w:rPr>
      </w:pPr>
    </w:p>
    <w:p>
      <w:pPr>
        <w:ind w:left="1100" w:right="20"/>
        <w:spacing w:after="0" w:line="31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Polestar leverages the Volvo Cars service center network to provide access to 934 customer service points worldwide (as of June 30, 2022) in support of its international expansion. Polestar plans to extend this service center network to a total of over 1,100 by the end of 2023.</w:t>
      </w:r>
    </w:p>
    <w:p>
      <w:pPr>
        <w:spacing w:after="0" w:line="31" w:lineRule="exact"/>
        <w:rPr>
          <w:rFonts w:ascii="Times New Roman" w:cs="Times New Roman" w:eastAsia="Times New Roman" w:hAnsi="Times New Roman"/>
          <w:sz w:val="18"/>
          <w:szCs w:val="18"/>
          <w:color w:val="auto"/>
        </w:rPr>
      </w:pPr>
    </w:p>
    <w:p>
      <w:pPr>
        <w:ind w:left="1100" w:right="6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Polestar’s vehicles are currently manufactured at a plant in Luqiao, China that is owned and operated by Volvo Cars. The plant, referred to by Volvo Cars as the “Taizhou” plant, was acquired by Volvo Cars from Geely in December 2021. Prior to that time, the plant had been owned by Geely and operated by Volvo Cars. Polestar intends to expand its manufacturing presence to facilities in the US and in Europe, in each case operated by Volvo Cars. For example, Polestar intends to produce the Polestar 3 in Volvo Cars’ plant in Charleston, South Carolina as well as in China.</w:t>
      </w:r>
    </w:p>
    <w:p>
      <w:pPr>
        <w:spacing w:after="0" w:line="86" w:lineRule="exact"/>
        <w:rPr>
          <w:rFonts w:ascii="Times New Roman" w:cs="Times New Roman" w:eastAsia="Times New Roman" w:hAnsi="Times New Roman"/>
          <w:sz w:val="18"/>
          <w:szCs w:val="18"/>
          <w:color w:val="auto"/>
        </w:rPr>
      </w:pPr>
    </w:p>
    <w:p>
      <w:pPr>
        <w:ind w:left="1080" w:right="40" w:hanging="424"/>
        <w:spacing w:after="0" w:line="256" w:lineRule="auto"/>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Continue to develop Polestar’s portfolio of vehicles. </w:t>
      </w:r>
      <w:r>
        <w:rPr>
          <w:rFonts w:ascii="Times New Roman" w:cs="Times New Roman" w:eastAsia="Times New Roman" w:hAnsi="Times New Roman"/>
          <w:sz w:val="18"/>
          <w:szCs w:val="18"/>
          <w:color w:val="auto"/>
        </w:rPr>
        <w:t>Polestar currently intends to launch four additional vehicles by 2026. Polestar expects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launch Polestar 3, an electric performance SUV, in October 2022 and to launch Polestar 4, an electric SUV coupe in 2023. In addition, Polestar currently plans to launch Polestar 5, a premium electric 4 door GT, in 2024 and Polestar 6, an electric performance roadster, in 2026. Polestar believes that expanding its product line-up with these vehicles will enable us to compete in segments constituting almost 80% of the global premium luxury vehicle market by volume of units sold. Polestar believes the premium luxury vehicle segment is one of the fastest growing vehicle segments, and Polestar expects the electric-only vehicle portion of this segment to grow at a faster rate than the overall segment.</w:t>
      </w:r>
    </w:p>
    <w:p>
      <w:pPr>
        <w:spacing w:after="0" w:line="88" w:lineRule="exact"/>
        <w:rPr>
          <w:rFonts w:ascii="Times New Roman" w:cs="Times New Roman" w:eastAsia="Times New Roman" w:hAnsi="Times New Roman"/>
          <w:sz w:val="18"/>
          <w:szCs w:val="18"/>
          <w:color w:val="auto"/>
        </w:rPr>
      </w:pPr>
    </w:p>
    <w:p>
      <w:pPr>
        <w:ind w:left="1080" w:hanging="424"/>
        <w:spacing w:after="0" w:line="257" w:lineRule="auto"/>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Continue to develop sustainable electric vehicle technologies as well as separately monetizing Polestar’s investment in research and development. </w:t>
      </w:r>
      <w:r>
        <w:rPr>
          <w:rFonts w:ascii="Times New Roman" w:cs="Times New Roman" w:eastAsia="Times New Roman" w:hAnsi="Times New Roman"/>
          <w:sz w:val="18"/>
          <w:szCs w:val="18"/>
          <w:color w:val="auto"/>
        </w:rPr>
        <w:t>Polestar intends to continue to develop technologies to mitigate its environmental impact from vehicle concept through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materials and production techniques. Polestar’s Polestar 0 project, which aims to develop a truly climate neutral car by the end of 2030 will be a significant focus of Polestar’s research and development activities, including through the development of new interior materials and structural components designed to further reduce Polestar’s environmental impact. See “—Design, Research and Development and Sustainability—Sustainability.”</w:t>
      </w:r>
    </w:p>
    <w:p>
      <w:pPr>
        <w:spacing w:after="0" w:line="184" w:lineRule="exact"/>
        <w:rPr>
          <w:sz w:val="20"/>
          <w:szCs w:val="20"/>
          <w:color w:val="auto"/>
        </w:rPr>
      </w:pPr>
    </w:p>
    <w:p>
      <w:pPr>
        <w:ind w:left="120" w:right="260" w:firstLine="440"/>
        <w:spacing w:after="0" w:line="276" w:lineRule="auto"/>
        <w:rPr>
          <w:sz w:val="20"/>
          <w:szCs w:val="20"/>
          <w:color w:val="auto"/>
        </w:rPr>
      </w:pPr>
      <w:r>
        <w:rPr>
          <w:rFonts w:ascii="Times New Roman" w:cs="Times New Roman" w:eastAsia="Times New Roman" w:hAnsi="Times New Roman"/>
          <w:sz w:val="17"/>
          <w:szCs w:val="17"/>
          <w:color w:val="auto"/>
        </w:rPr>
        <w:t>Polestar will continue to focus on developing cutting-edge technology, including bonded aluminum chassis architectures and their manufacture and the complimentary development of a high-performance electric motor. Polestar will also continue its efforts on battery management and</w:t>
      </w:r>
    </w:p>
    <w:p>
      <w:pPr>
        <w:spacing w:after="0" w:line="1" w:lineRule="exact"/>
        <w:rPr>
          <w:sz w:val="20"/>
          <w:szCs w:val="20"/>
          <w:color w:val="auto"/>
        </w:rPr>
      </w:pPr>
    </w:p>
    <w:p>
      <w:pPr>
        <w:ind w:left="120" w:right="440"/>
        <w:spacing w:after="0" w:line="260" w:lineRule="auto"/>
        <w:rPr>
          <w:sz w:val="20"/>
          <w:szCs w:val="20"/>
          <w:color w:val="auto"/>
        </w:rPr>
      </w:pPr>
      <w:r>
        <w:rPr>
          <w:rFonts w:ascii="Times New Roman" w:cs="Times New Roman" w:eastAsia="Times New Roman" w:hAnsi="Times New Roman"/>
          <w:sz w:val="18"/>
          <w:szCs w:val="18"/>
          <w:color w:val="auto"/>
        </w:rPr>
        <w:t>its bi-directional battery pack (400V and 800V) systems and onboard bi-directional 22 kW Charger. Polestar also intends to take the opportunity to monetize these new technologies through sales and licensing arrangements with other market participants.</w:t>
      </w:r>
    </w:p>
    <w:p>
      <w:pPr>
        <w:spacing w:after="0" w:line="1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1120"/>
          </w:cols>
          <w:pgMar w:left="320" w:top="455" w:right="45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Polestar’s Strengths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Polestar believes it benefits from a number of competitive advantages:</w:t>
      </w:r>
    </w:p>
    <w:p>
      <w:pPr>
        <w:spacing w:after="0" w:line="129" w:lineRule="exact"/>
        <w:rPr>
          <w:sz w:val="20"/>
          <w:szCs w:val="20"/>
          <w:color w:val="auto"/>
        </w:rPr>
      </w:pPr>
    </w:p>
    <w:p>
      <w:pPr>
        <w:ind w:left="1080" w:hanging="424"/>
        <w:spacing w:after="0" w:line="257" w:lineRule="auto"/>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Polestar operates in one of the fastest-growing market segments of the industry. </w:t>
      </w:r>
      <w:r>
        <w:rPr>
          <w:rFonts w:ascii="Times New Roman" w:cs="Times New Roman" w:eastAsia="Times New Roman" w:hAnsi="Times New Roman"/>
          <w:sz w:val="18"/>
          <w:szCs w:val="18"/>
          <w:color w:val="auto"/>
        </w:rPr>
        <w:t>Polestar expects growth in the premium luxury electric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vehicle segment to outpace overall premium vehicle growth and estimates the electric vehicle segment will represent a $280 billion to $320 billion market segment by 2025 based on management estimates. Polestar believes its ability to leverage a global manufacturing footprint and expanding market coverage coupled with a scalable and asset light business model means it is well positioned to capitalize on this growing market. Polestar started selling electric cars globally in August 2020 and its plan is to grow from selling approximately 10,000 cars in 2020 to sales of approximately 290,000 cars in 2025.</w:t>
      </w:r>
    </w:p>
    <w:p>
      <w:pPr>
        <w:spacing w:after="0" w:line="87" w:lineRule="exact"/>
        <w:rPr>
          <w:rFonts w:ascii="Times New Roman" w:cs="Times New Roman" w:eastAsia="Times New Roman" w:hAnsi="Times New Roman"/>
          <w:sz w:val="18"/>
          <w:szCs w:val="18"/>
          <w:color w:val="auto"/>
        </w:rPr>
      </w:pPr>
    </w:p>
    <w:p>
      <w:pPr>
        <w:ind w:left="1080" w:hanging="424"/>
        <w:spacing w:after="0" w:line="258" w:lineRule="auto"/>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Polestar is one of only two global premium electric vehicle manufacturers already in mass production. </w:t>
      </w:r>
      <w:r>
        <w:rPr>
          <w:rFonts w:ascii="Times New Roman" w:cs="Times New Roman" w:eastAsia="Times New Roman" w:hAnsi="Times New Roman"/>
          <w:sz w:val="18"/>
          <w:szCs w:val="18"/>
          <w:color w:val="auto"/>
        </w:rPr>
        <w:t>Currently, Polestar and Tesla are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only global pure play premium electric vehicle manufacturers in mass production. New entrants would have to develop significant core competencies to match Polestar’s proprietary technology as well as the access to vehicle design and manufacturing capabilities and sales and service infrastructure that Polestar receives from Volvo Cars and Geely. Polestar believes these advantages constitute a significant barrier to entry.</w:t>
      </w:r>
    </w:p>
    <w:p>
      <w:pPr>
        <w:spacing w:after="0" w:line="88" w:lineRule="exact"/>
        <w:rPr>
          <w:rFonts w:ascii="Times New Roman" w:cs="Times New Roman" w:eastAsia="Times New Roman" w:hAnsi="Times New Roman"/>
          <w:sz w:val="18"/>
          <w:szCs w:val="18"/>
          <w:color w:val="auto"/>
        </w:rPr>
      </w:pPr>
    </w:p>
    <w:p>
      <w:pPr>
        <w:ind w:left="1080" w:right="40" w:hanging="424"/>
        <w:spacing w:after="0" w:line="255" w:lineRule="auto"/>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Polestar has a distinct culture with a focus on innovation and an experienced management team. </w:t>
      </w:r>
      <w:r>
        <w:rPr>
          <w:rFonts w:ascii="Times New Roman" w:cs="Times New Roman" w:eastAsia="Times New Roman" w:hAnsi="Times New Roman"/>
          <w:sz w:val="18"/>
          <w:szCs w:val="18"/>
          <w:color w:val="auto"/>
        </w:rPr>
        <w:t>Polestar has a distinct corporate culture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is designer-led, visionary and fully committed to sustainability. As a relatively young company with progressive ideals Polestar believes talented people with the right analytical and creative skills are drawn to it. Polestar’s chief executive officer Thomas Ingenlath was previously senior vice president of design at Volvo Cars and is widely credited as one of the key players behind Volvo Cars’s recent award-winning design renaissance. Chief financial officer Johan Malmqvist has broad experience across multiple sectors including in the United States and publicly listed companies. Chief operating officer Dennis Nobelius is the previous chief executive officer of assisted and autonomous driving software provider Zenuity, a business whose technology Polestar intends to utilize in future vehicles, starting with the Polestar 3.</w:t>
      </w:r>
    </w:p>
    <w:p>
      <w:pPr>
        <w:spacing w:after="0" w:line="90" w:lineRule="exact"/>
        <w:rPr>
          <w:rFonts w:ascii="Times New Roman" w:cs="Times New Roman" w:eastAsia="Times New Roman" w:hAnsi="Times New Roman"/>
          <w:sz w:val="18"/>
          <w:szCs w:val="18"/>
          <w:color w:val="auto"/>
        </w:rPr>
      </w:pPr>
    </w:p>
    <w:p>
      <w:pPr>
        <w:ind w:left="1080" w:right="20" w:hanging="424"/>
        <w:spacing w:after="0" w:line="257" w:lineRule="auto"/>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Polestar has a scalable, asset-light business model with immediate operating leverage. </w:t>
      </w:r>
      <w:r>
        <w:rPr>
          <w:rFonts w:ascii="Times New Roman" w:cs="Times New Roman" w:eastAsia="Times New Roman" w:hAnsi="Times New Roman"/>
          <w:sz w:val="18"/>
          <w:szCs w:val="18"/>
          <w:color w:val="auto"/>
        </w:rPr>
        <w:t>Polestar has a scalable, asset-light business model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leverages the experience and manufacturing resources of Volvo Cars and Geely. Polestar has access to their technology, manufacturing footprint, logistical infrastructure and information technology systems. Access to these services gives Polestar the flexibility to scale production quickly with demand, using an already operational ecosystem, and has enabled Polestar to rapidly launch the brand globally. Polestar believes this asset-light model requires significantly less capital to produce vehicles and revenue compared to traditional manufacturers or other electric vehicle companies.</w:t>
      </w:r>
    </w:p>
    <w:p>
      <w:pPr>
        <w:spacing w:after="0" w:line="87" w:lineRule="exact"/>
        <w:rPr>
          <w:rFonts w:ascii="Times New Roman" w:cs="Times New Roman" w:eastAsia="Times New Roman" w:hAnsi="Times New Roman"/>
          <w:sz w:val="18"/>
          <w:szCs w:val="18"/>
          <w:color w:val="auto"/>
        </w:rPr>
      </w:pPr>
    </w:p>
    <w:p>
      <w:pPr>
        <w:ind w:left="1080" w:right="20" w:hanging="424"/>
        <w:spacing w:after="0" w:line="255" w:lineRule="auto"/>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Polestar has a digital-first, direct to consumer approach with a differentiated distribution and service model. </w:t>
      </w:r>
      <w:r>
        <w:rPr>
          <w:rFonts w:ascii="Times New Roman" w:cs="Times New Roman" w:eastAsia="Times New Roman" w:hAnsi="Times New Roman"/>
          <w:sz w:val="18"/>
          <w:szCs w:val="18"/>
          <w:color w:val="auto"/>
        </w:rPr>
        <w:t>Polestar’s sales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distribution model is focused on a direct customer experience, reducing multiple traditional inefficiencies coupled with a differentiated distribution. Using the Polestar mobile application (the “Polestar App”) or other digital connections, clients can discover Polestar’s products, configure and personalize them, choose a financing option and purchase on-line, creating a seamless experience. Complementing this digital experience, customers can see, feel and test drive our vehicles, at one of the Polestar Locations prior to making</w:t>
      </w:r>
    </w:p>
    <w:p>
      <w:pPr>
        <w:ind w:left="108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on-line purchase. Polestar believes this combination of digital and physical retail presence serves to deliver a seamless experience for its customers. Polestar’s customers benefit from a comprehensive service network which leverages the existing Volvo Cars service center network.</w:t>
      </w:r>
    </w:p>
    <w:p>
      <w:pPr>
        <w:spacing w:after="0" w:line="89" w:lineRule="exact"/>
        <w:rPr>
          <w:rFonts w:ascii="Times New Roman" w:cs="Times New Roman" w:eastAsia="Times New Roman" w:hAnsi="Times New Roman"/>
          <w:sz w:val="18"/>
          <w:szCs w:val="18"/>
          <w:color w:val="auto"/>
        </w:rPr>
      </w:pPr>
    </w:p>
    <w:p>
      <w:pPr>
        <w:ind w:left="1080" w:right="140" w:hanging="424"/>
        <w:spacing w:after="0" w:line="261" w:lineRule="auto"/>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Polestar’s design-led focus on sustainability</w:t>
      </w:r>
      <w:r>
        <w:rPr>
          <w:rFonts w:ascii="Times New Roman" w:cs="Times New Roman" w:eastAsia="Times New Roman" w:hAnsi="Times New Roman"/>
          <w:sz w:val="18"/>
          <w:szCs w:val="18"/>
          <w:color w:val="auto"/>
        </w:rPr>
        <w:t>. Polestar believes that its emphasis on environmentally sustainable products, using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Scandinavian avant-garde design and high tech minimalism engages and attracts customers who share its ethos and design aesthetic. Polestar’s brand and product designs have received multiple global awards since the launch of the Polestar 1 in 2019 including Red Dot’s Brand</w:t>
      </w:r>
    </w:p>
    <w:p>
      <w:pPr>
        <w:spacing w:after="0" w:line="1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1120"/>
          </w:cols>
          <w:pgMar w:left="320" w:top="455" w:right="45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100" w:right="40"/>
        <w:spacing w:after="0" w:line="256" w:lineRule="auto"/>
        <w:rPr>
          <w:sz w:val="20"/>
          <w:szCs w:val="20"/>
          <w:color w:val="auto"/>
        </w:rPr>
      </w:pPr>
      <w:r>
        <w:rPr>
          <w:rFonts w:ascii="Times New Roman" w:cs="Times New Roman" w:eastAsia="Times New Roman" w:hAnsi="Times New Roman"/>
          <w:sz w:val="18"/>
          <w:szCs w:val="18"/>
          <w:color w:val="auto"/>
        </w:rPr>
        <w:t>of the Year as well as Best of the Best Product Design for Polestar 2. Polestar Precept has also captured imaginations most recently winning three of the four 2021 EyesOn Design awards. Sustainability remains a core principal for Polestar and it continues to work to reduce its impact on the environment in every aspect of its business, but with a particular focus on the manufacturing of its cars. Polestar is actively targeting climate neutral manufacturing processes and materials and uses tools such as Life Cycle Analysis to help it both ascertain the impact of its vehicles and to identify opportunity. Polestar transparently shares this information with its customers so they can make an informed buying decision and can track Polestar’s progress.</w:t>
      </w:r>
    </w:p>
    <w:p>
      <w:pPr>
        <w:spacing w:after="0" w:line="91" w:lineRule="exact"/>
        <w:rPr>
          <w:sz w:val="20"/>
          <w:szCs w:val="20"/>
          <w:color w:val="auto"/>
        </w:rPr>
      </w:pPr>
    </w:p>
    <w:p>
      <w:pPr>
        <w:ind w:left="1080" w:right="20" w:hanging="424"/>
        <w:spacing w:after="0" w:line="257" w:lineRule="auto"/>
        <w:tabs>
          <w:tab w:leader="none" w:pos="10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Polestar’s proprietary technology. </w:t>
      </w:r>
      <w:r>
        <w:rPr>
          <w:rFonts w:ascii="Times New Roman" w:cs="Times New Roman" w:eastAsia="Times New Roman" w:hAnsi="Times New Roman"/>
          <w:sz w:val="18"/>
          <w:szCs w:val="18"/>
          <w:color w:val="auto"/>
        </w:rPr>
        <w:t>Polestar believes its proprietary electric vehicle technology provides it with a substantial competitive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advantage. Research and development, a core competence, is focused on areas such as lightweight chassis architectures and manufacturing, electric propulsion and motors and bi-directional battery packs that Polestar believes will significantly enhance the competitiveness of its vehicles. For example, Polestar is developing one of the most powerful electric motors in the market, the P10, which will be capable of delivering as much as 450kW of power, or 600hp alone and even more power when coupled with a front motor. Our state-of-the-art 800V battery pack technology is expected to be included in the Polestar 5 when launched in 2024.</w:t>
      </w:r>
    </w:p>
    <w:p>
      <w:pPr>
        <w:spacing w:after="0" w:line="2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Polestar’s Vehicles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Polestar 1</w:t>
      </w:r>
    </w:p>
    <w:p>
      <w:pPr>
        <w:spacing w:after="0" w:line="121"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Polestar 1 is Polestar’s halo car, a car intended to establish Polestar’s brand in the premium luxury electric vehicle market. Polestar 1 was manufactured at Polestar’s facility in Chengdu, China. First revealed in October 2017, commercial production commenced in 2019. Polestar 1 features a highly advanced and technically innovative powertrain, combined with composite materials and leading-edge technology mechanical components.</w:t>
      </w:r>
    </w:p>
    <w:p>
      <w:pPr>
        <w:spacing w:after="0" w:line="176"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The hybrid powertrain features two electric motors on the rear axle – one for each wheel – mated to a front-mounted petrol engine which features turbo- and supercharging. A third electric motor is integrated between the crankshaft and gearbox for extra electric torque for the front wheels. Combined output is 609 hp and 1,000 Nm of torque. With three battery packs totaling 34 kWh, Polestar 1 features an all-electric range of 124 km–the longest electric range of any plug-in hybrid in the world to date.</w:t>
      </w:r>
    </w:p>
    <w:p>
      <w:pPr>
        <w:spacing w:after="0" w:line="180"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body of Polestar 1 is made from carbon fibre reinforced polymer (“CFRP”) which lowers the vehicle’s weight as well as its center of gravity. The CFRP body also allowed the car’s designers to create truly emotive and sharp styling cues that cannot be stamped into traditional metal body panels. Under the surface, the CFRP body features a carbon fibre “dragonfly” between the front seats and the rear of the vehicle, further reinforcing the car’s chassis.</w:t>
      </w:r>
    </w:p>
    <w:p>
      <w:pPr>
        <w:spacing w:after="0" w:line="180" w:lineRule="exact"/>
        <w:rPr>
          <w:sz w:val="20"/>
          <w:szCs w:val="20"/>
          <w:color w:val="auto"/>
        </w:rPr>
      </w:pPr>
    </w:p>
    <w:p>
      <w:pPr>
        <w:ind w:left="120" w:right="420" w:firstLine="440"/>
        <w:spacing w:after="0" w:line="266" w:lineRule="auto"/>
        <w:rPr>
          <w:sz w:val="20"/>
          <w:szCs w:val="20"/>
          <w:color w:val="auto"/>
        </w:rPr>
      </w:pPr>
      <w:r>
        <w:rPr>
          <w:rFonts w:ascii="Times New Roman" w:cs="Times New Roman" w:eastAsia="Times New Roman" w:hAnsi="Times New Roman"/>
          <w:sz w:val="18"/>
          <w:szCs w:val="18"/>
          <w:color w:val="auto"/>
        </w:rPr>
        <w:t>Driving dynamics are key to the Polestar experience and Polestar’s engineers spent years developing the “Polestar feeling” with Polestar 1. Crucial to this was the co-development of leading-edge technology mechanical components – like the manually adjustable Öhlins Dual Flow Valve dampers with double wishbone design and 6-piston Akebono brake calipers.</w:t>
      </w:r>
    </w:p>
    <w:p>
      <w:pPr>
        <w:spacing w:after="0" w:line="176"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The fitment of the two rear electric motors, each with a planetary gear set, allowed engineers to develop real torque vectoring algorithms for Polestar 1. The effects of this are particularly evident during cornering – rather than slowing down the inner wheel, the outer wheel is accelerated to help the car turn more sharply. The torque vectoring also allows the driver to apply power earlier than expected on the exit of a corner, resulting in a truly exhilarating experience.</w:t>
      </w:r>
    </w:p>
    <w:p>
      <w:pPr>
        <w:spacing w:after="0" w:line="180" w:lineRule="exact"/>
        <w:rPr>
          <w:sz w:val="20"/>
          <w:szCs w:val="20"/>
          <w:color w:val="auto"/>
        </w:rPr>
      </w:pPr>
    </w:p>
    <w:p>
      <w:pPr>
        <w:jc w:val="both"/>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Featuring Pure, Hybrid and Power drive modes, Polestar 1 can be driven in different ways depending on the driver needs and preference. In Pure mode, the combustion engine is shut off and Polestar 1 operates as a fully electric vehicle. The two rear electric motors generate total power of 170 kW and torque of 492 Nm. In Hybrid</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1140"/>
          </w:cols>
          <w:pgMar w:left="320" w:top="455" w:right="4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mode, Polestar 1 utilizes the electric motors and petrol engine according to demand from the driver, seamlessly switching between the two as needed. In Power mode, both the electric motors and combustion engine are utilized at all times, allowing the driver to take advantage of the full 609 hp and 1,000 Nm of torque, along with sharper responses from the throttle, steering and gearbox. Top speed is limited to 155 mph and the 0-62 mph sprint takes 4.2 seconds.</w:t>
      </w:r>
    </w:p>
    <w:p>
      <w:pPr>
        <w:spacing w:after="0" w:line="180" w:lineRule="exact"/>
        <w:rPr>
          <w:sz w:val="20"/>
          <w:szCs w:val="20"/>
          <w:color w:val="auto"/>
        </w:rPr>
      </w:pPr>
    </w:p>
    <w:p>
      <w:pPr>
        <w:jc w:val="both"/>
        <w:ind w:left="120" w:right="20" w:firstLine="440"/>
        <w:spacing w:after="0" w:line="289" w:lineRule="auto"/>
        <w:rPr>
          <w:sz w:val="20"/>
          <w:szCs w:val="20"/>
          <w:color w:val="auto"/>
        </w:rPr>
      </w:pPr>
      <w:r>
        <w:rPr>
          <w:rFonts w:ascii="Times New Roman" w:cs="Times New Roman" w:eastAsia="Times New Roman" w:hAnsi="Times New Roman"/>
          <w:sz w:val="17"/>
          <w:szCs w:val="17"/>
          <w:color w:val="auto"/>
        </w:rPr>
        <w:t>Polestar 1 went into production at Polestar’s Chengdu, China facility in 2019. The facility was the only Leadership in Energy and Environmental Design, or LEED, Gold accredited automotive manufacturing facility in China. With a planned three year production run and a limited build capacity of up to 500 units per year, production of the car ceased in 2021. The car retails in Polestar’s original launch markets in Europe, North America and China.</w:t>
      </w:r>
    </w:p>
    <w:p>
      <w:pPr>
        <w:spacing w:after="0" w:line="2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Polestar 2</w:t>
      </w:r>
    </w:p>
    <w:p>
      <w:pPr>
        <w:spacing w:after="0" w:line="121"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Polestar 2 is an electric performance fastback and Polestar’s first fully electric, high volume model. Polestar 2 is manufactured at the Luqiao, China facility, which is owned and operated by Volvo Cars and which Volvo Cars renamed “Taizhou” after acquiring the plant from Geely in December 2021. First revealed in 2019, production commenced in 2020.</w:t>
      </w:r>
    </w:p>
    <w:p>
      <w:pPr>
        <w:spacing w:after="0" w:line="176"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Polestar 2 model range includes three variants – Long range dual motor (300 kW (408 hp)/ 660 Nm), Long range single motor (170 kW (231 hp)/ 330Nm) and Standard range single motor (165 kW (224 hp)/ 330 Nm) – combined with three optional packages – Pilot, Plus and Performance – to provide consumers with the perfect Polestar 2 for their needs. Pilot and Plus packages encompass driver convenience and comfort features, while the Performance package adds further dynamic and visual appeal with Öhlins Dual Flow Valve dampers, 4-piston Brembo brakes, forged alloy wheels and, naturally, Polestar’s signature gold detailing inside and out. Polestar believes this modular approach simplifies both the purchase and manufacturing process while enhancing the customer experience.</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Polestar 2 was the first car in the world to feature an infotainment system powered by Google’s Android Automotive OS, with</w:t>
      </w:r>
    </w:p>
    <w:p>
      <w:pPr>
        <w:spacing w:after="0" w:line="27" w:lineRule="exact"/>
        <w:rPr>
          <w:sz w:val="20"/>
          <w:szCs w:val="20"/>
          <w:color w:val="auto"/>
        </w:rPr>
      </w:pPr>
    </w:p>
    <w:p>
      <w:pPr>
        <w:ind w:left="120" w:right="60"/>
        <w:spacing w:after="0" w:line="252" w:lineRule="auto"/>
        <w:rPr>
          <w:sz w:val="20"/>
          <w:szCs w:val="20"/>
          <w:color w:val="auto"/>
        </w:rPr>
      </w:pPr>
      <w:r>
        <w:rPr>
          <w:rFonts w:ascii="Times New Roman" w:cs="Times New Roman" w:eastAsia="Times New Roman" w:hAnsi="Times New Roman"/>
          <w:sz w:val="18"/>
          <w:szCs w:val="18"/>
          <w:color w:val="auto"/>
        </w:rPr>
        <w:t>Google built-in. Developed in collaboration with Google, the Android system revolutionizes the way car infotainment system can be integrated, and with Google Assistant, Google Maps and the Google Play Store integrated, owners can benefit from one of the best voice and navigation systems in the world. The user interface is bespoke to Polestar 2 and developed in-house. With an open developer portal that features an Android Automotive OS emulator, Polestar also provides app developers the ability to develop apps for use in the car (for example a parking app from Easy Park, that can be downloaded directly to the car to simplify payment of parking fees) in shorter time than is generally required to develop apps for unique operating systems used by traditional car producers.</w:t>
      </w:r>
    </w:p>
    <w:p>
      <w:pPr>
        <w:spacing w:after="0" w:line="190"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The Polestar 2 has been designed and produced in accordance with Polestar’s emphasis on design led sustainability. It was in connection with the launch of Polestar 2 in 2020 that Polestar released its first Life Cycle Assessment report, with full methodology and transparency, and with a call to the industry at large for a uniformly open and transparent way of disclosing the carbon footprint of electric vehicles from all manufacturers. In early 2021, Polestar took this transparency a step further by integrating a Product Sustainability Declaration into Polestar Locations and on its website and will continue to disclose such information going forward. See “—Design, Research and Development and Sustainability—Sustainability.”</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Precept, Future Vehicles and Polestar 0 project</w:t>
      </w:r>
    </w:p>
    <w:p>
      <w:pPr>
        <w:spacing w:after="0" w:line="121"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In March 2020, Polestar revealed Polestar Precept, a design study intended to showcase Polestar’s vision of the brand’s future, demonstrating innovation and ambition across three focus areas—design, technology and sustainability.</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86</w:t>
      </w:r>
    </w:p>
    <w:p>
      <w:pPr>
        <w:sectPr>
          <w:pgSz w:w="11900" w:h="16838" w:orient="portrait"/>
          <w:cols w:equalWidth="0" w:num="1">
            <w:col w:w="11080"/>
          </w:cols>
          <w:pgMar w:left="320" w:top="455" w:right="49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Polestar Precept was created as the manifesto for and design direction of Polestar’s future models. By the end of 2026, Polestar currently intends to have launched four new vehicles; Polestar 3, an electric performance SUV; Polestar 4, a SUV coupe; Polestar 5, a luxury electric 4 door GT; and Polestar 6, an electric performance roadster.</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Precept</w:t>
      </w:r>
    </w:p>
    <w:p>
      <w:pPr>
        <w:spacing w:after="0" w:line="121"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In October 2020, Polestar announced at the Shanghai Motor Show that it would aim to produce a luxury 4 door GT based on the Precept concept; this will be the Polestar 5.</w:t>
      </w:r>
    </w:p>
    <w:p>
      <w:pPr>
        <w:spacing w:after="0" w:line="162" w:lineRule="exact"/>
        <w:rPr>
          <w:sz w:val="20"/>
          <w:szCs w:val="20"/>
          <w:color w:val="auto"/>
        </w:rPr>
      </w:pPr>
    </w:p>
    <w:p>
      <w:pPr>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The design of the Precept’s interior is defined by sustainability and offered an opportunity to work with new materials and processes. Similarly, the design seeks to capitalize on the evolution of the Human Machine Interface (“HMI”) based on Polestar 3 interactions and Google Android Automotive to deliver an enhanced customer experience.</w:t>
      </w:r>
    </w:p>
    <w:p>
      <w:pPr>
        <w:spacing w:after="0" w:line="176" w:lineRule="exact"/>
        <w:rPr>
          <w:sz w:val="20"/>
          <w:szCs w:val="20"/>
          <w:color w:val="auto"/>
        </w:rPr>
      </w:pPr>
    </w:p>
    <w:p>
      <w:pPr>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Sustainable new interior materials balance modern high-tech luxury with reduced environmental impact. These sustainable materials include recycled PET bottles, reclaimed fishing nets and recycled cork vinyl. A flax-based composite developed by external partner Bcomp Ltd is featured in many interior and some exterior parts. Polestar’s ambition is to bring much of this sustainability into production.</w:t>
      </w:r>
    </w:p>
    <w:p>
      <w:pPr>
        <w:spacing w:after="0" w:line="176"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The next generation infotainment system HMI, powered by Android, builds on Polestar’s close collaboration with Google. An enlarged, portrait-oriented 15-inch center touch screen complements a 12.5-inch driver display, and the two are linked by an illuminated blade that encompasses the entire interior. In this execution, the unique Polestar emblem floats holographically inside a solid piece of Swedish crystal between the rear seat headrests.</w:t>
      </w:r>
    </w:p>
    <w:p>
      <w:pPr>
        <w:spacing w:after="0" w:line="180" w:lineRule="exact"/>
        <w:rPr>
          <w:sz w:val="20"/>
          <w:szCs w:val="20"/>
          <w:color w:val="auto"/>
        </w:rPr>
      </w:pPr>
    </w:p>
    <w:p>
      <w:pPr>
        <w:ind w:left="120" w:right="340" w:firstLine="440"/>
        <w:spacing w:after="0" w:line="266" w:lineRule="auto"/>
        <w:rPr>
          <w:sz w:val="20"/>
          <w:szCs w:val="20"/>
          <w:color w:val="auto"/>
        </w:rPr>
      </w:pPr>
      <w:r>
        <w:rPr>
          <w:rFonts w:ascii="Times New Roman" w:cs="Times New Roman" w:eastAsia="Times New Roman" w:hAnsi="Times New Roman"/>
          <w:sz w:val="18"/>
          <w:szCs w:val="18"/>
          <w:color w:val="auto"/>
        </w:rPr>
        <w:t>Supporting the advancement of a personalized and dynamic digital interface, the instrument panel also hosts an array of smart sensors. Eye tracking will allow the car to monitor the driver’s gaze and adjust the content of the various screens accordingly. Proximity sensors also enhance the usability of the center display when driving.</w:t>
      </w:r>
    </w:p>
    <w:p>
      <w:pPr>
        <w:spacing w:after="0" w:line="176"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The sculpted form of the Polestar Precept sets the tone for future Polestar vehicles. The vehicle’s proportions define its presence with restrained surfacing and a focus on aerodynamic efficiency.</w:t>
      </w:r>
    </w:p>
    <w:p>
      <w:pPr>
        <w:spacing w:after="0" w:line="162"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front grille is replaced by the Polestar SmartZone, representing a shift from breathing to seeing. An area which once channeled air to radiators and the internal combustion engine now houses technology for safety sensors and driver assistance functions. Two radar sensors and a high-definition camera are located behind a transparent panel. In addition, a light detection and ranging (“LiDAR”) sensor, mounted atop the glass roof, is given optimal visibility as a next step towards increased driving assistance. The Thor’s Hammer LED headlight signature evolves with separated elements, taking on a dynamic and brand-defining interpretation.</w:t>
      </w:r>
    </w:p>
    <w:p>
      <w:pPr>
        <w:spacing w:after="0" w:line="183" w:lineRule="exact"/>
        <w:rPr>
          <w:sz w:val="20"/>
          <w:szCs w:val="20"/>
          <w:color w:val="auto"/>
        </w:rPr>
      </w:pPr>
    </w:p>
    <w:p>
      <w:pPr>
        <w:ind w:left="120" w:right="180" w:firstLine="440"/>
        <w:spacing w:after="0" w:line="289" w:lineRule="auto"/>
        <w:rPr>
          <w:sz w:val="20"/>
          <w:szCs w:val="20"/>
          <w:color w:val="auto"/>
        </w:rPr>
      </w:pPr>
      <w:r>
        <w:rPr>
          <w:rFonts w:ascii="Times New Roman" w:cs="Times New Roman" w:eastAsia="Times New Roman" w:hAnsi="Times New Roman"/>
          <w:sz w:val="17"/>
          <w:szCs w:val="17"/>
          <w:color w:val="auto"/>
        </w:rPr>
        <w:t>Precept features an integrated front wing above the SmartZone which accelerates air flow over the long bonnet. This allows air to attach itself to the surface earlier, which improves laminar flow and aerodynamic efficiency and thus improves the vehicle’s performance and range. At the rear, the wide light-blade spans the entire width of the car, extending into vertical aero-wings – another aerodynamic feature and a nod to light weight design.</w:t>
      </w:r>
    </w:p>
    <w:p>
      <w:pPr>
        <w:spacing w:after="0" w:line="2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Show cars, concept cars and vision statements</w:t>
      </w:r>
    </w:p>
    <w:p>
      <w:pPr>
        <w:spacing w:after="0" w:line="121"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Periodically Polestar will use concept cars and other models and devices to further outline the future vision of Polestar. Concept cars are not associated with Polestar’s series production cycle plan (or business plan) but give the brand the opportunity to share new ideas and visuals to both gauge consumer opinion and provide insight. Such vehicles or devices are imperative in a sector such as automotive that has lengthy product development cycles. Concept cars are also a tool to engage wider stakeholders, from press to investors to generate interest, conversation and provide a halo across the brand.</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87</w:t>
      </w:r>
    </w:p>
    <w:p>
      <w:pPr>
        <w:sectPr>
          <w:pgSz w:w="11900" w:h="16838" w:orient="portrait"/>
          <w:cols w:equalWidth="0" w:num="1">
            <w:col w:w="11120"/>
          </w:cols>
          <w:pgMar w:left="320" w:top="455" w:right="45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2" w:lineRule="exact"/>
        <w:rPr>
          <w:sz w:val="20"/>
          <w:szCs w:val="20"/>
          <w:color w:val="auto"/>
        </w:rPr>
      </w:pPr>
    </w:p>
    <w:p>
      <w:pPr>
        <w:ind w:left="120" w:right="120" w:firstLine="440"/>
        <w:spacing w:after="0" w:line="224" w:lineRule="auto"/>
        <w:rPr>
          <w:sz w:val="20"/>
          <w:szCs w:val="20"/>
          <w:color w:val="auto"/>
        </w:rPr>
      </w:pPr>
      <w:r>
        <w:rPr>
          <w:rFonts w:ascii="Times New Roman" w:cs="Times New Roman" w:eastAsia="Times New Roman" w:hAnsi="Times New Roman"/>
          <w:sz w:val="18"/>
          <w:szCs w:val="18"/>
          <w:color w:val="auto"/>
        </w:rPr>
        <w:t>On March 2, 2022, Polestar revealed Polestar O</w:t>
      </w:r>
      <w:r>
        <w:rPr>
          <w:rFonts w:ascii="Times New Roman" w:cs="Times New Roman" w:eastAsia="Times New Roman" w:hAnsi="Times New Roman"/>
          <w:sz w:val="26"/>
          <w:szCs w:val="26"/>
          <w:color w:val="auto"/>
          <w:vertAlign w:val="subscript"/>
        </w:rPr>
        <w:t>2</w:t>
      </w:r>
      <w:r>
        <w:rPr>
          <w:rFonts w:ascii="Times New Roman" w:cs="Times New Roman" w:eastAsia="Times New Roman" w:hAnsi="Times New Roman"/>
          <w:sz w:val="18"/>
          <w:szCs w:val="18"/>
          <w:color w:val="auto"/>
        </w:rPr>
        <w:t>, a new concept car to demonstrate Polestar’s vision of a sports roadster with open-top performance—with all the benefits of electric mobility. The Polestar O</w:t>
      </w:r>
      <w:r>
        <w:rPr>
          <w:rFonts w:ascii="Times New Roman" w:cs="Times New Roman" w:eastAsia="Times New Roman" w:hAnsi="Times New Roman"/>
          <w:sz w:val="26"/>
          <w:szCs w:val="26"/>
          <w:color w:val="auto"/>
          <w:vertAlign w:val="subscript"/>
        </w:rPr>
        <w:t>2</w:t>
      </w:r>
      <w:r>
        <w:rPr>
          <w:rFonts w:ascii="Times New Roman" w:cs="Times New Roman" w:eastAsia="Times New Roman" w:hAnsi="Times New Roman"/>
          <w:sz w:val="18"/>
          <w:szCs w:val="18"/>
          <w:color w:val="auto"/>
        </w:rPr>
        <w:t xml:space="preserve"> concept car is related to the Polestar Precept concept car but with its own distinct character. The look of Polestar O</w:t>
      </w:r>
      <w:r>
        <w:rPr>
          <w:rFonts w:ascii="Times New Roman" w:cs="Times New Roman" w:eastAsia="Times New Roman" w:hAnsi="Times New Roman"/>
          <w:sz w:val="26"/>
          <w:szCs w:val="26"/>
          <w:color w:val="auto"/>
          <w:vertAlign w:val="subscript"/>
        </w:rPr>
        <w:t>2</w:t>
      </w:r>
      <w:r>
        <w:rPr>
          <w:rFonts w:ascii="Times New Roman" w:cs="Times New Roman" w:eastAsia="Times New Roman" w:hAnsi="Times New Roman"/>
          <w:sz w:val="18"/>
          <w:szCs w:val="18"/>
          <w:color w:val="auto"/>
        </w:rPr>
        <w:t xml:space="preserve"> shows how Polestar’s evolving design language can be adapted to different body styles with a strong family resemblance. The concept leverages a modified version of the bonded aluminum unibody that is planned to underpin Polestar 5 and further reinforces the importance of in-house research and development capabilities. Sustainability is another core tenet of the design study with a mono-material interior further illustrating how the brand is looking to drive progress through innovative materials manufacturing processes.</w:t>
      </w:r>
    </w:p>
    <w:p>
      <w:pPr>
        <w:spacing w:after="0" w:line="3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Polestar 3</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Polestar expects to launch the Polestar 3 in October 2022. Polestar 3 will be a luxurious electric performance SUV with seating for five and design direction previewed by Precept. It is an aerodynamically-optimized using multiple design features to smooth airflow and reduce drag. The two seating rows in Polestar 3 stretch out between the long wheelbase offering luxurious and spacious legroom for the rear passengers even when the tallest driver is sitting in the front seat. Polestar 3 will define the SUV for the electric era by combining the high seating position favored by customers with a highly efficient aerodynamic silhouette.</w:t>
      </w:r>
    </w:p>
    <w:p>
      <w:pPr>
        <w:spacing w:after="0" w:line="183"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Priced in the range of a Porsche Cayenne – it will be Polestar’s first product with centralized computing, powered by Nvidia, and with redundant system possibilities. Polestar expects to include a variety of technological advances in Polestar 3 over time. These features will include unsupervised highway piloting by software from Zenseact (an autonomous driving software development subsidiary of Volvo Cars), and the best-in-class LiDAR sensor pod from Luminar, all of which is expected to be fully implemented in Polestar 3 vehicles by 2024.</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Polestar 4</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Polestar currently plans to launch Polestar 4 in 2023. Polestar 4 will be a sporty SUV coupe, more compact than, and priced below, Polestar 3 with a high-volume potential. With an avant-garde design inspired and previewed by Polestar Precept, the minimalist SUV coupe will offer excellent rear passenger comfort.</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Priced in the range of the Porsche Macan, Polestar 4 will aim to offer driving dynamics and minimalist style to a larger market segment.</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Polestar 5</w:t>
      </w:r>
    </w:p>
    <w:p>
      <w:pPr>
        <w:spacing w:after="0" w:line="121"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Polestar currently plans to launch the Polestar 5 in 2024. Polestar 5 will be an epic 4 door grand tourer that most closely follows inspiration from the Precept. Priced to compete with a Porsche Panamera, the vehicle will introduce new in-house aluminum body and chassis and powertrain architectures.</w:t>
      </w:r>
    </w:p>
    <w:p>
      <w:pPr>
        <w:spacing w:after="0" w:line="176"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Polestar expects that Polestar 5 will be manufactured at a new state-of-the-art plant in China, built by Geely and to be operated by Polestar. The plant will meet a high standard of sustainability, aiming for LEED Gold accreditation.</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Polestar 6</w:t>
      </w:r>
    </w:p>
    <w:p>
      <w:pPr>
        <w:spacing w:after="0" w:line="121"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On August 16, 2022, Polestar announced that it expects to launch production of the Polestar 6 in 2026. The Polestar 6 will expand upon the design established by the Polestar Precept and be based on the Polestar O2 electric roadster concept. Polestar made the first 500 production cars available as the exclusive, numbered Polestar 6 LA Concept edition. All 500 build slots of Polestar 6 LA Concept edition were reserved online within a week of the production announcement.</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88</w:t>
      </w:r>
    </w:p>
    <w:p>
      <w:pPr>
        <w:sectPr>
          <w:pgSz w:w="11900" w:h="16838" w:orient="portrait"/>
          <w:cols w:equalWidth="0" w:num="1">
            <w:col w:w="11120"/>
          </w:cols>
          <w:pgMar w:left="320" w:top="455" w:right="45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Polestar 0 project</w:t>
      </w:r>
    </w:p>
    <w:p>
      <w:pPr>
        <w:spacing w:after="0" w:line="121" w:lineRule="exact"/>
        <w:rPr>
          <w:sz w:val="20"/>
          <w:szCs w:val="20"/>
          <w:color w:val="auto"/>
        </w:rPr>
      </w:pPr>
    </w:p>
    <w:p>
      <w:pPr>
        <w:jc w:val="both"/>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In April 2021, Polestar announced its important goal to create a truly climate-neutral car by 2030 a significant and necessary step to reach its goal of becoming a climate neutral company by 2040.</w:t>
      </w:r>
    </w:p>
    <w:p>
      <w:pPr>
        <w:spacing w:after="0" w:line="162" w:lineRule="exact"/>
        <w:rPr>
          <w:sz w:val="20"/>
          <w:szCs w:val="20"/>
          <w:color w:val="auto"/>
        </w:rPr>
      </w:pPr>
    </w:p>
    <w:p>
      <w:pPr>
        <w:jc w:val="both"/>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Today, an electric car manufactured and charged on the current global electricity infrastructure mix has a smaller carbon footprint than an internal combustion engine car through its useful life. However, Polestar has set a target of producing a car by 2030 that is truly climate neutral when it rolls out of Polestar’s factories’ gates.</w:t>
      </w:r>
    </w:p>
    <w:p>
      <w:pPr>
        <w:spacing w:after="0" w:line="176"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As a company, Polestar cannot directly control how its cars are charged or how they are disposed of after their use phase has ended. Polestar can control what happens before the car is handed over to the customer: the carbon footprint of the materials production, battery module and manufacturing process. For the Polestar 2, that carbon footprint was 26.2 tons in 2020 with most of the impact coming from three categories: aluminum, batteries and steel. Together they account for 75% of the 24 tons attributable to materials production and battery modules. Add electronics and polymers and the total is 92%. While a lot of focus naturally will be on those categories, the goal is to reduce all to zero, including Polestar’s manufacturing footprint.</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Design, Research and Development and Sustainability</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Design</w:t>
      </w:r>
    </w:p>
    <w:p>
      <w:pPr>
        <w:spacing w:after="0" w:line="121" w:lineRule="exact"/>
        <w:rPr>
          <w:sz w:val="20"/>
          <w:szCs w:val="20"/>
          <w:color w:val="auto"/>
        </w:rPr>
      </w:pPr>
    </w:p>
    <w:p>
      <w:pPr>
        <w:ind w:left="120" w:right="20" w:firstLine="440"/>
        <w:spacing w:after="0" w:line="274" w:lineRule="auto"/>
        <w:rPr>
          <w:sz w:val="20"/>
          <w:szCs w:val="20"/>
          <w:color w:val="auto"/>
        </w:rPr>
      </w:pPr>
      <w:r>
        <w:rPr>
          <w:rFonts w:ascii="Times New Roman" w:cs="Times New Roman" w:eastAsia="Times New Roman" w:hAnsi="Times New Roman"/>
          <w:sz w:val="17"/>
          <w:szCs w:val="17"/>
          <w:color w:val="auto"/>
        </w:rPr>
        <w:t>Design is at the core of Polestar. Polestar is a Scandinavian brand with pure, minimalist design. Polestar’s design is progressive and defines the avant-garde of the electric and sustainable age. Polestar celebrates technology in its creations and innovation is its driving force. Performance is not only a capability of Polestar’s products but the mindset of Polestar’s whole company. Polestar’s vehicles have been widely recognized for their outstanding design and performance credentials and Polestar 1 and Polestar 2 have each received numerous awards, including, among others, High-performance Luxury GT Coupe of the Year and Luxury High-Performance Electric Vehicle of the Year for Polestar Land Car of the Year titles in Norway, Switzerland, Germany (Luxury) China (Green Car), Germany’s Golden Steering wheel as well as the Edie Sustainability Leader award for Polestar 2.</w:t>
      </w:r>
    </w:p>
    <w:p>
      <w:pPr>
        <w:spacing w:after="0" w:line="173" w:lineRule="exact"/>
        <w:rPr>
          <w:sz w:val="20"/>
          <w:szCs w:val="20"/>
          <w:color w:val="auto"/>
        </w:rPr>
      </w:pPr>
    </w:p>
    <w:p>
      <w:pPr>
        <w:ind w:left="120" w:right="220" w:firstLine="440"/>
        <w:spacing w:after="0" w:line="256" w:lineRule="auto"/>
        <w:rPr>
          <w:sz w:val="20"/>
          <w:szCs w:val="20"/>
          <w:color w:val="auto"/>
        </w:rPr>
      </w:pPr>
      <w:r>
        <w:rPr>
          <w:rFonts w:ascii="Times New Roman" w:cs="Times New Roman" w:eastAsia="Times New Roman" w:hAnsi="Times New Roman"/>
          <w:sz w:val="18"/>
          <w:szCs w:val="18"/>
          <w:color w:val="auto"/>
        </w:rPr>
        <w:t>Progressive designs force Polestar to innovate and develop new technologies, technologies that in turn can improve customer experience and/or improve vehicle and sustainability performance. Polestar’s sustainability goals guide its design teams to continually innovate and drive even more progressive thinking. Polestar believes that its designs reflect the central tenants of Scandinavian design, with a focus on luxury minimalism and an emphasis on responsible material choices and such as the use of recycled and naturally grown materials. An example is that the Polestar UX (user experience) team is part of the design department bringing interaction with the car to the heart of the design process. New technologies, such as connectivity and autonomous drive, will create further opportunities.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121"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Polestar’s research and development strategy is to focus its own resources on the development of key electric vehicle technologies while accessing the benefit of investments in other technology from within the larger Volvo Cars and Geely family. Polestar also accesses and utilizes battery labs, wind tunnels, VR simulations and testing, proving grounds both in UK and in Sweden.</w:t>
      </w:r>
    </w:p>
    <w:p>
      <w:pPr>
        <w:spacing w:after="0" w:line="176"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Polestar’s research and development teams are located in Sweden and the United Kingdom. In Sweden, Polestar’s headquarters and research and development team is located in Gothenburg close to the facilities and competences at Volvo Cars and its surroundings. This research and development team is focused on collaboration with Volvo Cars in a wide variety of areas, including electrical propulsion, sustainability, lightweight material designs, software, and more. In the United Kingdom, Polestar’s research and development team is located in the Mira Technology Park in Coventry. This location benefits from good access to engineering talent, proving grounds, wind tunnels and workshops. Polestar’s engineering focus in the United Kingdom is chassis and dynamics, aluminum bonding and architecture and sports car design.</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89</w:t>
      </w:r>
    </w:p>
    <w:p>
      <w:pPr>
        <w:sectPr>
          <w:pgSz w:w="11900" w:h="16838" w:orient="portrait"/>
          <w:cols w:equalWidth="0" w:num="1">
            <w:col w:w="11120"/>
          </w:cols>
          <w:pgMar w:left="320" w:top="455" w:right="45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Sustainability</w:t>
      </w:r>
    </w:p>
    <w:p>
      <w:pPr>
        <w:spacing w:after="0" w:line="121"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Polestar has a philosophy to design towards zero, actively using Scandinavian minimalist design to engage customers and minimize our environmental impact. Polestar seeks to achieve its clear sustainability goals by establishing concrete targets focusing on four pillars of its sustainability approach:</w:t>
      </w:r>
    </w:p>
    <w:p>
      <w:pPr>
        <w:spacing w:after="0" w:line="81" w:lineRule="exact"/>
        <w:rPr>
          <w:sz w:val="20"/>
          <w:szCs w:val="20"/>
          <w:color w:val="auto"/>
        </w:rPr>
      </w:pPr>
    </w:p>
    <w:p>
      <w:pPr>
        <w:ind w:left="1080" w:hanging="424"/>
        <w:spacing w:after="0" w:line="271" w:lineRule="auto"/>
        <w:tabs>
          <w:tab w:leader="none" w:pos="1080"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Climate Neutrality</w:t>
      </w:r>
      <w:r>
        <w:rPr>
          <w:rFonts w:ascii="Times New Roman" w:cs="Times New Roman" w:eastAsia="Times New Roman" w:hAnsi="Times New Roman"/>
          <w:sz w:val="17"/>
          <w:szCs w:val="17"/>
          <w:color w:val="auto"/>
        </w:rPr>
        <w:t>: Combating the emission of greenhouse gases is one of the top priorities of Polestar. Most greenhouse gas emissions associated with its vehicles are related to the use of fossil fuels in energy conversion. Coal power is highly present in Polestar’s supply chains as it operates, and predominantly sources, in China. Aside from greenhouse gas emissions, the burning of fossil fuels also leads to emissions of sulfur dioxide, nitrogen oxides and particulates that affect the environment and the health of people living in the local areas surrounding the power plants. The use of renewable energy in the Polestar supply chain is absolutely key for it to reach climate neutrality and improve local air quality. Polestar has set two goals to achieve climate neutrality: Polestar is to be climate neutral by 2040 and create a climate neutral car (cradle-to-gate) by 2030. To drive towards the 2030 goal, Polestar has launched five strategic initiatives. These are: climate-neutral platform, climate-neutral materials, energy optimization, climate-neutral manufacturing and renewable energy in the supply chain. Each strategic initiative is headed by an accountable department but handled through cross-functional collaboration within Polestar.</w:t>
      </w:r>
    </w:p>
    <w:p>
      <w:pPr>
        <w:spacing w:after="0" w:line="78" w:lineRule="exact"/>
        <w:rPr>
          <w:rFonts w:ascii="Times New Roman" w:cs="Times New Roman" w:eastAsia="Times New Roman" w:hAnsi="Times New Roman"/>
          <w:sz w:val="17"/>
          <w:szCs w:val="17"/>
          <w:color w:val="auto"/>
        </w:rPr>
      </w:pPr>
    </w:p>
    <w:p>
      <w:pPr>
        <w:ind w:left="1080" w:right="40" w:hanging="424"/>
        <w:spacing w:after="0" w:line="253" w:lineRule="auto"/>
        <w:tabs>
          <w:tab w:leader="none" w:pos="10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Circularity</w:t>
      </w:r>
      <w:r>
        <w:rPr>
          <w:rFonts w:ascii="Times New Roman" w:cs="Times New Roman" w:eastAsia="Times New Roman" w:hAnsi="Times New Roman"/>
          <w:sz w:val="18"/>
          <w:szCs w:val="18"/>
          <w:color w:val="auto"/>
        </w:rPr>
        <w:t>: Circularity is a philosophy to ensure that we, as a society, produce and consume within planetary boundaries. The use of materials is at the root of Polestar’s biggest social and environmental impacts. The extraction, processing, use and waste treatment of materials is associated with risks and potential negative impacts such as resource depletion, pollution to air, soil and water, climate impact, loss of biodiversity and human rights violations. Pollution to air, soil and water from metallurgical processes and mining activities also affect the health of people working in the supply chain and their local environments. By using a circular approach and trying to close the loop for more materials, less virgin materials and minerals need to be extracted and produced, which minimizes the total environmental impact. Polestar aims to drive sustainable and circular use of materials through different key strategies and processes, including sustainability strategy, sourcing strategy, procurement process and product development process. Through its procurement practices Polestar aims to minimize the negative impact on land and water through reduced greenhouse gas emissions, pollution, waste and effluents throughout its supply chain. Polestar uses life-cycle assessments as its primary tool for assessing environmental impact from material use including material selection and waste management.</w:t>
      </w:r>
    </w:p>
    <w:p>
      <w:pPr>
        <w:spacing w:after="0" w:line="97" w:lineRule="exact"/>
        <w:rPr>
          <w:rFonts w:ascii="Times New Roman" w:cs="Times New Roman" w:eastAsia="Times New Roman" w:hAnsi="Times New Roman"/>
          <w:sz w:val="18"/>
          <w:szCs w:val="18"/>
          <w:color w:val="auto"/>
        </w:rPr>
      </w:pPr>
    </w:p>
    <w:p>
      <w:pPr>
        <w:ind w:left="1080" w:right="60" w:hanging="424"/>
        <w:spacing w:after="0" w:line="256" w:lineRule="auto"/>
        <w:tabs>
          <w:tab w:leader="none" w:pos="10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Transparency</w:t>
      </w:r>
      <w:r>
        <w:rPr>
          <w:rFonts w:ascii="Times New Roman" w:cs="Times New Roman" w:eastAsia="Times New Roman" w:hAnsi="Times New Roman"/>
          <w:sz w:val="18"/>
          <w:szCs w:val="18"/>
          <w:color w:val="auto"/>
        </w:rPr>
        <w:t>: Reporting and working on sustainability issues is meaningless unless it leads to real world positive impact. Being transparent about where Polestar’s risks and impacts lie and which methodologies Polestar uses to measure itself ensures that Polestar creates actual progress. Polestar was the first car company to share both a Life Cycle Analysis (“</w:t>
      </w:r>
      <w:r>
        <w:rPr>
          <w:rFonts w:ascii="Times New Roman" w:cs="Times New Roman" w:eastAsia="Times New Roman" w:hAnsi="Times New Roman"/>
          <w:sz w:val="18"/>
          <w:szCs w:val="18"/>
          <w:i w:val="1"/>
          <w:iCs w:val="1"/>
          <w:color w:val="auto"/>
        </w:rPr>
        <w:t>LCA</w:t>
      </w:r>
      <w:r>
        <w:rPr>
          <w:rFonts w:ascii="Times New Roman" w:cs="Times New Roman" w:eastAsia="Times New Roman" w:hAnsi="Times New Roman"/>
          <w:sz w:val="18"/>
          <w:szCs w:val="18"/>
          <w:color w:val="auto"/>
        </w:rPr>
        <w:t>”) and the methodology behind the calculation for Polestar 2, in order to provide transparency to its customers as to the true impact of their purchase. Polestar will continue to calculate and share a LCA along with an ever more detailed Sustainability Declaration for each model it produces moving forward and urge the entire industry to adopt a transparent approach to help build consumer understanding and trust.</w:t>
      </w:r>
    </w:p>
    <w:p>
      <w:pPr>
        <w:spacing w:after="0" w:line="79" w:lineRule="exact"/>
        <w:rPr>
          <w:rFonts w:ascii="Times New Roman" w:cs="Times New Roman" w:eastAsia="Times New Roman" w:hAnsi="Times New Roman"/>
          <w:sz w:val="18"/>
          <w:szCs w:val="18"/>
          <w:color w:val="auto"/>
        </w:rPr>
      </w:pPr>
    </w:p>
    <w:p>
      <w:pPr>
        <w:ind w:left="1100" w:right="20"/>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Polestar is constantly looking to be honest with itself and its stakeholders and improve. For example, Polestar recognizes it uses materials with high risks of human rights violations and negative environmental impacts in the supply chain to create its vehicles. Cobalt, for example, is a key component of the batteries used in Polestar vehicles that is primarily mined in the Democratic Republic of Congo, where it has been linked to child labor in the artisanal and small-scale mining sector. Historically, it has been very difficult to trace the origin of minerals because of its complex supply chain and lack of reliable chain of custody methods. Polestar requires its suppliers to implement responsible sourcing practices to mitigate the risk of human rights violations. Polestar partners with a traceability-as-a-service provider, Circulor, that utilizes blockchain technology to trace the origins of materials used throughout Polestar’s supply chain. Additionally, Polestar maintains a parts and components sourcing partnership with Volvo Cars in which suppliers are analyzed using sustainability questionnaires and a risk assessment tool developed by Responsible Business Alliance.</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90</w:t>
      </w:r>
    </w:p>
    <w:p>
      <w:pPr>
        <w:sectPr>
          <w:pgSz w:w="11900" w:h="16838" w:orient="portrait"/>
          <w:cols w:equalWidth="0" w:num="1">
            <w:col w:w="11120"/>
          </w:cols>
          <w:pgMar w:left="320" w:top="455" w:right="45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080" w:right="420" w:hanging="424"/>
        <w:spacing w:after="0" w:line="258" w:lineRule="auto"/>
        <w:tabs>
          <w:tab w:leader="none" w:pos="10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Inclusion</w:t>
      </w:r>
      <w:r>
        <w:rPr>
          <w:rFonts w:ascii="Times New Roman" w:cs="Times New Roman" w:eastAsia="Times New Roman" w:hAnsi="Times New Roman"/>
          <w:sz w:val="18"/>
          <w:szCs w:val="18"/>
          <w:color w:val="auto"/>
        </w:rPr>
        <w:t>: Inclusion is diversity, representation and equality working in harmony. By committing to this strategic focus area, Polestar stands up for the rights of people throughout its value chain – from the workers producing the material of its cars, to its employees in factories or spaces, to customers and consumers around the world. Departments like Human Resources, Customer Experience and Procurement drive strategic initiatives on human rights and inclusion, addressing Polestar’s role as a responsible brand, employer and procurer.</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Sales and Distribution</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In 2019, Polestar commenced commercial sales of its vehicles with the Polestar 1, followed in 2020 with the Polestar 2. Polestar uses a digital first, direct to consumer approach that enables its customers to browse Polestar’s products, configure their preferred vehicle and, where permitted, place their order on-line. Currently, customers in North America place orders for Polestar’s vehicles through trusted retailers. In addition, Polestar has established physical retail locations comprised of Polestar Spaces, Polestar Destinations and Polestar Test Drive Centers referred to as Polestar Locations. Polestar Spaces are typically smaller Polestar showrooms located in urban areas, whereas Polestar Destinations and Polestar Test Drive Centers are typically larger Polestar showrooms located in peri-urban areas. Polestar Locations allow Polestar’s customers to see, feel and test drive Polestar’s vehicles. In addition, Polestar has also established handover centers that provide a convenient option for customers to take delivery of Polestar vehicles, although customers may also choose home delivery in certain markets. As of June 30, 2022, there are 125 Polestar Locations and Polestar expects to have an aggregate of 150 retail locations in existing and new markets by the end of 2023. In addition, as Polestar continues with its international expansion, it will use third party importers to give it access to lower volume markets, rapidly and with lower investment.</w:t>
      </w:r>
    </w:p>
    <w:p>
      <w:pPr>
        <w:spacing w:after="0" w:line="194"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Polestar enters into agreements with independent investors to establish Polestar Locations. These investors do not carry any inventory of cars for sale, but rather hold demonstration vehicles and provide potential customers the opportunity to see, feel and test drive Polestar vehicles. These investors may, but do not necessarily, have a prior relationship with Volvo Cars. In North America, however, federal or state law may prohibit automobile manufacturers from acting as licensed dealers or to act in the capacity of a dealer, or otherwise restrict a manufacturer’s ability to deliver or service vehicles. Accordingly, all of Polestar’s sales in North America are conducted through trusted representatives. These representatives are not necessarily associated with Volvo Cars or the Volvo Cars dealer network in North America.</w:t>
      </w:r>
    </w:p>
    <w:p>
      <w:pPr>
        <w:spacing w:after="0" w:line="187"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Polestar aims to deliver leading aftermarket services to its customers by leveraging Volvo Cars’ global service and repair network. Polestar is cooperating with Volvo Cars to develop their service center network, including the introduction of digital service boking, fault tracing, diagnostics and software download (Over The Air and in workshop). Polestar also utilizes the Volvo Cars service center network to supply its customers with a spare parts infrastructure. Polestar currently leverages the Volvo Cars service center network to provide access to 934 customer service points worldwide (as of June 30, 2022) in support of Polestar’s international expansion. Polestar does not have a direct contractual relationship with the operators of its service points. Rather, Polestar relies on the existing network of Volvo Cars who signs, enters into, or amend, existing service contracts with Volvo Cars to add the service of Polestar vehicles to the scope of their dealer agreement.</w:t>
      </w:r>
    </w:p>
    <w:p>
      <w:pPr>
        <w:spacing w:after="0" w:line="189" w:lineRule="exact"/>
        <w:rPr>
          <w:sz w:val="20"/>
          <w:szCs w:val="20"/>
          <w:color w:val="auto"/>
        </w:rPr>
      </w:pPr>
    </w:p>
    <w:p>
      <w:pPr>
        <w:ind w:left="120" w:right="180" w:firstLine="440"/>
        <w:spacing w:after="0" w:line="255" w:lineRule="auto"/>
        <w:rPr>
          <w:sz w:val="20"/>
          <w:szCs w:val="20"/>
          <w:color w:val="auto"/>
        </w:rPr>
      </w:pPr>
      <w:r>
        <w:rPr>
          <w:rFonts w:ascii="Times New Roman" w:cs="Times New Roman" w:eastAsia="Times New Roman" w:hAnsi="Times New Roman"/>
          <w:sz w:val="18"/>
          <w:szCs w:val="18"/>
          <w:color w:val="auto"/>
        </w:rPr>
        <w:t>Polestar’s principal operating entity is Polestar Sweden. Polestar Sweden is responsible for and is engaged in the product strategy and development as well as marketing and distribution of Polestar vehicles. Polestar Sweden manages sales globally in conjunction with the local Polestar sales units. Sales on the Chinese domestic market are managed by the local Chinese Polestar sales unit. The vehicles sold globally by Polestar Sweden are manufactured in China but production is expected to also take place in the United States and potentially in Europe. Polestar may be subject to foreign exchange risk with respect to cash transfers within the group, including restrictions on cross border payments imposed by the Chinese government. See “Risk Factors—Risks Related to Polestar’s Business and Industry—Polestar faces risks associated with international operations, including tariffs and unfavorable regulatory, political, tax and labor conditions, which could materially and</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91</w:t>
      </w:r>
    </w:p>
    <w:p>
      <w:pPr>
        <w:sectPr>
          <w:pgSz w:w="11900" w:h="16838" w:orient="portrait"/>
          <w:cols w:equalWidth="0" w:num="1">
            <w:col w:w="11120"/>
          </w:cols>
          <w:pgMar w:left="320" w:top="455" w:right="45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adversely affects its business, financial condition, results of operations and prospects” and “—Polestar relies heavily on manufacturing facilities and suppliers, including single-source suppliers, based in China and its growth strategy will depend on growing its business in China. This subjects Polestar to economic, operational, regulatory and legal risk specific to China.”</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Manufacturing</w:t>
      </w:r>
    </w:p>
    <w:p>
      <w:pPr>
        <w:spacing w:after="0" w:line="121"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Polestar’s vehicles are currently manufactured at a plant in Luqiao, China that is owned and operated by Volvo Cars. The plant, referred to by Volvo Cars as the “Taizhou” plant, was acquired by Volvo Cars from Geely at the end of 2021. Prior to that time, the plant had been owned by Geely and operated by Volvo Cars.</w:t>
      </w:r>
    </w:p>
    <w:p>
      <w:pPr>
        <w:spacing w:after="0" w:line="176"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Polestar has the benefit of being part of the larger global manufacturing footprint of Volvo Cars and Geely with access to a combined installed capacity of approximately 750,000 units per annum across three continents.</w:t>
      </w:r>
    </w:p>
    <w:p>
      <w:pPr>
        <w:spacing w:after="0" w:line="162"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Polestar intends to expand its contract manufacturing presence to facilities in the U.S. and potentially Europe. For example, the Polestar 3 will be produced in Volvo Cars factories in both Chengdu, China and Charleston, South Carolina USA. Polestar is also exploring the feasibility of producing the Polestar 2 in Europe for sales in the US market.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Chengdu facility</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Polestar opened its Chengdu facility in 2019. Polestar produced the Polestar 1 at this facility until the end of 2021. The facility is a low volume facility designed for small series production runs, for developing new manufacturing processes or procedures and for customizations that cannot be handled in a high-volume factory. Polestar intends to use the Chengdu facility in the near term to create Polestar limited editions of Polestar 2 and also to support the early pre-production builds of future Polestar vehicles.</w:t>
      </w:r>
    </w:p>
    <w:p>
      <w:pPr>
        <w:spacing w:after="0" w:line="180"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Chengdu was the first LEED Gold-certified automotive production facility in China. It was designed by the Norwegian architecture firm Snøhetta and runs on 100% renewable electricity.</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Luqiao facility</w:t>
      </w:r>
    </w:p>
    <w:p>
      <w:pPr>
        <w:spacing w:after="0" w:line="121" w:lineRule="exact"/>
        <w:rPr>
          <w:sz w:val="20"/>
          <w:szCs w:val="20"/>
          <w:color w:val="auto"/>
        </w:rPr>
      </w:pPr>
    </w:p>
    <w:p>
      <w:pPr>
        <w:ind w:left="120" w:right="220" w:firstLine="440"/>
        <w:spacing w:after="0" w:line="261" w:lineRule="auto"/>
        <w:rPr>
          <w:sz w:val="20"/>
          <w:szCs w:val="20"/>
          <w:color w:val="auto"/>
        </w:rPr>
      </w:pPr>
      <w:r>
        <w:rPr>
          <w:rFonts w:ascii="Times New Roman" w:cs="Times New Roman" w:eastAsia="Times New Roman" w:hAnsi="Times New Roman"/>
          <w:sz w:val="18"/>
          <w:szCs w:val="18"/>
          <w:color w:val="auto"/>
        </w:rPr>
        <w:t>Polestar 2 is produced in the Luqiao facility. The facility opened in 2016 and has a total factory capacity of 180,000 cars per year. The plant is focused on the CMA platform, and also produces Volvo XC40. In October 2021, Geely and Volvo Cars agreed to transfer the Luqiao facility to Volvo Cars. The transfer was effectuated in December 2021 and did not affect production of the Polestar 2 at the facility. In connection with this transfer, the Luqiao facility has been renamed “Taizhou.”</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Battery suppliers</w:t>
      </w:r>
    </w:p>
    <w:p>
      <w:pPr>
        <w:spacing w:after="0" w:line="121" w:lineRule="exact"/>
        <w:rPr>
          <w:sz w:val="20"/>
          <w:szCs w:val="20"/>
          <w:color w:val="auto"/>
        </w:rPr>
      </w:pPr>
    </w:p>
    <w:p>
      <w:pPr>
        <w:ind w:left="120" w:right="260" w:firstLine="440"/>
        <w:spacing w:after="0" w:line="257" w:lineRule="auto"/>
        <w:rPr>
          <w:sz w:val="20"/>
          <w:szCs w:val="20"/>
          <w:color w:val="auto"/>
        </w:rPr>
      </w:pPr>
      <w:r>
        <w:rPr>
          <w:rFonts w:ascii="Times New Roman" w:cs="Times New Roman" w:eastAsia="Times New Roman" w:hAnsi="Times New Roman"/>
          <w:sz w:val="18"/>
          <w:szCs w:val="18"/>
          <w:color w:val="auto"/>
        </w:rPr>
        <w:t>Polestar has a diversified strategy with respect to the supply of batteries, to reduce supply risk as well as to ensure better flexibility as battery technology continues to develop. Polestar’s primary sources of batteries are LG Chem Ltd and Contemporary Amperex Technology Co. Limited with whom Polestar has a long-term supply agreement and the ability to leverage group purchasing power. In addition, Volvo Cars has entered into</w:t>
      </w:r>
    </w:p>
    <w:p>
      <w:pPr>
        <w:spacing w:after="0" w:line="1" w:lineRule="exact"/>
        <w:rPr>
          <w:sz w:val="20"/>
          <w:szCs w:val="20"/>
          <w:color w:val="auto"/>
        </w:rPr>
      </w:pPr>
    </w:p>
    <w:p>
      <w:pPr>
        <w:ind w:left="120" w:right="340"/>
        <w:spacing w:after="0" w:line="253" w:lineRule="auto"/>
        <w:rPr>
          <w:sz w:val="20"/>
          <w:szCs w:val="20"/>
          <w:color w:val="auto"/>
        </w:rPr>
      </w:pPr>
      <w:r>
        <w:rPr>
          <w:rFonts w:ascii="Times New Roman" w:cs="Times New Roman" w:eastAsia="Times New Roman" w:hAnsi="Times New Roman"/>
          <w:sz w:val="18"/>
          <w:szCs w:val="18"/>
          <w:color w:val="auto"/>
        </w:rPr>
        <w:t>a non-binding memorandum of understanding with battery developer and manufacturer Northvolt. This memorandum of understanding covers the supply of battery cells and joint ventures regarding research and development and production of battery cells that are tailored to power the next generation of fully electric Volvo Cars cars and Polestar cars. Polestar has also entered into a non-binding letter of intent to secure batteries from SK Innovation, expected to power the Polestar 5. Polestar continues to evaluate potential up and coming startups in this area.</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92</w:t>
      </w:r>
    </w:p>
    <w:p>
      <w:pPr>
        <w:sectPr>
          <w:pgSz w:w="11900" w:h="16838" w:orient="portrait"/>
          <w:cols w:equalWidth="0" w:num="1">
            <w:col w:w="11140"/>
          </w:cols>
          <w:pgMar w:left="320" w:top="455" w:right="4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Related Party Agreements with Volvo Cars and Geely</w:t>
      </w:r>
    </w:p>
    <w:p>
      <w:pPr>
        <w:spacing w:after="0" w:line="121"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Polestar benefits from the technological, engineering and manufacturing capabilities of Volvo Cars and Geely. These relationships give it access to the developed technology, IT, logistic channels, manufacturing capacity and distribution networks established by Polestar’s founding partners, on a global basis. Accordingly, Polestar has entered into a number of contractual arrangements with Volvo Cars and Geely to obtain support and various services in connection with its business. Polestar’s agreements with its partners are made on an arms-length basis and it assesses any agreement with related parties on the same basis as an agreement with third parties with respect to the scope of the services offered, timing and fees. While Polestar derives substantial benefit from access to its partner’s resources and expertise, Polestar is free to seek technology, manufacturing and other services from third parties based solely on the needs of its business. Polestar’s material transactions with related parties are subject to approval by its Board of Directors or other relevant persons in conformity with its related party transactions directive. Polestar has also established a number of steering committees to monitor compliance and performance of its agreements related to development, manufacturing, or service contracts with related parties. Polestar believes the Steering Committees provides a means of ensuring the interests of Polestar are protected and if necessary, provides a means of escalating any concerns or disputes to senior management or the Board. For additional information in relation to materially significant related party transactions during the years ended December 31, 2021, 2020 and 2019, see note disclosure 23 to the Polestar Financial Statements as of December 31, 2021 and 2020 and for the fiscal years ended December 31, 2021, 2020 and 2019 included elsewhere herein. Any further related party transactions in the fiscal years ended December 31, 2021, 2020 and 2019 were both immaterial and no more than incidental in nature. For a further description of our contracts with related parties, see the section entitled “Certain Relationships and Related Party Transactions.”</w:t>
      </w:r>
    </w:p>
    <w:p>
      <w:pPr>
        <w:spacing w:after="0" w:line="196"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Polestar’s agreements with Volvo Cars cover research and development services and intellectual property licenses, purchasing, manufacturing engineering and logistics engineering and manufacturing with respect to the Polestar 1, Polestar 2 and Polestar 3. Polestar has also entered into a design services agreement with Volvo Cars with respect to Polestar 4 and Polestar 5 and entered into development agreements and licensing agreements with Geely with respect to Polestar 4 during 2021. In addition, Polestar has entered into agreements with Volvo Cars for the supply of parts as well as customer service and support agreements, agreements for the supply of general corporate services, IT support agreements and maintenance and operations agreements. In connection with its logistics, it has entered into agreements with Volvo Cars for logistics support services for Europe, North America, China and APAC, including logistics management, customs clearance and claims management, although it contracts directly with transporters as well. For additional information in relation to materially significant related party transactions, see the section entitled “Certain Relationships and Related Party Transactions.”</w:t>
      </w:r>
    </w:p>
    <w:p>
      <w:pPr>
        <w:spacing w:after="0" w:line="188"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On December 10, 2021, Volvo Cars announced that it had become aware that one of its code and file repositories had been illegally accessed by a third party. Volvo Cars noted that the breach resulted in the theft of research and development information that may have an impact on its operations. Volvo Cars stated in the press release that they did not believe, based on information currently available to them, that the breach would have any impact on the safety or security of its customers’ cars or their personal data. In connection with their investigation into this breach, Volvo Cars has informed Polestar that information on a Volvo Cars server that shared information relevant to Polestar had been among those compromised. Polestar has concluded that certain items such as specifications, source code and test data related to its vehicles had been illegally accessed. Polestar has been collaborating closely with Volvo Cars and has established an internal task force to work with its counterparts at Volvo Cars to determine the full scope of the breach and to implement remedial processes and procedures. The investigation is ongoing and has so far not found any further indications of compromise. The Polestar task force agrees with the Volvo Cars assessment and does not believe, based on currently available information, that this breach has had any impact on the safety or security of its customers’ cars or their personal data. Polestar currently understands that no individual privacy data for Polestar has been compromised. In relation to the proprietary intellectual property for Polestar, investigations are ongoing. Polestar has entered into a number of agreements with Volvo Cars covering research and development services, intellectual property licenses, purchasing, manufacturing engineering and logistics engineering and manufacturing with respect to the</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93</w:t>
      </w:r>
    </w:p>
    <w:p>
      <w:pPr>
        <w:sectPr>
          <w:pgSz w:w="11900" w:h="16838" w:orient="portrait"/>
          <w:cols w:equalWidth="0" w:num="1">
            <w:col w:w="11120"/>
          </w:cols>
          <w:pgMar w:left="320" w:top="455" w:right="45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Polestar 1, Polestar 2 and Polestar 3. See the section entitled “Certain Relationships and Related Party Transactions.” These agreements necessarily include shared access to Volvo Cars’ IT systems and, accordingly, Polestar remains vulnerable to cybersecurity breaches not only of its own IT systems, but of those of Volvo Cars as well. See “Risk Factors—Risks Related to Cybersecurity and Data Privacy—Polestar relies on its and Volvo Cars’ IT systems and any material disruption to its or Volvo Cars’ IT systems could have a material adverse effect on Polestar.”</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services and intellectual property licenses</w:t>
      </w:r>
    </w:p>
    <w:p>
      <w:pPr>
        <w:spacing w:after="0" w:line="121" w:lineRule="exact"/>
        <w:rPr>
          <w:sz w:val="20"/>
          <w:szCs w:val="20"/>
          <w:color w:val="auto"/>
        </w:rPr>
      </w:pPr>
    </w:p>
    <w:p>
      <w:pPr>
        <w:ind w:left="120" w:right="100" w:firstLine="440"/>
        <w:spacing w:after="0" w:line="253" w:lineRule="auto"/>
        <w:rPr>
          <w:sz w:val="20"/>
          <w:szCs w:val="20"/>
          <w:color w:val="auto"/>
        </w:rPr>
      </w:pPr>
      <w:r>
        <w:rPr>
          <w:rFonts w:ascii="Times New Roman" w:cs="Times New Roman" w:eastAsia="Times New Roman" w:hAnsi="Times New Roman"/>
          <w:sz w:val="18"/>
          <w:szCs w:val="18"/>
          <w:color w:val="auto"/>
        </w:rPr>
        <w:t>Polestar has or is about to enter into a number of agreements and licensing agreements with Volvo Cars with respect to research and development services and licensing of intellectual property in connection with the development and manufacture of the Polestar 1, Polestar 2, Polestar 3, Polestar 4, Polestar 5 and Polestar 6. These agreements provide Polestar will pay development costs (either a fixed fee or as a volume share of development costs). The development cost is calculated based on actual cost and an arm’s length hourly rate. For the Polestar 3 Polestar will pay a fixed price for the technology license and development services (either a fixed fee or as a volume share of development costs). For example, Polestar has also entered into agreements providing for services and a license relating to certain technology such as for technology updates and upgrades and new features to be introduced in Polestar’s model year programs for the Polestar 2. During the life-time of the Polestar 2, there are several model years planned. These programs include additional technology content and features for the Polestar 2 that will be developed, assigned or licensed by Volvo Cars to Polestar. Volvo Cars also provides certain development services to Polestar under these agreements. Polestar also entered into licensing agreements and development service agreement with Geely for the Polestar 4 during 2021.</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Purchasing Agreements</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Polestar has entered into several sourcing service agreements and maintenance agreements with Volvo Cars in connection with both the Polestar 1, Polestar 2 and Polestar 3. The sourcing service agreements provide for sourcing of direct procurement of materials from third party suppliers as well as indirect procurement of services and other supplies. Services provided by Volvo Cars for such procurement are charged at an hourly rate established annually and billed monthly. Furthermore, direct costs incurred by Volvo Cars are reimbursed by Polestar.</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Manufacturing engineering and logistics engineering</w:t>
      </w:r>
    </w:p>
    <w:p>
      <w:pPr>
        <w:spacing w:after="0" w:line="121"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Polestar has entered into manufacturing engineering service agreements with Volvo Cars in connection with the production of Polestar 1, Polestar 2 and Polestar 3. These agreements provide that Volvo Cars will support Polestar with the development and implementation of quality-assured manufacturing solutions for Polestar’s plant in Chengdu as well as providing industrial engineering services and manufacturing services with respect to the Polestar 1, Polestar 2 and Polestar 3 vehicle programs. Polestar has also entered into a logistical engineering service agreement with Volvo Cars, under which Volvo Cars will provide support in connection with the development and set-up of an inbound and outbound logistic process connected to the plants.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Manufacturing</w:t>
      </w:r>
    </w:p>
    <w:p>
      <w:pPr>
        <w:spacing w:after="0" w:line="121"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For the manufacturing of Polestar 1, Polestar entered into agreements with Volvo Cars to provide certain services such as electrocoating for Polestar 1 cars and certain pre-delivery manufacturing services in the Volvo Cars facility in Ghent. In addition, Polestar entered into component supply agreements with Volvo Cars for Polestar 1. For the manufacturing of Polestar 2, cars Polestar has entered into a contract manufacturing agreements with the Luqiao plant, which is owned and operated by Volvo Cars and which Volvo Cars renamed “Taizhou” after acquiring the plant from Geely in December 2021. Further, Polestar has entered into a financial undertaking agreements with Volvo Cars for investments for Polestar 3 production in a Volvo Cars plant in Chengdu China as well as at a plant in Charleston, South Carolina. Production in Chengdu is planned to</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94</w:t>
      </w:r>
    </w:p>
    <w:p>
      <w:pPr>
        <w:sectPr>
          <w:pgSz w:w="11900" w:h="16838" w:orient="portrait"/>
          <w:cols w:equalWidth="0" w:num="1">
            <w:col w:w="11120"/>
          </w:cols>
          <w:pgMar w:left="320" w:top="455" w:right="45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commence during 2023, and Polestar has signed an agreement relating to the production in Charleston, which is to (i) serve as a binding commitment for Polestar to the scope set out in the agreement and (ii) confirm both parties’ intentions to enter into a more detailed agreement for production of Polestar 3 at Volvo Cars’s Chengdu and Charleston plants not later than 1 year before start of production. Both parties have committed to certain investments necessary to manufacture and assemble the Polestar 3 at Volvo Cars’s Chengdu and Charleston plant prior to the parties entering into the definitive agreement.</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Other Agreements</w:t>
      </w:r>
    </w:p>
    <w:p>
      <w:pPr>
        <w:spacing w:after="0" w:line="121" w:lineRule="exact"/>
        <w:rPr>
          <w:sz w:val="20"/>
          <w:szCs w:val="20"/>
          <w:color w:val="auto"/>
        </w:rPr>
      </w:pPr>
    </w:p>
    <w:p>
      <w:pPr>
        <w:jc w:val="both"/>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In addition, Polestar has entered into several agreements regarding Outbound logistics according to which Volvo Cars support with supply chain related services for the supply of Polestar vehicles. Polestar has also entered into agreements regarding quality services. Polestar has also entered into commercial, administrative and product creation software license agreements that license IT applications and IT services connected to administration, commercial, research and development and purchasing for use by Polestar globally.</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Charging Network</w:t>
      </w:r>
    </w:p>
    <w:p>
      <w:pPr>
        <w:spacing w:after="0" w:line="121" w:lineRule="exact"/>
        <w:rPr>
          <w:sz w:val="20"/>
          <w:szCs w:val="20"/>
          <w:color w:val="auto"/>
        </w:rPr>
      </w:pPr>
    </w:p>
    <w:p>
      <w:pPr>
        <w:ind w:left="120" w:right="400" w:firstLine="440"/>
        <w:spacing w:after="0" w:line="266" w:lineRule="auto"/>
        <w:rPr>
          <w:sz w:val="20"/>
          <w:szCs w:val="20"/>
          <w:color w:val="auto"/>
        </w:rPr>
      </w:pPr>
      <w:r>
        <w:rPr>
          <w:rFonts w:ascii="Times New Roman" w:cs="Times New Roman" w:eastAsia="Times New Roman" w:hAnsi="Times New Roman"/>
          <w:sz w:val="18"/>
          <w:szCs w:val="18"/>
          <w:color w:val="auto"/>
        </w:rPr>
        <w:t>Polestar believes that proprietary charging networks do not encourage customer adoption. Accordingly, Polestar intends to seek to build partnerships with open charging infrastructure providers. Polestar will use aggregators to help simplify the charging and payment experience for its customers, leveraging technology such as in car apps.</w:t>
      </w:r>
    </w:p>
    <w:p>
      <w:pPr>
        <w:spacing w:after="0" w:line="176"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We provide regional coverage and preferential pricing through regional strategic partnership with the largest charging network providers. Polestar provides its customers with access to an extended regional charging network using Plugsurfing aggregated CPO network in the EU, Electrify America in the US and CaoCao in China.</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Competition</w:t>
      </w:r>
    </w:p>
    <w:p>
      <w:pPr>
        <w:spacing w:after="0" w:line="121"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Polestar faces competition from both traditional automotive manufacturers and an increasing number of newer companies focused on electric and other alternative fuel vehicles. Polestar expects this competition to increase, particularly as the transportation sector continues to shift</w:t>
      </w:r>
    </w:p>
    <w:p>
      <w:pPr>
        <w:ind w:left="120" w:right="40"/>
        <w:spacing w:after="0" w:line="260" w:lineRule="auto"/>
        <w:rPr>
          <w:sz w:val="20"/>
          <w:szCs w:val="20"/>
          <w:color w:val="auto"/>
        </w:rPr>
      </w:pPr>
      <w:r>
        <w:rPr>
          <w:rFonts w:ascii="Times New Roman" w:cs="Times New Roman" w:eastAsia="Times New Roman" w:hAnsi="Times New Roman"/>
          <w:sz w:val="18"/>
          <w:szCs w:val="18"/>
          <w:color w:val="auto"/>
        </w:rPr>
        <w:t>towards low-emission, zero-emission or carbon neutral solutions. In addition, numerous manufacturers offer hybrid vehicles, including plug-in versions, with which Polestar’s vehicles also compete.</w:t>
      </w:r>
    </w:p>
    <w:p>
      <w:pPr>
        <w:spacing w:after="0" w:line="181"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Polestar believes that the primary competitive factors on which it competes includes, but is not limited to, its focus on design and sustainability, its innovative proprietary technology and its digital first, direct to consumer approach. Polestar also has a start-up culture and a scalable asset-light business model that it believes generates significant competitive advantage. However, many of its current and potential competitors may have substantially greater financial, technical, manufacturing, marketing and other resources than Polestar or may have greater name recognition and longer operating histories than Polestar does (see also “Risk Factors—Risks Related to the Polestar’s Business and Industry—Polestar operates in an intensely competitive market, which is generally cyclical and volatile. Should Polestar not be able to compete effectively against its competitors then it is likely to lose market share, which could have a material and adverse effect on the business, financial condition, results of operations and prospects of Polestar.”). Polestar believes it can differentiate itself from its competitors due to its focus on design, technology and sustainability its global presence and ability to leverage an established production ecosystem due to its relationships with its founding partners.</w:t>
      </w:r>
    </w:p>
    <w:p>
      <w:pPr>
        <w:spacing w:after="0" w:line="188" w:lineRule="exact"/>
        <w:rPr>
          <w:sz w:val="20"/>
          <w:szCs w:val="20"/>
          <w:color w:val="auto"/>
        </w:rPr>
      </w:pPr>
    </w:p>
    <w:p>
      <w:pPr>
        <w:jc w:val="both"/>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On a global basis, Polestar’s principal competitor is Tesla. Based on production numbers, Tesla is the world’s leading manufacturer of premium electric vehicles, having brought desirable electric vehicles to mainstream consumers with the Model S in 2012. Since then, the brand has developed a model range of sedans and SUVs to become one of the leading producers of electric vehicles all over the world. The Tesla model 3 is a principal</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95</w:t>
      </w:r>
    </w:p>
    <w:p>
      <w:pPr>
        <w:sectPr>
          <w:pgSz w:w="11900" w:h="16838" w:orient="portrait"/>
          <w:cols w:equalWidth="0" w:num="1">
            <w:col w:w="11120"/>
          </w:cols>
          <w:pgMar w:left="320" w:top="455" w:right="45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competitor to Polestar 2, with some cross-relevance in the recently launched Model Y, a crossover SUV based on the Model 3. Lucid, a US vertically-integrated technology and automotive company headquartered in California is a potential competitor. While Lucid is engaged in the design, engineering, and construction of electric vehicles, electric vehicle powertrains and battery systems its Lucid Air handovers only started at the end of October 2021. In addition, Lucid does not currently have an SUV model and has focused recent efforts on promoting the Lucid Air, its sedan offering that is being offered at higher price points than many Polestar offerings.</w:t>
      </w:r>
    </w:p>
    <w:p>
      <w:pPr>
        <w:spacing w:after="0" w:line="183"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Porsche is one of Polestar’s core competitor brands from a driving experience and performance perspective. As one of the world’s most renowned makers of “driver’s cars,” Porsche represents a strategic benchmark for Polestar. Although previously a manufacturer of solely internal combustion engine cars, Porsche has recently launched the Taycan electric vehicle which brings the brand’s renowned dynamic experience to an electric vehicle for the first time. Porsche is also a benchmark brand for future Polestar vehicles in terms of size and segments.</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Other competition within the electric vehicle segment of the market, includes two pure play electric vehicle producers, Nio and Xpeng.</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Research and development are one of Polestar’s core competencies and Polestar’s developments in areas such as lightweight chassis architectures, drivetrains, electric motors, bi-directional compatible battery packs and charging technology significantly enhance the flexibility and utility of its vehicles. In addition, Polestar has created considerable intellectual property related to its design of both the interior and exterior of its vehicles, including various components such as wheel rims and lights. Accordingly, Polestar’s commercial success depends in part on its ability to protect its proprietary technology and other intellectual property. Polestar relies on a combination of patents and trademarks to protect and preserve its proprietary technology and intellectual property. In addition, Polestar enters into employee, contractor, consultant and third-party nondisclosure and invention assignment agreements and other contractual arrangements.</w:t>
      </w:r>
    </w:p>
    <w:p>
      <w:pPr>
        <w:spacing w:after="0" w:line="189"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As of June 30, 2022, Polestar owned 116 issued U.S. patents and 95, 59, and 188 issued patents in Europe, China and other jurisdictions (including EPO validation states and UK), respectively. Those patents are related to Polestar’s core proprietary technology. In addition, Polestar has 47 pending U.S. patent applications and 33, 31, and 9 pending patent applications in the EU, China and other jurisdictions, respectively. In addition to patents covering Polestar’s core proprietary technology, Polestar has 113 pending U.S. design patent applications, plus 28, 90, and 32 issued design or industrial design patents in the U.S., EU and China, respectively. Another 147 and 50 design applications are pending in the EU and China, respectively. As of June 30, 2022, Polestar owned 5 registered U.S. trademarks, 3 pending U.S. trademark applications, as well as 13 and 20 registered trademarks in the EU and China, respectively. Further, 2 and 13 trademark applications are pending in the EU (and UK) and China, respectively.</w:t>
      </w:r>
    </w:p>
    <w:p>
      <w:pPr>
        <w:spacing w:after="0" w:line="189" w:lineRule="exact"/>
        <w:rPr>
          <w:sz w:val="20"/>
          <w:szCs w:val="20"/>
          <w:color w:val="auto"/>
        </w:rPr>
      </w:pPr>
    </w:p>
    <w:p>
      <w:pPr>
        <w:ind w:left="120" w:right="160" w:firstLine="440"/>
        <w:spacing w:after="0" w:line="255" w:lineRule="auto"/>
        <w:rPr>
          <w:sz w:val="20"/>
          <w:szCs w:val="20"/>
          <w:color w:val="auto"/>
        </w:rPr>
      </w:pPr>
      <w:r>
        <w:rPr>
          <w:rFonts w:ascii="Times New Roman" w:cs="Times New Roman" w:eastAsia="Times New Roman" w:hAnsi="Times New Roman"/>
          <w:sz w:val="18"/>
          <w:szCs w:val="18"/>
          <w:color w:val="auto"/>
        </w:rPr>
        <w:t>Regardless of the coverage Polestar seeks under its existing patent applications, there is always a risk that alterations from Polestar’s products or processes may provide sufficient basis for a competitor to avoid infringement claims. In addition, the coverage claimed in a patent application can be significantly altered before a patent is issued and courts can reinterpret patent scope after issuance. Many jurisdictions, including the United States, permit third parties to challenge issued patents in administrative proceedings, which may result in further narrowing or even cancellation of patent claims. Polestar cannot provide any assurance that any patents will be issued from its pending or any future applications or that any current or future issued patents will adequately protect its intellectual property. For this and other risks related to Polestar’s proprietary technology, inventions and improvements, please see “Risk Factors—Risks Related to Intellectual Property.”</w:t>
      </w:r>
    </w:p>
    <w:p>
      <w:pPr>
        <w:spacing w:after="0" w:line="189" w:lineRule="exact"/>
        <w:rPr>
          <w:sz w:val="20"/>
          <w:szCs w:val="20"/>
          <w:color w:val="auto"/>
        </w:rPr>
      </w:pPr>
    </w:p>
    <w:p>
      <w:pPr>
        <w:jc w:val="both"/>
        <w:ind w:left="120" w:right="460" w:firstLine="440"/>
        <w:spacing w:after="0" w:line="266" w:lineRule="auto"/>
        <w:rPr>
          <w:sz w:val="20"/>
          <w:szCs w:val="20"/>
          <w:color w:val="auto"/>
        </w:rPr>
      </w:pPr>
      <w:r>
        <w:rPr>
          <w:rFonts w:ascii="Times New Roman" w:cs="Times New Roman" w:eastAsia="Times New Roman" w:hAnsi="Times New Roman"/>
          <w:sz w:val="18"/>
          <w:szCs w:val="18"/>
          <w:color w:val="auto"/>
        </w:rPr>
        <w:t>Progressive designs force Polestar to innovate and develop new technologies, technologies that in turn can improve customer experience or improve vehicle and sustainability performance. New technologies, not least connectivity and autonomous drive, will create additional intellectual property. Polestar also engages in</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96</w:t>
      </w:r>
    </w:p>
    <w:p>
      <w:pPr>
        <w:sectPr>
          <w:pgSz w:w="11900" w:h="16838" w:orient="portrait"/>
          <w:cols w:equalWidth="0" w:num="1">
            <w:col w:w="11120"/>
          </w:cols>
          <w:pgMar w:left="320" w:top="455" w:right="45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20"/>
        <w:spacing w:after="0" w:line="261" w:lineRule="auto"/>
        <w:rPr>
          <w:sz w:val="20"/>
          <w:szCs w:val="20"/>
          <w:color w:val="auto"/>
        </w:rPr>
      </w:pPr>
      <w:r>
        <w:rPr>
          <w:rFonts w:ascii="Times New Roman" w:cs="Times New Roman" w:eastAsia="Times New Roman" w:hAnsi="Times New Roman"/>
          <w:sz w:val="18"/>
          <w:szCs w:val="18"/>
          <w:color w:val="auto"/>
        </w:rPr>
        <w:t>competitive landscape analysis and forecasting measures, in an effort to identify future areas of interest that may allow it to more competitively engage in the future markets. As Polestar develops its technology, it will continue to build its intellectual property portfolio, including by pursuing patent and other intellectual property protection when Polestar believes it is possible, cost-effective, beneficial and consistent with its overall intellectual property protection strategy.</w:t>
      </w:r>
    </w:p>
    <w:p>
      <w:pPr>
        <w:spacing w:after="0" w:line="180"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Polestar’s commercial success will also depend in part on not infringing, misappropriating or otherwise violating the intellectual or proprietary rights of third parties. The issuance of third-party patents could require Polestar to alter its development or commercial strategies, change its products or processes, obtain licenses to additional third-party patents or other intellectual property or cease certain activities. Polestar’s breach of any license agreements or failure to obtain a license to proprietary rights that it may require to develop or commercialize its future products or technologies may have an adverse impact on Polestar. See “Risk Factors—Risks Related to Intellectual Property” for additional information regarding these and other risks related to Polestar’s intellectual property portfolio and their potential effect on Polestar.</w:t>
      </w:r>
    </w:p>
    <w:p>
      <w:pPr>
        <w:spacing w:after="0" w:line="187"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In addition to Polestar’s proprietary technology and intellectual property, it has also acquired, licensed or sub-licensed intellectual property from Volvo Cars. For example, it has acquired intellectual property with respect to motor vehicle drive units with electric vehicle motors, motor assemblies for operating electric powertrains, and structures specifically designed to protect electric vehicle components. Polestar has also entered into agreements providing for a license relating to certain technology and features to be introduced in its model year programs for the Polestar 2.</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Regulation</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Polestar’s products are designed to comply with all applicable regulations in the markets where it operates. As of June 30, 2022, Polestar is present in 25 markets in Europe, North America, China and Asia Pacific. Polestar’s expansion plans include further building its presence in fast growing markets in the Asia Pacific region as well as the Middle East. As Polestar expands its international presence, it will continue to take action to support that its vehicle design and sales comply with all regulations for each market it enters. Currently, the regulatory regimes material to Polestar’s business are those established by the United Nations Economic Commission for Europe, the European Union, the United States and China. These regulations are monitored by Polestar’s product certification team, supported by Volvo Cars and other external suppliers, to ensure that the internal design requirements reflect the applicable requirements for each product, market, and time frame.</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Polestar believes that the following regulations are material to its business:</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UNECE</w:t>
      </w:r>
    </w:p>
    <w:p>
      <w:pPr>
        <w:spacing w:after="0" w:line="119"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The World Forum for Harmonization of Vehicle Regulations of the United Nations Economic Commission for Europe (the “UNECE”) has been working towards international harmonization of the technical prescriptions for the construction and approval of wheeled vehicles since 1947. The UNECE has developed certain international rules and regulations in the area of safety, environment, range and energy consumption under the 1958 Agreement concerning the adoption of uniform technical prescriptions for wheeled vehicles, equipment and parts and the conditions for reciprocal recognition of those regulations. Regulations promulgated in accordance with the 1958 Agreement have been adopted in approximately 60 jurisdictions including the EU. The UNECE also adopted similar global technical regulations under the 1998 Agreement of which the United States, the EU, China, and Japan are parties and 21 global technical regulations have been promulgated to date. Polestar’s vehicles meet the relevant requirements under the UNECE regulations.</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EU</w:t>
      </w:r>
    </w:p>
    <w:p>
      <w:pPr>
        <w:spacing w:after="0" w:line="119"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Manufacturers of passenger vehicles in the EU that wish to benefit from the Single Market are required to comply with EU Regulation 2018/858 (the Whole Vehicle Type Approval), which requires that vehicles that are</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97</w:t>
      </w:r>
    </w:p>
    <w:p>
      <w:pPr>
        <w:sectPr>
          <w:pgSz w:w="11900" w:h="16838" w:orient="portrait"/>
          <w:cols w:equalWidth="0" w:num="1">
            <w:col w:w="11100"/>
          </w:cols>
          <w:pgMar w:left="320" w:top="455" w:right="47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put on the market within the EU must first be type-approved to ensure that they meet all relevant environmental, safety and security standards. A vehicle that has been type-approved in one EU member state can thereafter be sold and registered in all member states without further tests. Polestar’s vehicles are type approved and fulfill applicable underlying regulations and directives.</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USA</w:t>
      </w:r>
    </w:p>
    <w:p>
      <w:pPr>
        <w:spacing w:after="0" w:line="119"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Polestar is required to obtain permits and licenses under the United States laws, regulations, and standards. Violations of these laws, regulations or permits and licenses may result in substantial civil and criminal fines, penalties and possibly orders to cease the violating operations or to conduct or pay for corrective works. In some instances, violations may also result in the suspension or revocation of permits and licenses.</w:t>
      </w:r>
    </w:p>
    <w:p>
      <w:pPr>
        <w:spacing w:after="0" w:line="176"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Polestar’s vehicles fulfill the applicable product requirements stipulated by the NHTSA and the EPA on a federal level, and similarly the CARB who is a major regulator on the state level.</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China</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regulatory system in China applies type approval for Polestar’s vehicles under three regulatory bodies:</w:t>
      </w:r>
    </w:p>
    <w:p>
      <w:pPr>
        <w:spacing w:after="0" w:line="131" w:lineRule="exact"/>
        <w:rPr>
          <w:sz w:val="20"/>
          <w:szCs w:val="20"/>
          <w:color w:val="auto"/>
        </w:rPr>
      </w:pPr>
    </w:p>
    <w:p>
      <w:pPr>
        <w:ind w:left="1080" w:hanging="424"/>
        <w:spacing w:after="0"/>
        <w:tabs>
          <w:tab w:leader="none" w:pos="10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Ministry of Industry and Information Technology (“MIIT”)—regulates the approval to manufacture vehicles;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Administration for Market Regulation (“SAMR”)—regulates vehicle safety;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Ministry of Ecology and Environment (“MEP”)—regulates range and energy efficiency.</w:t>
      </w:r>
    </w:p>
    <w:p>
      <w:pPr>
        <w:spacing w:after="0" w:line="225"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Chinese government has also enacted a number of macro policies that govern the automobile industry in China. In particular, the Provisions on the Administration of Investments into the Automobile Industry adopted by the National Development and Reform Commission on January 10, 2019, stated that, while the production of traditional gas fuel vehicles should be strictly controlled, the development of new energy vehicles should be promoted but the establishment of fully electric car manufacturing companies should also be subject to strict scrutiny and the establishment of low-level manufacturing companies should be avoided.</w:t>
      </w:r>
    </w:p>
    <w:p>
      <w:pPr>
        <w:spacing w:after="0" w:line="183"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Further, in order to be able to operate in China, Polestar and its subsidiaries are subject to permission requirements from the following regulatory bodies:</w:t>
      </w:r>
    </w:p>
    <w:p>
      <w:pPr>
        <w:spacing w:after="0" w:line="67" w:lineRule="exact"/>
        <w:rPr>
          <w:sz w:val="20"/>
          <w:szCs w:val="20"/>
          <w:color w:val="auto"/>
        </w:rPr>
      </w:pPr>
    </w:p>
    <w:p>
      <w:pPr>
        <w:ind w:left="1080" w:hanging="424"/>
        <w:spacing w:after="0"/>
        <w:tabs>
          <w:tab w:leader="none" w:pos="10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SAMR;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MEP;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Administration of Customs.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Polestar and its subsidiaries have received all requisite permissions to operate in China and have not been denied any permissions in the past.</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These permissions include the following:</w:t>
      </w:r>
    </w:p>
    <w:p>
      <w:pPr>
        <w:spacing w:after="0" w:line="112" w:lineRule="exact"/>
        <w:rPr>
          <w:sz w:val="20"/>
          <w:szCs w:val="20"/>
          <w:color w:val="auto"/>
        </w:rPr>
      </w:pPr>
    </w:p>
    <w:p>
      <w:pPr>
        <w:ind w:left="1080" w:hanging="424"/>
        <w:spacing w:after="0"/>
        <w:tabs>
          <w:tab w:leader="none" w:pos="10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License;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Pollutants Discharge Permit;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Customs Declaration Registration Certificate or Customs Declaration Enterprise Record Receipt.</w:t>
      </w:r>
    </w:p>
    <w:p>
      <w:pPr>
        <w:spacing w:after="0" w:line="225" w:lineRule="exact"/>
        <w:rPr>
          <w:sz w:val="20"/>
          <w:szCs w:val="20"/>
          <w:color w:val="auto"/>
        </w:rPr>
      </w:pPr>
    </w:p>
    <w:p>
      <w:pPr>
        <w:jc w:val="both"/>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See “Risk Factors—Risks Related to Polestar’s Business and Industry—Polestar and its subsidiaries (i) may not receive or maintain permissions or approvals from the CAC or other relevant authorities to operate in China, (ii) may inadvertently conclude that such permissions or approvals are not required or (iii) may be required to obtain new permissions or approvals in the future due to changes in applicable laws, regulations, or interpretations related thereto” for more information regarding risks associated with Polestar’s and its subsidiaries’ operations in China.</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98</w:t>
      </w:r>
    </w:p>
    <w:p>
      <w:pPr>
        <w:sectPr>
          <w:pgSz w:w="11900" w:h="16838" w:orient="portrait"/>
          <w:cols w:equalWidth="0" w:num="1">
            <w:col w:w="11140"/>
          </w:cols>
          <w:pgMar w:left="320" w:top="455" w:right="43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Safety, Security and Privacy</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UNECE</w:t>
      </w:r>
    </w:p>
    <w:p>
      <w:pPr>
        <w:spacing w:after="0" w:line="119"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In March 2021, the United Nations announced UN R155—a regulation on cybersecurity and cybersecurity management systems. The regulation requires that, from July 2022, all new vehicles types and, from July 2024, all registered vehicles must prove that their product development is based on a systematic approach to risks associate with cyber threats to their cars. The regulations have been adopted by the EU as well as jurisdictions such as Japan and South Korea. The UN regulations are not expected to be adopted in the United States or China where similar regulations are expected to be adopted.</w:t>
      </w:r>
    </w:p>
    <w:p>
      <w:pPr>
        <w:spacing w:after="0" w:line="183"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Additionally, under the UNECE umbrella, UN R138 regulates the minimum sound emission of quiet vehicles, intended to protect persons with impaired vision around the vehicle.</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EU</w:t>
      </w:r>
    </w:p>
    <w:p>
      <w:pPr>
        <w:spacing w:after="0" w:line="119"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The EU overhauled its safety regulations in 2009 by adopting Regulation 661/2009, replacing more than fifty previously existing safety directives with one overarching safety regulation which included requirements on seat belts and child restraint systems for example. This regulation was in turn revised in 2019 by the adoption of Regulation 2019/2144 (the “General Safety Regulation”). The General Safety Regulation includes, for example rules on cybersecurity and new guidelines regarding driver drowsiness and distraction, such as distractions caused by the use of a smartphone while driving, intelligent speed assistance, reversing safely with the aid of cameras or sensors, data recording in case of an accident (black box), lane-keeping assistance, advanced emergency braking, and crash-test improved safety. The new safety features will become mandatory from 2022, except for certain requirements that will follow later.</w:t>
      </w:r>
    </w:p>
    <w:p>
      <w:pPr>
        <w:spacing w:after="0" w:line="189"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Since the entry into force on May 25, 2018, of the General Data Protection Regulation 2016/679 (the “GDPR”), processing of personal data of individuals located in the European Economic Area (the “EEA”), or done by any entity in the EEA, is subject to strict requirements centered around core principles and rights of such individuals to receive access to, to rectify or to delete their personal data. The GDPR obliges us, where applicable, to ensure adherence to the principles of lawfulness, fairness and transparency, and purpose limitation, data minimization, data accuracy, storage limitation and integrity and confidentiality. The GDPR also requires Polestar to mitigate potential data breaches and to, unless the data breach leads to a low risk for the rights and freedoms of data subjects, report data breaches to the data protection supervisory authority within 72 hours. In order to meet the requirements of the GDPR and similar data privacy frameworks, Polestar has established a data privacy compliance program, including but not limited to policies, guidelines, impact and risk assessments, as well as training measures to ensure compliance with regard to personal data Polestar processes. On March 9, 2021, the European Data Protection Board adopted Guidelines 01/2020 on processing personal data in the context of connected vehicles and mobility related applications, which stated that much of the data that is generated by a connected vehicle relate to a natural person that is identified or identifiable and thus constitute personal data under the GDPR.</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USA</w:t>
      </w:r>
    </w:p>
    <w:p>
      <w:pPr>
        <w:spacing w:after="0" w:line="11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United States is a self-certification market when it comes to safety compliance. Accordingly, Polestar is required to fully comply with relevant regulations for every vehicle that is put on the market, but no formal approval is granted by the NHTSA. The National Traffic and Motor Vehicle Safety Act of 1966 (the “Safety Act”) requires cars and equipment sold in the United States to fulfill safety standards that are continuously updated to meet new technologies and needs.</w:t>
      </w:r>
    </w:p>
    <w:p>
      <w:pPr>
        <w:spacing w:after="0" w:line="180"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The Safety Act prohibits the sale in the United States of any new vehicle or equipment that does not conform to applicable vehicle safety standards established by NHTSA. Manufacturers are required to notify owners of any defects in vehicle safety and remedy such defects through vehicle recalls. The Safety Act also authorizes NHTSA to investigate complaints relating to vehicle safety.</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99</w:t>
      </w:r>
    </w:p>
    <w:p>
      <w:pPr>
        <w:sectPr>
          <w:pgSz w:w="11900" w:h="16838" w:orient="portrait"/>
          <w:cols w:equalWidth="0" w:num="1">
            <w:col w:w="11140"/>
          </w:cols>
          <w:pgMar w:left="320" w:top="455" w:right="43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NHTSA’s safety standards cover a variety of matters and are updated frequently. The 2000 Transportation Recall Enhancement, Accountability and Documentation Act (“TREAD Act”) required NHTSA to regulate vehicle rollover, impose more stringent tire safety standards and gather additional information relating to potential car defects. The TREAD Act also substantially increased NHTSA’s authority to impose both civil and criminal penalties for non-compliance with regulatory requirements. In addition, manufacturers are required to report to regulators certain information relating to customer complaints, warranty claims, field reports, and notices and claims involving property damage, injuries and fatalities in the United States and claims involving fatalities outside the United States. Manufacturers are also required to report certain information concerning safety recalls and other safety campaigns outside the United States.</w:t>
      </w:r>
    </w:p>
    <w:p>
      <w:pPr>
        <w:spacing w:after="0" w:line="189"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NHTSA issued in 2016 and updated in 2020, non-binding guidelines for addressing cybersecurity issues in the design and manufacture of new motor vehicles, as well as guidance for the investigation and validation of cybersecurity measures.</w:t>
      </w:r>
    </w:p>
    <w:p>
      <w:pPr>
        <w:spacing w:after="0" w:line="162" w:lineRule="exact"/>
        <w:rPr>
          <w:sz w:val="20"/>
          <w:szCs w:val="20"/>
          <w:color w:val="auto"/>
        </w:rPr>
      </w:pPr>
    </w:p>
    <w:p>
      <w:pPr>
        <w:jc w:val="both"/>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In addition, a new Federal Motor Vehicle Safety Standard requiring artificial sound in electric, and hybrid electric vehicles has taken effect for new motor vehicles built on or after March 1, 2021. The artificial sound is intended to provide audible notice of the presence of the electric or hybrid electric vehicle to persons with impaired vision.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China</w:t>
      </w:r>
    </w:p>
    <w:p>
      <w:pPr>
        <w:spacing w:after="0" w:line="121" w:lineRule="exact"/>
        <w:rPr>
          <w:sz w:val="20"/>
          <w:szCs w:val="20"/>
          <w:color w:val="auto"/>
        </w:rPr>
      </w:pPr>
    </w:p>
    <w:p>
      <w:pPr>
        <w:ind w:left="120" w:right="100" w:firstLine="440"/>
        <w:spacing w:after="0" w:line="289" w:lineRule="auto"/>
        <w:rPr>
          <w:sz w:val="20"/>
          <w:szCs w:val="20"/>
          <w:color w:val="auto"/>
        </w:rPr>
      </w:pPr>
      <w:r>
        <w:rPr>
          <w:rFonts w:ascii="Times New Roman" w:cs="Times New Roman" w:eastAsia="Times New Roman" w:hAnsi="Times New Roman"/>
          <w:sz w:val="17"/>
          <w:szCs w:val="17"/>
          <w:color w:val="auto"/>
        </w:rPr>
        <w:t>On July 24, 2020, MIIT revised the 2017 Administrative Provisions on the Admission of New Energy Vehicle Manufacturing Enterprises and Products (the “2020 Admission Provisions”), and the 2020 Admission Provisions set out the safety requirements for new energy vehicles, such as the standards for vehicle-mounted rechargeable electrical energy storage system, operation safety and fault protection and protection against electric shock.</w:t>
      </w:r>
    </w:p>
    <w:p>
      <w:pPr>
        <w:spacing w:after="0" w:line="2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Cybersecurity policies in China</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In July 2021, China’s State Council issued Opinions on Strictly Cracking Down on Illegal Securities Activities, a policy that, among others, calls for strengthening enforcement and improving laws and regulations on cross-border data transfer and data security. On July 30, 2021, the MIIT issued the Opinion on Strengthening the Management of Connected Vehicle Manufacturers and Product Access. The opinion requires companies to strengthen their data security management capacity, such as establishing data classification management, enhancing data security protection measures, conducting self-assessment to identify risks related to data and reporting data security incident to local authorities. It also specifically provides that companies should store personal information and important data collected and generated during its operation in China within the territory of China; and if there is any need to export data, these companies are required to conduct security assessment.</w:t>
      </w:r>
    </w:p>
    <w:p>
      <w:pPr>
        <w:spacing w:after="0" w:line="189"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The Data Security Law, which was promulgated by the Standing Committee of the National People’s Congress of China in June 2021 and entered into force in September 2021, imposes data security and privacy obligations on entities and individuals carrying out data activities, requires a national security review of data activities that may affect national security and imposes export restrictions on certain data and information. The Data Security Law has extraterritorial effect that data processing activities carried out outside of China that damage the national security and public interests of China, or the legitimate rights and interests of Chinese citizens and organizations will give rise to legal liabilities.</w:t>
      </w:r>
    </w:p>
    <w:p>
      <w:pPr>
        <w:spacing w:after="0" w:line="183" w:lineRule="exact"/>
        <w:rPr>
          <w:sz w:val="20"/>
          <w:szCs w:val="20"/>
          <w:color w:val="auto"/>
        </w:rPr>
      </w:pPr>
    </w:p>
    <w:p>
      <w:pPr>
        <w:ind w:left="120" w:right="200" w:firstLine="440"/>
        <w:spacing w:after="0" w:line="261" w:lineRule="auto"/>
        <w:rPr>
          <w:sz w:val="20"/>
          <w:szCs w:val="20"/>
          <w:color w:val="auto"/>
        </w:rPr>
      </w:pPr>
      <w:r>
        <w:rPr>
          <w:rFonts w:ascii="Times New Roman" w:cs="Times New Roman" w:eastAsia="Times New Roman" w:hAnsi="Times New Roman"/>
          <w:sz w:val="18"/>
          <w:szCs w:val="18"/>
          <w:color w:val="auto"/>
        </w:rPr>
        <w:t>On May 12, 2021, the CAC released a draft of Several Administrative Provisions on Automobile Data Security. Following the draft, the Several Measures on the Automobile Data Security Management (for Trial Implementation) was promulgated in August 2021 and entered into force on October 1, 2021. The regulation applies to the operators engaged in automobile design, manufacturing and providing relevant services, including automobile manufacturers, providers of component and software, dealers, repairers, ride-hailing companies and</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100</w:t>
      </w:r>
    </w:p>
    <w:p>
      <w:pPr>
        <w:sectPr>
          <w:pgSz w:w="11900" w:h="16838" w:orient="portrait"/>
          <w:cols w:equalWidth="0" w:num="1">
            <w:col w:w="11120"/>
          </w:cols>
          <w:pgMar w:left="320" w:top="455" w:right="45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insurance companies. The regulation requires the operators to comply with certain requirements in relation to processing of personal information and important data during the process of designing, manufacturing, selling, maintaining, managing automobiles within the territory of China. It specifically requires the operators to store certain personal information and important data within the territory of China in accordance with such laws; and if there is actual need to provide such data overseas, the operator is required to go through the data export security assessment organized by the CAC in accordance with such laws.</w:t>
      </w:r>
    </w:p>
    <w:p>
      <w:pPr>
        <w:spacing w:after="0" w:line="183" w:lineRule="exact"/>
        <w:rPr>
          <w:sz w:val="20"/>
          <w:szCs w:val="20"/>
          <w:color w:val="auto"/>
        </w:rPr>
      </w:pPr>
    </w:p>
    <w:p>
      <w:pPr>
        <w:ind w:left="120" w:right="320" w:firstLine="440"/>
        <w:spacing w:after="0" w:line="258" w:lineRule="auto"/>
        <w:rPr>
          <w:sz w:val="20"/>
          <w:szCs w:val="20"/>
          <w:color w:val="auto"/>
        </w:rPr>
      </w:pPr>
      <w:r>
        <w:rPr>
          <w:rFonts w:ascii="Times New Roman" w:cs="Times New Roman" w:eastAsia="Times New Roman" w:hAnsi="Times New Roman"/>
          <w:sz w:val="18"/>
          <w:szCs w:val="18"/>
          <w:color w:val="auto"/>
        </w:rPr>
        <w:t>In August 2021, the Personal Information Protection Law was passed and has been entered into force on November 1, 2021. The law provides further detailed rules for processing personal information and emphasizes its extraterritorial effect. It shall apply to the processing of personal information carried out outside of China of natural persons who are within the territory of China where (i) such processing is for the purpose of providing products or services for natural persons within China, (ii) such processing is to analyze or evaluate the behavior of natural persons within China or (iii) there are any other circumstances stipulated by laws and administrative regulations.</w:t>
      </w:r>
    </w:p>
    <w:p>
      <w:pPr>
        <w:spacing w:after="0" w:line="183"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In addition to the foregoing, on December 28, 2021, the CAC published the Cybersecurity Review Measures, which came into effect on February 15, 2022. Pursuant to the Cybersecurity Review Measures, critical information infrastructure operators that intend to purchase network products and services and data processors engaging in data processing activities that affect or may affect Chinese national security must be subject to cybersecurity review. The measure specifically requires data processors in China who hold more than one million users’ personal information and plan to list on a stock exchange in a foreign country to apply for a cybersecurity review. Moreover, under the administrative measure, the CAC can initiate cybersecurity review under certain situations, for example, if a regulatory agency within the cyber-security review coordination mechanism believes a network product or service, data processing activity impacts or might impact Chinese national security.</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AD/ADAS Regulations</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Polestar equips its vehicles with certain advanced driver assistance features. Generally, laws pertaining to driver assistance features and self-driving vehicles are evolving globally and, in some cases, may create restrictions on advanced driver assistance or self-driving features that Polestar may develop. Polestar’s ambition is to meet relevant requirements for each product, market, and time frame.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Sustainability and Environmental Regulations</w:t>
      </w:r>
    </w:p>
    <w:p>
      <w:pPr>
        <w:spacing w:after="0" w:line="121" w:lineRule="exact"/>
        <w:rPr>
          <w:sz w:val="20"/>
          <w:szCs w:val="20"/>
          <w:color w:val="auto"/>
        </w:rPr>
      </w:pPr>
    </w:p>
    <w:p>
      <w:pPr>
        <w:ind w:left="120" w:right="140" w:firstLine="440"/>
        <w:spacing w:after="0" w:line="256" w:lineRule="auto"/>
        <w:rPr>
          <w:sz w:val="20"/>
          <w:szCs w:val="20"/>
          <w:color w:val="auto"/>
        </w:rPr>
      </w:pPr>
      <w:r>
        <w:rPr>
          <w:rFonts w:ascii="Times New Roman" w:cs="Times New Roman" w:eastAsia="Times New Roman" w:hAnsi="Times New Roman"/>
          <w:sz w:val="18"/>
          <w:szCs w:val="18"/>
          <w:color w:val="auto"/>
        </w:rPr>
        <w:t>Polestar operates in an industry that is subject to extensive sustainability and environmental-related regulations, which have become more stringent over time. The laws and regulations to which Polestar is or may become subject govern, among other things, water use; air emissions; use of recycled materials; energy sources; the release, storage, handling, treatment, transportation and disposal of, and exposure to, hazardous materials; the protection of the environment, natural resources and endangered species; responsible mineral sourcing; due diligence transparency and the remediation of environmental contamination. Compliance with such laws and regulations at an international, regional, national, state, provincial and local level is and will be an important aspect of Polestar’s ability to continue its operations.</w:t>
      </w:r>
    </w:p>
    <w:p>
      <w:pPr>
        <w:spacing w:after="0" w:line="187"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Many countries have announced a requirement for the sale of zero-emission vehicles only within proscribed timeframes, some as early as 2035, and Polestar as an electric vehicle manufacturer is already in a position to comply with these requirements across its entire coming product portfolio as it expands. Polestar’s competitors, by contrast, will need to reconcile an expensive infrastructure with factories and equipment tailored for production of internal combustion engine (“ICE”) vehicles, along with workforces trained to produce ICE vehicles and intellectual property portfolios geared for ICE vehicles.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101</w:t>
      </w:r>
    </w:p>
    <w:p>
      <w:pPr>
        <w:sectPr>
          <w:pgSz w:w="11900" w:h="16838" w:orient="portrait"/>
          <w:cols w:equalWidth="0" w:num="1">
            <w:col w:w="11120"/>
          </w:cols>
          <w:pgMar w:left="320" w:top="455" w:right="45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UNECE</w:t>
      </w:r>
    </w:p>
    <w:p>
      <w:pPr>
        <w:spacing w:after="0" w:line="119"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The UNECE has developed certain international rules and regulations in the area of environment, range and energy consumption under the 1958 Agreement.</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EU</w:t>
      </w:r>
    </w:p>
    <w:p>
      <w:pPr>
        <w:spacing w:after="0" w:line="119" w:lineRule="exact"/>
        <w:rPr>
          <w:sz w:val="20"/>
          <w:szCs w:val="20"/>
          <w:color w:val="auto"/>
        </w:rPr>
      </w:pPr>
    </w:p>
    <w:p>
      <w:pPr>
        <w:jc w:val="both"/>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Manufacturers of passenger vehicles in the EU are required to comply with EU Regulation 715/2007 – the Worldwide harmonized Light vehicles Test Procedure on Energy Consumption and Range, and Directive 2005/64/EC—Recyclability, Recoverability, Reusability.</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USA</w:t>
      </w:r>
    </w:p>
    <w:p>
      <w:pPr>
        <w:spacing w:after="0" w:line="119" w:lineRule="exact"/>
        <w:rPr>
          <w:sz w:val="20"/>
          <w:szCs w:val="20"/>
          <w:color w:val="auto"/>
        </w:rPr>
      </w:pPr>
    </w:p>
    <w:p>
      <w:pPr>
        <w:ind w:left="120" w:right="140" w:firstLine="440"/>
        <w:spacing w:after="0" w:line="312" w:lineRule="auto"/>
        <w:rPr>
          <w:sz w:val="20"/>
          <w:szCs w:val="20"/>
          <w:color w:val="auto"/>
        </w:rPr>
      </w:pPr>
      <w:r>
        <w:rPr>
          <w:rFonts w:ascii="Times New Roman" w:cs="Times New Roman" w:eastAsia="Times New Roman" w:hAnsi="Times New Roman"/>
          <w:sz w:val="17"/>
          <w:szCs w:val="17"/>
          <w:color w:val="auto"/>
        </w:rPr>
        <w:t>The EPA is the federal regulator within this field, but the CARB is recognized in the federal Clean Air Act and has autonomous local regulations impacting air quality control. Polestar fulfills the applicable federal regulations under 40 CFR and the California state regulations under CCR 13.</w:t>
      </w:r>
    </w:p>
    <w:p>
      <w:pPr>
        <w:spacing w:after="0" w:line="24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China</w:t>
      </w:r>
    </w:p>
    <w:p>
      <w:pPr>
        <w:spacing w:after="0" w:line="119"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The MEP (formerly the Ministry of Environmental Protection) regulates range and energy efficiency for automotive products. It establishes and improves all fundamental systems in China with respect to the environment.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Emissions Credits</w:t>
      </w:r>
    </w:p>
    <w:p>
      <w:pPr>
        <w:spacing w:after="0" w:line="121" w:lineRule="exact"/>
        <w:rPr>
          <w:sz w:val="20"/>
          <w:szCs w:val="20"/>
          <w:color w:val="auto"/>
        </w:rPr>
      </w:pPr>
    </w:p>
    <w:p>
      <w:pPr>
        <w:jc w:val="both"/>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All manufacturers are required to comply with the applicable emission regulations in each jurisdiction in which they operate. Furthermore, since Polestar’s electric vehicles have zero or limited emissions compared to internal combustion engine vehicles, it earns emission grams or credits that may be sold to and used by other manufacturers to cover or offset their emissions footprint.</w:t>
      </w:r>
    </w:p>
    <w:p>
      <w:pPr>
        <w:spacing w:after="0" w:line="176" w:lineRule="exact"/>
        <w:rPr>
          <w:sz w:val="20"/>
          <w:szCs w:val="20"/>
          <w:color w:val="auto"/>
        </w:rPr>
      </w:pPr>
    </w:p>
    <w:p>
      <w:pPr>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Polestar aims to follow the development and opportunities connected to emission regulations in all geographic regions in which it operates. The ability to earn excess emission grams or credits are dependent on each jurisdictions’ regulations and the opportunity to get compensated by others depends on the demand from other manufacturers.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Recall activities</w:t>
      </w:r>
    </w:p>
    <w:p>
      <w:pPr>
        <w:spacing w:after="0" w:line="12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If Polestar vehicles need to be recalled or updated due to quality issues or not fulfilling applicable legal requirements in a market, decisions will be taken according to delegation of authority within Polestar. Reporting to authorities according to local requirements applies.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102</w:t>
      </w:r>
    </w:p>
    <w:p>
      <w:pPr>
        <w:sectPr>
          <w:pgSz w:w="11900" w:h="16838" w:orient="portrait"/>
          <w:cols w:equalWidth="0" w:num="1">
            <w:col w:w="11120"/>
          </w:cols>
          <w:pgMar w:left="320" w:top="455" w:right="45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Organizational Structure</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diagram depicts the organizational structure of the Company as of the date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171450</wp:posOffset>
            </wp:positionV>
            <wp:extent cx="5812155" cy="210058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812155" cy="2100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540" w:hanging="424"/>
        <w:spacing w:after="0"/>
        <w:tabs>
          <w:tab w:leader="none" w:pos="5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Including Subscription Shares issued to GGI Sponsor.</w:t>
      </w:r>
    </w:p>
    <w:p>
      <w:pPr>
        <w:spacing w:after="0" w:line="27"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Including Subscription Shares and Class A Shares converted from Preference Shares issued to Snita.</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Excluding Subscription Shares issued to GGI Sponsor and Snita.</w:t>
      </w:r>
    </w:p>
    <w:p>
      <w:pPr>
        <w:spacing w:after="0" w:line="206" w:lineRule="exact"/>
        <w:rPr>
          <w:rFonts w:ascii="Times New Roman" w:cs="Times New Roman" w:eastAsia="Times New Roman" w:hAnsi="Times New Roman"/>
          <w:sz w:val="18"/>
          <w:szCs w:val="18"/>
          <w:color w:val="auto"/>
        </w:rPr>
      </w:pPr>
    </w:p>
    <w:p>
      <w:pPr>
        <w:ind w:left="5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significant subsidiaries of the Company as of the date of this prospectus are listed below.</w:t>
      </w:r>
    </w:p>
    <w:p>
      <w:pPr>
        <w:spacing w:after="0" w:line="23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40" w:type="dxa"/>
            <w:vAlign w:val="bottom"/>
          </w:tcPr>
          <w:p>
            <w:pPr>
              <w:spacing w:after="0"/>
              <w:rPr>
                <w:sz w:val="13"/>
                <w:szCs w:val="13"/>
                <w:color w:val="auto"/>
              </w:rPr>
            </w:pPr>
          </w:p>
        </w:tc>
        <w:tc>
          <w:tcPr>
            <w:tcW w:w="3920" w:type="dxa"/>
            <w:vAlign w:val="bottom"/>
          </w:tcPr>
          <w:p>
            <w:pPr>
              <w:spacing w:after="0"/>
              <w:rPr>
                <w:sz w:val="13"/>
                <w:szCs w:val="13"/>
                <w:color w:val="auto"/>
              </w:rPr>
            </w:pPr>
          </w:p>
        </w:tc>
        <w:tc>
          <w:tcPr>
            <w:tcW w:w="28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Proportion of</w:t>
            </w:r>
          </w:p>
        </w:tc>
        <w:tc>
          <w:tcPr>
            <w:tcW w:w="0" w:type="dxa"/>
            <w:vAlign w:val="bottom"/>
          </w:tcPr>
          <w:p>
            <w:pPr>
              <w:spacing w:after="0"/>
              <w:rPr>
                <w:sz w:val="1"/>
                <w:szCs w:val="1"/>
                <w:color w:val="auto"/>
              </w:rPr>
            </w:pPr>
          </w:p>
        </w:tc>
      </w:tr>
      <w:tr>
        <w:trPr>
          <w:trHeight w:val="149"/>
        </w:trPr>
        <w:tc>
          <w:tcPr>
            <w:tcW w:w="74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23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Jurisdiction of</w:t>
            </w:r>
          </w:p>
        </w:tc>
        <w:tc>
          <w:tcPr>
            <w:tcW w:w="11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Ordinary</w:t>
            </w:r>
          </w:p>
        </w:tc>
        <w:tc>
          <w:tcPr>
            <w:tcW w:w="0" w:type="dxa"/>
            <w:vAlign w:val="bottom"/>
          </w:tcPr>
          <w:p>
            <w:pPr>
              <w:spacing w:after="0"/>
              <w:rPr>
                <w:sz w:val="1"/>
                <w:szCs w:val="1"/>
                <w:color w:val="auto"/>
              </w:rPr>
            </w:pPr>
          </w:p>
        </w:tc>
      </w:tr>
      <w:tr>
        <w:trPr>
          <w:trHeight w:val="148"/>
        </w:trPr>
        <w:tc>
          <w:tcPr>
            <w:tcW w:w="7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Legal Name</w:t>
            </w:r>
          </w:p>
        </w:tc>
        <w:tc>
          <w:tcPr>
            <w:tcW w:w="3920" w:type="dxa"/>
            <w:vAlign w:val="bottom"/>
            <w:vMerge w:val="restart"/>
          </w:tcPr>
          <w:p>
            <w:pPr>
              <w:spacing w:after="0"/>
              <w:rPr>
                <w:sz w:val="12"/>
                <w:szCs w:val="12"/>
                <w:color w:val="auto"/>
              </w:rPr>
            </w:pPr>
          </w:p>
        </w:tc>
        <w:tc>
          <w:tcPr>
            <w:tcW w:w="2840" w:type="dxa"/>
            <w:vAlign w:val="bottom"/>
          </w:tcPr>
          <w:p>
            <w:pPr>
              <w:spacing w:after="0"/>
              <w:rPr>
                <w:sz w:val="12"/>
                <w:szCs w:val="12"/>
                <w:color w:val="auto"/>
              </w:rPr>
            </w:pPr>
          </w:p>
        </w:tc>
        <w:tc>
          <w:tcPr>
            <w:tcW w:w="2360" w:type="dxa"/>
            <w:vAlign w:val="bottom"/>
            <w:gridSpan w:val="2"/>
            <w:vMerge w:val="continue"/>
          </w:tcPr>
          <w:p>
            <w:pPr>
              <w:spacing w:after="0"/>
              <w:rPr>
                <w:sz w:val="12"/>
                <w:szCs w:val="12"/>
                <w:color w:val="auto"/>
              </w:rPr>
            </w:pPr>
          </w:p>
        </w:tc>
        <w:tc>
          <w:tcPr>
            <w:tcW w:w="11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Shares Held by</w:t>
            </w:r>
          </w:p>
        </w:tc>
        <w:tc>
          <w:tcPr>
            <w:tcW w:w="0" w:type="dxa"/>
            <w:vAlign w:val="bottom"/>
          </w:tcPr>
          <w:p>
            <w:pPr>
              <w:spacing w:after="0"/>
              <w:rPr>
                <w:sz w:val="1"/>
                <w:szCs w:val="1"/>
                <w:color w:val="auto"/>
              </w:rPr>
            </w:pPr>
          </w:p>
        </w:tc>
      </w:tr>
      <w:tr>
        <w:trPr>
          <w:trHeight w:val="165"/>
        </w:trPr>
        <w:tc>
          <w:tcPr>
            <w:tcW w:w="740" w:type="dxa"/>
            <w:vAlign w:val="bottom"/>
            <w:tcBorders>
              <w:bottom w:val="single" w:sz="8" w:color="auto"/>
            </w:tcBorders>
            <w:vMerge w:val="continue"/>
          </w:tcPr>
          <w:p>
            <w:pPr>
              <w:spacing w:after="0"/>
              <w:rPr>
                <w:sz w:val="13"/>
                <w:szCs w:val="13"/>
                <w:color w:val="auto"/>
              </w:rPr>
            </w:pPr>
          </w:p>
        </w:tc>
        <w:tc>
          <w:tcPr>
            <w:tcW w:w="3920" w:type="dxa"/>
            <w:vAlign w:val="bottom"/>
            <w:vMerge w:val="continue"/>
          </w:tcPr>
          <w:p>
            <w:pPr>
              <w:spacing w:after="0"/>
              <w:rPr>
                <w:sz w:val="13"/>
                <w:szCs w:val="13"/>
                <w:color w:val="auto"/>
              </w:rPr>
            </w:pPr>
          </w:p>
        </w:tc>
        <w:tc>
          <w:tcPr>
            <w:tcW w:w="2840" w:type="dxa"/>
            <w:vAlign w:val="bottom"/>
          </w:tcPr>
          <w:p>
            <w:pPr>
              <w:spacing w:after="0"/>
              <w:rPr>
                <w:sz w:val="13"/>
                <w:szCs w:val="13"/>
                <w:color w:val="auto"/>
              </w:rPr>
            </w:pPr>
          </w:p>
        </w:tc>
        <w:tc>
          <w:tcPr>
            <w:tcW w:w="2360" w:type="dxa"/>
            <w:vAlign w:val="bottom"/>
            <w:gridSpan w:val="2"/>
          </w:tcPr>
          <w:p>
            <w:pPr>
              <w:ind w:left="180"/>
              <w:spacing w:after="0" w:line="160" w:lineRule="exact"/>
              <w:rPr>
                <w:sz w:val="20"/>
                <w:szCs w:val="20"/>
                <w:color w:val="auto"/>
              </w:rPr>
            </w:pPr>
            <w:r>
              <w:rPr>
                <w:rFonts w:ascii="Times New Roman" w:cs="Times New Roman" w:eastAsia="Times New Roman" w:hAnsi="Times New Roman"/>
                <w:sz w:val="14"/>
                <w:szCs w:val="14"/>
                <w:b w:val="1"/>
                <w:bCs w:val="1"/>
                <w:color w:val="auto"/>
              </w:rPr>
              <w:t>Incorporation</w:t>
            </w:r>
          </w:p>
        </w:tc>
        <w:tc>
          <w:tcPr>
            <w:tcW w:w="1160" w:type="dxa"/>
            <w:vAlign w:val="bottom"/>
            <w:gridSpan w:val="2"/>
          </w:tcPr>
          <w:p>
            <w:pPr>
              <w:jc w:val="center"/>
              <w:ind w:right="200"/>
              <w:spacing w:after="0" w:line="160" w:lineRule="exact"/>
              <w:rPr>
                <w:sz w:val="20"/>
                <w:szCs w:val="20"/>
                <w:color w:val="auto"/>
              </w:rPr>
            </w:pPr>
            <w:r>
              <w:rPr>
                <w:rFonts w:ascii="Times New Roman" w:cs="Times New Roman" w:eastAsia="Times New Roman" w:hAnsi="Times New Roman"/>
                <w:sz w:val="14"/>
                <w:szCs w:val="14"/>
                <w:b w:val="1"/>
                <w:bCs w:val="1"/>
                <w:color w:val="auto"/>
              </w:rPr>
              <w:t>the Company</w:t>
            </w:r>
          </w:p>
        </w:tc>
        <w:tc>
          <w:tcPr>
            <w:tcW w:w="0" w:type="dxa"/>
            <w:vAlign w:val="bottom"/>
          </w:tcPr>
          <w:p>
            <w:pPr>
              <w:spacing w:after="0"/>
              <w:rPr>
                <w:sz w:val="1"/>
                <w:szCs w:val="1"/>
                <w:color w:val="auto"/>
              </w:rPr>
            </w:pPr>
          </w:p>
        </w:tc>
      </w:tr>
      <w:tr>
        <w:trPr>
          <w:trHeight w:val="20"/>
        </w:trPr>
        <w:tc>
          <w:tcPr>
            <w:tcW w:w="466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Polestar Holding AB</w:t>
            </w:r>
          </w:p>
        </w:tc>
        <w:tc>
          <w:tcPr>
            <w:tcW w:w="2840" w:type="dxa"/>
            <w:vAlign w:val="bottom"/>
            <w:vMerge w:val="restart"/>
            <w:shd w:val="clear" w:color="auto" w:fill="CCEEFF"/>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140" w:type="dxa"/>
            <w:vAlign w:val="bottom"/>
            <w:vMerge w:val="restart"/>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660" w:type="dxa"/>
            <w:vAlign w:val="bottom"/>
            <w:gridSpan w:val="2"/>
            <w:vMerge w:val="continue"/>
            <w:shd w:val="clear" w:color="auto" w:fill="CCEEFF"/>
          </w:tcPr>
          <w:p>
            <w:pPr>
              <w:spacing w:after="0"/>
              <w:rPr>
                <w:sz w:val="17"/>
                <w:szCs w:val="17"/>
                <w:color w:val="auto"/>
              </w:rPr>
            </w:pPr>
          </w:p>
        </w:tc>
        <w:tc>
          <w:tcPr>
            <w:tcW w:w="2840" w:type="dxa"/>
            <w:vAlign w:val="bottom"/>
            <w:vMerge w:val="continue"/>
            <w:shd w:val="clear" w:color="auto" w:fill="CCEEFF"/>
          </w:tcPr>
          <w:p>
            <w:pPr>
              <w:spacing w:after="0"/>
              <w:rPr>
                <w:sz w:val="17"/>
                <w:szCs w:val="17"/>
                <w:color w:val="auto"/>
              </w:rPr>
            </w:pPr>
          </w:p>
        </w:tc>
        <w:tc>
          <w:tcPr>
            <w:tcW w:w="122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Sweden</w:t>
            </w:r>
          </w:p>
        </w:tc>
        <w:tc>
          <w:tcPr>
            <w:tcW w:w="1140" w:type="dxa"/>
            <w:vAlign w:val="bottom"/>
            <w:vMerge w:val="continue"/>
            <w:shd w:val="clear" w:color="auto" w:fill="CCEEFF"/>
          </w:tcPr>
          <w:p>
            <w:pPr>
              <w:spacing w:after="0"/>
              <w:rPr>
                <w:sz w:val="17"/>
                <w:szCs w:val="17"/>
                <w:color w:val="auto"/>
              </w:rPr>
            </w:pPr>
          </w:p>
        </w:tc>
        <w:tc>
          <w:tcPr>
            <w:tcW w:w="1160" w:type="dxa"/>
            <w:vAlign w:val="bottom"/>
            <w:gridSpan w:val="2"/>
            <w:shd w:val="clear" w:color="auto" w:fill="CCEEFF"/>
          </w:tcPr>
          <w:p>
            <w:pPr>
              <w:jc w:val="right"/>
              <w:ind w:right="60"/>
              <w:spacing w:after="0" w:line="203" w:lineRule="exact"/>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4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Polestar Automotive (Singapore) Pte. Ltd.</w:t>
            </w:r>
          </w:p>
        </w:tc>
        <w:tc>
          <w:tcPr>
            <w:tcW w:w="2840" w:type="dxa"/>
            <w:vAlign w:val="bottom"/>
          </w:tcPr>
          <w:p>
            <w:pPr>
              <w:spacing w:after="0"/>
              <w:rPr>
                <w:sz w:val="18"/>
                <w:szCs w:val="18"/>
                <w:color w:val="auto"/>
              </w:rPr>
            </w:pPr>
          </w:p>
        </w:tc>
        <w:tc>
          <w:tcPr>
            <w:tcW w:w="2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Singapore</w:t>
            </w: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4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Polestar Performance AB</w:t>
            </w:r>
          </w:p>
        </w:tc>
        <w:tc>
          <w:tcPr>
            <w:tcW w:w="2840" w:type="dxa"/>
            <w:vAlign w:val="bottom"/>
            <w:shd w:val="clear" w:color="auto" w:fill="CCEEFF"/>
          </w:tcPr>
          <w:p>
            <w:pPr>
              <w:spacing w:after="0"/>
              <w:rPr>
                <w:sz w:val="18"/>
                <w:szCs w:val="18"/>
                <w:color w:val="auto"/>
              </w:rPr>
            </w:pPr>
          </w:p>
        </w:tc>
        <w:tc>
          <w:tcPr>
            <w:tcW w:w="2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Sweden</w:t>
            </w: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4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Polestar Automotive Canada Inc.</w:t>
            </w:r>
          </w:p>
        </w:tc>
        <w:tc>
          <w:tcPr>
            <w:tcW w:w="2840" w:type="dxa"/>
            <w:vAlign w:val="bottom"/>
          </w:tcPr>
          <w:p>
            <w:pPr>
              <w:spacing w:after="0"/>
              <w:rPr>
                <w:sz w:val="18"/>
                <w:szCs w:val="18"/>
                <w:color w:val="auto"/>
              </w:rPr>
            </w:pPr>
          </w:p>
        </w:tc>
        <w:tc>
          <w:tcPr>
            <w:tcW w:w="2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Alberta, Canada</w:t>
            </w: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4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Polestar Automotive USA Inc.</w:t>
            </w:r>
          </w:p>
        </w:tc>
        <w:tc>
          <w:tcPr>
            <w:tcW w:w="2840" w:type="dxa"/>
            <w:vAlign w:val="bottom"/>
            <w:shd w:val="clear" w:color="auto" w:fill="CCEEFF"/>
          </w:tcPr>
          <w:p>
            <w:pPr>
              <w:spacing w:after="0"/>
              <w:rPr>
                <w:sz w:val="18"/>
                <w:szCs w:val="18"/>
                <w:color w:val="auto"/>
              </w:rPr>
            </w:pPr>
          </w:p>
        </w:tc>
        <w:tc>
          <w:tcPr>
            <w:tcW w:w="2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Delaware, USA</w:t>
            </w: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4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Gores Guggenheim, Inc.</w:t>
            </w:r>
          </w:p>
        </w:tc>
        <w:tc>
          <w:tcPr>
            <w:tcW w:w="2840" w:type="dxa"/>
            <w:vAlign w:val="bottom"/>
          </w:tcPr>
          <w:p>
            <w:pPr>
              <w:spacing w:after="0"/>
              <w:rPr>
                <w:sz w:val="18"/>
                <w:szCs w:val="18"/>
                <w:color w:val="auto"/>
              </w:rPr>
            </w:pPr>
          </w:p>
        </w:tc>
        <w:tc>
          <w:tcPr>
            <w:tcW w:w="2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Delaware, USA</w:t>
            </w: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4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Polestar Automotive Belgium BV</w:t>
            </w:r>
          </w:p>
        </w:tc>
        <w:tc>
          <w:tcPr>
            <w:tcW w:w="2840" w:type="dxa"/>
            <w:vAlign w:val="bottom"/>
            <w:shd w:val="clear" w:color="auto" w:fill="CCEEFF"/>
          </w:tcPr>
          <w:p>
            <w:pPr>
              <w:spacing w:after="0"/>
              <w:rPr>
                <w:sz w:val="18"/>
                <w:szCs w:val="18"/>
                <w:color w:val="auto"/>
              </w:rPr>
            </w:pPr>
          </w:p>
        </w:tc>
        <w:tc>
          <w:tcPr>
            <w:tcW w:w="2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Belgium</w:t>
            </w: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4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Polestar Automotive Germany GmbH</w:t>
            </w:r>
          </w:p>
        </w:tc>
        <w:tc>
          <w:tcPr>
            <w:tcW w:w="2840" w:type="dxa"/>
            <w:vAlign w:val="bottom"/>
          </w:tcPr>
          <w:p>
            <w:pPr>
              <w:spacing w:after="0"/>
              <w:rPr>
                <w:sz w:val="18"/>
                <w:szCs w:val="18"/>
                <w:color w:val="auto"/>
              </w:rPr>
            </w:pPr>
          </w:p>
        </w:tc>
        <w:tc>
          <w:tcPr>
            <w:tcW w:w="2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Germany</w:t>
            </w: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4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Polestar Automotive Netherlands BV</w:t>
            </w:r>
          </w:p>
        </w:tc>
        <w:tc>
          <w:tcPr>
            <w:tcW w:w="2840" w:type="dxa"/>
            <w:vAlign w:val="bottom"/>
            <w:shd w:val="clear" w:color="auto" w:fill="CCEEFF"/>
          </w:tcPr>
          <w:p>
            <w:pPr>
              <w:spacing w:after="0"/>
              <w:rPr>
                <w:sz w:val="18"/>
                <w:szCs w:val="18"/>
                <w:color w:val="auto"/>
              </w:rPr>
            </w:pPr>
          </w:p>
        </w:tc>
        <w:tc>
          <w:tcPr>
            <w:tcW w:w="2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Netherlands</w:t>
            </w: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4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Polestar Automotive Sweden AB</w:t>
            </w:r>
          </w:p>
        </w:tc>
        <w:tc>
          <w:tcPr>
            <w:tcW w:w="2840" w:type="dxa"/>
            <w:vAlign w:val="bottom"/>
          </w:tcPr>
          <w:p>
            <w:pPr>
              <w:spacing w:after="0"/>
              <w:rPr>
                <w:sz w:val="18"/>
                <w:szCs w:val="18"/>
                <w:color w:val="auto"/>
              </w:rPr>
            </w:pPr>
          </w:p>
        </w:tc>
        <w:tc>
          <w:tcPr>
            <w:tcW w:w="2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Sweden</w:t>
            </w: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4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Polestar Automotive Austria GmbH</w:t>
            </w:r>
          </w:p>
        </w:tc>
        <w:tc>
          <w:tcPr>
            <w:tcW w:w="2840" w:type="dxa"/>
            <w:vAlign w:val="bottom"/>
            <w:shd w:val="clear" w:color="auto" w:fill="CCEEFF"/>
          </w:tcPr>
          <w:p>
            <w:pPr>
              <w:spacing w:after="0"/>
              <w:rPr>
                <w:sz w:val="18"/>
                <w:szCs w:val="18"/>
                <w:color w:val="auto"/>
              </w:rPr>
            </w:pPr>
          </w:p>
        </w:tc>
        <w:tc>
          <w:tcPr>
            <w:tcW w:w="2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Austria</w:t>
            </w: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4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Polestar Automotive Denmark ApS</w:t>
            </w:r>
          </w:p>
        </w:tc>
        <w:tc>
          <w:tcPr>
            <w:tcW w:w="2840" w:type="dxa"/>
            <w:vAlign w:val="bottom"/>
          </w:tcPr>
          <w:p>
            <w:pPr>
              <w:spacing w:after="0"/>
              <w:rPr>
                <w:sz w:val="18"/>
                <w:szCs w:val="18"/>
                <w:color w:val="auto"/>
              </w:rPr>
            </w:pPr>
          </w:p>
        </w:tc>
        <w:tc>
          <w:tcPr>
            <w:tcW w:w="2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Denmark</w:t>
            </w: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4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Polestar Automotive Finland Oy</w:t>
            </w:r>
          </w:p>
        </w:tc>
        <w:tc>
          <w:tcPr>
            <w:tcW w:w="2840" w:type="dxa"/>
            <w:vAlign w:val="bottom"/>
            <w:shd w:val="clear" w:color="auto" w:fill="CCEEFF"/>
          </w:tcPr>
          <w:p>
            <w:pPr>
              <w:spacing w:after="0"/>
              <w:rPr>
                <w:sz w:val="18"/>
                <w:szCs w:val="18"/>
                <w:color w:val="auto"/>
              </w:rPr>
            </w:pPr>
          </w:p>
        </w:tc>
        <w:tc>
          <w:tcPr>
            <w:tcW w:w="2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Finland</w:t>
            </w: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4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Polestar Automotive Switzerland GmbH</w:t>
            </w:r>
          </w:p>
        </w:tc>
        <w:tc>
          <w:tcPr>
            <w:tcW w:w="2840" w:type="dxa"/>
            <w:vAlign w:val="bottom"/>
          </w:tcPr>
          <w:p>
            <w:pPr>
              <w:spacing w:after="0"/>
              <w:rPr>
                <w:sz w:val="18"/>
                <w:szCs w:val="18"/>
                <w:color w:val="auto"/>
              </w:rPr>
            </w:pPr>
          </w:p>
        </w:tc>
        <w:tc>
          <w:tcPr>
            <w:tcW w:w="2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Switzerland</w:t>
            </w: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4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Polestar Automotive Norway A/S</w:t>
            </w:r>
          </w:p>
        </w:tc>
        <w:tc>
          <w:tcPr>
            <w:tcW w:w="2840" w:type="dxa"/>
            <w:vAlign w:val="bottom"/>
            <w:shd w:val="clear" w:color="auto" w:fill="CCEEFF"/>
          </w:tcPr>
          <w:p>
            <w:pPr>
              <w:spacing w:after="0"/>
              <w:rPr>
                <w:sz w:val="18"/>
                <w:szCs w:val="18"/>
                <w:color w:val="auto"/>
              </w:rPr>
            </w:pPr>
          </w:p>
        </w:tc>
        <w:tc>
          <w:tcPr>
            <w:tcW w:w="2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Norway</w:t>
            </w: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4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Polestar Automotive Korea Limited</w:t>
            </w:r>
          </w:p>
        </w:tc>
        <w:tc>
          <w:tcPr>
            <w:tcW w:w="2840" w:type="dxa"/>
            <w:vAlign w:val="bottom"/>
          </w:tcPr>
          <w:p>
            <w:pPr>
              <w:spacing w:after="0"/>
              <w:rPr>
                <w:sz w:val="18"/>
                <w:szCs w:val="18"/>
                <w:color w:val="auto"/>
              </w:rPr>
            </w:pPr>
          </w:p>
        </w:tc>
        <w:tc>
          <w:tcPr>
            <w:tcW w:w="2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South Korea</w:t>
            </w: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4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Polestar Automotive Australia PTY Ltd</w:t>
            </w:r>
          </w:p>
        </w:tc>
        <w:tc>
          <w:tcPr>
            <w:tcW w:w="2840" w:type="dxa"/>
            <w:vAlign w:val="bottom"/>
            <w:shd w:val="clear" w:color="auto" w:fill="CCEEFF"/>
          </w:tcPr>
          <w:p>
            <w:pPr>
              <w:spacing w:after="0"/>
              <w:rPr>
                <w:sz w:val="18"/>
                <w:szCs w:val="18"/>
                <w:color w:val="auto"/>
              </w:rPr>
            </w:pPr>
          </w:p>
        </w:tc>
        <w:tc>
          <w:tcPr>
            <w:tcW w:w="2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Australia</w:t>
            </w: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4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Polestar Automotive (Singapore) Distribution Pte. Ltd.</w:t>
            </w:r>
          </w:p>
        </w:tc>
        <w:tc>
          <w:tcPr>
            <w:tcW w:w="2840" w:type="dxa"/>
            <w:vAlign w:val="bottom"/>
          </w:tcPr>
          <w:p>
            <w:pPr>
              <w:spacing w:after="0"/>
              <w:rPr>
                <w:sz w:val="18"/>
                <w:szCs w:val="18"/>
                <w:color w:val="auto"/>
              </w:rPr>
            </w:pPr>
          </w:p>
        </w:tc>
        <w:tc>
          <w:tcPr>
            <w:tcW w:w="2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Singapore</w:t>
            </w: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4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Polestar Automotive Ireland Limited</w:t>
            </w:r>
          </w:p>
        </w:tc>
        <w:tc>
          <w:tcPr>
            <w:tcW w:w="2840" w:type="dxa"/>
            <w:vAlign w:val="bottom"/>
            <w:shd w:val="clear" w:color="auto" w:fill="CCEEFF"/>
          </w:tcPr>
          <w:p>
            <w:pPr>
              <w:spacing w:after="0"/>
              <w:rPr>
                <w:sz w:val="18"/>
                <w:szCs w:val="18"/>
                <w:color w:val="auto"/>
              </w:rPr>
            </w:pPr>
          </w:p>
        </w:tc>
        <w:tc>
          <w:tcPr>
            <w:tcW w:w="2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Republic Ireland</w:t>
            </w: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4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PLSTR Automotive Portugal Unipessoal Lda</w:t>
            </w:r>
          </w:p>
        </w:tc>
        <w:tc>
          <w:tcPr>
            <w:tcW w:w="2840" w:type="dxa"/>
            <w:vAlign w:val="bottom"/>
          </w:tcPr>
          <w:p>
            <w:pPr>
              <w:spacing w:after="0"/>
              <w:rPr>
                <w:sz w:val="18"/>
                <w:szCs w:val="18"/>
                <w:color w:val="auto"/>
              </w:rPr>
            </w:pPr>
          </w:p>
        </w:tc>
        <w:tc>
          <w:tcPr>
            <w:tcW w:w="2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Portugal</w:t>
            </w: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4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Polestar Automotive Poland sp. zo. o</w:t>
            </w:r>
          </w:p>
        </w:tc>
        <w:tc>
          <w:tcPr>
            <w:tcW w:w="2840" w:type="dxa"/>
            <w:vAlign w:val="bottom"/>
            <w:shd w:val="clear" w:color="auto" w:fill="CCEEFF"/>
          </w:tcPr>
          <w:p>
            <w:pPr>
              <w:spacing w:after="0"/>
              <w:rPr>
                <w:sz w:val="18"/>
                <w:szCs w:val="18"/>
                <w:color w:val="auto"/>
              </w:rPr>
            </w:pPr>
          </w:p>
        </w:tc>
        <w:tc>
          <w:tcPr>
            <w:tcW w:w="2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Poland</w:t>
            </w: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4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Polestar Automotive UK Limited</w:t>
            </w:r>
          </w:p>
        </w:tc>
        <w:tc>
          <w:tcPr>
            <w:tcW w:w="2840" w:type="dxa"/>
            <w:vAlign w:val="bottom"/>
          </w:tcPr>
          <w:p>
            <w:pPr>
              <w:spacing w:after="0"/>
              <w:rPr>
                <w:sz w:val="18"/>
                <w:szCs w:val="18"/>
                <w:color w:val="auto"/>
              </w:rPr>
            </w:pPr>
          </w:p>
        </w:tc>
        <w:tc>
          <w:tcPr>
            <w:tcW w:w="2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United Kingdom</w:t>
            </w: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4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Polestar Automotive Spain S.L</w:t>
            </w:r>
          </w:p>
        </w:tc>
        <w:tc>
          <w:tcPr>
            <w:tcW w:w="2840" w:type="dxa"/>
            <w:vAlign w:val="bottom"/>
            <w:shd w:val="clear" w:color="auto" w:fill="CCEEFF"/>
          </w:tcPr>
          <w:p>
            <w:pPr>
              <w:spacing w:after="0"/>
              <w:rPr>
                <w:sz w:val="18"/>
                <w:szCs w:val="18"/>
                <w:color w:val="auto"/>
              </w:rPr>
            </w:pPr>
          </w:p>
        </w:tc>
        <w:tc>
          <w:tcPr>
            <w:tcW w:w="2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Spain</w:t>
            </w: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4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Polestar Automotive Luxembourg SARL</w:t>
            </w:r>
          </w:p>
        </w:tc>
        <w:tc>
          <w:tcPr>
            <w:tcW w:w="2840" w:type="dxa"/>
            <w:vAlign w:val="bottom"/>
          </w:tcPr>
          <w:p>
            <w:pPr>
              <w:spacing w:after="0"/>
              <w:rPr>
                <w:sz w:val="18"/>
                <w:szCs w:val="18"/>
                <w:color w:val="auto"/>
              </w:rPr>
            </w:pPr>
          </w:p>
        </w:tc>
        <w:tc>
          <w:tcPr>
            <w:tcW w:w="2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Luxembourg</w:t>
            </w: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4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Polestar Automotive Czech Republic s.r.o</w:t>
            </w:r>
          </w:p>
        </w:tc>
        <w:tc>
          <w:tcPr>
            <w:tcW w:w="2840" w:type="dxa"/>
            <w:vAlign w:val="bottom"/>
            <w:shd w:val="clear" w:color="auto" w:fill="CCEEFF"/>
          </w:tcPr>
          <w:p>
            <w:pPr>
              <w:spacing w:after="0"/>
              <w:rPr>
                <w:sz w:val="18"/>
                <w:szCs w:val="18"/>
                <w:color w:val="auto"/>
              </w:rPr>
            </w:pPr>
          </w:p>
        </w:tc>
        <w:tc>
          <w:tcPr>
            <w:tcW w:w="2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Czech Republic</w:t>
            </w: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365"/>
        </w:trPr>
        <w:tc>
          <w:tcPr>
            <w:tcW w:w="74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2840" w:type="dxa"/>
            <w:vAlign w:val="bottom"/>
          </w:tcPr>
          <w:p>
            <w:pPr>
              <w:jc w:val="right"/>
              <w:ind w:right="1770"/>
              <w:spacing w:after="0"/>
              <w:rPr>
                <w:sz w:val="20"/>
                <w:szCs w:val="20"/>
                <w:color w:val="auto"/>
              </w:rPr>
            </w:pPr>
            <w:r>
              <w:rPr>
                <w:rFonts w:ascii="Times New Roman" w:cs="Times New Roman" w:eastAsia="Times New Roman" w:hAnsi="Times New Roman"/>
                <w:sz w:val="18"/>
                <w:szCs w:val="18"/>
                <w:color w:val="auto"/>
              </w:rPr>
              <w:t>103</w:t>
            </w:r>
          </w:p>
        </w:tc>
        <w:tc>
          <w:tcPr>
            <w:tcW w:w="1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9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40" w:type="dxa"/>
            <w:vAlign w:val="bottom"/>
          </w:tcPr>
          <w:p>
            <w:pPr>
              <w:spacing w:after="0"/>
              <w:rPr>
                <w:sz w:val="13"/>
                <w:szCs w:val="13"/>
                <w:color w:val="auto"/>
              </w:rPr>
            </w:pPr>
          </w:p>
        </w:tc>
        <w:tc>
          <w:tcPr>
            <w:tcW w:w="650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1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Proportion of</w:t>
            </w:r>
          </w:p>
        </w:tc>
        <w:tc>
          <w:tcPr>
            <w:tcW w:w="0" w:type="dxa"/>
            <w:vAlign w:val="bottom"/>
          </w:tcPr>
          <w:p>
            <w:pPr>
              <w:spacing w:after="0"/>
              <w:rPr>
                <w:sz w:val="1"/>
                <w:szCs w:val="1"/>
                <w:color w:val="auto"/>
              </w:rPr>
            </w:pPr>
          </w:p>
        </w:tc>
      </w:tr>
      <w:tr>
        <w:trPr>
          <w:trHeight w:val="149"/>
        </w:trPr>
        <w:tc>
          <w:tcPr>
            <w:tcW w:w="740" w:type="dxa"/>
            <w:vAlign w:val="bottom"/>
          </w:tcPr>
          <w:p>
            <w:pPr>
              <w:spacing w:after="0"/>
              <w:rPr>
                <w:sz w:val="12"/>
                <w:szCs w:val="12"/>
                <w:color w:val="auto"/>
              </w:rPr>
            </w:pPr>
          </w:p>
        </w:tc>
        <w:tc>
          <w:tcPr>
            <w:tcW w:w="650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1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Ordinary</w:t>
            </w:r>
          </w:p>
        </w:tc>
        <w:tc>
          <w:tcPr>
            <w:tcW w:w="0" w:type="dxa"/>
            <w:vAlign w:val="bottom"/>
          </w:tcPr>
          <w:p>
            <w:pPr>
              <w:spacing w:after="0"/>
              <w:rPr>
                <w:sz w:val="1"/>
                <w:szCs w:val="1"/>
                <w:color w:val="auto"/>
              </w:rPr>
            </w:pPr>
          </w:p>
        </w:tc>
      </w:tr>
      <w:tr>
        <w:trPr>
          <w:trHeight w:val="148"/>
        </w:trPr>
        <w:tc>
          <w:tcPr>
            <w:tcW w:w="7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Legal Name</w:t>
            </w:r>
          </w:p>
        </w:tc>
        <w:tc>
          <w:tcPr>
            <w:tcW w:w="6500" w:type="dxa"/>
            <w:vAlign w:val="bottom"/>
            <w:vMerge w:val="restart"/>
          </w:tcPr>
          <w:p>
            <w:pPr>
              <w:spacing w:after="0"/>
              <w:rPr>
                <w:sz w:val="12"/>
                <w:szCs w:val="12"/>
                <w:color w:val="auto"/>
              </w:rPr>
            </w:pPr>
          </w:p>
        </w:tc>
        <w:tc>
          <w:tcPr>
            <w:tcW w:w="2620" w:type="dxa"/>
            <w:vAlign w:val="bottom"/>
            <w:gridSpan w:val="2"/>
            <w:vMerge w:val="restart"/>
          </w:tcPr>
          <w:p>
            <w:pPr>
              <w:jc w:val="center"/>
              <w:ind w:right="660"/>
              <w:spacing w:after="0"/>
              <w:rPr>
                <w:sz w:val="20"/>
                <w:szCs w:val="20"/>
                <w:color w:val="auto"/>
              </w:rPr>
            </w:pPr>
            <w:r>
              <w:rPr>
                <w:rFonts w:ascii="Times New Roman" w:cs="Times New Roman" w:eastAsia="Times New Roman" w:hAnsi="Times New Roman"/>
                <w:sz w:val="14"/>
                <w:szCs w:val="14"/>
                <w:b w:val="1"/>
                <w:bCs w:val="1"/>
                <w:color w:val="auto"/>
              </w:rPr>
              <w:t>Jurisdiction of Incorporation</w:t>
            </w:r>
          </w:p>
        </w:tc>
        <w:tc>
          <w:tcPr>
            <w:tcW w:w="11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Shares Held by</w:t>
            </w:r>
          </w:p>
        </w:tc>
        <w:tc>
          <w:tcPr>
            <w:tcW w:w="0" w:type="dxa"/>
            <w:vAlign w:val="bottom"/>
          </w:tcPr>
          <w:p>
            <w:pPr>
              <w:spacing w:after="0"/>
              <w:rPr>
                <w:sz w:val="1"/>
                <w:szCs w:val="1"/>
                <w:color w:val="auto"/>
              </w:rPr>
            </w:pPr>
          </w:p>
        </w:tc>
      </w:tr>
      <w:tr>
        <w:trPr>
          <w:trHeight w:val="165"/>
        </w:trPr>
        <w:tc>
          <w:tcPr>
            <w:tcW w:w="740" w:type="dxa"/>
            <w:vAlign w:val="bottom"/>
            <w:tcBorders>
              <w:bottom w:val="single" w:sz="8" w:color="auto"/>
            </w:tcBorders>
            <w:vMerge w:val="continue"/>
          </w:tcPr>
          <w:p>
            <w:pPr>
              <w:spacing w:after="0"/>
              <w:rPr>
                <w:sz w:val="13"/>
                <w:szCs w:val="13"/>
                <w:color w:val="auto"/>
              </w:rPr>
            </w:pPr>
          </w:p>
        </w:tc>
        <w:tc>
          <w:tcPr>
            <w:tcW w:w="6500" w:type="dxa"/>
            <w:vAlign w:val="bottom"/>
            <w:vMerge w:val="continue"/>
          </w:tcPr>
          <w:p>
            <w:pPr>
              <w:spacing w:after="0"/>
              <w:rPr>
                <w:sz w:val="13"/>
                <w:szCs w:val="13"/>
                <w:color w:val="auto"/>
              </w:rPr>
            </w:pPr>
          </w:p>
        </w:tc>
        <w:tc>
          <w:tcPr>
            <w:tcW w:w="2620" w:type="dxa"/>
            <w:vAlign w:val="bottom"/>
            <w:gridSpan w:val="2"/>
            <w:vMerge w:val="continue"/>
          </w:tcPr>
          <w:p>
            <w:pPr>
              <w:spacing w:after="0"/>
              <w:rPr>
                <w:sz w:val="13"/>
                <w:szCs w:val="13"/>
                <w:color w:val="auto"/>
              </w:rPr>
            </w:pPr>
          </w:p>
        </w:tc>
        <w:tc>
          <w:tcPr>
            <w:tcW w:w="1160" w:type="dxa"/>
            <w:vAlign w:val="bottom"/>
            <w:gridSpan w:val="2"/>
          </w:tcPr>
          <w:p>
            <w:pPr>
              <w:jc w:val="center"/>
              <w:ind w:right="200"/>
              <w:spacing w:after="0" w:line="160" w:lineRule="exact"/>
              <w:rPr>
                <w:sz w:val="20"/>
                <w:szCs w:val="20"/>
                <w:color w:val="auto"/>
              </w:rPr>
            </w:pPr>
            <w:r>
              <w:rPr>
                <w:rFonts w:ascii="Times New Roman" w:cs="Times New Roman" w:eastAsia="Times New Roman" w:hAnsi="Times New Roman"/>
                <w:sz w:val="14"/>
                <w:szCs w:val="14"/>
                <w:b w:val="1"/>
                <w:bCs w:val="1"/>
                <w:color w:val="auto"/>
              </w:rPr>
              <w:t>the Company</w:t>
            </w:r>
          </w:p>
        </w:tc>
        <w:tc>
          <w:tcPr>
            <w:tcW w:w="0" w:type="dxa"/>
            <w:vAlign w:val="bottom"/>
          </w:tcPr>
          <w:p>
            <w:pPr>
              <w:spacing w:after="0"/>
              <w:rPr>
                <w:sz w:val="1"/>
                <w:szCs w:val="1"/>
                <w:color w:val="auto"/>
              </w:rPr>
            </w:pPr>
          </w:p>
        </w:tc>
      </w:tr>
      <w:tr>
        <w:trPr>
          <w:trHeight w:val="20"/>
        </w:trPr>
        <w:tc>
          <w:tcPr>
            <w:tcW w:w="724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Polestar Automotive Shanghai Co., Ltd.</w:t>
            </w:r>
          </w:p>
        </w:tc>
        <w:tc>
          <w:tcPr>
            <w:tcW w:w="1980" w:type="dxa"/>
            <w:vAlign w:val="bottom"/>
            <w:shd w:val="clear" w:color="auto" w:fill="000000"/>
          </w:tcPr>
          <w:p>
            <w:pPr>
              <w:spacing w:after="0" w:line="20" w:lineRule="exact"/>
              <w:rPr>
                <w:sz w:val="1"/>
                <w:szCs w:val="1"/>
                <w:color w:val="auto"/>
              </w:rPr>
            </w:pPr>
          </w:p>
        </w:tc>
        <w:tc>
          <w:tcPr>
            <w:tcW w:w="640" w:type="dxa"/>
            <w:vAlign w:val="bottom"/>
            <w:vMerge w:val="restart"/>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240" w:type="dxa"/>
            <w:vAlign w:val="bottom"/>
            <w:gridSpan w:val="2"/>
            <w:vMerge w:val="continue"/>
            <w:shd w:val="clear" w:color="auto" w:fill="CCEEFF"/>
          </w:tcPr>
          <w:p>
            <w:pPr>
              <w:spacing w:after="0"/>
              <w:rPr>
                <w:sz w:val="17"/>
                <w:szCs w:val="17"/>
                <w:color w:val="auto"/>
              </w:rPr>
            </w:pPr>
          </w:p>
        </w:tc>
        <w:tc>
          <w:tcPr>
            <w:tcW w:w="1980" w:type="dxa"/>
            <w:vAlign w:val="bottom"/>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w w:val="98"/>
              </w:rPr>
              <w:t>People’s Republic of China</w:t>
            </w:r>
          </w:p>
        </w:tc>
        <w:tc>
          <w:tcPr>
            <w:tcW w:w="640" w:type="dxa"/>
            <w:vAlign w:val="bottom"/>
            <w:vMerge w:val="continue"/>
            <w:shd w:val="clear" w:color="auto" w:fill="CCEEFF"/>
          </w:tcPr>
          <w:p>
            <w:pPr>
              <w:spacing w:after="0"/>
              <w:rPr>
                <w:sz w:val="17"/>
                <w:szCs w:val="17"/>
                <w:color w:val="auto"/>
              </w:rPr>
            </w:pPr>
          </w:p>
        </w:tc>
        <w:tc>
          <w:tcPr>
            <w:tcW w:w="1160" w:type="dxa"/>
            <w:vAlign w:val="bottom"/>
            <w:gridSpan w:val="2"/>
            <w:shd w:val="clear" w:color="auto" w:fill="CCEEFF"/>
          </w:tcPr>
          <w:p>
            <w:pPr>
              <w:jc w:val="right"/>
              <w:ind w:right="60"/>
              <w:spacing w:after="0" w:line="203" w:lineRule="exact"/>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7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Polestar New Energy Vehicle Co., Ltd.</w:t>
            </w:r>
          </w:p>
        </w:tc>
        <w:tc>
          <w:tcPr>
            <w:tcW w:w="2620" w:type="dxa"/>
            <w:vAlign w:val="bottom"/>
            <w:gridSpan w:val="2"/>
          </w:tcPr>
          <w:p>
            <w:pPr>
              <w:jc w:val="center"/>
              <w:ind w:right="660"/>
              <w:spacing w:after="0"/>
              <w:rPr>
                <w:sz w:val="20"/>
                <w:szCs w:val="20"/>
                <w:color w:val="auto"/>
              </w:rPr>
            </w:pPr>
            <w:r>
              <w:rPr>
                <w:rFonts w:ascii="Times New Roman" w:cs="Times New Roman" w:eastAsia="Times New Roman" w:hAnsi="Times New Roman"/>
                <w:sz w:val="18"/>
                <w:szCs w:val="18"/>
                <w:color w:val="auto"/>
                <w:w w:val="98"/>
              </w:rPr>
              <w:t>People’s Republic of China</w:t>
            </w: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7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Polestar Automotive China Distribution Co., Ltd.</w:t>
            </w:r>
          </w:p>
        </w:tc>
        <w:tc>
          <w:tcPr>
            <w:tcW w:w="2620" w:type="dxa"/>
            <w:vAlign w:val="bottom"/>
            <w:gridSpan w:val="2"/>
            <w:shd w:val="clear" w:color="auto" w:fill="CCEEFF"/>
          </w:tcPr>
          <w:p>
            <w:pPr>
              <w:jc w:val="center"/>
              <w:ind w:right="660"/>
              <w:spacing w:after="0"/>
              <w:rPr>
                <w:sz w:val="20"/>
                <w:szCs w:val="20"/>
                <w:color w:val="auto"/>
              </w:rPr>
            </w:pPr>
            <w:r>
              <w:rPr>
                <w:rFonts w:ascii="Times New Roman" w:cs="Times New Roman" w:eastAsia="Times New Roman" w:hAnsi="Times New Roman"/>
                <w:sz w:val="18"/>
                <w:szCs w:val="18"/>
                <w:color w:val="auto"/>
                <w:w w:val="98"/>
              </w:rPr>
              <w:t>People’s Republic of China</w:t>
            </w: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7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Polestar Automotive Consulting Service (Shanghai) Co., Ltd.</w:t>
            </w:r>
          </w:p>
        </w:tc>
        <w:tc>
          <w:tcPr>
            <w:tcW w:w="2620" w:type="dxa"/>
            <w:vAlign w:val="bottom"/>
            <w:gridSpan w:val="2"/>
          </w:tcPr>
          <w:p>
            <w:pPr>
              <w:jc w:val="center"/>
              <w:ind w:right="660"/>
              <w:spacing w:after="0"/>
              <w:rPr>
                <w:sz w:val="20"/>
                <w:szCs w:val="20"/>
                <w:color w:val="auto"/>
              </w:rPr>
            </w:pPr>
            <w:r>
              <w:rPr>
                <w:rFonts w:ascii="Times New Roman" w:cs="Times New Roman" w:eastAsia="Times New Roman" w:hAnsi="Times New Roman"/>
                <w:sz w:val="18"/>
                <w:szCs w:val="18"/>
                <w:color w:val="auto"/>
                <w:w w:val="98"/>
              </w:rPr>
              <w:t>People’s Republic of China</w:t>
            </w: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7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Polestar Automotive (Chongqing) Co., Ltd.</w:t>
            </w:r>
          </w:p>
        </w:tc>
        <w:tc>
          <w:tcPr>
            <w:tcW w:w="2620" w:type="dxa"/>
            <w:vAlign w:val="bottom"/>
            <w:gridSpan w:val="2"/>
            <w:shd w:val="clear" w:color="auto" w:fill="CCEEFF"/>
          </w:tcPr>
          <w:p>
            <w:pPr>
              <w:jc w:val="center"/>
              <w:ind w:right="660"/>
              <w:spacing w:after="0"/>
              <w:rPr>
                <w:sz w:val="20"/>
                <w:szCs w:val="20"/>
                <w:color w:val="auto"/>
              </w:rPr>
            </w:pPr>
            <w:r>
              <w:rPr>
                <w:rFonts w:ascii="Times New Roman" w:cs="Times New Roman" w:eastAsia="Times New Roman" w:hAnsi="Times New Roman"/>
                <w:sz w:val="18"/>
                <w:szCs w:val="18"/>
                <w:color w:val="auto"/>
                <w:w w:val="98"/>
              </w:rPr>
              <w:t>People’s Republic of China</w:t>
            </w: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7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Polestar Automotive China Distribution Co., Ltd. Shanghai Jing’an Branch</w:t>
            </w:r>
          </w:p>
        </w:tc>
        <w:tc>
          <w:tcPr>
            <w:tcW w:w="2620" w:type="dxa"/>
            <w:vAlign w:val="bottom"/>
            <w:gridSpan w:val="2"/>
          </w:tcPr>
          <w:p>
            <w:pPr>
              <w:jc w:val="center"/>
              <w:ind w:right="660"/>
              <w:spacing w:after="0"/>
              <w:rPr>
                <w:sz w:val="20"/>
                <w:szCs w:val="20"/>
                <w:color w:val="auto"/>
              </w:rPr>
            </w:pPr>
            <w:r>
              <w:rPr>
                <w:rFonts w:ascii="Times New Roman" w:cs="Times New Roman" w:eastAsia="Times New Roman" w:hAnsi="Times New Roman"/>
                <w:sz w:val="18"/>
                <w:szCs w:val="18"/>
                <w:color w:val="auto"/>
                <w:w w:val="98"/>
              </w:rPr>
              <w:t>People’s Republic of China</w:t>
            </w: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7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Polestar Automotive China Distribution Co., Ltd. Beijing Branch</w:t>
            </w:r>
          </w:p>
        </w:tc>
        <w:tc>
          <w:tcPr>
            <w:tcW w:w="2620" w:type="dxa"/>
            <w:vAlign w:val="bottom"/>
            <w:gridSpan w:val="2"/>
            <w:shd w:val="clear" w:color="auto" w:fill="CCEEFF"/>
          </w:tcPr>
          <w:p>
            <w:pPr>
              <w:jc w:val="center"/>
              <w:ind w:right="660"/>
              <w:spacing w:after="0"/>
              <w:rPr>
                <w:sz w:val="20"/>
                <w:szCs w:val="20"/>
                <w:color w:val="auto"/>
              </w:rPr>
            </w:pPr>
            <w:r>
              <w:rPr>
                <w:rFonts w:ascii="Times New Roman" w:cs="Times New Roman" w:eastAsia="Times New Roman" w:hAnsi="Times New Roman"/>
                <w:sz w:val="18"/>
                <w:szCs w:val="18"/>
                <w:color w:val="auto"/>
                <w:w w:val="98"/>
              </w:rPr>
              <w:t>People’s Republic of China</w:t>
            </w: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7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Polestar Automotive China Distribution Co., Ltd. Shenzhen Branch</w:t>
            </w:r>
          </w:p>
        </w:tc>
        <w:tc>
          <w:tcPr>
            <w:tcW w:w="2620" w:type="dxa"/>
            <w:vAlign w:val="bottom"/>
            <w:gridSpan w:val="2"/>
          </w:tcPr>
          <w:p>
            <w:pPr>
              <w:jc w:val="center"/>
              <w:ind w:right="660"/>
              <w:spacing w:after="0"/>
              <w:rPr>
                <w:sz w:val="20"/>
                <w:szCs w:val="20"/>
                <w:color w:val="auto"/>
              </w:rPr>
            </w:pPr>
            <w:r>
              <w:rPr>
                <w:rFonts w:ascii="Times New Roman" w:cs="Times New Roman" w:eastAsia="Times New Roman" w:hAnsi="Times New Roman"/>
                <w:sz w:val="18"/>
                <w:szCs w:val="18"/>
                <w:color w:val="auto"/>
                <w:w w:val="98"/>
              </w:rPr>
              <w:t>People’s Republic of China</w:t>
            </w: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7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Polestar Automotive Distribution (Taizhou) Co., Ltd.</w:t>
            </w:r>
          </w:p>
        </w:tc>
        <w:tc>
          <w:tcPr>
            <w:tcW w:w="2620" w:type="dxa"/>
            <w:vAlign w:val="bottom"/>
            <w:gridSpan w:val="2"/>
            <w:shd w:val="clear" w:color="auto" w:fill="CCEEFF"/>
          </w:tcPr>
          <w:p>
            <w:pPr>
              <w:jc w:val="center"/>
              <w:ind w:right="660"/>
              <w:spacing w:after="0"/>
              <w:rPr>
                <w:sz w:val="20"/>
                <w:szCs w:val="20"/>
                <w:color w:val="auto"/>
              </w:rPr>
            </w:pPr>
            <w:r>
              <w:rPr>
                <w:rFonts w:ascii="Times New Roman" w:cs="Times New Roman" w:eastAsia="Times New Roman" w:hAnsi="Times New Roman"/>
                <w:sz w:val="18"/>
                <w:szCs w:val="18"/>
                <w:color w:val="auto"/>
                <w:w w:val="98"/>
              </w:rPr>
              <w:t>People’s Republic of China</w:t>
            </w: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7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Polestar Automotive China Distribution Co., Ltd. Beijing Chaoyang Branch</w:t>
            </w:r>
          </w:p>
        </w:tc>
        <w:tc>
          <w:tcPr>
            <w:tcW w:w="2620" w:type="dxa"/>
            <w:vAlign w:val="bottom"/>
            <w:gridSpan w:val="2"/>
          </w:tcPr>
          <w:p>
            <w:pPr>
              <w:jc w:val="center"/>
              <w:ind w:right="660"/>
              <w:spacing w:after="0"/>
              <w:rPr>
                <w:sz w:val="20"/>
                <w:szCs w:val="20"/>
                <w:color w:val="auto"/>
              </w:rPr>
            </w:pPr>
            <w:r>
              <w:rPr>
                <w:rFonts w:ascii="Times New Roman" w:cs="Times New Roman" w:eastAsia="Times New Roman" w:hAnsi="Times New Roman"/>
                <w:sz w:val="18"/>
                <w:szCs w:val="18"/>
                <w:color w:val="auto"/>
                <w:w w:val="98"/>
              </w:rPr>
              <w:t>People’s Republic of China</w:t>
            </w: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7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Polestar Automotive China Distribution Co., Ltd. Beijing Shunyi Branch</w:t>
            </w:r>
          </w:p>
        </w:tc>
        <w:tc>
          <w:tcPr>
            <w:tcW w:w="2620" w:type="dxa"/>
            <w:vAlign w:val="bottom"/>
            <w:gridSpan w:val="2"/>
            <w:shd w:val="clear" w:color="auto" w:fill="CCEEFF"/>
          </w:tcPr>
          <w:p>
            <w:pPr>
              <w:jc w:val="center"/>
              <w:ind w:right="660"/>
              <w:spacing w:after="0"/>
              <w:rPr>
                <w:sz w:val="20"/>
                <w:szCs w:val="20"/>
                <w:color w:val="auto"/>
              </w:rPr>
            </w:pPr>
            <w:r>
              <w:rPr>
                <w:rFonts w:ascii="Times New Roman" w:cs="Times New Roman" w:eastAsia="Times New Roman" w:hAnsi="Times New Roman"/>
                <w:sz w:val="18"/>
                <w:szCs w:val="18"/>
                <w:color w:val="auto"/>
                <w:w w:val="98"/>
              </w:rPr>
              <w:t>People’s Republic of China</w:t>
            </w: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7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Polestar Automotive China Distribution Co., Ltd. Beijing Branch</w:t>
            </w:r>
          </w:p>
        </w:tc>
        <w:tc>
          <w:tcPr>
            <w:tcW w:w="2620" w:type="dxa"/>
            <w:vAlign w:val="bottom"/>
            <w:gridSpan w:val="2"/>
          </w:tcPr>
          <w:p>
            <w:pPr>
              <w:jc w:val="center"/>
              <w:ind w:right="660"/>
              <w:spacing w:after="0"/>
              <w:rPr>
                <w:sz w:val="20"/>
                <w:szCs w:val="20"/>
                <w:color w:val="auto"/>
              </w:rPr>
            </w:pPr>
            <w:r>
              <w:rPr>
                <w:rFonts w:ascii="Times New Roman" w:cs="Times New Roman" w:eastAsia="Times New Roman" w:hAnsi="Times New Roman"/>
                <w:sz w:val="18"/>
                <w:szCs w:val="18"/>
                <w:color w:val="auto"/>
                <w:w w:val="98"/>
              </w:rPr>
              <w:t>People’s Republic of China</w:t>
            </w: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7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Polestar Automotive China Distribution Co., Ltd. Guangzhou Branch</w:t>
            </w:r>
          </w:p>
        </w:tc>
        <w:tc>
          <w:tcPr>
            <w:tcW w:w="2620" w:type="dxa"/>
            <w:vAlign w:val="bottom"/>
            <w:gridSpan w:val="2"/>
            <w:shd w:val="clear" w:color="auto" w:fill="CCEEFF"/>
          </w:tcPr>
          <w:p>
            <w:pPr>
              <w:jc w:val="center"/>
              <w:ind w:right="660"/>
              <w:spacing w:after="0"/>
              <w:rPr>
                <w:sz w:val="20"/>
                <w:szCs w:val="20"/>
                <w:color w:val="auto"/>
              </w:rPr>
            </w:pPr>
            <w:r>
              <w:rPr>
                <w:rFonts w:ascii="Times New Roman" w:cs="Times New Roman" w:eastAsia="Times New Roman" w:hAnsi="Times New Roman"/>
                <w:sz w:val="18"/>
                <w:szCs w:val="18"/>
                <w:color w:val="auto"/>
                <w:w w:val="98"/>
              </w:rPr>
              <w:t>People’s Republic of China</w:t>
            </w: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7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Polestar Automotive China Distribution Co., Ltd. Guangzhou Tianhe Branch</w:t>
            </w:r>
          </w:p>
        </w:tc>
        <w:tc>
          <w:tcPr>
            <w:tcW w:w="2620" w:type="dxa"/>
            <w:vAlign w:val="bottom"/>
            <w:gridSpan w:val="2"/>
          </w:tcPr>
          <w:p>
            <w:pPr>
              <w:jc w:val="center"/>
              <w:ind w:right="660"/>
              <w:spacing w:after="0"/>
              <w:rPr>
                <w:sz w:val="20"/>
                <w:szCs w:val="20"/>
                <w:color w:val="auto"/>
              </w:rPr>
            </w:pPr>
            <w:r>
              <w:rPr>
                <w:rFonts w:ascii="Times New Roman" w:cs="Times New Roman" w:eastAsia="Times New Roman" w:hAnsi="Times New Roman"/>
                <w:sz w:val="18"/>
                <w:szCs w:val="18"/>
                <w:color w:val="auto"/>
                <w:w w:val="98"/>
              </w:rPr>
              <w:t>People’s Republic of China</w:t>
            </w: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7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Polestar Automotive China Distribution Co., Ltd. Chengdu Branch</w:t>
            </w:r>
          </w:p>
        </w:tc>
        <w:tc>
          <w:tcPr>
            <w:tcW w:w="2620" w:type="dxa"/>
            <w:vAlign w:val="bottom"/>
            <w:gridSpan w:val="2"/>
            <w:shd w:val="clear" w:color="auto" w:fill="CCEEFF"/>
          </w:tcPr>
          <w:p>
            <w:pPr>
              <w:jc w:val="center"/>
              <w:ind w:right="660"/>
              <w:spacing w:after="0"/>
              <w:rPr>
                <w:sz w:val="20"/>
                <w:szCs w:val="20"/>
                <w:color w:val="auto"/>
              </w:rPr>
            </w:pPr>
            <w:r>
              <w:rPr>
                <w:rFonts w:ascii="Times New Roman" w:cs="Times New Roman" w:eastAsia="Times New Roman" w:hAnsi="Times New Roman"/>
                <w:sz w:val="18"/>
                <w:szCs w:val="18"/>
                <w:color w:val="auto"/>
                <w:w w:val="98"/>
              </w:rPr>
              <w:t>People’s Republic of China</w:t>
            </w: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7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Polestar Automotive China Distribution Co., Ltd. Hangzhou Branch</w:t>
            </w:r>
          </w:p>
        </w:tc>
        <w:tc>
          <w:tcPr>
            <w:tcW w:w="2620" w:type="dxa"/>
            <w:vAlign w:val="bottom"/>
            <w:gridSpan w:val="2"/>
          </w:tcPr>
          <w:p>
            <w:pPr>
              <w:jc w:val="center"/>
              <w:ind w:right="660"/>
              <w:spacing w:after="0"/>
              <w:rPr>
                <w:sz w:val="20"/>
                <w:szCs w:val="20"/>
                <w:color w:val="auto"/>
              </w:rPr>
            </w:pPr>
            <w:r>
              <w:rPr>
                <w:rFonts w:ascii="Times New Roman" w:cs="Times New Roman" w:eastAsia="Times New Roman" w:hAnsi="Times New Roman"/>
                <w:sz w:val="18"/>
                <w:szCs w:val="18"/>
                <w:color w:val="auto"/>
                <w:w w:val="98"/>
              </w:rPr>
              <w:t>People’s Republic of China</w:t>
            </w: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7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Polestar Automotive China Distribution Co., Ltd. Shanghai Minhang Branch</w:t>
            </w:r>
          </w:p>
        </w:tc>
        <w:tc>
          <w:tcPr>
            <w:tcW w:w="2620" w:type="dxa"/>
            <w:vAlign w:val="bottom"/>
            <w:gridSpan w:val="2"/>
            <w:shd w:val="clear" w:color="auto" w:fill="CCEEFF"/>
          </w:tcPr>
          <w:p>
            <w:pPr>
              <w:jc w:val="center"/>
              <w:ind w:right="660"/>
              <w:spacing w:after="0"/>
              <w:rPr>
                <w:sz w:val="20"/>
                <w:szCs w:val="20"/>
                <w:color w:val="auto"/>
              </w:rPr>
            </w:pPr>
            <w:r>
              <w:rPr>
                <w:rFonts w:ascii="Times New Roman" w:cs="Times New Roman" w:eastAsia="Times New Roman" w:hAnsi="Times New Roman"/>
                <w:sz w:val="18"/>
                <w:szCs w:val="18"/>
                <w:color w:val="auto"/>
                <w:w w:val="98"/>
              </w:rPr>
              <w:t>People’s Republic of China</w:t>
            </w: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7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Polestar Automotive China Distribution Co., Ltd. Shanghai Branch</w:t>
            </w:r>
          </w:p>
        </w:tc>
        <w:tc>
          <w:tcPr>
            <w:tcW w:w="2620" w:type="dxa"/>
            <w:vAlign w:val="bottom"/>
            <w:gridSpan w:val="2"/>
          </w:tcPr>
          <w:p>
            <w:pPr>
              <w:jc w:val="center"/>
              <w:ind w:right="660"/>
              <w:spacing w:after="0"/>
              <w:rPr>
                <w:sz w:val="20"/>
                <w:szCs w:val="20"/>
                <w:color w:val="auto"/>
              </w:rPr>
            </w:pPr>
            <w:r>
              <w:rPr>
                <w:rFonts w:ascii="Times New Roman" w:cs="Times New Roman" w:eastAsia="Times New Roman" w:hAnsi="Times New Roman"/>
                <w:sz w:val="18"/>
                <w:szCs w:val="18"/>
                <w:color w:val="auto"/>
                <w:w w:val="98"/>
              </w:rPr>
              <w:t>People’s Republic of China</w:t>
            </w: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7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Polestar Automotive China Distribution Co., Ltd. Shanghai Pudong Jinqiao Branch</w:t>
            </w:r>
          </w:p>
        </w:tc>
        <w:tc>
          <w:tcPr>
            <w:tcW w:w="2620" w:type="dxa"/>
            <w:vAlign w:val="bottom"/>
            <w:gridSpan w:val="2"/>
            <w:shd w:val="clear" w:color="auto" w:fill="CCEEFF"/>
          </w:tcPr>
          <w:p>
            <w:pPr>
              <w:jc w:val="center"/>
              <w:ind w:right="660"/>
              <w:spacing w:after="0"/>
              <w:rPr>
                <w:sz w:val="20"/>
                <w:szCs w:val="20"/>
                <w:color w:val="auto"/>
              </w:rPr>
            </w:pPr>
            <w:r>
              <w:rPr>
                <w:rFonts w:ascii="Times New Roman" w:cs="Times New Roman" w:eastAsia="Times New Roman" w:hAnsi="Times New Roman"/>
                <w:sz w:val="18"/>
                <w:szCs w:val="18"/>
                <w:color w:val="auto"/>
                <w:w w:val="98"/>
              </w:rPr>
              <w:t>People’s Republic of China</w:t>
            </w: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bl>
    <w:p>
      <w:pPr>
        <w:spacing w:after="0" w:line="30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Property, Plants and Equipment</w:t>
      </w:r>
    </w:p>
    <w:p>
      <w:pPr>
        <w:spacing w:after="0" w:line="121" w:lineRule="exact"/>
        <w:rPr>
          <w:sz w:val="20"/>
          <w:szCs w:val="20"/>
          <w:color w:val="auto"/>
        </w:rPr>
      </w:pPr>
    </w:p>
    <w:p>
      <w:pPr>
        <w:ind w:left="120" w:right="200" w:firstLine="440"/>
        <w:spacing w:after="0" w:line="256" w:lineRule="auto"/>
        <w:rPr>
          <w:sz w:val="20"/>
          <w:szCs w:val="20"/>
          <w:color w:val="auto"/>
        </w:rPr>
      </w:pPr>
      <w:r>
        <w:rPr>
          <w:rFonts w:ascii="Times New Roman" w:cs="Times New Roman" w:eastAsia="Times New Roman" w:hAnsi="Times New Roman"/>
          <w:sz w:val="18"/>
          <w:szCs w:val="18"/>
          <w:color w:val="auto"/>
        </w:rPr>
        <w:t>Polestar is headquartered in Göteborg, Sweden. Polestar’s research and development teams are located in Sweden and the United Kingdom. In Sweden, Polestar’s headquarters and research and development team are located in Göteborg close to the facilities and competences at Volvo Cars and its surroundings. This research and development team is focused on collaboration with Volvo Cars in a wide variety of areas, including electrical propulsion, sustainability, lightweight material designs, software, and more. In the United Kingdom, Polestar’s research and development team is located in the Mira Technology Park in Coventry. This location benefits from good access to engineering talent, proving grounds, wind tunnels and workshops. Polestar’s engineering focus in the United Kingdom is chassis and dynamics, aluminum bonding and architecture and sports car design.</w:t>
      </w:r>
    </w:p>
    <w:p>
      <w:pPr>
        <w:spacing w:after="0" w:line="187"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Polestar uses a digital first, direct to consumer approach that enables its customers to browse Polestar’s products, configure their preferred vehicle and, where permitted, place their order on-line. Alternatively, Polestar Locations are where customers can see, feel and test drive Polestar’s vehicles prior to making an on-line purchase. As of June 30, 2022, there are 125 Polestar Locations. Polestar plans to extend its retail locations to a total of over 150 in existing and new markets by the end of 2023. In addition, Polestar leverages the Volvo Cars</w:t>
      </w:r>
    </w:p>
    <w:p>
      <w:pPr>
        <w:spacing w:after="0" w:line="11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104</w:t>
      </w:r>
    </w:p>
    <w:p>
      <w:pPr>
        <w:sectPr>
          <w:pgSz w:w="11900" w:h="16838" w:orient="portrait"/>
          <w:cols w:equalWidth="0" w:num="1">
            <w:col w:w="11140"/>
          </w:cols>
          <w:pgMar w:left="320" w:top="455" w:right="43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service center network to provide access to 934 customer service points worldwide (as of June 30, 2022) in support of its international expansion.</w:t>
      </w:r>
    </w:p>
    <w:p>
      <w:pPr>
        <w:spacing w:after="0" w:line="225" w:lineRule="exact"/>
        <w:rPr>
          <w:sz w:val="20"/>
          <w:szCs w:val="20"/>
          <w:color w:val="auto"/>
        </w:rPr>
      </w:pPr>
    </w:p>
    <w:p>
      <w:pPr>
        <w:ind w:left="120" w:right="80" w:firstLine="440"/>
        <w:spacing w:after="0" w:line="281" w:lineRule="auto"/>
        <w:rPr>
          <w:sz w:val="20"/>
          <w:szCs w:val="20"/>
          <w:color w:val="auto"/>
        </w:rPr>
      </w:pPr>
      <w:r>
        <w:rPr>
          <w:rFonts w:ascii="Times New Roman" w:cs="Times New Roman" w:eastAsia="Times New Roman" w:hAnsi="Times New Roman"/>
          <w:sz w:val="17"/>
          <w:szCs w:val="17"/>
          <w:color w:val="auto"/>
        </w:rPr>
        <w:t>Polestar’s vehicles are currently manufactured at a plant in Luqiao, China that is owned and operated by Volvo Cars. The plant, referred to by Volvo Cars as the “Taizhou” plant, was acquired by Volvo Cars from Geely in December 2021. Prior to that time, the plant had been owned by Geely and operated by Volvo Cars. The Polestar 2 vehicles have been manufactured at this plant since production commenced in 2020. Commencing with the Polestar 3, Polestar intends to produce vehicles both in China and in Charleston, South Carolina in the United States (a facility operated by Volvo Cars).</w:t>
      </w:r>
    </w:p>
    <w:p>
      <w:pPr>
        <w:spacing w:after="0" w:line="164"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Polestar has the benefit of being part of the larger global manufacturing footprint of Volvo Cars and Geely with access to a combined installed capacity of approximately 750,000 units per annum across three continents. Polestar intends to expand its contract manufacturing presence to facilities in the U.S. and potentially Europe. For example, the Polestar 3 will be produced in Volvo Cars factories in both Chengdu, China and Charleston, South Carolina USA. Polestar is also exploring the feasibility of producing the Polestar 2 in Europe for sales in the US market.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Chengdu facility</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Polestar opened its Chengdu facility in 2019. Polestar produced the Polestar 1 at this facility until the end of 2021. The facility is a low volume facility designed for small series production runs, for developing new manufacturing processes or procedures and for customizations that cannot be handled in a high-volume factory. Polestar intends to use the Chengdu facility in the near term to create Polestar limited editions of Polestar 2 and also to support the early pre-production builds of future Polestar vehicles.</w:t>
      </w:r>
    </w:p>
    <w:p>
      <w:pPr>
        <w:spacing w:after="0" w:line="180"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Chengdu was the first LEED Gold-certified automotive production facility in China. It was designed by the Norwegian architecture firm Snøhetta and runs on 100% renewable electricity.</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Luqiao facility</w:t>
      </w:r>
    </w:p>
    <w:p>
      <w:pPr>
        <w:spacing w:after="0" w:line="121" w:lineRule="exact"/>
        <w:rPr>
          <w:sz w:val="20"/>
          <w:szCs w:val="20"/>
          <w:color w:val="auto"/>
        </w:rPr>
      </w:pPr>
    </w:p>
    <w:p>
      <w:pPr>
        <w:ind w:left="120" w:right="220" w:firstLine="440"/>
        <w:spacing w:after="0" w:line="261" w:lineRule="auto"/>
        <w:rPr>
          <w:sz w:val="20"/>
          <w:szCs w:val="20"/>
          <w:color w:val="auto"/>
        </w:rPr>
      </w:pPr>
      <w:r>
        <w:rPr>
          <w:rFonts w:ascii="Times New Roman" w:cs="Times New Roman" w:eastAsia="Times New Roman" w:hAnsi="Times New Roman"/>
          <w:sz w:val="18"/>
          <w:szCs w:val="18"/>
          <w:color w:val="auto"/>
        </w:rPr>
        <w:t>Polestar 2 is produced in the Luqiao facility. The facility opened in 2016 and has a total factory capacity of 180,000 cars per year. The plant is focused on the CMA platform, and also produces Volvo XC40. In October 2021, Geely and Volvo Cars agreed to transfer the Luqiao facility to Volvo Cars. The transfer was effectuated in December 2021 and did not affect production of the Polestar 2 at the facility. In connection with this transfer, the Luqiao facility has been renamed “Taizhou.”</w:t>
      </w:r>
    </w:p>
    <w:p>
      <w:pPr>
        <w:spacing w:after="0" w:line="180" w:lineRule="exact"/>
        <w:rPr>
          <w:sz w:val="20"/>
          <w:szCs w:val="20"/>
          <w:color w:val="auto"/>
        </w:rPr>
      </w:pPr>
    </w:p>
    <w:p>
      <w:pPr>
        <w:ind w:left="120" w:right="620" w:firstLine="440"/>
        <w:spacing w:after="0" w:line="282" w:lineRule="auto"/>
        <w:rPr>
          <w:sz w:val="20"/>
          <w:szCs w:val="20"/>
          <w:color w:val="auto"/>
        </w:rPr>
      </w:pPr>
      <w:r>
        <w:rPr>
          <w:rFonts w:ascii="Times New Roman" w:cs="Times New Roman" w:eastAsia="Times New Roman" w:hAnsi="Times New Roman"/>
          <w:sz w:val="18"/>
          <w:szCs w:val="18"/>
          <w:color w:val="auto"/>
        </w:rPr>
        <w:t>We believe that our facilities are adequate to meet our needs for the immediate future and that suitable additional space will be procured to accommodate any expansion of our operations, as needed.</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121"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From time to time, Polestar is subject to various legal proceedings that arise from the normal course of business activities. In addition, from time to time, third parties may assert claims of intellectual property infringement, misappropriation or other violation against Polestar in the form of letters and other forms of communication. If an unfavorable ruling were to occur, there exists the possibility of a material adverse impact on its results of operations, prospects, cash flows, financial position and brand.</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of June 30, 2022, Polestar had approximately 1,900 employees. Polestar’s employees are mainly located in Sweden, China, UK and USA.</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105</w:t>
      </w:r>
    </w:p>
    <w:p>
      <w:pPr>
        <w:sectPr>
          <w:pgSz w:w="11900" w:h="16838" w:orient="portrait"/>
          <w:cols w:equalWidth="0" w:num="1">
            <w:col w:w="11140"/>
          </w:cols>
          <w:pgMar w:left="320" w:top="455" w:right="43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Polestar follows local national requirements for collective bargaining agreements where such requirements exist. Currently, Polestar has instituted collective bargaining agreements with employees in Sweden, Finland, the Netherlands and Austria. Sweden is the only country where Polestar is actively engaged with employee union representatives. Polestar believes relations with these union representatives are good and its engagement with these union representatives is constructive.</w:t>
      </w:r>
    </w:p>
    <w:p>
      <w:pPr>
        <w:spacing w:after="0" w:line="11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106</w:t>
      </w:r>
    </w:p>
    <w:p>
      <w:pPr>
        <w:sectPr>
          <w:pgSz w:w="11900" w:h="16838" w:orient="portrait"/>
          <w:cols w:equalWidth="0" w:num="1">
            <w:col w:w="11060"/>
          </w:cols>
          <w:pgMar w:left="320" w:top="455" w:right="51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OPERATING AND FINANCIAL REVIEW AND PROSPECTS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Polestar Automotive Holding UK PLC</w:t>
      </w:r>
    </w:p>
    <w:p>
      <w:pPr>
        <w:spacing w:after="0" w:line="119" w:lineRule="exact"/>
        <w:rPr>
          <w:sz w:val="20"/>
          <w:szCs w:val="20"/>
          <w:color w:val="auto"/>
        </w:rPr>
      </w:pPr>
    </w:p>
    <w:p>
      <w:pPr>
        <w:jc w:val="both"/>
        <w:ind w:left="120" w:right="44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Polestar’s financial condition and results of operations that management believes is relevant to an assessment and understanding of Polestar’s historical consolidated financial position and results of operations. You should read this discussion in conjunction with the financial statements included elsewhere in this prospectus.</w:t>
      </w:r>
    </w:p>
    <w:p>
      <w:pPr>
        <w:spacing w:after="0" w:line="173"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The following discussion and analysis contain forward-looking statements that involve risks and uncertainties. Polestar’s actual results may differ materially from those discussed in these forward-looking statements as a result of various factors, including, without limitation, those set forth in “Cautionary Note Regarding Forward-Looking Statements” and “Risk Factors.” All amounts presented in this section are shown in thousands of U.S. Dollars, except per share data and unless otherwise stated.</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Key figures</w:t>
      </w:r>
    </w:p>
    <w:p>
      <w:pPr>
        <w:spacing w:after="0" w:line="237"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100" w:type="dxa"/>
            <w:vAlign w:val="bottom"/>
            <w:gridSpan w:val="4"/>
          </w:tcPr>
          <w:p>
            <w:pPr>
              <w:jc w:val="right"/>
              <w:ind w:right="1160"/>
              <w:spacing w:after="0"/>
              <w:rPr>
                <w:sz w:val="20"/>
                <w:szCs w:val="20"/>
                <w:color w:val="auto"/>
              </w:rPr>
            </w:pPr>
            <w:r>
              <w:rPr>
                <w:rFonts w:ascii="Times New Roman" w:cs="Times New Roman" w:eastAsia="Times New Roman" w:hAnsi="Times New Roman"/>
                <w:sz w:val="14"/>
                <w:szCs w:val="14"/>
                <w:b w:val="1"/>
                <w:bCs w:val="1"/>
                <w:color w:val="auto"/>
              </w:rPr>
              <w:t>For the six months</w:t>
            </w:r>
          </w:p>
        </w:tc>
        <w:tc>
          <w:tcPr>
            <w:tcW w:w="16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 year ended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ended June 30,</w:t>
            </w:r>
          </w:p>
        </w:tc>
        <w:tc>
          <w:tcPr>
            <w:tcW w:w="9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00" w:type="dxa"/>
            <w:vAlign w:val="bottom"/>
            <w:tcBorders>
              <w:bottom w:val="single" w:sz="8" w:color="CCEEFF"/>
            </w:tcBorders>
          </w:tcPr>
          <w:p>
            <w:pPr>
              <w:spacing w:after="0"/>
              <w:rPr>
                <w:sz w:val="12"/>
                <w:szCs w:val="12"/>
                <w:color w:val="auto"/>
              </w:rPr>
            </w:pPr>
          </w:p>
        </w:tc>
        <w:tc>
          <w:tcPr>
            <w:tcW w:w="420" w:type="dxa"/>
            <w:vAlign w:val="bottom"/>
            <w:tcBorders>
              <w:bottom w:val="single" w:sz="8" w:color="CCEEFF"/>
            </w:tcBorders>
          </w:tcPr>
          <w:p>
            <w:pPr>
              <w:spacing w:after="0"/>
              <w:rPr>
                <w:sz w:val="12"/>
                <w:szCs w:val="12"/>
                <w:color w:val="auto"/>
              </w:rPr>
            </w:pPr>
          </w:p>
        </w:tc>
        <w:tc>
          <w:tcPr>
            <w:tcW w:w="1100" w:type="dxa"/>
            <w:vAlign w:val="bottom"/>
            <w:tcBorders>
              <w:top w:val="single" w:sz="8" w:color="auto"/>
              <w:bottom w:val="single" w:sz="8" w:color="auto"/>
            </w:tcBorders>
          </w:tcPr>
          <w:p>
            <w:pPr>
              <w:jc w:val="right"/>
              <w:ind w:right="338"/>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720" w:type="dxa"/>
            <w:vAlign w:val="bottom"/>
            <w:tcBorders>
              <w:top w:val="single" w:sz="8" w:color="auto"/>
              <w:bottom w:val="single" w:sz="8" w:color="CCEEFF"/>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51"/>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38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116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2021</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1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Statement of loss</w:t>
            </w:r>
          </w:p>
        </w:tc>
        <w:tc>
          <w:tcPr>
            <w:tcW w:w="4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720" w:type="dxa"/>
            <w:vAlign w:val="bottom"/>
            <w:tcBorders>
              <w:right w:val="single" w:sz="8" w:color="CCEEFF"/>
            </w:tcBorders>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Revenue</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1,041,297</w:t>
            </w:r>
          </w:p>
        </w:tc>
        <w:tc>
          <w:tcPr>
            <w:tcW w:w="7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534,779</w:t>
            </w:r>
          </w:p>
        </w:tc>
        <w:tc>
          <w:tcPr>
            <w:tcW w:w="380" w:type="dxa"/>
            <w:vAlign w:val="bottom"/>
          </w:tcPr>
          <w:p>
            <w:pPr>
              <w:spacing w:after="0"/>
              <w:rPr>
                <w:sz w:val="18"/>
                <w:szCs w:val="18"/>
                <w:color w:val="auto"/>
              </w:rPr>
            </w:pP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1,337,181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Cost of sales</w:t>
            </w:r>
          </w:p>
        </w:tc>
        <w:tc>
          <w:tcPr>
            <w:tcW w:w="2240" w:type="dxa"/>
            <w:vAlign w:val="bottom"/>
            <w:tcBorders>
              <w:right w:val="single" w:sz="8" w:color="CCEEFF"/>
            </w:tcBorders>
            <w:gridSpan w:val="3"/>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(987,881)</w:t>
            </w:r>
          </w:p>
        </w:tc>
        <w:tc>
          <w:tcPr>
            <w:tcW w:w="12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(498,966)</w:t>
            </w:r>
          </w:p>
        </w:tc>
        <w:tc>
          <w:tcPr>
            <w:tcW w:w="16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(1,336,321)</w:t>
            </w:r>
          </w:p>
        </w:tc>
        <w:tc>
          <w:tcPr>
            <w:tcW w:w="0" w:type="dxa"/>
            <w:vAlign w:val="bottom"/>
          </w:tcPr>
          <w:p>
            <w:pPr>
              <w:spacing w:after="0"/>
              <w:rPr>
                <w:sz w:val="1"/>
                <w:szCs w:val="1"/>
                <w:color w:val="auto"/>
              </w:rPr>
            </w:pPr>
          </w:p>
        </w:tc>
      </w:tr>
      <w:tr>
        <w:trPr>
          <w:trHeight w:val="223"/>
        </w:trPr>
        <w:tc>
          <w:tcPr>
            <w:tcW w:w="4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420" w:type="dxa"/>
            <w:vAlign w:val="bottom"/>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53,416</w:t>
            </w:r>
          </w:p>
        </w:tc>
        <w:tc>
          <w:tcPr>
            <w:tcW w:w="720" w:type="dxa"/>
            <w:vAlign w:val="bottom"/>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35,813</w:t>
            </w: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860</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ind w:left="340"/>
              <w:spacing w:after="0" w:line="216" w:lineRule="exact"/>
              <w:rPr>
                <w:sz w:val="20"/>
                <w:szCs w:val="20"/>
                <w:color w:val="auto"/>
              </w:rPr>
            </w:pPr>
            <w:r>
              <w:rPr>
                <w:rFonts w:ascii="Times New Roman" w:cs="Times New Roman" w:eastAsia="Times New Roman" w:hAnsi="Times New Roman"/>
                <w:sz w:val="17"/>
                <w:szCs w:val="17"/>
                <w:color w:val="auto"/>
              </w:rPr>
              <w:t>Operating expenses</w:t>
            </w:r>
            <w:r>
              <w:rPr>
                <w:rFonts w:ascii="Times New Roman" w:cs="Times New Roman" w:eastAsia="Times New Roman" w:hAnsi="Times New Roman"/>
                <w:sz w:val="25"/>
                <w:szCs w:val="25"/>
                <w:color w:val="auto"/>
                <w:vertAlign w:val="superscript"/>
              </w:rPr>
              <w:t>1</w:t>
            </w:r>
          </w:p>
        </w:tc>
        <w:tc>
          <w:tcPr>
            <w:tcW w:w="2240" w:type="dxa"/>
            <w:vAlign w:val="bottom"/>
            <w:tcBorders>
              <w:right w:val="single" w:sz="8" w:color="CCEEFF"/>
            </w:tcBorders>
            <w:gridSpan w:val="3"/>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(938,596)</w:t>
            </w:r>
          </w:p>
        </w:tc>
        <w:tc>
          <w:tcPr>
            <w:tcW w:w="12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(400,494)</w:t>
            </w:r>
          </w:p>
        </w:tc>
        <w:tc>
          <w:tcPr>
            <w:tcW w:w="16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(995,699)</w:t>
            </w:r>
          </w:p>
        </w:tc>
        <w:tc>
          <w:tcPr>
            <w:tcW w:w="0" w:type="dxa"/>
            <w:vAlign w:val="bottom"/>
          </w:tcPr>
          <w:p>
            <w:pPr>
              <w:spacing w:after="0"/>
              <w:rPr>
                <w:sz w:val="1"/>
                <w:szCs w:val="1"/>
                <w:color w:val="auto"/>
              </w:rPr>
            </w:pPr>
          </w:p>
        </w:tc>
      </w:tr>
      <w:tr>
        <w:trPr>
          <w:trHeight w:val="223"/>
        </w:trPr>
        <w:tc>
          <w:tcPr>
            <w:tcW w:w="4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420" w:type="dxa"/>
            <w:vAlign w:val="bottom"/>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(885,180)</w:t>
            </w:r>
          </w:p>
        </w:tc>
        <w:tc>
          <w:tcPr>
            <w:tcW w:w="720" w:type="dxa"/>
            <w:vAlign w:val="bottom"/>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(364,681)</w:t>
            </w: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(994,839)</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Finance income and expense, net</w:t>
            </w: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389,585</w:t>
            </w:r>
          </w:p>
        </w:tc>
        <w:tc>
          <w:tcPr>
            <w:tcW w:w="720" w:type="dxa"/>
            <w:vAlign w:val="bottom"/>
            <w:tcBorders>
              <w:right w:val="single" w:sz="8" w:color="CCEEFF"/>
            </w:tcBorders>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2,819</w:t>
            </w:r>
          </w:p>
        </w:tc>
        <w:tc>
          <w:tcPr>
            <w:tcW w:w="380" w:type="dxa"/>
            <w:vAlign w:val="bottom"/>
            <w:shd w:val="clear" w:color="auto" w:fill="CCEEFF"/>
          </w:tcPr>
          <w:p>
            <w:pPr>
              <w:spacing w:after="0"/>
              <w:rPr>
                <w:sz w:val="18"/>
                <w:szCs w:val="18"/>
                <w:color w:val="auto"/>
              </w:rPr>
            </w:pPr>
          </w:p>
        </w:tc>
        <w:tc>
          <w:tcPr>
            <w:tcW w:w="16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(12,279)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Income tax expense</w:t>
            </w:r>
          </w:p>
        </w:tc>
        <w:tc>
          <w:tcPr>
            <w:tcW w:w="420" w:type="dxa"/>
            <w:vAlign w:val="bottom"/>
          </w:tcPr>
          <w:p>
            <w:pPr>
              <w:spacing w:after="0"/>
              <w:rPr>
                <w:sz w:val="18"/>
                <w:szCs w:val="18"/>
                <w:color w:val="auto"/>
              </w:rPr>
            </w:pPr>
          </w:p>
        </w:tc>
        <w:tc>
          <w:tcPr>
            <w:tcW w:w="182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(7,139)</w:t>
            </w:r>
          </w:p>
        </w:tc>
        <w:tc>
          <w:tcPr>
            <w:tcW w:w="12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(6,357)</w:t>
            </w:r>
          </w:p>
        </w:tc>
        <w:tc>
          <w:tcPr>
            <w:tcW w:w="16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(336)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720" w:type="dxa"/>
            <w:vAlign w:val="bottom"/>
            <w:tcBorders>
              <w:right w:val="single" w:sz="8" w:color="auto"/>
            </w:tcBorders>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420" w:type="dxa"/>
            <w:vAlign w:val="bottom"/>
            <w:shd w:val="clear" w:color="auto" w:fill="CCEEFF"/>
          </w:tcPr>
          <w:p>
            <w:pPr>
              <w:spacing w:after="0"/>
              <w:rPr>
                <w:sz w:val="18"/>
                <w:szCs w:val="18"/>
                <w:color w:val="auto"/>
              </w:rPr>
            </w:pPr>
          </w:p>
        </w:tc>
        <w:tc>
          <w:tcPr>
            <w:tcW w:w="1820" w:type="dxa"/>
            <w:vAlign w:val="bottom"/>
            <w:tcBorders>
              <w:right w:val="single" w:sz="8" w:color="CCEEFF"/>
            </w:tcBorders>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(502,734)</w:t>
            </w:r>
          </w:p>
        </w:tc>
        <w:tc>
          <w:tcPr>
            <w:tcW w:w="12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(368,219)</w:t>
            </w:r>
          </w:p>
        </w:tc>
        <w:tc>
          <w:tcPr>
            <w:tcW w:w="16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(1,007,454)</w:t>
            </w:r>
          </w:p>
        </w:tc>
        <w:tc>
          <w:tcPr>
            <w:tcW w:w="0" w:type="dxa"/>
            <w:vAlign w:val="bottom"/>
          </w:tcPr>
          <w:p>
            <w:pPr>
              <w:spacing w:after="0"/>
              <w:rPr>
                <w:sz w:val="1"/>
                <w:szCs w:val="1"/>
                <w:color w:val="auto"/>
              </w:rPr>
            </w:pPr>
          </w:p>
        </w:tc>
      </w:tr>
      <w:tr>
        <w:trPr>
          <w:trHeight w:val="324"/>
        </w:trPr>
        <w:tc>
          <w:tcPr>
            <w:tcW w:w="4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Statement of financial position</w:t>
            </w:r>
          </w:p>
        </w:tc>
        <w:tc>
          <w:tcPr>
            <w:tcW w:w="4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1,381,637</w:t>
            </w:r>
          </w:p>
        </w:tc>
        <w:tc>
          <w:tcPr>
            <w:tcW w:w="720" w:type="dxa"/>
            <w:vAlign w:val="bottom"/>
            <w:tcBorders>
              <w:right w:val="single" w:sz="8" w:color="CCEEFF"/>
            </w:tcBorders>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465,747</w:t>
            </w:r>
          </w:p>
        </w:tc>
        <w:tc>
          <w:tcPr>
            <w:tcW w:w="3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756,677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assets</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3,620,869</w:t>
            </w:r>
          </w:p>
        </w:tc>
        <w:tc>
          <w:tcPr>
            <w:tcW w:w="7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2,520,746</w:t>
            </w:r>
          </w:p>
        </w:tc>
        <w:tc>
          <w:tcPr>
            <w:tcW w:w="380" w:type="dxa"/>
            <w:vAlign w:val="bottom"/>
          </w:tcPr>
          <w:p>
            <w:pPr>
              <w:spacing w:after="0"/>
              <w:rPr>
                <w:sz w:val="18"/>
                <w:szCs w:val="18"/>
                <w:color w:val="auto"/>
              </w:rPr>
            </w:pP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3,309,693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equity</w:t>
            </w: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169,951</w:t>
            </w:r>
          </w:p>
        </w:tc>
        <w:tc>
          <w:tcPr>
            <w:tcW w:w="720" w:type="dxa"/>
            <w:vAlign w:val="bottom"/>
            <w:tcBorders>
              <w:right w:val="single" w:sz="8" w:color="CCEEFF"/>
            </w:tcBorders>
            <w:shd w:val="clear" w:color="auto" w:fill="CCEEFF"/>
          </w:tcPr>
          <w:p>
            <w:pPr>
              <w:spacing w:after="0"/>
              <w:rPr>
                <w:sz w:val="18"/>
                <w:szCs w:val="18"/>
                <w:color w:val="auto"/>
              </w:rPr>
            </w:pPr>
          </w:p>
        </w:tc>
        <w:tc>
          <w:tcPr>
            <w:tcW w:w="12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(744,200)</w:t>
            </w:r>
          </w:p>
        </w:tc>
        <w:tc>
          <w:tcPr>
            <w:tcW w:w="16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(122,496)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liabilities</w:t>
            </w:r>
          </w:p>
        </w:tc>
        <w:tc>
          <w:tcPr>
            <w:tcW w:w="2240" w:type="dxa"/>
            <w:vAlign w:val="bottom"/>
            <w:gridSpan w:val="3"/>
          </w:tcPr>
          <w:p>
            <w:pPr>
              <w:jc w:val="right"/>
              <w:ind w:right="680"/>
              <w:spacing w:after="0"/>
              <w:rPr>
                <w:sz w:val="20"/>
                <w:szCs w:val="20"/>
                <w:color w:val="auto"/>
              </w:rPr>
            </w:pPr>
            <w:r>
              <w:rPr>
                <w:rFonts w:ascii="Times New Roman" w:cs="Times New Roman" w:eastAsia="Times New Roman" w:hAnsi="Times New Roman"/>
                <w:sz w:val="18"/>
                <w:szCs w:val="18"/>
                <w:color w:val="auto"/>
              </w:rPr>
              <w:t>(3,790,820)</w:t>
            </w:r>
          </w:p>
        </w:tc>
        <w:tc>
          <w:tcPr>
            <w:tcW w:w="12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(1,776,546)</w:t>
            </w:r>
          </w:p>
        </w:tc>
        <w:tc>
          <w:tcPr>
            <w:tcW w:w="16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(3,187,197)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Statement of cash flows</w:t>
            </w:r>
          </w:p>
        </w:tc>
        <w:tc>
          <w:tcPr>
            <w:tcW w:w="4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Cash used for operating activities</w:t>
            </w:r>
          </w:p>
        </w:tc>
        <w:tc>
          <w:tcPr>
            <w:tcW w:w="2240" w:type="dxa"/>
            <w:vAlign w:val="bottom"/>
            <w:gridSpan w:val="3"/>
          </w:tcPr>
          <w:p>
            <w:pPr>
              <w:jc w:val="right"/>
              <w:ind w:right="680"/>
              <w:spacing w:after="0"/>
              <w:rPr>
                <w:sz w:val="20"/>
                <w:szCs w:val="20"/>
                <w:color w:val="auto"/>
              </w:rPr>
            </w:pPr>
            <w:r>
              <w:rPr>
                <w:rFonts w:ascii="Times New Roman" w:cs="Times New Roman" w:eastAsia="Times New Roman" w:hAnsi="Times New Roman"/>
                <w:sz w:val="18"/>
                <w:szCs w:val="18"/>
                <w:color w:val="auto"/>
              </w:rPr>
              <w:t>(401,926)</w:t>
            </w:r>
          </w:p>
        </w:tc>
        <w:tc>
          <w:tcPr>
            <w:tcW w:w="12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(112,940)</w:t>
            </w:r>
          </w:p>
        </w:tc>
        <w:tc>
          <w:tcPr>
            <w:tcW w:w="16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(312,156)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used for investing activities</w:t>
            </w:r>
          </w:p>
        </w:tc>
        <w:tc>
          <w:tcPr>
            <w:tcW w:w="2240" w:type="dxa"/>
            <w:vAlign w:val="bottom"/>
            <w:tcBorders>
              <w:right w:val="single" w:sz="8" w:color="CCEEFF"/>
            </w:tcBorders>
            <w:gridSpan w:val="3"/>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(514,405)</w:t>
            </w:r>
          </w:p>
        </w:tc>
        <w:tc>
          <w:tcPr>
            <w:tcW w:w="12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(58,789)</w:t>
            </w:r>
          </w:p>
        </w:tc>
        <w:tc>
          <w:tcPr>
            <w:tcW w:w="16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(129,672)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Cash provided by financing activities</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1,574,278</w:t>
            </w:r>
          </w:p>
        </w:tc>
        <w:tc>
          <w:tcPr>
            <w:tcW w:w="7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328,049</w:t>
            </w:r>
          </w:p>
        </w:tc>
        <w:tc>
          <w:tcPr>
            <w:tcW w:w="380" w:type="dxa"/>
            <w:vAlign w:val="bottom"/>
          </w:tcPr>
          <w:p>
            <w:pPr>
              <w:spacing w:after="0"/>
              <w:rPr>
                <w:sz w:val="18"/>
                <w:szCs w:val="18"/>
                <w:color w:val="auto"/>
              </w:rPr>
            </w:pP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909,572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Key metrics</w:t>
            </w:r>
          </w:p>
        </w:tc>
        <w:tc>
          <w:tcPr>
            <w:tcW w:w="4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Class A and B shares outstanding at period end</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2,109,034,797</w:t>
            </w:r>
          </w:p>
        </w:tc>
        <w:tc>
          <w:tcPr>
            <w:tcW w:w="7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232,404,595</w:t>
            </w:r>
          </w:p>
        </w:tc>
        <w:tc>
          <w:tcPr>
            <w:tcW w:w="380" w:type="dxa"/>
            <w:vAlign w:val="bottom"/>
          </w:tcPr>
          <w:p>
            <w:pPr>
              <w:spacing w:after="0"/>
              <w:rPr>
                <w:sz w:val="18"/>
                <w:szCs w:val="18"/>
                <w:color w:val="auto"/>
              </w:rPr>
            </w:pP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232,404,595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ind w:left="340"/>
              <w:spacing w:after="0" w:line="216" w:lineRule="exact"/>
              <w:rPr>
                <w:sz w:val="20"/>
                <w:szCs w:val="20"/>
                <w:color w:val="auto"/>
              </w:rPr>
            </w:pPr>
            <w:r>
              <w:rPr>
                <w:rFonts w:ascii="Times New Roman" w:cs="Times New Roman" w:eastAsia="Times New Roman" w:hAnsi="Times New Roman"/>
                <w:sz w:val="17"/>
                <w:szCs w:val="17"/>
                <w:color w:val="auto"/>
              </w:rPr>
              <w:t>Share price at period end</w:t>
            </w:r>
            <w:r>
              <w:rPr>
                <w:rFonts w:ascii="Times New Roman" w:cs="Times New Roman" w:eastAsia="Times New Roman" w:hAnsi="Times New Roman"/>
                <w:sz w:val="25"/>
                <w:szCs w:val="25"/>
                <w:color w:val="auto"/>
                <w:vertAlign w:val="superscript"/>
              </w:rPr>
              <w:t>2</w:t>
            </w: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8.81</w:t>
            </w:r>
          </w:p>
        </w:tc>
        <w:tc>
          <w:tcPr>
            <w:tcW w:w="720" w:type="dxa"/>
            <w:vAlign w:val="bottom"/>
            <w:tcBorders>
              <w:right w:val="single" w:sz="8" w:color="CCEEFF"/>
            </w:tcBorders>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w:t>
            </w:r>
          </w:p>
        </w:tc>
        <w:tc>
          <w:tcPr>
            <w:tcW w:w="3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2240" w:type="dxa"/>
            <w:vAlign w:val="bottom"/>
            <w:gridSpan w:val="3"/>
          </w:tcPr>
          <w:p>
            <w:pPr>
              <w:jc w:val="right"/>
              <w:ind w:right="680"/>
              <w:spacing w:after="0"/>
              <w:rPr>
                <w:sz w:val="20"/>
                <w:szCs w:val="20"/>
                <w:color w:val="auto"/>
              </w:rPr>
            </w:pPr>
            <w:r>
              <w:rPr>
                <w:rFonts w:ascii="Times New Roman" w:cs="Times New Roman" w:eastAsia="Times New Roman" w:hAnsi="Times New Roman"/>
                <w:sz w:val="18"/>
                <w:szCs w:val="18"/>
                <w:color w:val="auto"/>
              </w:rPr>
              <w:t>(1.65)</w:t>
            </w:r>
          </w:p>
        </w:tc>
        <w:tc>
          <w:tcPr>
            <w:tcW w:w="12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(1.63)</w:t>
            </w:r>
          </w:p>
        </w:tc>
        <w:tc>
          <w:tcPr>
            <w:tcW w:w="16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(4.39)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ind w:left="340"/>
              <w:spacing w:after="0" w:line="216" w:lineRule="exact"/>
              <w:rPr>
                <w:sz w:val="20"/>
                <w:szCs w:val="20"/>
                <w:color w:val="auto"/>
              </w:rPr>
            </w:pPr>
            <w:r>
              <w:rPr>
                <w:rFonts w:ascii="Times New Roman" w:cs="Times New Roman" w:eastAsia="Times New Roman" w:hAnsi="Times New Roman"/>
                <w:sz w:val="17"/>
                <w:szCs w:val="17"/>
                <w:color w:val="auto"/>
              </w:rPr>
              <w:t>Equity ratio</w:t>
            </w:r>
            <w:r>
              <w:rPr>
                <w:rFonts w:ascii="Times New Roman" w:cs="Times New Roman" w:eastAsia="Times New Roman" w:hAnsi="Times New Roman"/>
                <w:sz w:val="25"/>
                <w:szCs w:val="25"/>
                <w:color w:val="auto"/>
                <w:vertAlign w:val="superscript"/>
              </w:rPr>
              <w:t>3</w:t>
            </w:r>
          </w:p>
        </w:tc>
        <w:tc>
          <w:tcPr>
            <w:tcW w:w="2240" w:type="dxa"/>
            <w:vAlign w:val="bottom"/>
            <w:tcBorders>
              <w:right w:val="single" w:sz="8" w:color="CCEEFF"/>
            </w:tcBorders>
            <w:gridSpan w:val="3"/>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(4.69)%</w:t>
            </w: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29.52%</w:t>
            </w:r>
          </w:p>
        </w:tc>
        <w:tc>
          <w:tcPr>
            <w:tcW w:w="16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3.70%</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1520" w:type="dxa"/>
            <w:vAlign w:val="bottom"/>
            <w:gridSpan w:val="2"/>
          </w:tcPr>
          <w:p>
            <w:pPr>
              <w:jc w:val="right"/>
              <w:ind w:right="798"/>
              <w:spacing w:after="0"/>
              <w:rPr>
                <w:sz w:val="20"/>
                <w:szCs w:val="20"/>
                <w:color w:val="auto"/>
              </w:rPr>
            </w:pPr>
            <w:r>
              <w:rPr>
                <w:rFonts w:ascii="Times New Roman" w:cs="Times New Roman" w:eastAsia="Times New Roman" w:hAnsi="Times New Roman"/>
                <w:sz w:val="18"/>
                <w:szCs w:val="18"/>
                <w:color w:val="auto"/>
              </w:rPr>
              <w:t>107</w:t>
            </w:r>
          </w:p>
        </w:tc>
        <w:tc>
          <w:tcPr>
            <w:tcW w:w="7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55" w:right="49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91"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4700" w:type="dxa"/>
            <w:vAlign w:val="bottom"/>
          </w:tcPr>
          <w:p>
            <w:pPr>
              <w:spacing w:after="0"/>
              <w:rPr>
                <w:sz w:val="13"/>
                <w:szCs w:val="13"/>
                <w:color w:val="auto"/>
              </w:rPr>
            </w:pPr>
          </w:p>
        </w:tc>
        <w:tc>
          <w:tcPr>
            <w:tcW w:w="2520" w:type="dxa"/>
            <w:vAlign w:val="bottom"/>
            <w:gridSpan w:val="5"/>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For the six months</w:t>
            </w:r>
          </w:p>
        </w:tc>
        <w:tc>
          <w:tcPr>
            <w:tcW w:w="20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For the year ended</w:t>
            </w:r>
          </w:p>
        </w:tc>
      </w:tr>
      <w:tr>
        <w:trPr>
          <w:trHeight w:val="173"/>
        </w:trPr>
        <w:tc>
          <w:tcPr>
            <w:tcW w:w="4700" w:type="dxa"/>
            <w:vAlign w:val="bottom"/>
          </w:tcPr>
          <w:p>
            <w:pPr>
              <w:spacing w:after="0"/>
              <w:rPr>
                <w:sz w:val="15"/>
                <w:szCs w:val="15"/>
                <w:color w:val="auto"/>
              </w:rPr>
            </w:pPr>
          </w:p>
        </w:tc>
        <w:tc>
          <w:tcPr>
            <w:tcW w:w="1520" w:type="dxa"/>
            <w:vAlign w:val="bottom"/>
            <w:gridSpan w:val="3"/>
          </w:tcPr>
          <w:p>
            <w:pPr>
              <w:jc w:val="center"/>
              <w:ind w:left="475"/>
              <w:spacing w:after="0"/>
              <w:rPr>
                <w:sz w:val="20"/>
                <w:szCs w:val="20"/>
                <w:color w:val="auto"/>
              </w:rPr>
            </w:pPr>
            <w:r>
              <w:rPr>
                <w:rFonts w:ascii="Times New Roman" w:cs="Times New Roman" w:eastAsia="Times New Roman" w:hAnsi="Times New Roman"/>
                <w:sz w:val="14"/>
                <w:szCs w:val="14"/>
                <w:b w:val="1"/>
                <w:bCs w:val="1"/>
                <w:color w:val="auto"/>
              </w:rPr>
              <w:t>ended June 30,</w:t>
            </w:r>
          </w:p>
        </w:tc>
        <w:tc>
          <w:tcPr>
            <w:tcW w:w="5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42"/>
        </w:trPr>
        <w:tc>
          <w:tcPr>
            <w:tcW w:w="4700" w:type="dxa"/>
            <w:vAlign w:val="bottom"/>
            <w:tcBorders>
              <w:bottom w:val="single" w:sz="8" w:color="CCEEFF"/>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35"/>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44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52"/>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440" w:type="dxa"/>
            <w:vAlign w:val="bottom"/>
            <w:tcBorders>
              <w:bottom w:val="single" w:sz="8" w:color="CCEEFF"/>
            </w:tcBorders>
          </w:tcPr>
          <w:p>
            <w:pPr>
              <w:spacing w:after="0"/>
              <w:rPr>
                <w:sz w:val="12"/>
                <w:szCs w:val="12"/>
                <w:color w:val="auto"/>
              </w:rPr>
            </w:pPr>
          </w:p>
        </w:tc>
        <w:tc>
          <w:tcPr>
            <w:tcW w:w="194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2"/>
                <w:szCs w:val="12"/>
                <w:color w:val="auto"/>
              </w:rPr>
            </w:pPr>
          </w:p>
        </w:tc>
      </w:tr>
      <w:tr>
        <w:trPr>
          <w:trHeight w:val="210"/>
        </w:trPr>
        <w:tc>
          <w:tcPr>
            <w:tcW w:w="4700" w:type="dxa"/>
            <w:vAlign w:val="bottom"/>
            <w:shd w:val="clear" w:color="auto" w:fill="CCEEFF"/>
          </w:tcPr>
          <w:p>
            <w:pPr>
              <w:ind w:left="360"/>
              <w:spacing w:after="0" w:line="210" w:lineRule="exact"/>
              <w:rPr>
                <w:sz w:val="20"/>
                <w:szCs w:val="20"/>
                <w:color w:val="auto"/>
              </w:rPr>
            </w:pPr>
            <w:r>
              <w:rPr>
                <w:rFonts w:ascii="Times New Roman" w:cs="Times New Roman" w:eastAsia="Times New Roman" w:hAnsi="Times New Roman"/>
                <w:sz w:val="17"/>
                <w:szCs w:val="17"/>
                <w:color w:val="auto"/>
              </w:rPr>
              <w:t>Global volumes</w:t>
            </w:r>
            <w:r>
              <w:rPr>
                <w:rFonts w:ascii="Times New Roman" w:cs="Times New Roman" w:eastAsia="Times New Roman" w:hAnsi="Times New Roman"/>
                <w:sz w:val="24"/>
                <w:szCs w:val="24"/>
                <w:color w:val="auto"/>
                <w:vertAlign w:val="superscript"/>
              </w:rPr>
              <w:t>4</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21,185</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9,510</w:t>
            </w:r>
          </w:p>
        </w:tc>
        <w:tc>
          <w:tcPr>
            <w:tcW w:w="440" w:type="dxa"/>
            <w:vAlign w:val="bottom"/>
            <w:shd w:val="clear" w:color="auto" w:fill="CCEEFF"/>
          </w:tcPr>
          <w:p>
            <w:pPr>
              <w:spacing w:after="0"/>
              <w:rPr>
                <w:sz w:val="18"/>
                <w:szCs w:val="18"/>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28,677</w:t>
            </w:r>
          </w:p>
        </w:tc>
        <w:tc>
          <w:tcPr>
            <w:tcW w:w="100" w:type="dxa"/>
            <w:vAlign w:val="bottom"/>
            <w:shd w:val="clear" w:color="auto" w:fill="CCEEFF"/>
          </w:tcPr>
          <w:p>
            <w:pPr>
              <w:spacing w:after="0"/>
              <w:rPr>
                <w:sz w:val="18"/>
                <w:szCs w:val="18"/>
                <w:color w:val="auto"/>
              </w:rPr>
            </w:pPr>
          </w:p>
        </w:tc>
      </w:tr>
      <w:tr>
        <w:trPr>
          <w:trHeight w:val="198"/>
        </w:trPr>
        <w:tc>
          <w:tcPr>
            <w:tcW w:w="4700" w:type="dxa"/>
            <w:vAlign w:val="bottom"/>
          </w:tcPr>
          <w:p>
            <w:pPr>
              <w:ind w:left="720"/>
              <w:spacing w:after="0" w:line="198" w:lineRule="exact"/>
              <w:rPr>
                <w:sz w:val="20"/>
                <w:szCs w:val="20"/>
                <w:color w:val="auto"/>
              </w:rPr>
            </w:pPr>
            <w:r>
              <w:rPr>
                <w:rFonts w:ascii="Times New Roman" w:cs="Times New Roman" w:eastAsia="Times New Roman" w:hAnsi="Times New Roman"/>
                <w:sz w:val="18"/>
                <w:szCs w:val="18"/>
                <w:color w:val="auto"/>
              </w:rPr>
              <w:t>Volume of external vehicles without repurchase</w:t>
            </w:r>
          </w:p>
        </w:tc>
        <w:tc>
          <w:tcPr>
            <w:tcW w:w="9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470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obligations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19,614</w:t>
            </w: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8,848</w:t>
            </w:r>
          </w:p>
        </w:tc>
        <w:tc>
          <w:tcPr>
            <w:tcW w:w="440" w:type="dxa"/>
            <w:vAlign w:val="bottom"/>
          </w:tcPr>
          <w:p>
            <w:pPr>
              <w:spacing w:after="0"/>
              <w:rPr>
                <w:sz w:val="20"/>
                <w:szCs w:val="20"/>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23,760</w:t>
            </w:r>
          </w:p>
        </w:tc>
        <w:tc>
          <w:tcPr>
            <w:tcW w:w="100" w:type="dxa"/>
            <w:vAlign w:val="bottom"/>
          </w:tcPr>
          <w:p>
            <w:pPr>
              <w:spacing w:after="0"/>
              <w:rPr>
                <w:sz w:val="20"/>
                <w:szCs w:val="20"/>
                <w:color w:val="auto"/>
              </w:rPr>
            </w:pPr>
          </w:p>
        </w:tc>
      </w:tr>
      <w:tr>
        <w:trPr>
          <w:trHeight w:val="198"/>
        </w:trPr>
        <w:tc>
          <w:tcPr>
            <w:tcW w:w="4700" w:type="dxa"/>
            <w:vAlign w:val="bottom"/>
            <w:shd w:val="clear" w:color="auto" w:fill="CCEEFF"/>
          </w:tcPr>
          <w:p>
            <w:pPr>
              <w:ind w:left="720"/>
              <w:spacing w:after="0" w:line="198" w:lineRule="exact"/>
              <w:rPr>
                <w:sz w:val="20"/>
                <w:szCs w:val="20"/>
                <w:color w:val="auto"/>
              </w:rPr>
            </w:pPr>
            <w:r>
              <w:rPr>
                <w:rFonts w:ascii="Times New Roman" w:cs="Times New Roman" w:eastAsia="Times New Roman" w:hAnsi="Times New Roman"/>
                <w:sz w:val="18"/>
                <w:szCs w:val="18"/>
                <w:color w:val="auto"/>
              </w:rPr>
              <w:t>Volume of external vehicles with repurchase</w:t>
            </w:r>
          </w:p>
        </w:tc>
        <w:tc>
          <w:tcPr>
            <w:tcW w:w="9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470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obligations</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w:t>
            </w:r>
          </w:p>
        </w:tc>
        <w:tc>
          <w:tcPr>
            <w:tcW w:w="4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440" w:type="dxa"/>
            <w:vAlign w:val="bottom"/>
            <w:shd w:val="clear" w:color="auto" w:fill="CCEEFF"/>
          </w:tcPr>
          <w:p>
            <w:pPr>
              <w:spacing w:after="0"/>
              <w:rPr>
                <w:sz w:val="20"/>
                <w:szCs w:val="20"/>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2,836</w:t>
            </w:r>
          </w:p>
        </w:tc>
        <w:tc>
          <w:tcPr>
            <w:tcW w:w="100" w:type="dxa"/>
            <w:vAlign w:val="bottom"/>
            <w:shd w:val="clear" w:color="auto" w:fill="CCEEFF"/>
          </w:tcPr>
          <w:p>
            <w:pPr>
              <w:spacing w:after="0"/>
              <w:rPr>
                <w:sz w:val="20"/>
                <w:szCs w:val="20"/>
                <w:color w:val="auto"/>
              </w:rPr>
            </w:pPr>
          </w:p>
        </w:tc>
      </w:tr>
      <w:tr>
        <w:trPr>
          <w:trHeight w:val="216"/>
        </w:trPr>
        <w:tc>
          <w:tcPr>
            <w:tcW w:w="47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Volume of internal vehicles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841</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w:t>
            </w:r>
          </w:p>
        </w:tc>
        <w:tc>
          <w:tcPr>
            <w:tcW w:w="44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2,081</w:t>
            </w:r>
          </w:p>
        </w:tc>
        <w:tc>
          <w:tcPr>
            <w:tcW w:w="100" w:type="dxa"/>
            <w:vAlign w:val="bottom"/>
          </w:tcPr>
          <w:p>
            <w:pPr>
              <w:spacing w:after="0"/>
              <w:rPr>
                <w:sz w:val="18"/>
                <w:szCs w:val="18"/>
                <w:color w:val="auto"/>
              </w:rPr>
            </w:pPr>
          </w:p>
        </w:tc>
      </w:tr>
      <w:tr>
        <w:trPr>
          <w:trHeight w:val="216"/>
        </w:trPr>
        <w:tc>
          <w:tcPr>
            <w:tcW w:w="4700" w:type="dxa"/>
            <w:vAlign w:val="bottom"/>
            <w:shd w:val="clear" w:color="auto" w:fill="CCEEFF"/>
          </w:tcPr>
          <w:p>
            <w:pPr>
              <w:ind w:left="360"/>
              <w:spacing w:after="0" w:line="216" w:lineRule="exact"/>
              <w:rPr>
                <w:sz w:val="20"/>
                <w:szCs w:val="20"/>
                <w:color w:val="auto"/>
              </w:rPr>
            </w:pPr>
            <w:r>
              <w:rPr>
                <w:rFonts w:ascii="Times New Roman" w:cs="Times New Roman" w:eastAsia="Times New Roman" w:hAnsi="Times New Roman"/>
                <w:sz w:val="17"/>
                <w:szCs w:val="17"/>
                <w:color w:val="auto"/>
              </w:rPr>
              <w:t>Markets</w:t>
            </w:r>
            <w:r>
              <w:rPr>
                <w:rFonts w:ascii="Times New Roman" w:cs="Times New Roman" w:eastAsia="Times New Roman" w:hAnsi="Times New Roman"/>
                <w:sz w:val="25"/>
                <w:szCs w:val="25"/>
                <w:color w:val="auto"/>
                <w:vertAlign w:val="superscript"/>
              </w:rPr>
              <w:t>5</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440" w:type="dxa"/>
            <w:vAlign w:val="bottom"/>
            <w:shd w:val="clear" w:color="auto" w:fill="CCEEFF"/>
          </w:tcPr>
          <w:p>
            <w:pPr>
              <w:spacing w:after="0"/>
              <w:rPr>
                <w:sz w:val="18"/>
                <w:szCs w:val="18"/>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18"/>
                <w:szCs w:val="18"/>
                <w:color w:val="auto"/>
              </w:rPr>
            </w:pPr>
          </w:p>
        </w:tc>
      </w:tr>
      <w:tr>
        <w:trPr>
          <w:trHeight w:val="216"/>
        </w:trPr>
        <w:tc>
          <w:tcPr>
            <w:tcW w:w="4700" w:type="dxa"/>
            <w:vAlign w:val="bottom"/>
          </w:tcPr>
          <w:p>
            <w:pPr>
              <w:ind w:left="360"/>
              <w:spacing w:after="0" w:line="216" w:lineRule="exact"/>
              <w:rPr>
                <w:sz w:val="20"/>
                <w:szCs w:val="20"/>
                <w:color w:val="auto"/>
              </w:rPr>
            </w:pPr>
            <w:r>
              <w:rPr>
                <w:rFonts w:ascii="Times New Roman" w:cs="Times New Roman" w:eastAsia="Times New Roman" w:hAnsi="Times New Roman"/>
                <w:sz w:val="17"/>
                <w:szCs w:val="17"/>
                <w:color w:val="auto"/>
              </w:rPr>
              <w:t>Locations</w:t>
            </w:r>
            <w:r>
              <w:rPr>
                <w:rFonts w:ascii="Times New Roman" w:cs="Times New Roman" w:eastAsia="Times New Roman" w:hAnsi="Times New Roman"/>
                <w:sz w:val="25"/>
                <w:szCs w:val="25"/>
                <w:color w:val="auto"/>
                <w:vertAlign w:val="superscript"/>
              </w:rPr>
              <w:t>6</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44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Pr>
          <w:p>
            <w:pPr>
              <w:spacing w:after="0"/>
              <w:rPr>
                <w:sz w:val="18"/>
                <w:szCs w:val="18"/>
                <w:color w:val="auto"/>
              </w:rPr>
            </w:pPr>
          </w:p>
        </w:tc>
      </w:tr>
      <w:tr>
        <w:trPr>
          <w:trHeight w:val="216"/>
        </w:trPr>
        <w:tc>
          <w:tcPr>
            <w:tcW w:w="4700" w:type="dxa"/>
            <w:vAlign w:val="bottom"/>
            <w:shd w:val="clear" w:color="auto" w:fill="CCEEFF"/>
          </w:tcPr>
          <w:p>
            <w:pPr>
              <w:ind w:left="360"/>
              <w:spacing w:after="0" w:line="216" w:lineRule="exact"/>
              <w:rPr>
                <w:sz w:val="20"/>
                <w:szCs w:val="20"/>
                <w:color w:val="auto"/>
              </w:rPr>
            </w:pPr>
            <w:r>
              <w:rPr>
                <w:rFonts w:ascii="Times New Roman" w:cs="Times New Roman" w:eastAsia="Times New Roman" w:hAnsi="Times New Roman"/>
                <w:sz w:val="17"/>
                <w:szCs w:val="17"/>
                <w:color w:val="auto"/>
              </w:rPr>
              <w:t>Service points</w:t>
            </w:r>
            <w:r>
              <w:rPr>
                <w:rFonts w:ascii="Times New Roman" w:cs="Times New Roman" w:eastAsia="Times New Roman" w:hAnsi="Times New Roman"/>
                <w:sz w:val="25"/>
                <w:szCs w:val="25"/>
                <w:color w:val="auto"/>
                <w:vertAlign w:val="superscript"/>
              </w:rPr>
              <w:t>7</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934</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w:t>
            </w:r>
          </w:p>
        </w:tc>
        <w:tc>
          <w:tcPr>
            <w:tcW w:w="440" w:type="dxa"/>
            <w:vAlign w:val="bottom"/>
            <w:shd w:val="clear" w:color="auto" w:fill="CCEEFF"/>
          </w:tcPr>
          <w:p>
            <w:pPr>
              <w:spacing w:after="0"/>
              <w:rPr>
                <w:sz w:val="18"/>
                <w:szCs w:val="18"/>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w:t>
            </w:r>
          </w:p>
        </w:tc>
        <w:tc>
          <w:tcPr>
            <w:tcW w:w="100" w:type="dxa"/>
            <w:vAlign w:val="bottom"/>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4" w:lineRule="exact"/>
        <w:rPr>
          <w:sz w:val="20"/>
          <w:szCs w:val="20"/>
          <w:color w:val="auto"/>
        </w:rPr>
      </w:pPr>
    </w:p>
    <w:p>
      <w:pPr>
        <w:ind w:left="660" w:hanging="544"/>
        <w:spacing w:after="0"/>
        <w:tabs>
          <w:tab w:leader="none" w:pos="660"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Included in operating expenses for the six months ended June 30, 2022 is a non-recurring as well as non-cash USD 372.3 million charge relating</w:t>
      </w:r>
    </w:p>
    <w:p>
      <w:pPr>
        <w:spacing w:after="0" w:line="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to listing expenses incurred upon the merger with GGI on June 23, 2022. See also section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Reverse recapitalization.”</w:t>
      </w:r>
    </w:p>
    <w:p>
      <w:pPr>
        <w:spacing w:after="0" w:line="9" w:lineRule="exact"/>
        <w:rPr>
          <w:sz w:val="20"/>
          <w:szCs w:val="20"/>
          <w:color w:val="auto"/>
        </w:rPr>
      </w:pPr>
    </w:p>
    <w:p>
      <w:pPr>
        <w:ind w:left="660" w:right="300" w:hanging="544"/>
        <w:spacing w:after="0" w:line="250" w:lineRule="auto"/>
        <w:tabs>
          <w:tab w:leader="none" w:pos="6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share price of Class A ADSs at June 30, 2022 and in prior periods, the share price of GGI Common Stock (share price before closing of the Business Combination).</w:t>
      </w:r>
    </w:p>
    <w:p>
      <w:pPr>
        <w:spacing w:after="0" w:line="1" w:lineRule="exact"/>
        <w:rPr>
          <w:sz w:val="20"/>
          <w:szCs w:val="20"/>
          <w:color w:val="auto"/>
        </w:rPr>
      </w:pPr>
    </w:p>
    <w:p>
      <w:pPr>
        <w:ind w:left="660" w:right="20" w:hanging="544"/>
        <w:spacing w:after="0" w:line="250" w:lineRule="auto"/>
        <w:tabs>
          <w:tab w:leader="none" w:pos="6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as total equity divided by total assets. Contributing factor to a negative equity ratio is the earn-out liability which has no cash impact. See also section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Reverse recapitalization.”</w:t>
      </w:r>
    </w:p>
    <w:p>
      <w:pPr>
        <w:spacing w:after="0" w:line="1" w:lineRule="exact"/>
        <w:rPr>
          <w:sz w:val="20"/>
          <w:szCs w:val="20"/>
          <w:color w:val="auto"/>
        </w:rPr>
      </w:pPr>
    </w:p>
    <w:p>
      <w:pPr>
        <w:jc w:val="both"/>
        <w:ind w:left="660" w:right="40" w:hanging="544"/>
        <w:spacing w:after="0" w:line="250" w:lineRule="auto"/>
        <w:tabs>
          <w:tab w:leader="none" w:pos="6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total volumes of new vehicles delivered, including external sales with recognition of revenue at time of delivery, external sales with repurchase commitments and internal sales of vehicles transferred for demonstration and commercial purposes as well as vehicles transferred to Polestar employees at time of registration. Transferred vehicles for demonstration and commercial purposes are owned by Polestar and included in Inventory.</w:t>
      </w:r>
    </w:p>
    <w:p>
      <w:pPr>
        <w:spacing w:after="0" w:line="2" w:lineRule="exact"/>
        <w:rPr>
          <w:sz w:val="20"/>
          <w:szCs w:val="20"/>
          <w:color w:val="auto"/>
        </w:rPr>
      </w:pPr>
    </w:p>
    <w:p>
      <w:pPr>
        <w:ind w:left="660" w:hanging="544"/>
        <w:spacing w:after="0"/>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markets in which Polestar operates.</w:t>
      </w:r>
    </w:p>
    <w:p>
      <w:pPr>
        <w:spacing w:after="0" w:line="9" w:lineRule="exact"/>
        <w:rPr>
          <w:sz w:val="20"/>
          <w:szCs w:val="20"/>
          <w:color w:val="auto"/>
        </w:rPr>
      </w:pPr>
    </w:p>
    <w:p>
      <w:pPr>
        <w:ind w:left="660" w:hanging="544"/>
        <w:spacing w:after="0"/>
        <w:tabs>
          <w:tab w:leader="none" w:pos="6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Polestar Spaces, Polestar Destinations, and Polestar Test Drive Centers.</w:t>
      </w:r>
    </w:p>
    <w:p>
      <w:pPr>
        <w:spacing w:after="0" w:line="9" w:lineRule="exact"/>
        <w:rPr>
          <w:sz w:val="20"/>
          <w:szCs w:val="20"/>
          <w:color w:val="auto"/>
        </w:rPr>
      </w:pPr>
    </w:p>
    <w:p>
      <w:pPr>
        <w:ind w:left="660" w:hanging="544"/>
        <w:spacing w:after="0"/>
        <w:tabs>
          <w:tab w:leader="none" w:pos="6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Volvo Cars service centers to provide access to customer service points worldwide in support of Polestar’s international expansion.</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Key factors affecting performance</w:t>
      </w:r>
    </w:p>
    <w:p>
      <w:pPr>
        <w:spacing w:after="0" w:line="121"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Polestar’s continued growth has depended on numerous factors and trends. While these factors and trends provide opportunities for Polestar, they also pose risks and challenges as discussed in the section entitled “Risk Factors” in this prospectus. The following paragraphs explain the key factors that had a notable impact on Polestar during the six months ended June 30, 2022.</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Partnerships with Volvo Cars and Geely</w:t>
      </w:r>
    </w:p>
    <w:p>
      <w:pPr>
        <w:spacing w:after="0" w:line="119"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Polestar’s relationship with related parties, Volvo Cars and Geely, has provided it with a unique competitive advantage in its ability to rapidly scale commercialisation activities while maintaining an asset light balance sheet. This is achieved primarily through contract manufacturing as well as supply and service agreements with Volvo Cars and Geely. Polestar continues to utilise the established research and development capabilities of Volvo Cars and Geely to accelerate technological advancements in automotive technology. Additionally, selling and administrative expenses have been positively impacted due to service agreements with Volvo Cars that allow Polestar to attain operational efficiencies in the areas of aftermarket services, maintenance, and back-office functions such as information technology, legal, accounting, finance, and human resources.</w:t>
      </w:r>
    </w:p>
    <w:p>
      <w:pPr>
        <w:spacing w:after="0" w:line="1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108</w:t>
      </w:r>
    </w:p>
    <w:p>
      <w:pPr>
        <w:sectPr>
          <w:pgSz w:w="11900" w:h="16838" w:orient="portrait"/>
          <w:cols w:equalWidth="0" w:num="1">
            <w:col w:w="11060"/>
          </w:cols>
          <w:pgMar w:left="320" w:top="455" w:right="51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During the six months ended June 30, 2022, Polestar entered into the following agreements with Volvo Cars and Geely:</w:t>
      </w:r>
    </w:p>
    <w:p>
      <w:pPr>
        <w:spacing w:after="0" w:line="131" w:lineRule="exact"/>
        <w:rPr>
          <w:sz w:val="20"/>
          <w:szCs w:val="20"/>
          <w:color w:val="auto"/>
        </w:rPr>
      </w:pPr>
    </w:p>
    <w:p>
      <w:pPr>
        <w:ind w:left="1080" w:right="340" w:hanging="424"/>
        <w:spacing w:after="0" w:line="282" w:lineRule="auto"/>
        <w:tabs>
          <w:tab w:leader="none" w:pos="10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service agreement with Volvo Cars, effective January 28, 2022, that governs Polestar’s outbound logistics through the utilisation of Volvo Cars’ existing vehicle distribution process in the United States.</w:t>
      </w:r>
    </w:p>
    <w:p>
      <w:pPr>
        <w:spacing w:after="0" w:line="67" w:lineRule="exact"/>
        <w:rPr>
          <w:rFonts w:ascii="Times New Roman" w:cs="Times New Roman" w:eastAsia="Times New Roman" w:hAnsi="Times New Roman"/>
          <w:sz w:val="18"/>
          <w:szCs w:val="18"/>
          <w:color w:val="auto"/>
        </w:rPr>
      </w:pPr>
    </w:p>
    <w:p>
      <w:pPr>
        <w:ind w:left="1080" w:right="260" w:hanging="424"/>
        <w:spacing w:after="0" w:line="282" w:lineRule="auto"/>
        <w:tabs>
          <w:tab w:leader="none" w:pos="10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Technology license agreements with Geely, effective March 4, 2022, that govern Polestar’s licensing of certain technology from Geely related to the Polestar 4.</w:t>
      </w:r>
    </w:p>
    <w:p>
      <w:pPr>
        <w:spacing w:after="0" w:line="67"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Agreements with Volvo Cars, effective June 21, 2022, that govern the import and export of Polestar vehicles into and out of the United States by Volvo Cars.</w:t>
      </w:r>
    </w:p>
    <w:p>
      <w:pPr>
        <w:spacing w:after="0" w:line="162"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Refer to Note 9—Related party transactions in Polestar’s unaudited condensed financial statements as of and for the six months ended June 30, 2022 and 2021 included elsewhere in this prospectus for more information</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Reverse recapitalisation</w:t>
      </w:r>
    </w:p>
    <w:p>
      <w:pPr>
        <w:spacing w:after="0" w:line="119" w:lineRule="exact"/>
        <w:rPr>
          <w:sz w:val="20"/>
          <w:szCs w:val="20"/>
          <w:color w:val="auto"/>
        </w:rPr>
      </w:pPr>
    </w:p>
    <w:p>
      <w:pPr>
        <w:ind w:left="120" w:right="240" w:firstLine="440"/>
        <w:spacing w:after="0" w:line="256" w:lineRule="auto"/>
        <w:rPr>
          <w:sz w:val="20"/>
          <w:szCs w:val="20"/>
          <w:color w:val="auto"/>
        </w:rPr>
      </w:pPr>
      <w:r>
        <w:rPr>
          <w:rFonts w:ascii="Times New Roman" w:cs="Times New Roman" w:eastAsia="Times New Roman" w:hAnsi="Times New Roman"/>
          <w:sz w:val="18"/>
          <w:szCs w:val="18"/>
          <w:color w:val="auto"/>
        </w:rPr>
        <w:t>On June 23, 2022, Polestar consummated a capital reorganisation via the merger with GGI, a special purpose acquisition company. Polestar subsequently began trading on the Nasdaq on June 24, 2022 under the ticker symbol “PSNY.” In addition to providing Polestar with access to new funding sources in the United States capital markets, the merger, including all related arrangements, raised approximately $1,477,023 in gross cash proceeds, of which approximately $638,197 was assumed from GGI, $250,000 was sourced from a private placement in public equity (“PIPE”), and $588,826 was sourced from a preferential share subscription with Volvo Cars. Polestar paid total transaction costs of $98,050 in connection with the merger, of which $59,050 were attributable to GGI and deducted from the gross cash proceeds raised.</w:t>
      </w:r>
    </w:p>
    <w:p>
      <w:pPr>
        <w:spacing w:after="0" w:line="185" w:lineRule="exact"/>
        <w:rPr>
          <w:sz w:val="20"/>
          <w:szCs w:val="20"/>
          <w:color w:val="auto"/>
        </w:rPr>
      </w:pPr>
    </w:p>
    <w:p>
      <w:pPr>
        <w:ind w:left="120" w:right="20" w:firstLine="440"/>
        <w:spacing w:after="0" w:line="257" w:lineRule="auto"/>
        <w:rPr>
          <w:sz w:val="20"/>
          <w:szCs w:val="20"/>
          <w:color w:val="auto"/>
        </w:rPr>
      </w:pPr>
      <w:r>
        <w:rPr>
          <w:rFonts w:ascii="Times New Roman" w:cs="Times New Roman" w:eastAsia="Times New Roman" w:hAnsi="Times New Roman"/>
          <w:sz w:val="18"/>
          <w:szCs w:val="18"/>
          <w:color w:val="auto"/>
        </w:rPr>
        <w:t xml:space="preserve">The merger was accounted for as a reverse recapitalisation in accordance with IFRS 2, </w:t>
      </w:r>
      <w:r>
        <w:rPr>
          <w:rFonts w:ascii="Times New Roman" w:cs="Times New Roman" w:eastAsia="Times New Roman" w:hAnsi="Times New Roman"/>
          <w:sz w:val="18"/>
          <w:szCs w:val="18"/>
          <w:i w:val="1"/>
          <w:iCs w:val="1"/>
          <w:color w:val="auto"/>
        </w:rPr>
        <w:t>Share-based Payment,</w:t>
      </w:r>
      <w:r>
        <w:rPr>
          <w:rFonts w:ascii="Times New Roman" w:cs="Times New Roman" w:eastAsia="Times New Roman" w:hAnsi="Times New Roman"/>
          <w:sz w:val="18"/>
          <w:szCs w:val="18"/>
          <w:color w:val="auto"/>
        </w:rPr>
        <w:t xml:space="preserve"> under which Polestar obtained a listing service in exchange for the issuance of 5.1% equity ownership. Accordingly, Polestar recorded a non-recurring as well as non-cash share-based listing expense of $372,318 that was calculated based on the excess of the fair value of equity ownership in Polestar issued to GGI and third party PIPE investors over the identifiable net assets and cash assumed on June 23, 2022. The fair value of Polestar equity on June 23, 2022 was based on a closing share price of $11.23 per share, a contributing factor to the size of the listing expense. This non-recurring listing expense is included in operating expenses, and thus reflected in operating loss for the period.</w:t>
      </w:r>
    </w:p>
    <w:p>
      <w:pPr>
        <w:spacing w:after="0" w:line="184"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 xml:space="preserve">As part of the merger, Polestar exchanged rights and obligations to the public and private warrant instruments of GGI, which maintained fair values of $40,320 and $22,770, respectively, on June 23, 2022. Polestar also issued certain rights to earn-out shares to existing owners with a fair value of $1,500,638 on June 23, 2022. These earn-out rights were granted to existing owners of Polestar as stipulated by the business combination agreement with GGI, dated on September 27, 2021. These instruments are accounted for as derivative liabilities under International Accounting Standards (“IAS”) 32, </w:t>
      </w:r>
      <w:r>
        <w:rPr>
          <w:rFonts w:ascii="Times New Roman" w:cs="Times New Roman" w:eastAsia="Times New Roman" w:hAnsi="Times New Roman"/>
          <w:sz w:val="18"/>
          <w:szCs w:val="18"/>
          <w:i w:val="1"/>
          <w:iCs w:val="1"/>
          <w:color w:val="auto"/>
        </w:rPr>
        <w:t>Financial Instruments: Presentation</w:t>
      </w:r>
      <w:r>
        <w:rPr>
          <w:rFonts w:ascii="Times New Roman" w:cs="Times New Roman" w:eastAsia="Times New Roman" w:hAnsi="Times New Roman"/>
          <w:sz w:val="18"/>
          <w:szCs w:val="18"/>
          <w:color w:val="auto"/>
        </w:rPr>
        <w:t xml:space="preserve">, and IFRS 9, </w:t>
      </w:r>
      <w:r>
        <w:rPr>
          <w:rFonts w:ascii="Times New Roman" w:cs="Times New Roman" w:eastAsia="Times New Roman" w:hAnsi="Times New Roman"/>
          <w:sz w:val="18"/>
          <w:szCs w:val="18"/>
          <w:i w:val="1"/>
          <w:iCs w:val="1"/>
          <w:color w:val="auto"/>
        </w:rPr>
        <w:t>Financial Instruments</w:t>
      </w:r>
      <w:r>
        <w:rPr>
          <w:rFonts w:ascii="Times New Roman" w:cs="Times New Roman" w:eastAsia="Times New Roman" w:hAnsi="Times New Roman"/>
          <w:sz w:val="18"/>
          <w:szCs w:val="18"/>
          <w:color w:val="auto"/>
        </w:rPr>
        <w:t>, that are carried at fair value with subsequent changes in fair value recognised in the Unaudited Condensed Consolidated Statement of Loss at each reporting date. On June 23, 2022, the day of the merger,</w:t>
      </w:r>
    </w:p>
    <w:p>
      <w:pPr>
        <w:spacing w:after="0" w:line="5" w:lineRule="exact"/>
        <w:rPr>
          <w:sz w:val="20"/>
          <w:szCs w:val="20"/>
          <w:color w:val="auto"/>
        </w:rPr>
      </w:pPr>
    </w:p>
    <w:p>
      <w:pPr>
        <w:ind w:left="120" w:right="260"/>
        <w:spacing w:after="0" w:line="260" w:lineRule="auto"/>
        <w:rPr>
          <w:sz w:val="20"/>
          <w:szCs w:val="20"/>
          <w:color w:val="auto"/>
        </w:rPr>
      </w:pPr>
      <w:r>
        <w:rPr>
          <w:rFonts w:ascii="Times New Roman" w:cs="Times New Roman" w:eastAsia="Times New Roman" w:hAnsi="Times New Roman"/>
          <w:sz w:val="18"/>
          <w:szCs w:val="18"/>
          <w:color w:val="auto"/>
        </w:rPr>
        <w:t>these earn-out rights were recorded as a reduction of equity (and a derivative liability) with an amount of $1,500,638, explaining the negative equity ratio on June 30, 2022.</w:t>
      </w:r>
    </w:p>
    <w:p>
      <w:pPr>
        <w:spacing w:after="0" w:line="181" w:lineRule="exact"/>
        <w:rPr>
          <w:sz w:val="20"/>
          <w:szCs w:val="20"/>
          <w:color w:val="auto"/>
        </w:rPr>
      </w:pPr>
    </w:p>
    <w:p>
      <w:pPr>
        <w:ind w:left="120" w:right="460" w:firstLine="440"/>
        <w:spacing w:after="0" w:line="312" w:lineRule="auto"/>
        <w:rPr>
          <w:sz w:val="20"/>
          <w:szCs w:val="20"/>
          <w:color w:val="auto"/>
        </w:rPr>
      </w:pPr>
      <w:r>
        <w:rPr>
          <w:rFonts w:ascii="Times New Roman" w:cs="Times New Roman" w:eastAsia="Times New Roman" w:hAnsi="Times New Roman"/>
          <w:sz w:val="17"/>
          <w:szCs w:val="17"/>
          <w:color w:val="auto"/>
        </w:rPr>
        <w:t>Refer to Note 1—Significant accounting policies and judgements and Note 10—Reverse recapitalisation in Polestar’s unaudited condensed financial statements as of and for the six months ended June 30, 2022 and 2021 included elsewhere in this prospectus for more information.</w:t>
      </w:r>
    </w:p>
    <w:p>
      <w:pPr>
        <w:spacing w:after="0" w:line="24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Impact of COVID-19, Russo-Ukrainian War, and inflation</w:t>
      </w:r>
    </w:p>
    <w:p>
      <w:pPr>
        <w:spacing w:after="0" w:line="119"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In certain instances, Polestar’s suppliers and business partners have experienced delays or disruptions from COVID-19, resulting in negative impacts to Polestar. Specifically, the prolonged government mandated</w:t>
      </w:r>
    </w:p>
    <w:p>
      <w:pPr>
        <w:spacing w:after="0" w:line="9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109</w:t>
      </w:r>
    </w:p>
    <w:p>
      <w:pPr>
        <w:sectPr>
          <w:pgSz w:w="11900" w:h="16838" w:orient="portrait"/>
          <w:cols w:equalWidth="0" w:num="1">
            <w:col w:w="11040"/>
          </w:cols>
          <w:pgMar w:left="320" w:top="455" w:right="53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quarantines and lockdowns in eastern China during the six months ended June 30, 2022 delayed production and delivery of critical components for the Polestar 2. Polestar estimates that it lost approximately eight weeks of production at Volvo Cars’ Luqiao plant during the period.</w:t>
      </w:r>
    </w:p>
    <w:p>
      <w:pPr>
        <w:spacing w:after="0" w:line="162"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Further, while Polestar does not directly conduct any business with suppliers in Russia or the Ukraine, there can be no assurance that all parts of the supply chain are devoid of any exposure to disruptions caused by the Russo-Ukrainian War. Due to the complexities surrounding vehicle production and its related supply chain, it is possible there will be some components sourced from suppliers subject to sanctions against Russia and/or that the resulting disruption to the supply chain will have an adverse impact on Polestar’s business and operations. Refer to the section entitled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in this prospectus for information on risks posed by COVID-19 and the Russo-Ukrainian War.</w:t>
      </w:r>
    </w:p>
    <w:p>
      <w:pPr>
        <w:spacing w:after="0" w:line="183"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The broader impacts of COVID-19 and the Russo-Ukrainian War include rising inflationary pressures on prices of components, materials, labor, and equipment used in the production of Polestar vehicles. Particularly, increases in battery prices due to the increased prices of lithium, cobalt, and nickel are expected to lead to higher inventory and costs of goods sold. Higher oil prices have also increased freight and distribution costs across all markets. It is uncertain whether these inflationary pressures will persist in the future. Polestar remains vigilant and will continue to closely monitor the effects of COVID-19, the Russo-Ukrainian War, and inflation.</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Results of operations</w:t>
      </w:r>
    </w:p>
    <w:p>
      <w:pPr>
        <w:spacing w:after="0" w:line="121"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Polestar conducts business under one operating segment with commercial operations in North America, Europe, and Asia. Refer to Note 1— Significant accounting policies and judgements in Polestar’s unaudited condensed financial statements as of and for the six months ended June 30, 2022 and 2021 included elsewhere in this prospectus for more information on the basis of presentation and segment reporting.</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Comparison of the six months ended June 30, 2022 and 2021</w:t>
      </w:r>
    </w:p>
    <w:p>
      <w:pPr>
        <w:spacing w:after="0" w:line="119"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summarises Polestar’s historical Unaudited Condensed Consolidated Statement of Loss and Comprehensive Loss for the six months ended June 30, 2022 and 2021:</w:t>
      </w:r>
    </w:p>
    <w:p>
      <w:pPr>
        <w:spacing w:after="0" w:line="170"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04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2240" w:type="dxa"/>
            <w:vAlign w:val="bottom"/>
            <w:gridSpan w:val="4"/>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For the six months</w:t>
            </w:r>
          </w:p>
        </w:tc>
        <w:tc>
          <w:tcPr>
            <w:tcW w:w="11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04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2240" w:type="dxa"/>
            <w:vAlign w:val="bottom"/>
            <w:gridSpan w:val="4"/>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ended June 30,</w:t>
            </w:r>
          </w:p>
        </w:tc>
        <w:tc>
          <w:tcPr>
            <w:tcW w:w="1100" w:type="dxa"/>
            <w:vAlign w:val="bottom"/>
            <w:gridSpan w:val="2"/>
            <w:vMerge w:val="continue"/>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40" w:type="dxa"/>
            <w:vAlign w:val="bottom"/>
            <w:tcBorders>
              <w:bottom w:val="single" w:sz="8" w:color="CCEEFF"/>
            </w:tcBorders>
          </w:tcPr>
          <w:p>
            <w:pPr>
              <w:spacing w:after="0"/>
              <w:rPr>
                <w:sz w:val="12"/>
                <w:szCs w:val="12"/>
                <w:color w:val="auto"/>
              </w:rPr>
            </w:pPr>
          </w:p>
        </w:tc>
        <w:tc>
          <w:tcPr>
            <w:tcW w:w="2220" w:type="dxa"/>
            <w:vAlign w:val="bottom"/>
            <w:tcBorders>
              <w:bottom w:val="single" w:sz="8" w:color="CCEEFF"/>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195"/>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320" w:type="dxa"/>
            <w:vAlign w:val="bottom"/>
            <w:tcBorders>
              <w:top w:val="single" w:sz="8" w:color="auto"/>
              <w:bottom w:val="single" w:sz="8" w:color="CCEEFF"/>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151"/>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320" w:type="dxa"/>
            <w:vAlign w:val="bottom"/>
            <w:tcBorders>
              <w:bottom w:val="single" w:sz="8" w:color="CCEEFF"/>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72"/>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tcBorders>
              <w:top w:val="single" w:sz="8" w:color="auto"/>
              <w:bottom w:val="single" w:sz="8" w:color="CCEEFF"/>
            </w:tcBorders>
          </w:tcPr>
          <w:p>
            <w:pPr>
              <w:spacing w:after="0"/>
              <w:rPr>
                <w:sz w:val="12"/>
                <w:szCs w:val="12"/>
                <w:color w:val="auto"/>
              </w:rPr>
            </w:pPr>
          </w:p>
        </w:tc>
        <w:tc>
          <w:tcPr>
            <w:tcW w:w="380" w:type="dxa"/>
            <w:vAlign w:val="bottom"/>
            <w:tcBorders>
              <w:top w:val="single" w:sz="8" w:color="auto"/>
              <w:bottom w:val="single" w:sz="8" w:color="auto"/>
            </w:tcBorders>
          </w:tcPr>
          <w:p>
            <w:pPr>
              <w:jc w:val="right"/>
              <w:ind w:right="31"/>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2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1,041,297</w:t>
            </w: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534,779</w:t>
            </w: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506,518</w:t>
            </w: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222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(987,881)</w:t>
            </w: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(498,966)</w:t>
            </w: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(488,915)</w:t>
            </w: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40" w:type="dxa"/>
            <w:vAlign w:val="bottom"/>
          </w:tcPr>
          <w:p>
            <w:pPr>
              <w:spacing w:after="0"/>
              <w:rPr>
                <w:sz w:val="2"/>
                <w:szCs w:val="2"/>
                <w:color w:val="auto"/>
              </w:rPr>
            </w:pPr>
          </w:p>
        </w:tc>
        <w:tc>
          <w:tcPr>
            <w:tcW w:w="22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53,416</w:t>
            </w:r>
          </w:p>
        </w:tc>
        <w:tc>
          <w:tcPr>
            <w:tcW w:w="1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35,813</w:t>
            </w:r>
          </w:p>
        </w:tc>
        <w:tc>
          <w:tcPr>
            <w:tcW w:w="1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17,603</w:t>
            </w:r>
          </w:p>
        </w:tc>
        <w:tc>
          <w:tcPr>
            <w:tcW w:w="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38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(446,781)</w:t>
            </w: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(278,853)</w:t>
            </w: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(167,928)</w:t>
            </w: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338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(98,755)</w:t>
            </w:r>
          </w:p>
        </w:tc>
        <w:tc>
          <w:tcPr>
            <w:tcW w:w="10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(106,871)</w:t>
            </w:r>
          </w:p>
        </w:tc>
        <w:tc>
          <w:tcPr>
            <w:tcW w:w="1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8,116</w:t>
            </w:r>
          </w:p>
        </w:tc>
        <w:tc>
          <w:tcPr>
            <w:tcW w:w="5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Other operating expenses, net</w:t>
            </w:r>
          </w:p>
        </w:tc>
        <w:tc>
          <w:tcPr>
            <w:tcW w:w="338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(20,742)</w:t>
            </w: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(14,770)</w:t>
            </w: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(5,972)</w:t>
            </w: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Listing expense</w:t>
            </w:r>
          </w:p>
        </w:tc>
        <w:tc>
          <w:tcPr>
            <w:tcW w:w="338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(372,318)</w:t>
            </w:r>
          </w:p>
        </w:tc>
        <w:tc>
          <w:tcPr>
            <w:tcW w:w="10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(372,318)</w:t>
            </w:r>
          </w:p>
        </w:tc>
        <w:tc>
          <w:tcPr>
            <w:tcW w:w="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23"/>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2220" w:type="dxa"/>
            <w:vAlign w:val="bottom"/>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(885,180)</w:t>
            </w:r>
          </w:p>
        </w:tc>
        <w:tc>
          <w:tcPr>
            <w:tcW w:w="320" w:type="dxa"/>
            <w:vAlign w:val="bottom"/>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(364,681)</w:t>
            </w:r>
          </w:p>
        </w:tc>
        <w:tc>
          <w:tcPr>
            <w:tcW w:w="320" w:type="dxa"/>
            <w:vAlign w:val="bottom"/>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(520,499)</w:t>
            </w:r>
          </w:p>
        </w:tc>
        <w:tc>
          <w:tcPr>
            <w:tcW w:w="320" w:type="dxa"/>
            <w:vAlign w:val="bottom"/>
          </w:tcPr>
          <w:p>
            <w:pPr>
              <w:spacing w:after="0"/>
              <w:rPr>
                <w:sz w:val="19"/>
                <w:szCs w:val="19"/>
                <w:color w:val="auto"/>
              </w:rPr>
            </w:pPr>
          </w:p>
        </w:tc>
        <w:tc>
          <w:tcPr>
            <w:tcW w:w="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income</w:t>
            </w:r>
          </w:p>
        </w:tc>
        <w:tc>
          <w:tcPr>
            <w:tcW w:w="338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774</w:t>
            </w:r>
          </w:p>
        </w:tc>
        <w:tc>
          <w:tcPr>
            <w:tcW w:w="1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15,194</w:t>
            </w:r>
          </w:p>
        </w:tc>
        <w:tc>
          <w:tcPr>
            <w:tcW w:w="11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(14,420)</w:t>
            </w:r>
          </w:p>
        </w:tc>
        <w:tc>
          <w:tcPr>
            <w:tcW w:w="5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Finance expense</w:t>
            </w:r>
          </w:p>
        </w:tc>
        <w:tc>
          <w:tcPr>
            <w:tcW w:w="338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(51,427)</w:t>
            </w: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(12,375)</w:t>
            </w: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(39,052)</w:t>
            </w: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change—Earn-out rights</w:t>
            </w:r>
          </w:p>
        </w:tc>
        <w:tc>
          <w:tcPr>
            <w:tcW w:w="338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418,707</w:t>
            </w:r>
          </w:p>
        </w:tc>
        <w:tc>
          <w:tcPr>
            <w:tcW w:w="10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418,707</w:t>
            </w:r>
          </w:p>
        </w:tc>
        <w:tc>
          <w:tcPr>
            <w:tcW w:w="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Fair value change—Class C Shares</w:t>
            </w:r>
          </w:p>
        </w:tc>
        <w:tc>
          <w:tcPr>
            <w:tcW w:w="222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21,531</w:t>
            </w:r>
          </w:p>
        </w:tc>
        <w:tc>
          <w:tcPr>
            <w:tcW w:w="10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21,531</w:t>
            </w: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40" w:type="dxa"/>
            <w:vAlign w:val="bottom"/>
          </w:tcPr>
          <w:p>
            <w:pPr>
              <w:spacing w:after="0"/>
              <w:rPr>
                <w:sz w:val="2"/>
                <w:szCs w:val="2"/>
                <w:color w:val="auto"/>
              </w:rPr>
            </w:pPr>
          </w:p>
        </w:tc>
        <w:tc>
          <w:tcPr>
            <w:tcW w:w="22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before income taxes</w:t>
            </w:r>
          </w:p>
        </w:tc>
        <w:tc>
          <w:tcPr>
            <w:tcW w:w="2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(495,595)</w:t>
            </w:r>
          </w:p>
        </w:tc>
        <w:tc>
          <w:tcPr>
            <w:tcW w:w="10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(361,862)</w:t>
            </w:r>
          </w:p>
        </w:tc>
        <w:tc>
          <w:tcPr>
            <w:tcW w:w="11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(133,733)</w:t>
            </w:r>
          </w:p>
        </w:tc>
        <w:tc>
          <w:tcPr>
            <w:tcW w:w="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222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(7,139)</w:t>
            </w: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(6,357)</w:t>
            </w: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(782)</w:t>
            </w: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40" w:type="dxa"/>
            <w:vAlign w:val="bottom"/>
          </w:tcPr>
          <w:p>
            <w:pPr>
              <w:spacing w:after="0"/>
              <w:rPr>
                <w:sz w:val="2"/>
                <w:szCs w:val="2"/>
                <w:color w:val="auto"/>
              </w:rPr>
            </w:pPr>
          </w:p>
        </w:tc>
        <w:tc>
          <w:tcPr>
            <w:tcW w:w="22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2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(502,734)</w:t>
            </w:r>
          </w:p>
        </w:tc>
        <w:tc>
          <w:tcPr>
            <w:tcW w:w="10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(368,219)</w:t>
            </w:r>
          </w:p>
        </w:tc>
        <w:tc>
          <w:tcPr>
            <w:tcW w:w="11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(134,515)</w:t>
            </w:r>
          </w:p>
        </w:tc>
        <w:tc>
          <w:tcPr>
            <w:tcW w:w="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37</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2220" w:type="dxa"/>
            <w:vAlign w:val="bottom"/>
          </w:tcPr>
          <w:p>
            <w:pPr>
              <w:jc w:val="right"/>
              <w:ind w:right="990"/>
              <w:spacing w:after="0"/>
              <w:rPr>
                <w:sz w:val="20"/>
                <w:szCs w:val="20"/>
                <w:color w:val="auto"/>
              </w:rPr>
            </w:pPr>
            <w:r>
              <w:rPr>
                <w:rFonts w:ascii="Times New Roman" w:cs="Times New Roman" w:eastAsia="Times New Roman" w:hAnsi="Times New Roman"/>
                <w:sz w:val="18"/>
                <w:szCs w:val="18"/>
                <w:color w:val="auto"/>
              </w:rPr>
              <w:t>110</w:t>
            </w: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00"/>
          </w:cols>
          <w:pgMar w:left="320" w:top="455" w:right="47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119" w:lineRule="exact"/>
        <w:rPr>
          <w:sz w:val="20"/>
          <w:szCs w:val="20"/>
          <w:color w:val="auto"/>
        </w:rPr>
      </w:pPr>
    </w:p>
    <w:p>
      <w:pPr>
        <w:jc w:val="both"/>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Polestar’s revenue increased by $506,518 or 95%, from $534,779 for the six months ended June 30, 2021 to $1,041,297 for the six months ended June 30, 2022. Revenue from related parties increased by $33,835, or 68%, from $49,732 for the six months ended June 30, 2021 to $83,567 for the six months ended June 30, 2022. The following table summarises the components of revenue and related changes between interim periods:</w:t>
      </w:r>
    </w:p>
    <w:p>
      <w:pPr>
        <w:spacing w:after="0" w:line="184"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460" w:type="dxa"/>
            <w:vAlign w:val="bottom"/>
          </w:tcPr>
          <w:p>
            <w:pPr>
              <w:spacing w:after="0"/>
              <w:rPr>
                <w:sz w:val="13"/>
                <w:szCs w:val="13"/>
                <w:color w:val="auto"/>
              </w:rPr>
            </w:pPr>
          </w:p>
        </w:tc>
        <w:tc>
          <w:tcPr>
            <w:tcW w:w="2100" w:type="dxa"/>
            <w:vAlign w:val="bottom"/>
            <w:gridSpan w:val="4"/>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For the six months</w:t>
            </w:r>
          </w:p>
        </w:tc>
        <w:tc>
          <w:tcPr>
            <w:tcW w:w="10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460" w:type="dxa"/>
            <w:vAlign w:val="bottom"/>
          </w:tcPr>
          <w:p>
            <w:pPr>
              <w:spacing w:after="0"/>
              <w:rPr>
                <w:sz w:val="15"/>
                <w:szCs w:val="15"/>
                <w:color w:val="auto"/>
              </w:rPr>
            </w:pPr>
          </w:p>
        </w:tc>
        <w:tc>
          <w:tcPr>
            <w:tcW w:w="2100" w:type="dxa"/>
            <w:vAlign w:val="bottom"/>
            <w:gridSpan w:val="4"/>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ended June 30,</w:t>
            </w:r>
          </w:p>
        </w:tc>
        <w:tc>
          <w:tcPr>
            <w:tcW w:w="1040" w:type="dxa"/>
            <w:vAlign w:val="bottom"/>
            <w:gridSpan w:val="2"/>
            <w:vMerge w:val="continue"/>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60" w:type="dxa"/>
            <w:vAlign w:val="bottom"/>
            <w:tcBorders>
              <w:bottom w:val="single" w:sz="8" w:color="CCEEFF"/>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196"/>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Borders>
              <w:top w:val="single" w:sz="8" w:color="auto"/>
              <w:bottom w:val="single" w:sz="8" w:color="CCEEFF"/>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60" w:type="dxa"/>
            <w:vAlign w:val="bottom"/>
            <w:tcBorders>
              <w:bottom w:val="single" w:sz="8" w:color="CCEEFF"/>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35"/>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tcBorders>
              <w:top w:val="single" w:sz="8" w:color="auto"/>
              <w:bottom w:val="single" w:sz="8" w:color="CCEEFF"/>
            </w:tcBorders>
          </w:tcPr>
          <w:p>
            <w:pPr>
              <w:spacing w:after="0"/>
              <w:rPr>
                <w:sz w:val="12"/>
                <w:szCs w:val="12"/>
                <w:color w:val="auto"/>
              </w:rPr>
            </w:pPr>
          </w:p>
        </w:tc>
        <w:tc>
          <w:tcPr>
            <w:tcW w:w="380" w:type="dxa"/>
            <w:vAlign w:val="bottom"/>
            <w:tcBorders>
              <w:top w:val="single" w:sz="8" w:color="auto"/>
              <w:bottom w:val="single" w:sz="8" w:color="auto"/>
            </w:tcBorders>
          </w:tcPr>
          <w:p>
            <w:pPr>
              <w:jc w:val="right"/>
              <w:ind w:right="33"/>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4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Revenues</w:t>
            </w:r>
          </w:p>
        </w:tc>
        <w:tc>
          <w:tcPr>
            <w:tcW w:w="8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Sales of vehicles</w:t>
            </w: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1,016,817</w:t>
            </w: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517,437</w:t>
            </w:r>
          </w:p>
        </w:tc>
        <w:tc>
          <w:tcPr>
            <w:tcW w:w="10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499,380</w:t>
            </w: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of software and performance engineered kits</w:t>
            </w:r>
          </w:p>
        </w:tc>
        <w:tc>
          <w:tcPr>
            <w:tcW w:w="11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10,862</w:t>
            </w:r>
          </w:p>
        </w:tc>
        <w:tc>
          <w:tcPr>
            <w:tcW w:w="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14,280</w:t>
            </w:r>
          </w:p>
        </w:tc>
        <w:tc>
          <w:tcPr>
            <w:tcW w:w="10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(3,418)</w:t>
            </w:r>
          </w:p>
        </w:tc>
        <w:tc>
          <w:tcPr>
            <w:tcW w:w="5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Sales of carbon credits</w:t>
            </w: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1,313</w:t>
            </w:r>
          </w:p>
        </w:tc>
        <w:tc>
          <w:tcPr>
            <w:tcW w:w="9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1,313</w:t>
            </w: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Vehicle leasing revenue</w:t>
            </w:r>
          </w:p>
        </w:tc>
        <w:tc>
          <w:tcPr>
            <w:tcW w:w="11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7,934</w:t>
            </w:r>
          </w:p>
        </w:tc>
        <w:tc>
          <w:tcPr>
            <w:tcW w:w="9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7,934</w:t>
            </w:r>
          </w:p>
        </w:tc>
        <w:tc>
          <w:tcPr>
            <w:tcW w:w="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Other revenue</w:t>
            </w: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4,371</w:t>
            </w: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3,062</w:t>
            </w:r>
          </w:p>
        </w:tc>
        <w:tc>
          <w:tcPr>
            <w:tcW w:w="10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1,309</w:t>
            </w: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46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1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1,041,297</w:t>
            </w:r>
          </w:p>
        </w:tc>
        <w:tc>
          <w:tcPr>
            <w:tcW w:w="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534,779</w:t>
            </w:r>
          </w:p>
        </w:tc>
        <w:tc>
          <w:tcPr>
            <w:tcW w:w="10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506,518</w:t>
            </w:r>
          </w:p>
        </w:tc>
        <w:tc>
          <w:tcPr>
            <w:tcW w:w="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95</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Sales of vehicles increased by $499,380 or 97%, from $517,437 for the six months ended June 30, 2021 to $1,016,817 for the six months ended June 30, 2022. The increase was driven by the increase in volume of Polestar 2 sales as part of Polestar’s continued commercial expansion across geographic markets such as the United States and Europe. Revenue per car decreased slightly for the six months ended June 30, 2022 compared to the six months ended June 30, 2021 mainly due to product mix (all sales for the six months ended June 30, 2021 were dual motor long range versions of the Polestar 2 which have a higher price point as compared to other versions which were not introduced at that time) as well as market-mix.</w:t>
      </w:r>
    </w:p>
    <w:p>
      <w:pPr>
        <w:spacing w:after="0" w:line="183" w:lineRule="exact"/>
        <w:rPr>
          <w:sz w:val="20"/>
          <w:szCs w:val="20"/>
          <w:color w:val="auto"/>
        </w:rPr>
      </w:pPr>
    </w:p>
    <w:p>
      <w:pPr>
        <w:jc w:val="both"/>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Sales of software and performance engineered kits decreased by $3,418, or 24%, from $14,280 for the six months ended June 30, 2021 to $10,862 for the six months ended June 30, 2022. The decrease continues as a result of Polestar’s shifting focus to its own vehicles and a decrease in Volvo Cars’ sales of Polestar engineered kits.</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Sales of carbon credits increased by 100% from nil for the six months ended June 30, 2021 to $1,313 for the six months ended June 30, 2022.</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Polestar did not sell carbon credits during the six months ended June 30, 2021, thus the increase between comparative periods.</w:t>
      </w:r>
    </w:p>
    <w:p>
      <w:pPr>
        <w:spacing w:after="0" w:line="20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Vehicle leasing revenue increased by 100% from nil for the six months ended June 30, 2021 to $7,934 for the six months ended June 30, 2022.</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Polestar began selling vehicles with repurchase obligations at the end of the six months ended June 30, 2021, resulting in deferred leasing revenue.</w:t>
      </w:r>
    </w:p>
    <w:p>
      <w:pPr>
        <w:spacing w:after="0" w:line="207" w:lineRule="exact"/>
        <w:rPr>
          <w:sz w:val="20"/>
          <w:szCs w:val="20"/>
          <w:color w:val="auto"/>
        </w:rPr>
      </w:pPr>
    </w:p>
    <w:p>
      <w:pPr>
        <w:ind w:left="120" w:right="380" w:firstLine="440"/>
        <w:spacing w:after="0" w:line="282" w:lineRule="auto"/>
        <w:rPr>
          <w:sz w:val="20"/>
          <w:szCs w:val="20"/>
          <w:color w:val="auto"/>
        </w:rPr>
      </w:pPr>
      <w:r>
        <w:rPr>
          <w:rFonts w:ascii="Times New Roman" w:cs="Times New Roman" w:eastAsia="Times New Roman" w:hAnsi="Times New Roman"/>
          <w:sz w:val="18"/>
          <w:szCs w:val="18"/>
          <w:color w:val="auto"/>
        </w:rPr>
        <w:t>Other revenue increased by $1,309, or 43%, from $3,062 for the six months ended June 30, 2021 to $4,371 for the six months ended June 30, 2022. The increase is driven primarily by higher royalties from Volvo Cars’ sales of parts and accessories for Polestar vehicles.</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Cost of sales and gross profit</w:t>
      </w:r>
    </w:p>
    <w:p>
      <w:pPr>
        <w:spacing w:after="0" w:line="11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Cost of sales increased by $488,915 or 98%, from $498,966 for the six months ended June 30, 2021 to $987,881 for the six months ended June 30, 2022. Gross profit increased by $17,603 or 49%, from a profit of $35,813 for the six months ended June 30, 2021 to a profit of $53,416 for the six months ended June 30, 2022. The increases were driven by expanded production and commercialisation of Polestar 2 vehicles. The reduction of revenue per car that was primarily driven by product mix and market mix for the six months ended June 30, 2022 had a direct impact on gross profit.</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111</w:t>
      </w:r>
    </w:p>
    <w:p>
      <w:pPr>
        <w:sectPr>
          <w:pgSz w:w="11900" w:h="16838" w:orient="portrait"/>
          <w:cols w:equalWidth="0" w:num="1">
            <w:col w:w="11120"/>
          </w:cols>
          <w:pgMar w:left="320" w:top="455" w:right="45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119"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Selling, general and administrative expenses increased by $167,928, or 60%, from $278,853 for the six months ended June 30, 2021 to $446,781 for the six months ended June 30, 2022. The increase is primarily due to (1) increased investments in advertising, marketing, and promotional activities as part of Polestar’s commercial expansion across new and existing markets, (2) increased professional service fees related to accounting, finance, and information technology, and (3) higher wages and salaries associated with scaling headcount of Polestar’s sales and administrative personnel to meet the demands of the growing business.</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19" w:lineRule="exact"/>
        <w:rPr>
          <w:sz w:val="20"/>
          <w:szCs w:val="20"/>
          <w:color w:val="auto"/>
        </w:rPr>
      </w:pPr>
    </w:p>
    <w:p>
      <w:pPr>
        <w:ind w:left="120" w:right="260" w:firstLine="440"/>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decreased by $8,116, or 8%, from $106,871 for the six months ended June 30, 2021 to $98,755 for the six months ended June 30, 2022. The decrease is the result of lower amortisation of intangible assets related to the Polestar 1, which was fully amortised during the 2021 period. The lower amortisations for Polestar 1 is partially offset by increased research and development activities related to future vehicles and battery electric technologies, including the Polestar Precept and the P10 powertrain.</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Other operating expenses, net</w:t>
      </w:r>
    </w:p>
    <w:p>
      <w:pPr>
        <w:spacing w:after="0" w:line="119" w:lineRule="exact"/>
        <w:rPr>
          <w:sz w:val="20"/>
          <w:szCs w:val="20"/>
          <w:color w:val="auto"/>
        </w:rPr>
      </w:pPr>
    </w:p>
    <w:p>
      <w:pPr>
        <w:jc w:val="both"/>
        <w:ind w:left="120" w:right="200" w:firstLine="440"/>
        <w:spacing w:after="0" w:line="261" w:lineRule="auto"/>
        <w:rPr>
          <w:sz w:val="20"/>
          <w:szCs w:val="20"/>
          <w:color w:val="auto"/>
        </w:rPr>
      </w:pPr>
      <w:r>
        <w:rPr>
          <w:rFonts w:ascii="Times New Roman" w:cs="Times New Roman" w:eastAsia="Times New Roman" w:hAnsi="Times New Roman"/>
          <w:sz w:val="18"/>
          <w:szCs w:val="18"/>
          <w:color w:val="auto"/>
        </w:rPr>
        <w:t>Other operating expenses, net increased by $5,972, or 40%, from $14,770 for the six months ended June 30, 2021 to $20,742 for the six months ended June 30, 2022. The increased expense is mainly driven by negative foreign exchange (“FX”) effects on payables to Volvo Cars for the contract manufacturing of the Polestar 2. The listing expense of $372,318 incurred upon the merger with GGI on June 23, 2022 is non-recurring and presented separately below Other operating expenses, net.</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Finance income and Finance expense</w:t>
      </w:r>
    </w:p>
    <w:p>
      <w:pPr>
        <w:spacing w:after="0" w:line="119"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Finance income decreased by $14,420, or 95%, from $15,194 for the six months ended June 30, 2021 to $774 for the six months ended June 30, 2022. The decrease is driven by a negative net FX effect related to financial items for the six month ended June 30, 2022 compared to a positive net FX effect related to financial items for the six month ended June 30, 2021. Finance expense increased by $39,052, or 316%, from $12,375 for the six months ended June 30, 2021 to $51,427 for the six months ended June 30, 2022. The increase is primarily related to higher interest expense associated with partly short-term financing facilities and partly overdue trade payables and also the negative net FX effect on financial items for the six month ended June 30, 2022 compared to a positive net FX effect related to financial items for the six month ended June 30, 2021. The negative FX effect for the first six month ended June 30, 2022 is mainly driven by unrealised FX related to the working capital loan of $400,000 recorded in the subsidiary Polestar Performance AB with functional currency SEK.</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Fair value change—Earn out rights</w:t>
      </w:r>
    </w:p>
    <w:p>
      <w:pPr>
        <w:spacing w:after="0" w:line="119" w:lineRule="exact"/>
        <w:rPr>
          <w:sz w:val="20"/>
          <w:szCs w:val="20"/>
          <w:color w:val="auto"/>
        </w:rPr>
      </w:pPr>
    </w:p>
    <w:p>
      <w:pPr>
        <w:ind w:left="120" w:firstLine="440"/>
        <w:spacing w:after="0" w:line="281" w:lineRule="auto"/>
        <w:rPr>
          <w:sz w:val="20"/>
          <w:szCs w:val="20"/>
          <w:color w:val="auto"/>
        </w:rPr>
      </w:pPr>
      <w:r>
        <w:rPr>
          <w:rFonts w:ascii="Times New Roman" w:cs="Times New Roman" w:eastAsia="Times New Roman" w:hAnsi="Times New Roman"/>
          <w:sz w:val="17"/>
          <w:szCs w:val="17"/>
          <w:color w:val="auto"/>
        </w:rPr>
        <w:t>The earn-out rights were issued in connection with the capital reorganization that was consummated on June 23, 2022, thus there is no comparison figure for 2021. The $418,707 gain in fair value change of earn-out liability for the six months ended June 30, 2022 is attributable to a decrease in Polestar’s share price from $11.23 on June 23, 2022 (i.e., closing of the merger with GGI and issuance of the earn-out rights) to $8.81 on June 30, 2022. Based on a benchmark of peers and the short time difference, Polestar utilized an asset volatility of 60% in the Monte Carlo simulation at both dates.</w:t>
      </w:r>
    </w:p>
    <w:p>
      <w:pPr>
        <w:spacing w:after="0" w:line="27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Fair value change—Class C Shares</w:t>
      </w:r>
    </w:p>
    <w:p>
      <w:pPr>
        <w:spacing w:after="0" w:line="119"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As part of the capital reorganisation via the merger with GGI on June 23, 2022, Polestar exchanged rights and obligations to the public and private warrant instruments of GGI Fair value gain of these warrants (Class C Shares in Polestar) amounts to $21,531 for the six months ended June 30, 2022. The gain on the Class C Shares liability is primarily attributable to a decrease in the price of the Class C-1 Shares from $2.53 on June 23, 2022</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112</w:t>
      </w:r>
    </w:p>
    <w:p>
      <w:pPr>
        <w:sectPr>
          <w:pgSz w:w="11900" w:h="16838" w:orient="portrait"/>
          <w:cols w:equalWidth="0" w:num="1">
            <w:col w:w="11100"/>
          </w:cols>
          <w:pgMar w:left="320" w:top="455" w:right="47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(i.e., closing of the merger with GGI and exchange of the warrants) to $1.66 on June 30, 2022 and a decrease in the estimated value of</w:t>
      </w:r>
    </w:p>
    <w:p>
      <w:pPr>
        <w:spacing w:after="0" w:line="27" w:lineRule="exact"/>
        <w:rPr>
          <w:sz w:val="20"/>
          <w:szCs w:val="20"/>
          <w:color w:val="auto"/>
        </w:rPr>
      </w:pPr>
    </w:p>
    <w:p>
      <w:pPr>
        <w:jc w:val="both"/>
        <w:ind w:left="120" w:right="140"/>
        <w:spacing w:after="0" w:line="255" w:lineRule="auto"/>
        <w:rPr>
          <w:sz w:val="20"/>
          <w:szCs w:val="20"/>
          <w:color w:val="auto"/>
        </w:rPr>
      </w:pPr>
      <w:r>
        <w:rPr>
          <w:rFonts w:ascii="Times New Roman" w:cs="Times New Roman" w:eastAsia="Times New Roman" w:hAnsi="Times New Roman"/>
          <w:sz w:val="18"/>
          <w:szCs w:val="18"/>
          <w:color w:val="auto"/>
        </w:rPr>
        <w:t>the Class C-2 Shares from $2.53 to $1.66 over the same period. Polestar utilizes a binomial lattice model to calculate the value of the Class C-2 Shares which factors several inputs, including the changes in Polestar’s share price from $11.23 to $8.81, implied volatility of Class C-1 Shares from 22.5% to 29.5%, and risk-free rate from 3.12% to 2.99% over the same period.</w:t>
      </w:r>
    </w:p>
    <w:p>
      <w:pPr>
        <w:spacing w:after="0" w:line="2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121"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Polestar continues to finance its operations primarily through the issuance of equity instruments, various short-term credit facilities, including working capital facilities, term loans with related parties, sale leaseback arrangements, and extended trade credit with related parties. The principal uses of liquidity and capital are funding operations, market expansion, and investments in Polestar’s future vehicles and automotive technologies. Substantial doubt about Polestar’s ability to continue as a going concern persist as timely realization of financing endeavours is necessary to cover forecasted operating and investing cash outflow. Refer to Note 1—Significant accounting policies and judgements, Note 7—Liabilities to credit institutions, and Note 10—Reverse recapitalisation in Polestar’s unaudited condensed financial statements as of and for the six months ended June 30, 2022 and 2021 included elsewhere in this prospectus for more information.</w:t>
      </w:r>
    </w:p>
    <w:p>
      <w:pPr>
        <w:spacing w:after="0" w:line="29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Comparison of the six months ended June 30, 2022 and 2021</w:t>
      </w:r>
    </w:p>
    <w:p>
      <w:pPr>
        <w:spacing w:after="0" w:line="119"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As of June 30, 2022, Polestar had cash and cash equivalents of $1,381,637 as compared to $756,677 as of December 31, 2021 and $465,747 as of June 30, 2021. The following table summarises Polestar’s Unaudited Condensed Consolidated Statement of Cash Flows for the six months ended June 30, 2022 and 2021:</w:t>
      </w:r>
    </w:p>
    <w:p>
      <w:pPr>
        <w:spacing w:after="0" w:line="184"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5900" w:type="dxa"/>
            <w:vAlign w:val="bottom"/>
          </w:tcPr>
          <w:p>
            <w:pPr>
              <w:spacing w:after="0"/>
              <w:rPr>
                <w:sz w:val="13"/>
                <w:szCs w:val="13"/>
                <w:color w:val="auto"/>
              </w:rPr>
            </w:pPr>
          </w:p>
        </w:tc>
        <w:tc>
          <w:tcPr>
            <w:tcW w:w="2300" w:type="dxa"/>
            <w:vAlign w:val="bottom"/>
            <w:gridSpan w:val="4"/>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For the six months</w:t>
            </w:r>
          </w:p>
        </w:tc>
        <w:tc>
          <w:tcPr>
            <w:tcW w:w="106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0" w:type="dxa"/>
            <w:vAlign w:val="bottom"/>
          </w:tcPr>
          <w:p>
            <w:pPr>
              <w:spacing w:after="0"/>
              <w:rPr>
                <w:sz w:val="1"/>
                <w:szCs w:val="1"/>
                <w:color w:val="auto"/>
              </w:rPr>
            </w:pPr>
          </w:p>
        </w:tc>
      </w:tr>
      <w:tr>
        <w:trPr>
          <w:trHeight w:val="173"/>
        </w:trPr>
        <w:tc>
          <w:tcPr>
            <w:tcW w:w="5900" w:type="dxa"/>
            <w:vAlign w:val="bottom"/>
          </w:tcPr>
          <w:p>
            <w:pPr>
              <w:spacing w:after="0"/>
              <w:rPr>
                <w:sz w:val="15"/>
                <w:szCs w:val="15"/>
                <w:color w:val="auto"/>
              </w:rPr>
            </w:pPr>
          </w:p>
        </w:tc>
        <w:tc>
          <w:tcPr>
            <w:tcW w:w="2300" w:type="dxa"/>
            <w:vAlign w:val="bottom"/>
            <w:gridSpan w:val="4"/>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ended June 30,</w:t>
            </w:r>
          </w:p>
        </w:tc>
        <w:tc>
          <w:tcPr>
            <w:tcW w:w="10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900" w:type="dxa"/>
            <w:vAlign w:val="bottom"/>
            <w:tcBorders>
              <w:bottom w:val="single" w:sz="8" w:color="CCEEFF"/>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39"/>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300" w:type="dxa"/>
            <w:vAlign w:val="bottom"/>
            <w:tcBorders>
              <w:top w:val="single" w:sz="8" w:color="auto"/>
              <w:bottom w:val="single" w:sz="8" w:color="CCEEFF"/>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175"/>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300" w:type="dxa"/>
            <w:vAlign w:val="bottom"/>
            <w:tcBorders>
              <w:bottom w:val="single" w:sz="8" w:color="CCEEFF"/>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357"/>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used for operating activities</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(401,926)</w:t>
            </w: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(112,940)</w:t>
            </w: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(288,986)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Cash used for investing activities</w:t>
            </w: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(514,405)</w:t>
            </w: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(58,789)</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(455,616)</w:t>
            </w: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provided by financing activities</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1,574,278</w:t>
            </w: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328,049</w:t>
            </w: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1,246,229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30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Cash used for operating activities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Cash used for operating activities increased by $288,986 from $112,940 for the six months ended June 30, 2021 to $401,926 for the six months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ended June 30, 2022. The change is primarily attributable to a larger net loss as adjusted for lower depreciation and amortization and other</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significant non-cash items, including the gain on the fair value change of the earn-out rights, the gain on the fair value change of the Class C Shares, and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listing expense. In addition, the change is attributable to changes in operating assets and liabilities.</w:t>
      </w:r>
    </w:p>
    <w:p>
      <w:pPr>
        <w:spacing w:after="0" w:line="207"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The adjustment for depreciation and amortization decreased by $51,026 from $121,726 for the six months ended June 30, 2021 to $70,700 for the six months ended June 30, 2022, mainly driven by intangible assets for the Polestar 1 which were fully amortized by December 31, 2021. Gains from decreases in the fair values of the earn-out rights and Class C Shares amounted to $418,707 and $21,531, respectively, during the during the six months ended June 30, 2022, offset by the $372,318 listing expense incurred upon the merger with Gores Guggenheim on June 23, 2022, all of them being non-cash items.</w:t>
      </w:r>
    </w:p>
    <w:p>
      <w:pPr>
        <w:spacing w:after="0" w:line="183"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Overall, changes in operating assets and liabilities were positive, partly offsetting the negative cash-flow from operating activities as set out above. Cash provided by changes in inventories increased by $169,734 from $31,643 for the six months ended June 30, 2021 to $201,377 for the six months ended June 30, 2022 as demand for the Polestar 2 increased globally and higher volumes were sold as compared to the prior period in combination with lower volumes being produced as of June 30, 2022 as an effect of lost production from the COVID-19 lockdowns in eastern China that occurred during the period. Cash provided by changes in trade</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113</w:t>
      </w:r>
    </w:p>
    <w:p>
      <w:pPr>
        <w:sectPr>
          <w:pgSz w:w="11900" w:h="16838" w:orient="portrait"/>
          <w:cols w:equalWidth="0" w:num="1">
            <w:col w:w="11140"/>
          </w:cols>
          <w:pgMar w:left="320" w:top="455" w:right="43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receivables, prepaid expenses, and other assets decreased by $165,100 from $190,798 for the six months ended June 30, 2021 to $25,698 for the six months ended June 30, 2022, primarily due to a higher collection of cash tied up in accounts receivable in the first six months of 2021. Cash used from changes in trade payables, accrued expenses, and other liabilities increased by $64,966 from $105,517 for the six months ended June 30, 2021 to $162,437 for the six months ended June 30, 2022 as a result of higher repayments of trade payables and accrued expenses to Volvo Cars.</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Cash used for investing activities</w:t>
      </w:r>
    </w:p>
    <w:p>
      <w:pPr>
        <w:spacing w:after="0" w:line="119" w:lineRule="exact"/>
        <w:rPr>
          <w:sz w:val="20"/>
          <w:szCs w:val="20"/>
          <w:color w:val="auto"/>
        </w:rPr>
      </w:pPr>
    </w:p>
    <w:p>
      <w:pPr>
        <w:ind w:left="120" w:right="320" w:firstLine="440"/>
        <w:spacing w:after="0" w:line="261" w:lineRule="auto"/>
        <w:rPr>
          <w:sz w:val="20"/>
          <w:szCs w:val="20"/>
          <w:color w:val="auto"/>
        </w:rPr>
      </w:pPr>
      <w:r>
        <w:rPr>
          <w:rFonts w:ascii="Times New Roman" w:cs="Times New Roman" w:eastAsia="Times New Roman" w:hAnsi="Times New Roman"/>
          <w:sz w:val="18"/>
          <w:szCs w:val="18"/>
          <w:color w:val="auto"/>
        </w:rPr>
        <w:t>Cash used for investing activities increased by $455,616 from $58,789 for the six months ended June 30, 2021 to $514,405 for the six months ended June 30, 2022. The change was primarily the result of cash settlements with Volvo Cars and Geely for prior period investments in intellectual property related to the Polestar 2, Polestar 3. and Polestar 4. Polestar also made an investment of $2,480 in the fast charging battery technology innovator, StoreDot, during the six months ended June 30, 2022.</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Cash provided by financing activities</w:t>
      </w:r>
    </w:p>
    <w:p>
      <w:pPr>
        <w:spacing w:after="0" w:line="119"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Cash provided by financing activities increased by $1,246,229 from $328,049 for the six months ended June 30, 2021 to $1,574,278 for the six months ended June 30, 2022. The change was primarily the result of the merger with GGI and related arrangements that occurred on June 23, 2022, providing Polestar with gross cash proceeds of $1,477,023, less transaction costs of $98,050. Additionally, cash provided by short-term borrowings increased by $330,048 from $84,868 for the six months ended June 30, 2021 to $414,916 for the six months ended June 30, 2022. Cash used for principal repayments of short-term borrowings decreased by $141,835 from $353,349 for the six months ended June 30, 2021 to $211,514 for the six months ended June 30, 2022. These changes also reflect the impact of the new green trade revolving credit facility with a syndicate of European banks and the refinancing of working capital facilities with Chinese banking partners that occurred during the six months ended June 30, 2022. During the six months ended June 30, 2021, several working capital facilities were repaid and replaced with new facilities in the second half of the year.</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Contractual obligations and commitments</w:t>
      </w:r>
    </w:p>
    <w:p>
      <w:pPr>
        <w:spacing w:after="0" w:line="11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Polestar is party to contractual obligations to make payments to third parties and related parties in the form of short-term credit facilities, sale leaseback arrangements, and various other leasing arrangements. Polestar also has certain capital commitments to purchase property, plant and equipment and intellectual property. The following table summarises Polestar’s estimated future cash expenditures related to contractual obligations and commitments as of June 30, 2022:</w:t>
      </w:r>
    </w:p>
    <w:p>
      <w:pPr>
        <w:spacing w:after="0" w:line="200" w:lineRule="exact"/>
        <w:rPr>
          <w:sz w:val="20"/>
          <w:szCs w:val="20"/>
          <w:color w:val="auto"/>
        </w:rPr>
      </w:pPr>
    </w:p>
    <w:tbl>
      <w:tblPr>
        <w:tblLayout w:type="fixed"/>
        <w:tblInd w:w="1000" w:type="dxa"/>
        <w:tblCellMar>
          <w:top w:w="0" w:type="dxa"/>
          <w:left w:w="0" w:type="dxa"/>
          <w:bottom w:w="0" w:type="dxa"/>
          <w:right w:w="0" w:type="dxa"/>
        </w:tblCellMar>
      </w:tblPr>
      <w:tr>
        <w:trPr>
          <w:trHeight w:val="190"/>
        </w:trPr>
        <w:tc>
          <w:tcPr>
            <w:tcW w:w="6000" w:type="dxa"/>
            <w:vAlign w:val="bottom"/>
          </w:tcPr>
          <w:p>
            <w:pPr>
              <w:spacing w:after="0"/>
              <w:rPr>
                <w:sz w:val="16"/>
                <w:szCs w:val="16"/>
                <w:color w:val="auto"/>
              </w:rPr>
            </w:pPr>
          </w:p>
        </w:tc>
        <w:tc>
          <w:tcPr>
            <w:tcW w:w="2380" w:type="dxa"/>
            <w:vAlign w:val="bottom"/>
            <w:gridSpan w:val="4"/>
          </w:tcPr>
          <w:p>
            <w:pPr>
              <w:ind w:left="840"/>
              <w:spacing w:after="0"/>
              <w:rPr>
                <w:sz w:val="20"/>
                <w:szCs w:val="20"/>
                <w:color w:val="auto"/>
              </w:rPr>
            </w:pPr>
            <w:r>
              <w:rPr>
                <w:rFonts w:ascii="Times New Roman" w:cs="Times New Roman" w:eastAsia="Times New Roman" w:hAnsi="Times New Roman"/>
                <w:sz w:val="14"/>
                <w:szCs w:val="14"/>
                <w:b w:val="1"/>
                <w:bCs w:val="1"/>
                <w:color w:val="auto"/>
              </w:rPr>
              <w:t>Payments due by period</w:t>
            </w: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60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Contractual obligations and commitments</w:t>
            </w:r>
          </w:p>
        </w:tc>
        <w:tc>
          <w:tcPr>
            <w:tcW w:w="940" w:type="dxa"/>
            <w:vAlign w:val="bottom"/>
            <w:vMerge w:val="restart"/>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40" w:type="dxa"/>
            <w:vAlign w:val="bottom"/>
          </w:tcPr>
          <w:p>
            <w:pPr>
              <w:spacing w:after="0"/>
              <w:rPr>
                <w:sz w:val="13"/>
                <w:szCs w:val="13"/>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Less than</w:t>
            </w:r>
          </w:p>
        </w:tc>
        <w:tc>
          <w:tcPr>
            <w:tcW w:w="8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After</w:t>
            </w:r>
          </w:p>
        </w:tc>
        <w:tc>
          <w:tcPr>
            <w:tcW w:w="0" w:type="dxa"/>
            <w:vAlign w:val="bottom"/>
          </w:tcPr>
          <w:p>
            <w:pPr>
              <w:spacing w:after="0"/>
              <w:rPr>
                <w:sz w:val="1"/>
                <w:szCs w:val="1"/>
                <w:color w:val="auto"/>
              </w:rPr>
            </w:pPr>
          </w:p>
        </w:tc>
      </w:tr>
      <w:tr>
        <w:trPr>
          <w:trHeight w:val="173"/>
        </w:trPr>
        <w:tc>
          <w:tcPr>
            <w:tcW w:w="6000" w:type="dxa"/>
            <w:vAlign w:val="bottom"/>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1 year</w:t>
            </w:r>
          </w:p>
        </w:tc>
        <w:tc>
          <w:tcPr>
            <w:tcW w:w="8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1 year</w:t>
            </w:r>
          </w:p>
        </w:tc>
        <w:tc>
          <w:tcPr>
            <w:tcW w:w="0" w:type="dxa"/>
            <w:vAlign w:val="bottom"/>
          </w:tcPr>
          <w:p>
            <w:pPr>
              <w:spacing w:after="0"/>
              <w:rPr>
                <w:sz w:val="1"/>
                <w:szCs w:val="1"/>
                <w:color w:val="auto"/>
              </w:rPr>
            </w:pPr>
          </w:p>
        </w:tc>
      </w:tr>
      <w:tr>
        <w:trPr>
          <w:trHeight w:val="209"/>
        </w:trPr>
        <w:tc>
          <w:tcPr>
            <w:tcW w:w="6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commitments</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498,170</w:t>
            </w:r>
          </w:p>
        </w:tc>
        <w:tc>
          <w:tcPr>
            <w:tcW w:w="24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233,086</w:t>
            </w:r>
          </w:p>
        </w:tc>
        <w:tc>
          <w:tcPr>
            <w:tcW w:w="2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265,084</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Credit facilities, including sale leasebacks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821,835</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821,835</w:t>
            </w:r>
          </w:p>
        </w:tc>
        <w:tc>
          <w:tcPr>
            <w:tcW w:w="240" w:type="dxa"/>
            <w:vAlign w:val="bottom"/>
          </w:tcPr>
          <w:p>
            <w:pPr>
              <w:spacing w:after="0"/>
              <w:rPr>
                <w:sz w:val="18"/>
                <w:szCs w:val="18"/>
                <w:color w:val="auto"/>
              </w:rPr>
            </w:pPr>
          </w:p>
        </w:tc>
        <w:tc>
          <w:tcPr>
            <w:tcW w:w="88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obligations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77,836</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17,363</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60,473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1,397,841</w:t>
            </w:r>
          </w:p>
        </w:tc>
        <w:tc>
          <w:tcPr>
            <w:tcW w:w="24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1,072,284</w:t>
            </w:r>
          </w:p>
        </w:tc>
        <w:tc>
          <w:tcPr>
            <w:tcW w:w="24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325,557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Critical accounting estimates</w:t>
      </w:r>
    </w:p>
    <w:p>
      <w:pPr>
        <w:spacing w:after="0" w:line="121"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The following paragraphs discuss new accounting estimates applied during the six months ended June 30, 2022 that are critical to the portrayal of our financial condition and results of operations and that require significant, difficult, subjective, or complex judgements.</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114</w:t>
      </w:r>
    </w:p>
    <w:p>
      <w:pPr>
        <w:sectPr>
          <w:pgSz w:w="11900" w:h="16838" w:orient="portrait"/>
          <w:cols w:equalWidth="0" w:num="1">
            <w:col w:w="11080"/>
          </w:cols>
          <w:pgMar w:left="320" w:top="455" w:right="49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7" w:lineRule="exact"/>
        <w:rPr>
          <w:sz w:val="20"/>
          <w:szCs w:val="20"/>
          <w:color w:val="auto"/>
        </w:rPr>
      </w:pPr>
    </w:p>
    <w:p>
      <w:pPr>
        <w:ind w:left="120" w:right="400"/>
        <w:spacing w:after="0" w:line="284" w:lineRule="auto"/>
        <w:rPr>
          <w:sz w:val="20"/>
          <w:szCs w:val="20"/>
          <w:color w:val="auto"/>
        </w:rPr>
      </w:pPr>
      <w:r>
        <w:rPr>
          <w:rFonts w:ascii="Times New Roman" w:cs="Times New Roman" w:eastAsia="Times New Roman" w:hAnsi="Times New Roman"/>
          <w:sz w:val="18"/>
          <w:szCs w:val="18"/>
          <w:i w:val="1"/>
          <w:iCs w:val="1"/>
          <w:color w:val="auto"/>
        </w:rPr>
        <w:t>Fair value measurement—methodologies for measuring the fair value of the financial liabilities related to the Class C-2 Shares and the contingent earn-out rights</w:t>
      </w:r>
    </w:p>
    <w:p>
      <w:pPr>
        <w:spacing w:after="0" w:line="52"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The Class C-2 Shares and the contingent earn-out rights are derivative financial instruments that are carried at fair value through profit and loss. Quoted or observable prices for these financial instruments are not available in active markets, requiring Polestar to estimate the fair value of the instruments each period utilizing certain valuation techniques.</w:t>
      </w:r>
    </w:p>
    <w:p>
      <w:pPr>
        <w:spacing w:after="0" w:line="176" w:lineRule="exact"/>
        <w:rPr>
          <w:sz w:val="20"/>
          <w:szCs w:val="20"/>
          <w:color w:val="auto"/>
        </w:rPr>
      </w:pPr>
    </w:p>
    <w:p>
      <w:pPr>
        <w:ind w:left="120" w:right="60" w:firstLine="440"/>
        <w:spacing w:after="0" w:line="270" w:lineRule="auto"/>
        <w:rPr>
          <w:sz w:val="20"/>
          <w:szCs w:val="20"/>
          <w:color w:val="auto"/>
        </w:rPr>
      </w:pPr>
      <w:r>
        <w:rPr>
          <w:rFonts w:ascii="Times New Roman" w:cs="Times New Roman" w:eastAsia="Times New Roman" w:hAnsi="Times New Roman"/>
          <w:sz w:val="17"/>
          <w:szCs w:val="17"/>
          <w:color w:val="auto"/>
        </w:rPr>
        <w:t>The fair value of the financial liability for the Class C-2 Shares is measured using a binomial lattice option pricing model that incorporates a geometric Brownian motion and references the observable price of the Class C-1 Shares. The Class C-1 Shares are almost identical instruments and are publicly traded on the NASDAQ (i.e., an active market). The inputs for this valuation technique include (1) the price of the Class C-1 Shares, (2) the implied volatility of the Class C-2 Shares, determined by reference to the implied volatility of the Class C-1 Shares, (3) the 5-year risk-free rate, and</w:t>
      </w:r>
    </w:p>
    <w:p>
      <w:pPr>
        <w:spacing w:after="0" w:line="3" w:lineRule="exact"/>
        <w:rPr>
          <w:sz w:val="20"/>
          <w:szCs w:val="20"/>
          <w:color w:val="auto"/>
        </w:rPr>
      </w:pPr>
    </w:p>
    <w:p>
      <w:pPr>
        <w:ind w:left="120" w:right="180" w:hanging="4"/>
        <w:spacing w:after="0" w:line="255" w:lineRule="auto"/>
        <w:tabs>
          <w:tab w:leader="none" w:pos="375"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dividend yield of the Class C-2 Shares. Polestar considers these inputs to be primarily observable by reference to information on the Class C-1 Shares and other information available to the public (e.g., the 5-year risk-free rate is available by reference to the 5-year treasury rate), resulting in a Level 2 measurement methodology.</w:t>
      </w:r>
    </w:p>
    <w:p>
      <w:pPr>
        <w:spacing w:after="0" w:line="186"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The fair value of the financial liability for the earn-out rights is measured using a Monte Carlo simulation. The inputs for this valuation technique include (1) the remaining term of the instrument, (2) the five earn-out tranches, (3) the probability of the Class A Shares reaching certain daily volume weighted average prices during the earn out period resulting in the issuance of each tranche of Class A Shares and Class B Shares, as determined by leveraging the implied volatility of the Class A Shares, and (4) the 5-year risk-free rate. The implied volatility of the Class A Shares is the most significant input to the Monte Carlo Simulation and is unobservable, requiring Polestar to calculate this input by reference to estimations of the asset volatilities of common equity of peers. This results in a Level 3 measurement methodology.</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Polestar Automotive Holding UK Limited</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Polestar Automotive Holding UK Limited was incorporated as a private company under the laws of England and Wales on September 15, 2021 as a direct wholly owned subsidiary of Parent. Polestar Automotive Holding UK Limited is registered as a USD company. As of December 31, 2021, Polestar Automotive Holding UK Limited had no operating activities and only nominal capitalization.</w:t>
      </w:r>
    </w:p>
    <w:p>
      <w:pPr>
        <w:spacing w:after="0" w:line="176" w:lineRule="exact"/>
        <w:rPr>
          <w:sz w:val="20"/>
          <w:szCs w:val="20"/>
          <w:color w:val="auto"/>
        </w:rPr>
      </w:pPr>
    </w:p>
    <w:p>
      <w:pPr>
        <w:ind w:left="120" w:right="100" w:firstLine="440"/>
        <w:spacing w:after="0" w:line="281" w:lineRule="auto"/>
        <w:rPr>
          <w:sz w:val="20"/>
          <w:szCs w:val="20"/>
          <w:color w:val="auto"/>
        </w:rPr>
      </w:pPr>
      <w:r>
        <w:rPr>
          <w:rFonts w:ascii="Times New Roman" w:cs="Times New Roman" w:eastAsia="Times New Roman" w:hAnsi="Times New Roman"/>
          <w:sz w:val="17"/>
          <w:szCs w:val="17"/>
          <w:color w:val="auto"/>
        </w:rPr>
        <w:t>Polestar Automotive Holding UK Limited was formed for the purpose of becoming the ultimate parent company in the Polestar Group following the transactions contemplated in the Business Combination Agreement by and among Polestar Automotive Holding UK Limited, Polestar Group and GGI. Merger Sub is Polestar Automotive Holding UK Limited’s only direct wholly owned subsidiary and was incorporated on September 15, 2021 to facilitate the consummation of the Business Combination Agreement. At December 31, 2021, Merger Sub had no assets, liabilities or operations.</w:t>
      </w:r>
    </w:p>
    <w:p>
      <w:pPr>
        <w:spacing w:after="0" w:line="164"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In connection with the Business Combination, Polestar Automotive Holding UK Limited re-registered as a public limited company under the laws of England and Wales with the name “Polestar Automotive Holding UK PLC.” Merger Sub merged with and into GGI, pursuant to which the separate corporate existence of Merger Sub ceased, with GGI being the surviving corporation and becoming a wholly owned subsidiary of the Company. Following the consummation of the transactions contemplated by the Business Combination Agreement, the Company became the surviving publicly-traded corporation.</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Results of operations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From inception to December 31, 2021, Polestar Automotive Holding UK Limited had no operating activities.</w:t>
      </w:r>
    </w:p>
    <w:p>
      <w:pPr>
        <w:spacing w:after="0" w:line="15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115</w:t>
      </w:r>
    </w:p>
    <w:p>
      <w:pPr>
        <w:sectPr>
          <w:pgSz w:w="11900" w:h="16838" w:orient="portrait"/>
          <w:cols w:equalWidth="0" w:num="1">
            <w:col w:w="11080"/>
          </w:cols>
          <w:pgMar w:left="320" w:top="455" w:right="49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of December 31, 2021, Polestar Automotive Holding UK Limited had no cash or cash equivalents.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From inception to December 31, 2021, Polestar Automotive Holding UK Limited did not have any operating, investing, or financing cash flows.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 and commitments</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As of December 31, 2021, Polestar Automotive Holding UK Limited had no contractual obligations and commitments outside of our related party transaction with Polestar Group. Refer to “</w:t>
      </w:r>
      <w:r>
        <w:rPr>
          <w:rFonts w:ascii="Times New Roman" w:cs="Times New Roman" w:eastAsia="Times New Roman" w:hAnsi="Times New Roman"/>
          <w:sz w:val="18"/>
          <w:szCs w:val="18"/>
          <w:i w:val="1"/>
          <w:iCs w:val="1"/>
          <w:color w:val="auto"/>
        </w:rPr>
        <w:t>Note 2—Related Party Transaction with Polestar Group</w:t>
      </w:r>
      <w:r>
        <w:rPr>
          <w:rFonts w:ascii="Times New Roman" w:cs="Times New Roman" w:eastAsia="Times New Roman" w:hAnsi="Times New Roman"/>
          <w:sz w:val="18"/>
          <w:szCs w:val="18"/>
          <w:color w:val="auto"/>
        </w:rPr>
        <w:t>” in the accompanying Consolidated Financial Statements for more detail.</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arrangements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of December 31, 2021, Polestar Automotive Holding UK Limited does not have any off-balance sheet arrangements.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Critical accounting policies and estimates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prepare our Consolidated Financial Statements in accordance with the IFRS issued by IASB. Refer to “</w:t>
      </w:r>
      <w:r>
        <w:rPr>
          <w:rFonts w:ascii="Times New Roman" w:cs="Times New Roman" w:eastAsia="Times New Roman" w:hAnsi="Times New Roman"/>
          <w:sz w:val="18"/>
          <w:szCs w:val="18"/>
          <w:i w:val="1"/>
          <w:iCs w:val="1"/>
          <w:color w:val="auto"/>
        </w:rPr>
        <w:t>Note 1—Significant accounting</w:t>
      </w:r>
    </w:p>
    <w:p>
      <w:pPr>
        <w:spacing w:after="0" w:line="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policies</w:t>
      </w:r>
      <w:r>
        <w:rPr>
          <w:rFonts w:ascii="Times New Roman" w:cs="Times New Roman" w:eastAsia="Times New Roman" w:hAnsi="Times New Roman"/>
          <w:sz w:val="18"/>
          <w:szCs w:val="18"/>
          <w:color w:val="auto"/>
        </w:rPr>
        <w:t>” in the accompanying Consolidated Financial Statements for discussion of the accounting policies applied by us. From inception to</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December 31, 2021, we did not have operating activities or become party to transactions requiring the application of significant, difficult, subjective, or</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complex accounting judgements.</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Quantitative and qualitative disclosures about market risk</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of December 31, 2021, Polestar Automotive Holding UK Limited had no material exposure to market risk.</w:t>
      </w:r>
    </w:p>
    <w:p>
      <w:pPr>
        <w:spacing w:after="0" w:line="15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116</w:t>
      </w:r>
    </w:p>
    <w:p>
      <w:pPr>
        <w:sectPr>
          <w:pgSz w:w="11900" w:h="16838" w:orient="portrait"/>
          <w:cols w:equalWidth="0" w:num="1">
            <w:col w:w="11080"/>
          </w:cols>
          <w:pgMar w:left="320" w:top="455" w:right="49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BOARD OF DIRECTORS AND MANAGEMENT</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Directors and Executive Officers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directors and executive officers of Polestar are as follows:</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47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3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Age</w:t>
            </w:r>
          </w:p>
        </w:tc>
        <w:tc>
          <w:tcPr>
            <w:tcW w:w="80" w:type="dxa"/>
            <w:vAlign w:val="bottom"/>
          </w:tcPr>
          <w:p>
            <w:pPr>
              <w:spacing w:after="0"/>
              <w:rPr>
                <w:sz w:val="16"/>
                <w:szCs w:val="16"/>
                <w:color w:val="auto"/>
              </w:rPr>
            </w:pPr>
          </w:p>
        </w:tc>
        <w:tc>
          <w:tcPr>
            <w:tcW w:w="5820" w:type="dxa"/>
            <w:vAlign w:val="bottom"/>
          </w:tcPr>
          <w:p>
            <w:pPr>
              <w:ind w:left="2760"/>
              <w:spacing w:after="0"/>
              <w:rPr>
                <w:sz w:val="20"/>
                <w:szCs w:val="20"/>
                <w:color w:val="auto"/>
              </w:rPr>
            </w:pPr>
            <w:r>
              <w:rPr>
                <w:rFonts w:ascii="Times New Roman" w:cs="Times New Roman" w:eastAsia="Times New Roman" w:hAnsi="Times New Roman"/>
                <w:sz w:val="14"/>
                <w:szCs w:val="14"/>
                <w:b w:val="1"/>
                <w:bCs w:val="1"/>
                <w:color w:val="auto"/>
              </w:rPr>
              <w:t>Title</w:t>
            </w:r>
          </w:p>
        </w:tc>
      </w:tr>
      <w:tr>
        <w:trPr>
          <w:trHeight w:val="209"/>
        </w:trPr>
        <w:tc>
          <w:tcPr>
            <w:tcW w:w="46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Håkan Samuelsson</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8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 (Chairman)</w:t>
            </w:r>
          </w:p>
        </w:tc>
      </w:tr>
      <w:tr>
        <w:trPr>
          <w:trHeight w:val="216"/>
        </w:trPr>
        <w:tc>
          <w:tcPr>
            <w:tcW w:w="4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Thomas Ingenlath</w:t>
            </w:r>
          </w:p>
        </w:tc>
        <w:tc>
          <w:tcPr>
            <w:tcW w:w="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57</w:t>
            </w:r>
          </w:p>
        </w:tc>
        <w:tc>
          <w:tcPr>
            <w:tcW w:w="59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Chief Executive Officer and Director</w:t>
            </w:r>
          </w:p>
        </w:tc>
      </w:tr>
      <w:tr>
        <w:trPr>
          <w:trHeight w:val="216"/>
        </w:trPr>
        <w:tc>
          <w:tcPr>
            <w:tcW w:w="4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Johan Malmqvist</w:t>
            </w:r>
          </w:p>
        </w:tc>
        <w:tc>
          <w:tcPr>
            <w:tcW w:w="3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46</w:t>
            </w:r>
          </w:p>
        </w:tc>
        <w:tc>
          <w:tcPr>
            <w:tcW w:w="59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16"/>
        </w:trPr>
        <w:tc>
          <w:tcPr>
            <w:tcW w:w="4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Dennis Nobelius</w:t>
            </w:r>
          </w:p>
        </w:tc>
        <w:tc>
          <w:tcPr>
            <w:tcW w:w="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49</w:t>
            </w:r>
          </w:p>
        </w:tc>
        <w:tc>
          <w:tcPr>
            <w:tcW w:w="59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Chief Operating Officer</w:t>
            </w:r>
          </w:p>
        </w:tc>
      </w:tr>
      <w:tr>
        <w:trPr>
          <w:trHeight w:val="216"/>
        </w:trPr>
        <w:tc>
          <w:tcPr>
            <w:tcW w:w="4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Carla De Geyseleer</w:t>
            </w:r>
          </w:p>
        </w:tc>
        <w:tc>
          <w:tcPr>
            <w:tcW w:w="3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53</w:t>
            </w:r>
          </w:p>
        </w:tc>
        <w:tc>
          <w:tcPr>
            <w:tcW w:w="59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4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Karen C. Francis</w:t>
            </w:r>
          </w:p>
        </w:tc>
        <w:tc>
          <w:tcPr>
            <w:tcW w:w="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59</w:t>
            </w:r>
          </w:p>
        </w:tc>
        <w:tc>
          <w:tcPr>
            <w:tcW w:w="59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4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Donghui (Daniel) Li</w:t>
            </w:r>
          </w:p>
        </w:tc>
        <w:tc>
          <w:tcPr>
            <w:tcW w:w="3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51</w:t>
            </w:r>
          </w:p>
        </w:tc>
        <w:tc>
          <w:tcPr>
            <w:tcW w:w="59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4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Dr. Karl-Thomas Neumann</w:t>
            </w:r>
          </w:p>
        </w:tc>
        <w:tc>
          <w:tcPr>
            <w:tcW w:w="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60</w:t>
            </w:r>
          </w:p>
        </w:tc>
        <w:tc>
          <w:tcPr>
            <w:tcW w:w="59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4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David Richter</w:t>
            </w:r>
          </w:p>
        </w:tc>
        <w:tc>
          <w:tcPr>
            <w:tcW w:w="3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54</w:t>
            </w:r>
          </w:p>
        </w:tc>
        <w:tc>
          <w:tcPr>
            <w:tcW w:w="59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4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James Rowan</w:t>
            </w:r>
          </w:p>
        </w:tc>
        <w:tc>
          <w:tcPr>
            <w:tcW w:w="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56</w:t>
            </w:r>
          </w:p>
        </w:tc>
        <w:tc>
          <w:tcPr>
            <w:tcW w:w="59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4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Zhe (David) Wei</w:t>
            </w:r>
          </w:p>
        </w:tc>
        <w:tc>
          <w:tcPr>
            <w:tcW w:w="3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51</w:t>
            </w:r>
          </w:p>
        </w:tc>
        <w:tc>
          <w:tcPr>
            <w:tcW w:w="59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30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Executive Officers</w:t>
      </w:r>
    </w:p>
    <w:p>
      <w:pPr>
        <w:spacing w:after="0" w:line="115" w:lineRule="exact"/>
        <w:rPr>
          <w:sz w:val="20"/>
          <w:szCs w:val="20"/>
          <w:color w:val="auto"/>
        </w:rPr>
      </w:pPr>
    </w:p>
    <w:p>
      <w:pPr>
        <w:ind w:left="120" w:right="18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Thomas Ingenlath </w:t>
      </w:r>
      <w:r>
        <w:rPr>
          <w:rFonts w:ascii="Times New Roman" w:cs="Times New Roman" w:eastAsia="Times New Roman" w:hAnsi="Times New Roman"/>
          <w:sz w:val="18"/>
          <w:szCs w:val="18"/>
          <w:color w:val="auto"/>
        </w:rPr>
        <w:t>joined Polestar as its Chief Executive Officer in July 2017 from Volvo Cars, where he served as the Senior Vice President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Design from July 2012. Mr. Ingenlath has also been a member of the Board since April 2022. Prior to joining Polestar, he held various design management roles at Škoda Auto from December 1999 to December 2005 and the Volkswagen Group from January 2006 to December 2011.</w:t>
      </w:r>
    </w:p>
    <w:p>
      <w:pPr>
        <w:jc w:val="both"/>
        <w:ind w:left="120" w:right="560"/>
        <w:spacing w:after="0" w:line="255" w:lineRule="auto"/>
        <w:rPr>
          <w:sz w:val="20"/>
          <w:szCs w:val="20"/>
          <w:color w:val="auto"/>
        </w:rPr>
      </w:pPr>
      <w:r>
        <w:rPr>
          <w:rFonts w:ascii="Times New Roman" w:cs="Times New Roman" w:eastAsia="Times New Roman" w:hAnsi="Times New Roman"/>
          <w:sz w:val="18"/>
          <w:szCs w:val="18"/>
          <w:color w:val="auto"/>
        </w:rPr>
        <w:t>Mr. Ingenlath brings over 20 years of design, innovation and leadership experience in the automotive industry to Polestar. Mr. Ingenlath holds an undergraduate Diplom degree from Pforzheim University in Transportation Design and a Masters of Art from the Royal College of Art in vehicle design.</w:t>
      </w:r>
    </w:p>
    <w:p>
      <w:pPr>
        <w:spacing w:after="0" w:line="186"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The Company believes that Mr. Ingenlath is qualified to serve on the Board based on his significant executive experience at Polestar and in the automobile industry.</w:t>
      </w:r>
    </w:p>
    <w:p>
      <w:pPr>
        <w:spacing w:after="0" w:line="158" w:lineRule="exact"/>
        <w:rPr>
          <w:sz w:val="20"/>
          <w:szCs w:val="20"/>
          <w:color w:val="auto"/>
        </w:rPr>
      </w:pPr>
    </w:p>
    <w:p>
      <w:pPr>
        <w:ind w:left="120" w:right="4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Johan Malmqvist </w:t>
      </w:r>
      <w:r>
        <w:rPr>
          <w:rFonts w:ascii="Times New Roman" w:cs="Times New Roman" w:eastAsia="Times New Roman" w:hAnsi="Times New Roman"/>
          <w:sz w:val="18"/>
          <w:szCs w:val="18"/>
          <w:color w:val="auto"/>
        </w:rPr>
        <w:t>joined Polestar as its Chief Financial Officer in September 2021 from Dole Food Company, where he served as Chief Financial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Officer from July 2014 to September 2021. Previously, he served as the Chief Financial Officer of Perstorp AB from May 2009 to June 2014 and Duni AB from Aug 1998 to May 2009. Mr. Malmqvist brings over 20 years of financial experience across multiple sectors to Polestar. Mr. Malmqvist holds a BA from San Diego State University in International Business and a Master of Science Business Administration from San Diego State University with a specialization in Finance.</w:t>
      </w:r>
    </w:p>
    <w:p>
      <w:pPr>
        <w:spacing w:after="0" w:line="179" w:lineRule="exact"/>
        <w:rPr>
          <w:sz w:val="20"/>
          <w:szCs w:val="20"/>
          <w:color w:val="auto"/>
        </w:rPr>
      </w:pPr>
    </w:p>
    <w:p>
      <w:pPr>
        <w:ind w:left="120" w:right="20" w:firstLine="440"/>
        <w:spacing w:after="0" w:line="269" w:lineRule="auto"/>
        <w:rPr>
          <w:sz w:val="20"/>
          <w:szCs w:val="20"/>
          <w:color w:val="auto"/>
        </w:rPr>
      </w:pPr>
      <w:r>
        <w:rPr>
          <w:rFonts w:ascii="Times New Roman" w:cs="Times New Roman" w:eastAsia="Times New Roman" w:hAnsi="Times New Roman"/>
          <w:sz w:val="17"/>
          <w:szCs w:val="17"/>
          <w:b w:val="1"/>
          <w:bCs w:val="1"/>
          <w:color w:val="auto"/>
        </w:rPr>
        <w:t xml:space="preserve">Dennis Nobelius </w:t>
      </w:r>
      <w:r>
        <w:rPr>
          <w:rFonts w:ascii="Times New Roman" w:cs="Times New Roman" w:eastAsia="Times New Roman" w:hAnsi="Times New Roman"/>
          <w:sz w:val="17"/>
          <w:szCs w:val="17"/>
          <w:color w:val="auto"/>
        </w:rPr>
        <w:t>joined Polestar as Chief Operating Officer in September 2020. Since June 2021, Mr. Nobelius also serves on the Advisory Board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of StoreDot Ltd, a battery developer and materials innovation leader focusing on fast-charging batteries. He previously served as the Chief Executive Officer of Zenuity (now Zenseact), an assisted and autonomous driving software provider originally set up as a joint venture between Volvo Cars and Veoneer (now wholly owned by Volvo Cars), from September 2016 to September 2020. Mr. Nobelius has 20 years of research and development, operation and leadership experience in the automotive industry, including at Volvo Cars where he served, among others, as Managing Director in Switzerland, Program Leader for all-new Volvo XC90 / S90 / V90 cars and the new Volvo Scalable Product Architecture Platform, Plant Director for final assembly shop at Volvo Cars Torslanda, Program leader for the Volvo C30 car. Mr. Nobelius was also co-founder and Chief Executive Officer</w:t>
      </w:r>
    </w:p>
    <w:p>
      <w:pPr>
        <w:spacing w:after="0" w:line="1" w:lineRule="exact"/>
        <w:rPr>
          <w:sz w:val="20"/>
          <w:szCs w:val="20"/>
          <w:color w:val="auto"/>
        </w:rPr>
      </w:pPr>
    </w:p>
    <w:p>
      <w:pPr>
        <w:ind w:left="120" w:right="20"/>
        <w:spacing w:after="0" w:line="260" w:lineRule="auto"/>
        <w:rPr>
          <w:sz w:val="20"/>
          <w:szCs w:val="20"/>
          <w:color w:val="auto"/>
        </w:rPr>
      </w:pPr>
      <w:r>
        <w:rPr>
          <w:rFonts w:ascii="Times New Roman" w:cs="Times New Roman" w:eastAsia="Times New Roman" w:hAnsi="Times New Roman"/>
          <w:sz w:val="18"/>
          <w:szCs w:val="18"/>
          <w:color w:val="auto"/>
        </w:rPr>
        <w:t>for the start-up Expoplanet from May 2000 to September 2001. Mr. Nobelius holds a Ph.D. in R&amp;D Management and a MSc in Industrial Engineering &amp; Management from Chalmers University of Technology.</w:t>
      </w:r>
    </w:p>
    <w:p>
      <w:pPr>
        <w:spacing w:after="0" w:line="11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117</w:t>
      </w:r>
    </w:p>
    <w:p>
      <w:pPr>
        <w:sectPr>
          <w:pgSz w:w="11900" w:h="16838" w:orient="portrait"/>
          <w:cols w:equalWidth="0" w:num="1">
            <w:col w:w="11140"/>
          </w:cols>
          <w:pgMar w:left="320" w:top="455" w:right="43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Non-Employee Directors</w:t>
      </w:r>
    </w:p>
    <w:p>
      <w:pPr>
        <w:spacing w:after="0" w:line="115"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Håkan Samuelsson </w:t>
      </w:r>
      <w:r>
        <w:rPr>
          <w:rFonts w:ascii="Times New Roman" w:cs="Times New Roman" w:eastAsia="Times New Roman" w:hAnsi="Times New Roman"/>
          <w:sz w:val="18"/>
          <w:szCs w:val="18"/>
          <w:color w:val="auto"/>
        </w:rPr>
        <w:t>has served as Chairman of the Board since June 2022 and joined the Parent Board in May 2020. Mr. Samuelsson also served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a director of Volvo Cars from August 2010 to March 2022 and as President and Chief Executive Officer of Volvo Cars from October 2012 to March 2022. Mr. Samuelsson started his professional career in 1977 at Scania Group, where he worked for more than 20 years and joined the executive board in January 1996. In 2000, Mr. Samuelsson joined MAN AG and became its Chief Executive Officer in 2005. Mr. Samuelsson has also served as a director of Ideella föreningen Teknikarbetsgivarna i Sverige since July 2013, a director of Ideella Föreningen Teknikföretagen i Sverige since July 2013, a director of Lynk &amp; Co Investment Co., Ltd. since 2017 and a deputy board member of Volvo Trademark Holding Aktiebolag since April 2013. Previously, Mr. Samuelsson was a director at AB Volvo from April 2016 to May 2018, a director at China-Euro Vehicle Technology Aktiebolag from May 2013 to March 2019, a director at Zenuity AB from May 2017 to July 2018, a director at Lynk &amp; Co Europe AB from November 2018 to September 2020. Mr. Samuelsson holds a Master of Science Degree in Mechanical Engineering from KTH Royal Institute of Technology, Sweden.</w:t>
      </w:r>
    </w:p>
    <w:p>
      <w:pPr>
        <w:spacing w:after="0" w:line="192"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The Company believes that Mr. Samuelsson is qualified to serve on the Board based on his significant executive experience in the automotive sector.</w:t>
      </w:r>
    </w:p>
    <w:p>
      <w:pPr>
        <w:spacing w:after="0" w:line="158" w:lineRule="exact"/>
        <w:rPr>
          <w:sz w:val="20"/>
          <w:szCs w:val="20"/>
          <w:color w:val="auto"/>
        </w:rPr>
      </w:pPr>
    </w:p>
    <w:p>
      <w:pPr>
        <w:ind w:left="120" w:right="240"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Carla De Geyseleer </w:t>
      </w:r>
      <w:r>
        <w:rPr>
          <w:rFonts w:ascii="Times New Roman" w:cs="Times New Roman" w:eastAsia="Times New Roman" w:hAnsi="Times New Roman"/>
          <w:sz w:val="18"/>
          <w:szCs w:val="18"/>
          <w:color w:val="auto"/>
        </w:rPr>
        <w:t>has served on the Board since June 2022 and joined the Parent Board in September 2020. Since September 2022, Ms. De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Geyseleer also serves as the Chief Financial Officer of Schindler Management. Ms. De Geyseleer served as the Chief Financial Officer of Volvo Cars from October 2019 to April 2021. Prior to joining Volvo Cars, Ms. De Geyseleer served as the Chief Financial Officer of Société Générale de Surveillance (“SGS”), a Swiss-based publicly listed company specialized in testing, inspection and certification services, from November 2014 to October 2019. Prior to her role at SGS, Ms. De Geyseleer served as the Chief Financial Officer at telecom firm Vodafone Libertel in the Netherlands from April 2012 to October 2014 and as a director of financial controlling at Vodafone Germany from April 2010 to April 2012. She also worked for</w:t>
      </w:r>
    </w:p>
    <w:p>
      <w:pPr>
        <w:spacing w:after="0" w:line="4"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15 years at the logistics company DHL Express, where she held responsibilities in various operational and corporate positions in multiple countries from 1995 to 2010. Ms. De Geyseleer started her career as an auditor with accountancy firm EY LLP in Belgium. Since September 2019, Ms. De Geyseleer has also served as a director and chair of the audit committee at Hilti AG in Lichtenstein. Ms. De Geyseleer holds a Master’s degree in Economic and Financial Sciences, with specialization in Accounting, and an Executive MBA from the Institute for Management Development in Lausanne, Switzerland.</w:t>
      </w:r>
    </w:p>
    <w:p>
      <w:pPr>
        <w:spacing w:after="0" w:line="187"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The Company believes that Ms. De Geyseleer is qualified to serve on the Board based on her significant experience as a financial executive of publicly listed companies and her experience in the automotive sector.</w:t>
      </w:r>
    </w:p>
    <w:p>
      <w:pPr>
        <w:spacing w:after="0" w:line="158"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Karen C. Francis </w:t>
      </w:r>
      <w:r>
        <w:rPr>
          <w:rFonts w:ascii="Times New Roman" w:cs="Times New Roman" w:eastAsia="Times New Roman" w:hAnsi="Times New Roman"/>
          <w:sz w:val="18"/>
          <w:szCs w:val="18"/>
          <w:color w:val="auto"/>
        </w:rPr>
        <w:t>has served on the Board since June 2022. Ms. Francis has served as the Chair of the board of directors of Vontier Corporation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(NYSE: VNT) (“Vontier”), a spinoff from Fortive Corporation focused on mobility and transportation businesses, since its spin-off in 2020. She also serves as a member of the Compensation &amp; Management Development Committee for Vontier. Ms. Francis has also served as director of TuSimple Holdings Inc. (NASDAQ: TSP) since December 2020. Ms. Francis also currently serves on the Audit and Compensation Committees at TuSimple Holdings Inc. Additionally, she has served as a director of Quanergy Systems, Inc. (NYSE: QNGY) (“Quanergy Systems”) from September 2018 to December 2019 and from September 2021 to the present. She currently chairs the Nominating and Governance Committee at Quanergy Systems. Since July 2021, Ms. Francis serves as Senior Advisor to TPG Capital and is an independent director for private equity and venture capital funded companies in Silicon Valley, including Metawave since August 2018, Nauto since April 2016 and Wind River since July 2019. Furthermore, Ms. Francis has also served as Chair of the board of directors of CelLink Corporation since October 2021. Recently, from March 2021 to November 2021, Ms. Francis served on the Board and as Audit Chair of Reinvent Technology Partners Y (NASDAQ: RTPYU), which merged with Aurora Innovation, Inc. From December 2016 to November 2019, Ms. Francis also served on the board of directors of Telenav, Inc. (NASDAQ: TNAV), where she served as lead independent director, chair of the Compensation Committee and a member of the Nominating and Governance</w:t>
      </w:r>
    </w:p>
    <w:p>
      <w:pPr>
        <w:spacing w:after="0" w:line="12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118</w:t>
      </w:r>
    </w:p>
    <w:p>
      <w:pPr>
        <w:sectPr>
          <w:pgSz w:w="11900" w:h="16838" w:orient="portrait"/>
          <w:cols w:equalWidth="0" w:num="1">
            <w:col w:w="11120"/>
          </w:cols>
          <w:pgMar w:left="320" w:top="455" w:right="45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20"/>
        <w:spacing w:after="0" w:line="255" w:lineRule="auto"/>
        <w:rPr>
          <w:sz w:val="20"/>
          <w:szCs w:val="20"/>
          <w:color w:val="auto"/>
        </w:rPr>
      </w:pPr>
      <w:r>
        <w:rPr>
          <w:rFonts w:ascii="Times New Roman" w:cs="Times New Roman" w:eastAsia="Times New Roman" w:hAnsi="Times New Roman"/>
          <w:sz w:val="18"/>
          <w:szCs w:val="18"/>
          <w:color w:val="auto"/>
        </w:rPr>
        <w:t>Committee of Telenav, Inc. Prior to joining Telenav, Inc., Ms. Francis served as a director of The Hanover Insurance Group, Inc. (NYSE: THG) from May 2014 to May 2017 and AutoNation, Inc. (NYSE: AN) from February 2016 to April 2018. Ms. Francis served as Chief Executive Officer of AcademixDirect, Inc., a technology innovator in education, from 2009 to 2014 and as its Executive Chairman from 2009 to 2017. From 2004 to 2007, Ms. Francis was Chairman and Chief Executive Officer of Publicis &amp; Hal Riney, based in San Francisco and part of the Publicis global advertising and marketing network. From 2001 to 2002, she served as Vice President of Ford Motor Company, where she was responsible for the corporate venture capital group, as well as global e-business strategies, customer relationship management and worldwide export operations. From 1996 to 2000, Ms. Francis held several positions with General Motors, including serving as General Manager of the Oldsmobile Division.</w:t>
      </w:r>
    </w:p>
    <w:p>
      <w:pPr>
        <w:spacing w:after="0" w:line="189" w:lineRule="exact"/>
        <w:rPr>
          <w:sz w:val="20"/>
          <w:szCs w:val="20"/>
          <w:color w:val="auto"/>
        </w:rPr>
      </w:pPr>
    </w:p>
    <w:p>
      <w:pPr>
        <w:ind w:left="120" w:right="580" w:firstLine="440"/>
        <w:spacing w:after="0" w:line="282" w:lineRule="auto"/>
        <w:rPr>
          <w:sz w:val="20"/>
          <w:szCs w:val="20"/>
          <w:color w:val="auto"/>
        </w:rPr>
      </w:pPr>
      <w:r>
        <w:rPr>
          <w:rFonts w:ascii="Times New Roman" w:cs="Times New Roman" w:eastAsia="Times New Roman" w:hAnsi="Times New Roman"/>
          <w:sz w:val="18"/>
          <w:szCs w:val="18"/>
          <w:color w:val="auto"/>
        </w:rPr>
        <w:t>The Company believes that Ms. Francis is qualified to serve on the Board based on her significant experience in the automotive sector, her knowledge in corporate governance and her track record of successfully building companies and businesses across multiple industries.</w:t>
      </w:r>
    </w:p>
    <w:p>
      <w:pPr>
        <w:spacing w:after="0" w:line="158"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Donghui (Daniel) Li (“Daniel Li”) </w:t>
      </w:r>
      <w:r>
        <w:rPr>
          <w:rFonts w:ascii="Times New Roman" w:cs="Times New Roman" w:eastAsia="Times New Roman" w:hAnsi="Times New Roman"/>
          <w:sz w:val="18"/>
          <w:szCs w:val="18"/>
          <w:color w:val="auto"/>
        </w:rPr>
        <w:t>has served on the Board since June 2022 and joined the Parent Board in May 2020. Mr. Li serves as the Chief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Executive Officer of Geely since November 2020. Mr. Li joined Geely in April 2011 as Vice President and Chief Financial Officer and has served as a director of Geely since November 2011. From May 2011 to April 2014, he served as Executive Director of Geely Automobile Holdings Co., Ltd. (HK.0175) and from June 2016 to November 2020, he served as Executive Vice President and Chief Financial Officer of Geely. In April 2012, Mr. Li was appointed as a director of Volvo Cars. In July 2016, he was appointed the position of Executive Director and Vice Chairman of Geely Automobile Holdings Co., Ltd. (HK.0175). Mr. Li has also served as a chairman of Group Lotus and a director of Proton Holdings since September 2017. From September 2018 to March 2021, Mr. Li has served as chairman of Saxo Bank and he continues to serve as a director of Saxo Bank after March 2021. Mr. Li also serves as chairman of LEVC Global since April 2021. Mr. Li holds an MBA degree from the Indiana University Kelley School of Business and graduated from the Beijing Institute of Machinery with a Master’s degree in management engineering (with a focus on financial management). He also holds a Bachelor’s degree in philosophy from China Renmin University.</w:t>
      </w:r>
    </w:p>
    <w:p>
      <w:pPr>
        <w:spacing w:after="0" w:line="189"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The Company believes that Mr. Li is qualified to serve on the Board based on his significant executive experience in the automotive sector and his experience in operational management in China.</w:t>
      </w:r>
    </w:p>
    <w:p>
      <w:pPr>
        <w:spacing w:after="0" w:line="158"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Dr. Karl-Thomas Neumann </w:t>
      </w:r>
      <w:r>
        <w:rPr>
          <w:rFonts w:ascii="Times New Roman" w:cs="Times New Roman" w:eastAsia="Times New Roman" w:hAnsi="Times New Roman"/>
          <w:sz w:val="18"/>
          <w:szCs w:val="18"/>
          <w:color w:val="auto"/>
        </w:rPr>
        <w:t>has served on the Board since June 2022. Dr. Neumann joined the Parent Board in February 2022. Dr. Neumann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Chief Executive Officer and Founder of KTN Investment and Consulting since March 2018. He also serves as a director of indie Semiconductor, Inc. since June 2021 and as a director of South Korea based Hyundai-Mobis since March 2019. From April 2018 to June 2019, Dr. Neumann held a management position at Canoo Inc., an electric vehicles company, where his responsibilities included technology and marketing. From March 2013 to March 2018, he was Executive Vice President &amp; President Europe for General Motors Company, where he was also a member of the GM Executive Committee. Dr. Neumann was previously with Volkswagen AG, where he was Chief Executive Officer and Vice President of Volkswagen Group China in Beijing from September 2010 to August 2012. Prior to this position, he held a number of management positions at Volkswagen, beginning in 1999 as Head of Research and Director of Electronics Strategy. From 2004 to 2009, Dr. Neumann was a member of the Executive Board at German automotive supplier Continental AG, responsible for the Automotive Systems Division. From August 2008 to September 2009, he was Chairman of the Executive Board of Continental AG. In December 2009, Dr. Neumann returned to Volkswagen AG and took over company-wide responsibility for electric propulsion. Dr. Neumann began his professional career at the Fraunhofer Institute as a research engineer before moving to Motorola Semiconductor, where he worked as an engineer and strategy director responsible for the automobile industry. Dr. Neumann holds a Ph.D. in Microelectronics from the University of Duisburg, as well as a diploma in Electrical Engineering from the University of Dortmund.</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119</w:t>
      </w:r>
    </w:p>
    <w:p>
      <w:pPr>
        <w:sectPr>
          <w:pgSz w:w="11900" w:h="16838" w:orient="portrait"/>
          <w:cols w:equalWidth="0" w:num="1">
            <w:col w:w="11120"/>
          </w:cols>
          <w:pgMar w:left="320" w:top="455" w:right="45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Company believes that Dr. Neumann is qualified to serve on the Board based on his significant executive experience in the automotive sector.</w:t>
      </w:r>
    </w:p>
    <w:p>
      <w:pPr>
        <w:spacing w:after="0" w:line="2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David Richter </w:t>
      </w:r>
      <w:r>
        <w:rPr>
          <w:rFonts w:ascii="Times New Roman" w:cs="Times New Roman" w:eastAsia="Times New Roman" w:hAnsi="Times New Roman"/>
          <w:sz w:val="18"/>
          <w:szCs w:val="18"/>
          <w:color w:val="auto"/>
        </w:rPr>
        <w:t>has served on the Board since June 2022 and joined the Parent Board in May 2020. Mr. Richter has wide experience at high-growth technology companies, including leading business development, corporate development, legal, finance and product teams. Mr. Richter has been the Vice President of Business and Corporate Development at DoorDash, Inc. (NYSE: DASH) since July 2021. Prior to joining DoorDash, Inc, he worked at Lime from October 2018 to July 2020. He also held the position of Vice President, Global Head of Business and Corporate Development, at Uber Technologies, Inc. (“Uber”) (NYSE: UBER) from June 2017 through May 2018, leading the business development, corporate development and experiential marketing teams. Mr. Richter first joined Uber in January 2014 as Vice President, Strategic Initiatives. While at Uber, Mr. Richter was also a member of the Executive Leadership Team reporting to the Chief Executive Officer. Mr. Richter holds a J.D. from Yale Law School and a B.A. from Cornell University.</w:t>
      </w:r>
    </w:p>
    <w:p>
      <w:pPr>
        <w:spacing w:after="0" w:line="189"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The Company believes that Mr. Richter is qualified to serve on the Board based on his significant experience in the fast-moving shared mobility industry and as a business development and start-up executive.</w:t>
      </w:r>
    </w:p>
    <w:p>
      <w:pPr>
        <w:spacing w:after="0" w:line="158"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James Rowan (“Jim Rowan”) </w:t>
      </w:r>
      <w:r>
        <w:rPr>
          <w:rFonts w:ascii="Times New Roman" w:cs="Times New Roman" w:eastAsia="Times New Roman" w:hAnsi="Times New Roman"/>
          <w:sz w:val="18"/>
          <w:szCs w:val="18"/>
          <w:color w:val="auto"/>
        </w:rPr>
        <w:t>has served on the Board since June 2022. Mr. Rowan joined Volvo Cars as its new Chief Executive Officer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March 2022. Prior to his role at Volvo Cars, Mr. Rowan worked with Ember Technologies, Inc. as a director and its Chief Executive Officer from February 2021 to March 2022. Previously, Mr. Rowan served at Dyson as Chief Operating Officer from August 2012 to September 2017, Chief Executive Officer from September 2017 to April 2020 and as a director from August 2012 to July 2020. Mr. Rowan also served as the Chief Operating Officer of BlackBerry (NYSE: BB) from December 2007 to August 2012, Executive Vice President at Celestica from January 2005 to October 2007 and Vice President of Operations at Flex from February 1998 to January 2005. Mr. Rowan also serves as a member of the Shareholders’ Committee of Henkel AG since April 2021. Mr Rowan was a senior advisor to the global investment firm KKR &amp; Co. Inc. (NYSE: KKR) between November 2020 and February 2022. He was the Chairman of Sydrogen from August 2021 to February 2022, a director at PCH International from August 2020 to February 2022, and a director at Nanofilm Technologies International Limited from October 2020 to February 2022. Earlier in his career, Mr. Rowan also held senior management positions at International Components Corporation and was the founder of Electroconnect, a specialist contract electronics manufacturer, which was acquired by Prestwick Holdings in 1992. Mr. Rowan holds a Master’s degree in Business with specializations in supply chain management and logistics. Mr. Rowan also holds certifications from Glasgow College of Technology and Glasgow Caledonian University, including a Mechanical Engineering Apprenticeship, as well as an HNC in Mechanical and Production Engineering and an ONC in Electrical &amp; Electronics Engineering.</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Company believes that Mr. Rowan is qualified to serve on the Board based on his significant global experience as a technology executive.</w:t>
      </w:r>
    </w:p>
    <w:p>
      <w:pPr>
        <w:spacing w:after="0" w:line="221"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Zhe (David) Wei (“David Wei”) </w:t>
      </w:r>
      <w:r>
        <w:rPr>
          <w:rFonts w:ascii="Times New Roman" w:cs="Times New Roman" w:eastAsia="Times New Roman" w:hAnsi="Times New Roman"/>
          <w:sz w:val="18"/>
          <w:szCs w:val="18"/>
          <w:color w:val="auto"/>
        </w:rPr>
        <w:t>has served on the Board since June 2022. Mr. Wei has over 20 years of experience in both investment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operational management in China. Prior to launching Vision Knight Capital, a private equity investment fund, in 2011, Mr. Wei served from 2007 to 2011 as an executive director and the Chief Executive Officer of Alibaba.com Limited, a leading worldwide wholesale e-commerce company wholly owned by the Alibaba Group (NYSE: BABA). Mr. Wei was the president, from 2002 to 2006, and chief financial officer, from 2000 to 2002, of B&amp;Q (China) Co., Ltd., a subsidiary of Kingfisher PLC, a leading home improvement retailer in Europe and Asia. From 2003 to 2006, Mr. Wei was also the chief representative for Kingfisher’s China sourcing office, Kingfisher Asia Limited. Prior to joining B&amp;Q and Kingfisher, Mr. Wei served as the head of investment banking at Orient Securities Company Limited from 1998 to 2000 and as corporate finance manager at Coopers &amp; Lybrand (now part of PricewaterhouseCoopers) from 1995 to 1998. Mr. Wei was appointed as an independent non-executive director of PCCW Ltd. (HKSE: 0008) (“PCCW”) in November 2011 and was re-designated as a non-executive director of PCCW in May 2012. Mr. Wei has also served as a director of Zall Smart Commerce Group Ltd. (HKSE: 02098) since April 2016 and as a director at</w:t>
      </w:r>
    </w:p>
    <w:p>
      <w:pPr>
        <w:spacing w:after="0" w:line="1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120</w:t>
      </w:r>
    </w:p>
    <w:p>
      <w:pPr>
        <w:sectPr>
          <w:pgSz w:w="11900" w:h="16838" w:orient="portrait"/>
          <w:cols w:equalWidth="0" w:num="1">
            <w:col w:w="11140"/>
          </w:cols>
          <w:pgMar w:left="320" w:top="455" w:right="43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JNBY Design Limited (HKSE: 03306) since June 2013. Mr. Wei was a director of Informa PLC (LON: INF) from June 2018 to May 2019, a director of</w:t>
      </w:r>
    </w:p>
    <w:p>
      <w:pPr>
        <w:spacing w:after="0" w:line="27"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Zhong Ao Home Group Limited (HKSE: 01538) from April 2015 to June 2020, an independent director of Leju Holdings Limited (NYSE: LEJU) from April 2014 to March 2021, an independent director of OneSmart International Education Group Limited (NYSE: ONE) from March 2018 to April 2021, and as a director of several private companies. Mr. Wei holds a Bachelor’s degree in international business management from Shanghai International Studies University and has completed a corporate finance program at the London Business School.</w:t>
      </w:r>
    </w:p>
    <w:p>
      <w:pPr>
        <w:spacing w:after="0" w:line="189" w:lineRule="exact"/>
        <w:rPr>
          <w:sz w:val="20"/>
          <w:szCs w:val="20"/>
          <w:color w:val="auto"/>
        </w:rPr>
      </w:pPr>
    </w:p>
    <w:p>
      <w:pPr>
        <w:ind w:left="120" w:right="780" w:firstLine="440"/>
        <w:spacing w:after="0" w:line="282" w:lineRule="auto"/>
        <w:rPr>
          <w:sz w:val="20"/>
          <w:szCs w:val="20"/>
          <w:color w:val="auto"/>
        </w:rPr>
      </w:pPr>
      <w:r>
        <w:rPr>
          <w:rFonts w:ascii="Times New Roman" w:cs="Times New Roman" w:eastAsia="Times New Roman" w:hAnsi="Times New Roman"/>
          <w:sz w:val="18"/>
          <w:szCs w:val="18"/>
          <w:color w:val="auto"/>
        </w:rPr>
        <w:t>The Company believes that Mr. Wei is qualified to serve on the Board based on his significant experience in investment and operational management in China.</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Board Practices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Board Composition</w:t>
      </w:r>
    </w:p>
    <w:p>
      <w:pPr>
        <w:spacing w:after="0" w:line="121" w:lineRule="exact"/>
        <w:rPr>
          <w:sz w:val="20"/>
          <w:szCs w:val="20"/>
          <w:color w:val="auto"/>
        </w:rPr>
      </w:pPr>
    </w:p>
    <w:p>
      <w:pPr>
        <w:ind w:left="120" w:right="200" w:firstLine="440"/>
        <w:spacing w:after="0" w:line="274" w:lineRule="auto"/>
        <w:rPr>
          <w:sz w:val="20"/>
          <w:szCs w:val="20"/>
          <w:color w:val="auto"/>
        </w:rPr>
      </w:pPr>
      <w:r>
        <w:rPr>
          <w:rFonts w:ascii="Times New Roman" w:cs="Times New Roman" w:eastAsia="Times New Roman" w:hAnsi="Times New Roman"/>
          <w:sz w:val="17"/>
          <w:szCs w:val="17"/>
          <w:color w:val="auto"/>
        </w:rPr>
        <w:t>The Board is divided into three classes of directors, designated as “Class I,” “Class II” and “Class III.” The term of office of directors serving in Class I, consisting of Thomas Ingenlath, Daniel Li and David Richter, will expire at the Company’s first annual general meeting. The term of office of directors serving in Class II, consisting of Carla De Geyseleer, Karl-Thomas Neumann and Håkan Samuelsson will expire at the Company’s second annual general meeting. The term of office of directors serving in Class III, consisting of Karen Francis, Jim Rowan and David Wei, will expire at the Company’s third annual general meeting. At each succeeding annual general meeting following the third annual general meeting following Closing, directors will be elected to serve for a term of three years to succeed the directors of the class whose terms expire at such annual general meeting.</w:t>
      </w:r>
    </w:p>
    <w:p>
      <w:pPr>
        <w:spacing w:after="0" w:line="17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For a period of three years following the Closing, a majority of the Board will be (i) independent under applicable stock exchange rules and</w:t>
      </w:r>
    </w:p>
    <w:p>
      <w:pPr>
        <w:spacing w:after="0" w:line="27" w:lineRule="exact"/>
        <w:rPr>
          <w:sz w:val="20"/>
          <w:szCs w:val="20"/>
          <w:color w:val="auto"/>
        </w:rPr>
      </w:pPr>
    </w:p>
    <w:p>
      <w:pPr>
        <w:ind w:left="120" w:right="140" w:hanging="4"/>
        <w:spacing w:after="0" w:line="253" w:lineRule="auto"/>
        <w:tabs>
          <w:tab w:leader="none" w:pos="385"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unaffiliated with Volvo Cars/Geely. In addition, for a period of three years following the Closing, except as required by applicable law, the Board may not convene a general meeting which proposes a resolution to remove an independent director unless a majority of the directors (including at least two independent directors) approve of such resolution and following any such removal, a majority of the directors (including at least two independent directors) must approve the appointment of any new independent director to fill the vacancy.</w:t>
      </w:r>
    </w:p>
    <w:p>
      <w:pPr>
        <w:spacing w:after="0" w:line="189" w:lineRule="exact"/>
        <w:rPr>
          <w:sz w:val="20"/>
          <w:szCs w:val="20"/>
          <w:color w:val="auto"/>
        </w:rPr>
      </w:pPr>
    </w:p>
    <w:p>
      <w:pPr>
        <w:ind w:left="120" w:right="180" w:firstLine="440"/>
        <w:spacing w:after="0" w:line="255" w:lineRule="auto"/>
        <w:rPr>
          <w:sz w:val="20"/>
          <w:szCs w:val="20"/>
          <w:color w:val="auto"/>
        </w:rPr>
      </w:pPr>
      <w:r>
        <w:rPr>
          <w:rFonts w:ascii="Times New Roman" w:cs="Times New Roman" w:eastAsia="Times New Roman" w:hAnsi="Times New Roman"/>
          <w:sz w:val="18"/>
          <w:szCs w:val="18"/>
          <w:color w:val="auto"/>
        </w:rPr>
        <w:t>In addition, pursuant to the Shareholder Acknowledgement Agreement, Parent and the Parent Shareholders have undertaken that (i) the initial Board after the Closing will include nine directors, a majority of whom will be independent directors, (ii) for a period of three years following the Closing, Parent and the Parent Shareholders will not vote in favor of the removal of any independent director of the Company unless at least two independent directors vote in favor of such removal, (iii) for a period of three years following the Closing, Parent and the Parent Shareholders will not require the Company to convene a general meeting for the purpose of removing an independent director and (iv) for three years following the Closing, Parent and the Parent Shareholders will not vote in favor of any amendment to the Polestar Articles relating to the composition of the Board or the appointment or removal of Company directors. The GGI Sponsor has third party beneficiary rights to enforce the aforementioned undertakings.</w:t>
      </w:r>
    </w:p>
    <w:p>
      <w:pPr>
        <w:spacing w:after="0" w:line="18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holders of the Company securities will have the right to elect the Board at a general meeting of shareholders by a simple majority of the votes validly cast. Subject to the requirements of the Polestar Articles, the Board may by ordinary resolution appoint a person who is willing to act to be a director, either to fill a vacancy or as an addition to the then-existing Board but the total number of directors shall not exceed fifteen. The Board will also have power at any time to appoint any person who is willing to act as a director, either to fill a vacancy or as an addition to the then-existing Board but the total number of directors shall not exceed fifteen.</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121</w:t>
      </w:r>
    </w:p>
    <w:p>
      <w:pPr>
        <w:sectPr>
          <w:pgSz w:w="11900" w:h="16838" w:orient="portrait"/>
          <w:cols w:equalWidth="0" w:num="1">
            <w:col w:w="11120"/>
          </w:cols>
          <w:pgMar w:left="320" w:top="455" w:right="45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121"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Karen Francis, Carla De Geyseleer, Karl-Thomas Neumann, David Richter and David Wei qualify as independent, as defined under the listing rules of Nasdaq.</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Election of Directors</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holders of the Company securities will have the right to elect the Board at a general meeting of shareholders by a simple majority of the votes validly cast. Subject to the requirements of the Polestar Articles, the Board may by ordinary resolution appoint a person who is willing to act to be a director, either to fill a vacancy or as an addition to the then-existing Board but the total number of directors shall not exceed fifteen. The Board will also have power at any time to appoint any person who is willing to act as a director, either to fill a vacancy or as an addition to the then-existing Board but the total number of directors shall not exceed fifteen.</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Service Contracts of Directors</w:t>
      </w:r>
    </w:p>
    <w:p>
      <w:pPr>
        <w:spacing w:after="0" w:line="121"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There are no service contracts between the Company and any of its current non-employee directors providing for benefits upon termination of their service. For a discussion of compensation, including post-termination benefits, of employee directors, see section titled “Compensation.”</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Board Committees</w:t>
      </w:r>
    </w:p>
    <w:p>
      <w:pPr>
        <w:spacing w:after="0" w:line="121"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The Board has three standing committees: an audit committee, a compensation committee and a nominating and governance committee. The members of each committee will serve until their successors are elected and qualified, unless they are earlier removed or resign. Each committee reports to the Board as it deems appropriate and as the Board may request. The composition, duties and responsibilities of the standing committees are set forth below. In the future, the Board may establish other committees, as it deems appropriate, to assist it with its responsibilities.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121" w:lineRule="exact"/>
        <w:rPr>
          <w:sz w:val="20"/>
          <w:szCs w:val="20"/>
          <w:color w:val="auto"/>
        </w:rPr>
      </w:pPr>
    </w:p>
    <w:p>
      <w:pPr>
        <w:jc w:val="both"/>
        <w:ind w:left="120" w:right="320" w:firstLine="440"/>
        <w:spacing w:after="0" w:line="266" w:lineRule="auto"/>
        <w:rPr>
          <w:sz w:val="20"/>
          <w:szCs w:val="20"/>
          <w:color w:val="auto"/>
        </w:rPr>
      </w:pPr>
      <w:r>
        <w:rPr>
          <w:rFonts w:ascii="Times New Roman" w:cs="Times New Roman" w:eastAsia="Times New Roman" w:hAnsi="Times New Roman"/>
          <w:sz w:val="18"/>
          <w:szCs w:val="18"/>
          <w:color w:val="auto"/>
        </w:rPr>
        <w:t>The Company has established an audit committee that consists of Carla De Geyseleer, David Richter and David Wei, with Carla De Geyseleer serving as the chair of the audit committee. All of the audit committee members are independent directors, in accordance with Nasdaq and the SEC requirements for a company listed on Nasdaq.</w:t>
      </w:r>
    </w:p>
    <w:p>
      <w:pPr>
        <w:spacing w:after="0" w:line="176"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The audit committee, among other matters, oversees (i) the Company’s financial reporting, auditing and internal control activities; (ii) the integrity and audits of the Company’s financial statements; (iii) the Company’s compliance with legal and regulatory requirements; (iv) the qualifications and independence of Polestar’s independent auditors; (v) the performance of the Company’s internal audit function and independent auditors; and (vi) the Company’s overall risk exposure and management.</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Duties of the audit committee include the following:</w:t>
      </w:r>
    </w:p>
    <w:p>
      <w:pPr>
        <w:spacing w:after="0" w:line="131" w:lineRule="exact"/>
        <w:rPr>
          <w:sz w:val="20"/>
          <w:szCs w:val="20"/>
          <w:color w:val="auto"/>
        </w:rPr>
      </w:pPr>
    </w:p>
    <w:p>
      <w:pPr>
        <w:ind w:left="1080" w:hanging="424"/>
        <w:spacing w:after="0"/>
        <w:tabs>
          <w:tab w:leader="none" w:pos="10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annually reviewing and assessing the adequacy of the audit committee charter and reviewing the performance of the audit committee;</w:t>
      </w:r>
    </w:p>
    <w:p>
      <w:pPr>
        <w:spacing w:after="0" w:line="130"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being responsible for recommending the appointment, retention and termination of the Company’s independent auditors and determining the compensation of the Company’s independent auditors;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plans and results of the audit engagement with the independent auditors;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qualifications, performance and independence of the Company’s independent auditors;</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122</w:t>
      </w:r>
    </w:p>
    <w:p>
      <w:pPr>
        <w:sectPr>
          <w:pgSz w:w="11900" w:h="16838" w:orient="portrait"/>
          <w:cols w:equalWidth="0" w:num="1">
            <w:col w:w="11120"/>
          </w:cols>
          <w:pgMar w:left="320" w:top="455" w:right="45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080" w:right="240" w:hanging="424"/>
        <w:spacing w:after="0" w:line="282" w:lineRule="auto"/>
        <w:tabs>
          <w:tab w:leader="none" w:pos="10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having the authority to approve in advance all audit and non-audit services by the Company’s independent auditors, the scope and terms thereof and the fees therefor; reviewing the adequacy of the Company’s internal accounting controls;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ensuring the Company maintains a robust risk management function, including in respect of IT and cybersecurity risk management;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meeting at least quarterly with the Company’s Chief Financial Officer and the Company’s independent auditors.</w:t>
      </w:r>
    </w:p>
    <w:p>
      <w:pPr>
        <w:spacing w:after="0" w:line="225"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audit committee has the power to investigate any matter brought to its attention within the scope of its duties and to retain counsel for this purpose where appropriate. Each of the audit committee members meet the financial literacy requirements of Nasdaq listing standards, and Carla De Geyseleer qualifies as an “audit committee financial expert,” as defined in the rules of the SEC. The designation does not impose on the audit committee financial expert any duties, obligations or liabilities that are greater than those generally imposed on members of the Company’s audit committee and the Board.</w:t>
      </w:r>
    </w:p>
    <w:p>
      <w:pPr>
        <w:spacing w:after="0" w:line="183" w:lineRule="exact"/>
        <w:rPr>
          <w:sz w:val="20"/>
          <w:szCs w:val="20"/>
          <w:color w:val="auto"/>
        </w:rPr>
      </w:pPr>
    </w:p>
    <w:p>
      <w:pPr>
        <w:ind w:left="120" w:right="200" w:firstLine="440"/>
        <w:spacing w:after="0" w:line="261" w:lineRule="auto"/>
        <w:rPr>
          <w:sz w:val="20"/>
          <w:szCs w:val="20"/>
          <w:color w:val="auto"/>
        </w:rPr>
      </w:pPr>
      <w:r>
        <w:rPr>
          <w:rFonts w:ascii="Times New Roman" w:cs="Times New Roman" w:eastAsia="Times New Roman" w:hAnsi="Times New Roman"/>
          <w:sz w:val="18"/>
          <w:szCs w:val="18"/>
          <w:color w:val="auto"/>
        </w:rPr>
        <w:t>The audit committee operates under a written charter, which satisfies the applicable rules of the SEC and the listing standards of Nasdaq, and which is available on the Company’s website. All audit services to be provided to the Company and all permissible non-audit services, other than de minimis non-audit services, to be provided to Polestar by the Company’s independent registered public accounting firm are to be approved in advance by the audit committee.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w:t>
      </w:r>
    </w:p>
    <w:p>
      <w:pPr>
        <w:spacing w:after="0" w:line="121" w:lineRule="exact"/>
        <w:rPr>
          <w:sz w:val="20"/>
          <w:szCs w:val="20"/>
          <w:color w:val="auto"/>
        </w:rPr>
      </w:pPr>
    </w:p>
    <w:p>
      <w:pPr>
        <w:ind w:left="120" w:right="460" w:firstLine="440"/>
        <w:spacing w:after="0" w:line="282" w:lineRule="auto"/>
        <w:rPr>
          <w:sz w:val="20"/>
          <w:szCs w:val="20"/>
          <w:color w:val="auto"/>
        </w:rPr>
      </w:pPr>
      <w:r>
        <w:rPr>
          <w:rFonts w:ascii="Times New Roman" w:cs="Times New Roman" w:eastAsia="Times New Roman" w:hAnsi="Times New Roman"/>
          <w:sz w:val="18"/>
          <w:szCs w:val="18"/>
          <w:color w:val="auto"/>
        </w:rPr>
        <w:t>The Company’s compensation committee consists of Karen Francis, Daniel Li, Jim Rowan and Håkan Samuelsson, with Håkan Samuelsson serving as the chair of the compensation committee.</w:t>
      </w:r>
    </w:p>
    <w:p>
      <w:pPr>
        <w:spacing w:after="0" w:line="162"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compensation committee has the sole authority to retain, and terminate, any compensation consultant to assist in the evaluation of employee compensation and to approve the consultant’s fees and the other terms and conditions of the consultant’s retention. The compensation committee’s duties include, among other matters:</w:t>
      </w:r>
    </w:p>
    <w:p>
      <w:pPr>
        <w:spacing w:after="0" w:line="81" w:lineRule="exact"/>
        <w:rPr>
          <w:sz w:val="20"/>
          <w:szCs w:val="20"/>
          <w:color w:val="auto"/>
        </w:rPr>
      </w:pPr>
    </w:p>
    <w:p>
      <w:pPr>
        <w:ind w:left="1080" w:hanging="424"/>
        <w:spacing w:after="0"/>
        <w:tabs>
          <w:tab w:leader="none" w:pos="10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request of the Board, reviewing and making recommendations to the Board relating to management succession planning;</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administering, reviewing and making recommendations to the Board regarding the Company’s compensation plans;</w:t>
      </w:r>
    </w:p>
    <w:p>
      <w:pPr>
        <w:spacing w:after="0" w:line="130" w:lineRule="exact"/>
        <w:rPr>
          <w:rFonts w:ascii="Times New Roman" w:cs="Times New Roman" w:eastAsia="Times New Roman" w:hAnsi="Times New Roman"/>
          <w:sz w:val="18"/>
          <w:szCs w:val="18"/>
          <w:color w:val="auto"/>
        </w:rPr>
      </w:pPr>
    </w:p>
    <w:p>
      <w:pPr>
        <w:ind w:left="1080" w:right="40" w:hanging="424"/>
        <w:spacing w:after="0" w:line="266" w:lineRule="auto"/>
        <w:tabs>
          <w:tab w:leader="none" w:pos="10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the Company’s corporate goals and objectives with respect to compensation for executive officers and evaluating each executive officer’s performance in light of such goals and objectives to set his or her annual compensation, including salary, bonus and equity and non-equity incentive compensation, subject to approval by the Board; and</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oversight of management’s decisions regarding the performance, evaluation and compensation of other officers.</w:t>
      </w:r>
    </w:p>
    <w:p>
      <w:pPr>
        <w:spacing w:after="0" w:line="225"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The compensation committee operates under a written charter, which satisfies the applicable rules of the SEC and Nasdaq listing standards, and is available on the Company’s website.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Nominating and Corporate Governance Committee</w:t>
      </w:r>
    </w:p>
    <w:p>
      <w:pPr>
        <w:spacing w:after="0" w:line="121"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Company’s nominating and governance committee consists of Karen Francis, Daniel Li, Jim Rowan and Håkan Samuelsson, with Håkan Samuelsson serving as the chair of the nominating and governance committee. The nominating and governance committee’s duties include, among other matters:</w:t>
      </w:r>
    </w:p>
    <w:p>
      <w:pPr>
        <w:spacing w:after="0" w:line="81" w:lineRule="exact"/>
        <w:rPr>
          <w:sz w:val="20"/>
          <w:szCs w:val="20"/>
          <w:color w:val="auto"/>
        </w:rPr>
      </w:pPr>
    </w:p>
    <w:p>
      <w:pPr>
        <w:ind w:left="5480" w:right="1820" w:hanging="4824"/>
        <w:spacing w:after="0" w:line="454" w:lineRule="auto"/>
        <w:tabs>
          <w:tab w:leader="none" w:pos="1079"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selecting and recommending to the Board nominees for election by the shareholders or appointment by the Board; 123</w:t>
      </w:r>
    </w:p>
    <w:p>
      <w:pPr>
        <w:sectPr>
          <w:pgSz w:w="11900" w:h="16838" w:orient="portrait"/>
          <w:cols w:equalWidth="0" w:num="1">
            <w:col w:w="11120"/>
          </w:cols>
          <w:pgMar w:left="320" w:top="455" w:right="45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080" w:right="180" w:hanging="424"/>
        <w:spacing w:after="0" w:line="282" w:lineRule="auto"/>
        <w:tabs>
          <w:tab w:leader="none" w:pos="10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annually reviewing with the Board the composition of the board with regards to characteristics such as independence, knowledge, skills, experience and diversity of the Board members;</w:t>
      </w:r>
    </w:p>
    <w:p>
      <w:pPr>
        <w:spacing w:after="0" w:line="67" w:lineRule="exact"/>
        <w:rPr>
          <w:rFonts w:ascii="Times New Roman" w:cs="Times New Roman" w:eastAsia="Times New Roman" w:hAnsi="Times New Roman"/>
          <w:sz w:val="18"/>
          <w:szCs w:val="18"/>
          <w:color w:val="auto"/>
        </w:rPr>
      </w:pPr>
    </w:p>
    <w:p>
      <w:pPr>
        <w:ind w:left="1080" w:right="460" w:hanging="424"/>
        <w:spacing w:after="0" w:line="282" w:lineRule="auto"/>
        <w:tabs>
          <w:tab w:leader="none" w:pos="10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recommendations on the frequency and structure of board meetings and monitoring the functioning of the committees of the Board;</w:t>
      </w:r>
    </w:p>
    <w:p>
      <w:pPr>
        <w:spacing w:after="0" w:line="67" w:lineRule="exact"/>
        <w:rPr>
          <w:rFonts w:ascii="Times New Roman" w:cs="Times New Roman" w:eastAsia="Times New Roman" w:hAnsi="Times New Roman"/>
          <w:sz w:val="18"/>
          <w:szCs w:val="18"/>
          <w:color w:val="auto"/>
        </w:rPr>
      </w:pPr>
    </w:p>
    <w:p>
      <w:pPr>
        <w:ind w:left="1080" w:right="700" w:hanging="424"/>
        <w:spacing w:after="0" w:line="282" w:lineRule="auto"/>
        <w:tabs>
          <w:tab w:leader="none" w:pos="10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and recommending to the Board a set of corporate governance guidelines applicable to the Company and periodically reviewing such guidelines and recommending changes to the Board for approval as necessary;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annual self-evaluation of the Board.</w:t>
      </w:r>
    </w:p>
    <w:p>
      <w:pPr>
        <w:spacing w:after="0" w:line="225"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The nominating and corporate governance committee operates under a written charter, which satisfies the applicable rules of the SEC and the Nasdaq listing standards and is available on the Company’s website.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Code of Conduct</w:t>
      </w:r>
    </w:p>
    <w:p>
      <w:pPr>
        <w:spacing w:after="0" w:line="121"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The Board has adopted a code of conduct that establishes the standards of ethical conduct applicable to all of the Company’s directors, officers, employees, and, as applicable, consultants and contractors. The code addresses, among other things, competition and fair dealing, conflicts of interest, compliance with applicable governmental laws, rules and regulations, company assets, confidentiality requirements and the process for reporting violations of the code. Any waiver of the code with respect to any director or executive officer will be promptly disclosed and posted on the Company’s website. Amendments to the code will be promptly disclosed and posted on the Company’s website. The code is available on Polestar’s website. Information contained on the Company’s website is not incorporated by reference into this prospectus, and you should not consider information contained on the Company’s website to be part of this prospectus.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Foreign Private Issuer</w:t>
      </w:r>
    </w:p>
    <w:p>
      <w:pPr>
        <w:spacing w:after="0" w:line="121"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As a foreign private issuer, the Company is subject to different U.S. securities laws than domestic U.S. issuers. As long as the Company continues to qualify as a foreign private issuer under the Exchange Act, the Company is exempt from certain provisions of the Exchange Act that are applicable to U.S. domestic public companies, including:</w:t>
      </w:r>
    </w:p>
    <w:p>
      <w:pPr>
        <w:spacing w:after="0" w:line="203" w:lineRule="exact"/>
        <w:rPr>
          <w:sz w:val="20"/>
          <w:szCs w:val="20"/>
          <w:color w:val="auto"/>
        </w:rPr>
      </w:pPr>
    </w:p>
    <w:p>
      <w:pPr>
        <w:ind w:left="1080" w:right="120" w:hanging="424"/>
        <w:spacing w:after="0" w:line="282" w:lineRule="auto"/>
        <w:tabs>
          <w:tab w:leader="none" w:pos="10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sections of the Exchange Act regulating the solicitation of proxies, consents or authorizations in respect of a security registered under the Exchange Act;</w:t>
      </w:r>
    </w:p>
    <w:p>
      <w:pPr>
        <w:spacing w:after="0" w:line="67" w:lineRule="exact"/>
        <w:rPr>
          <w:rFonts w:ascii="Times New Roman" w:cs="Times New Roman" w:eastAsia="Times New Roman" w:hAnsi="Times New Roman"/>
          <w:sz w:val="18"/>
          <w:szCs w:val="18"/>
          <w:color w:val="auto"/>
        </w:rPr>
      </w:pPr>
    </w:p>
    <w:p>
      <w:pPr>
        <w:ind w:left="1080" w:right="300" w:hanging="424"/>
        <w:spacing w:after="0" w:line="282" w:lineRule="auto"/>
        <w:tabs>
          <w:tab w:leader="none" w:pos="10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sections of the Exchange Act requiring insiders to file public reports of their stock ownership and trading activities and liability for insiders who profit from trades made in a short period of time; and</w:t>
      </w:r>
    </w:p>
    <w:p>
      <w:pPr>
        <w:spacing w:after="0" w:line="67"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rules under the Exchange Act requiring the filing with the SEC of quarterly reports on Form 10-Q containing unaudited financial and other specified information, or current reports on Form 8-K, upon the occurrence of specified significant events.</w:t>
      </w:r>
    </w:p>
    <w:p>
      <w:pPr>
        <w:spacing w:after="0" w:line="162" w:lineRule="exact"/>
        <w:rPr>
          <w:sz w:val="20"/>
          <w:szCs w:val="20"/>
          <w:color w:val="auto"/>
        </w:rPr>
      </w:pPr>
    </w:p>
    <w:p>
      <w:pPr>
        <w:jc w:val="both"/>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In addition, the Company is not required to file annual reports and financial statements with the SEC as promptly as U.S. domestic companies whose securities are registered under the Exchange Act, and is not required to comply with Regulation FD, which restricts the selective disclosure of material information.</w:t>
      </w:r>
    </w:p>
    <w:p>
      <w:pPr>
        <w:spacing w:after="0" w:line="176"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Further, the Company is exempt from certain corporate governance requirements of Nasdaq by virtue of being a foreign private issuer. Although the foreign private issuer status exempts the Company from most of Nasdaq’s corporate governance requirements, the Company has decided to voluntarily comply with these requirements, except for the requirement to have a compensation committee and a nominating and corporate governance committee consisting entirely of independent directors.</w:t>
      </w:r>
    </w:p>
    <w:p>
      <w:pPr>
        <w:spacing w:after="0" w:line="11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124</w:t>
      </w:r>
    </w:p>
    <w:p>
      <w:pPr>
        <w:sectPr>
          <w:pgSz w:w="11900" w:h="16838" w:orient="portrait"/>
          <w:cols w:equalWidth="0" w:num="1">
            <w:col w:w="11080"/>
          </w:cols>
          <w:pgMar w:left="320" w:top="455" w:right="49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Furthermore, Nasdaq rules also generally require each listed company to obtain shareholder approval prior to the issuance of securities in certain circumstances in connection with the acquisition of the stock or assets of another company, equity based compensation of officers, directors, employees or consultants, change of control and certain transactions other than a public offering. As a foreign private issuer, the Company is exempt from these requirements and may elect not to obtain shareholders’ approval prior to any further issuance of its Class A ADSs other than as may be required by the laws of England and Wales.</w:t>
      </w:r>
    </w:p>
    <w:p>
      <w:pPr>
        <w:spacing w:after="0" w:line="183" w:lineRule="exact"/>
        <w:rPr>
          <w:sz w:val="20"/>
          <w:szCs w:val="20"/>
          <w:color w:val="auto"/>
        </w:rPr>
      </w:pPr>
    </w:p>
    <w:p>
      <w:pPr>
        <w:ind w:left="120" w:right="280" w:firstLine="440"/>
        <w:spacing w:after="0" w:line="261" w:lineRule="auto"/>
        <w:rPr>
          <w:sz w:val="20"/>
          <w:szCs w:val="20"/>
          <w:color w:val="auto"/>
        </w:rPr>
      </w:pPr>
      <w:r>
        <w:rPr>
          <w:rFonts w:ascii="Times New Roman" w:cs="Times New Roman" w:eastAsia="Times New Roman" w:hAnsi="Times New Roman"/>
          <w:sz w:val="18"/>
          <w:szCs w:val="18"/>
          <w:color w:val="auto"/>
        </w:rPr>
        <w:t>Subject to requirements under the Polestar Articles and Shareholder Acknowledgment Agreement that the Board be comprised of a majority of independent directors for the three years following the Closing, the Company may in the future elect to avail itself of these exemptions or to follow home country practices with regard to other matters. As a result, its shareholders will not have the same protections afforded to shareholders of companies that are subject to all of Nasdaq’s corporate governance requirements.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Controlled Company</w:t>
      </w:r>
    </w:p>
    <w:p>
      <w:pPr>
        <w:spacing w:after="0" w:line="121" w:lineRule="exact"/>
        <w:rPr>
          <w:sz w:val="20"/>
          <w:szCs w:val="20"/>
          <w:color w:val="auto"/>
        </w:rPr>
      </w:pPr>
    </w:p>
    <w:p>
      <w:pPr>
        <w:ind w:left="120" w:right="680" w:firstLine="440"/>
        <w:spacing w:after="0" w:line="282" w:lineRule="auto"/>
        <w:rPr>
          <w:sz w:val="20"/>
          <w:szCs w:val="20"/>
          <w:color w:val="auto"/>
        </w:rPr>
      </w:pPr>
      <w:r>
        <w:rPr>
          <w:rFonts w:ascii="Times New Roman" w:cs="Times New Roman" w:eastAsia="Times New Roman" w:hAnsi="Times New Roman"/>
          <w:sz w:val="18"/>
          <w:szCs w:val="18"/>
          <w:color w:val="auto"/>
        </w:rPr>
        <w:t>By virtue of being a controlled company under Nasdaq listing rules, the Company may elect not to comply with certain Nasdaq corporate governance requirements, including that:</w:t>
      </w:r>
    </w:p>
    <w:p>
      <w:pPr>
        <w:spacing w:after="0" w:line="67" w:lineRule="exact"/>
        <w:rPr>
          <w:sz w:val="20"/>
          <w:szCs w:val="20"/>
          <w:color w:val="auto"/>
        </w:rPr>
      </w:pPr>
    </w:p>
    <w:p>
      <w:pPr>
        <w:ind w:left="1080" w:right="600" w:hanging="424"/>
        <w:spacing w:after="0" w:line="266" w:lineRule="auto"/>
        <w:tabs>
          <w:tab w:leader="none" w:pos="10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majority of the board of directors consist of independent directors (however, pursuant to the Polestar Articles and Shareholder Acknowledgment Agreement, for the three years following the Closing, the Board must be comprised of a majority of independent directors);</w:t>
      </w:r>
    </w:p>
    <w:p>
      <w:pPr>
        <w:spacing w:after="0" w:line="81"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compensation committee be composed entirely of independent directors with a written charter addressing the committee’s purpose and responsibilities;</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nominating and governance committee be composed entirely of independent directors with a written charter addressing the committee’s purpose and responsibilities;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be an annual performance evaluation of the compensation and nominating and corporate governance committees.</w:t>
      </w:r>
    </w:p>
    <w:p>
      <w:pPr>
        <w:spacing w:after="0" w:line="225"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Other than as specified above, the Company may in the future elect to avail itself of these exemptions. As a result, its shareholders will not have the same protections afforded to shareholders of companies that are subject to all of Nasdaq’s corporate governance requirements.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125</w:t>
      </w:r>
    </w:p>
    <w:p>
      <w:pPr>
        <w:sectPr>
          <w:pgSz w:w="11900" w:h="16838" w:orient="portrait"/>
          <w:cols w:equalWidth="0" w:num="1">
            <w:col w:w="11120"/>
          </w:cols>
          <w:pgMar w:left="320" w:top="455" w:right="45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b w:val="1"/>
          <w:bCs w:val="1"/>
          <w:color w:val="auto"/>
        </w:rPr>
        <w:t>COMPENSATION</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Historical Compensation of Polestar’s Key Management and Directors</w:t>
      </w:r>
    </w:p>
    <w:p>
      <w:pPr>
        <w:spacing w:after="0" w:line="121" w:lineRule="exact"/>
        <w:rPr>
          <w:sz w:val="20"/>
          <w:szCs w:val="20"/>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The Company was formed on September 15, 2021 and did not have any key management or directors prior to Closing. The aggregate amount of compensation, including cash, equity awards and other benefits, the Company’s executive officers (Thomas Ingenlath, Johan Malmqvist and Dennis Nobelius) received from Polestar for the year ended December 31, 2021 was approximately $2,308,209. The total compensation paid to Polestar’s executive officers in fiscal year 2021 consisted solely of base salary, short-term variable pay, and the value of pension benefits and other employee benefits, including, for eligible participants, variable pay pursuant to Polestar’s cash incentive programs (as described below).</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Incentive Programs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Polestar Bonus Program</w:t>
      </w:r>
    </w:p>
    <w:p>
      <w:pPr>
        <w:spacing w:after="0" w:line="11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All employees of Polestar, including each of the Company’s executive officers, participate in the Polestar Bonus Program, a short-term cash incentive program, which is approved by the Board annually. Under the Polestar Bonus Program, employees are eligible to receive an annual cash bonus based on global Polestar key performance indicators (“KPIs”) applicable for all markets and all employees. At the end of the applicable performance period, the Board determines the achievement of the relevant performance metrics.</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For fiscal year 2021, the Polestar Bonus Program was based on the following KPIs: (i) operational growth and retail deliveries volume;</w:t>
      </w:r>
    </w:p>
    <w:p>
      <w:pPr>
        <w:spacing w:after="0" w:line="27" w:lineRule="exact"/>
        <w:rPr>
          <w:sz w:val="20"/>
          <w:szCs w:val="20"/>
          <w:color w:val="auto"/>
        </w:rPr>
      </w:pPr>
    </w:p>
    <w:p>
      <w:pPr>
        <w:ind w:left="120" w:right="60" w:hanging="4"/>
        <w:spacing w:after="0" w:line="253" w:lineRule="auto"/>
        <w:tabs>
          <w:tab w:leader="none" w:pos="385"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growth; (iii) customer experience; and (iv) implementation of the Company’s sustainability action plans on all department levels. After the conclusion of the fiscal year 2021 performance period on December 31, 2021, the Board determined that the KPIs were achieved at 130% of target levels (in the case of the operational growth and retail deliveries volume and financial growth metrics, based on achievement of the objective performance goals) for fiscal year 2021, resulting in a payout equal to 130% of target bonus levels.</w:t>
      </w:r>
    </w:p>
    <w:p>
      <w:pPr>
        <w:spacing w:after="0" w:line="29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LTVP Program</w:t>
      </w:r>
    </w:p>
    <w:p>
      <w:pPr>
        <w:spacing w:after="0" w:line="11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Polestar Long Term Variable Pay Program (“LTVP Program”) is a long-term, cash program for certain management personnel who joined Polestar from Volvo Cars during a start-up period, including Messrs. Ingenlath and Nobelius. Mr. Malmqvist does not participate in the LTVP Program. The LTVP Program mirrors the Volvo Cars Long Term Variable Pay Programs and is administered by Volvo Cars. Awards under the LTVP Program are paid based on achievement of performance conditions and the market value of Volvo Car Group at the end of a three-year performance period. For fiscal year 2021, performance conditions under the LTVP Program were based on (i) value creation, as measured by an independent third-party valuation, and (ii) Volvo Cars Group performance, measured based on average three-year Operating Margin and average three-year Revenue Growth.</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Employee Agreements</w:t>
      </w:r>
    </w:p>
    <w:p>
      <w:pPr>
        <w:spacing w:after="0" w:line="121" w:lineRule="exact"/>
        <w:rPr>
          <w:sz w:val="20"/>
          <w:szCs w:val="20"/>
          <w:color w:val="auto"/>
        </w:rPr>
      </w:pPr>
    </w:p>
    <w:p>
      <w:pPr>
        <w:ind w:left="120" w:right="120" w:firstLine="440"/>
        <w:spacing w:after="0" w:line="255" w:lineRule="auto"/>
        <w:rPr>
          <w:sz w:val="20"/>
          <w:szCs w:val="20"/>
          <w:color w:val="auto"/>
        </w:rPr>
      </w:pPr>
      <w:r>
        <w:rPr>
          <w:rFonts w:ascii="Times New Roman" w:cs="Times New Roman" w:eastAsia="Times New Roman" w:hAnsi="Times New Roman"/>
          <w:sz w:val="18"/>
          <w:szCs w:val="18"/>
          <w:color w:val="auto"/>
        </w:rPr>
        <w:t>Messrs. Ingenlath, Malmqvist and Nobelius are each party to an employment agreement with Polestar. Pursuant to the employment agreements with Messrs. Ingenlath, Malmqvist and Nobelius, each such executive is eligible to receive an annual base salary and vacation pay and to participate in Polestar’s cash incentive programs (as described above). In addition, each executive is eligible to participate in Polestar’s company car scheme, with a portion of the cost borne by the executive, and to participate in collectively and contractually agreed pension and insurance benefit schemes and in accordance with Swedish law. Mr. Nobelius and Mr. Malmqvist are entitled to health care insurance at the expense of Polestar, and Mr. Malmqvist is also entitled to relocation support in connection with their relocation to Sweden, with company-paid housing costs for three months and housing cost support for an additional nine months.</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126</w:t>
      </w:r>
    </w:p>
    <w:p>
      <w:pPr>
        <w:sectPr>
          <w:pgSz w:w="11900" w:h="16838" w:orient="portrait"/>
          <w:cols w:equalWidth="0" w:num="1">
            <w:col w:w="11100"/>
          </w:cols>
          <w:pgMar w:left="320" w:top="455" w:right="47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Messrs. Ingenlath, Malmqvist and Nobelius are each subject to restrictive covenants under their employment agreements relating to assignment of intellectual property and confidentiality. In addition, Mr. Ingenlath is subject to restrictive covenants relating to non-competition, non-solicitation of customers and non-solicitation and non-hire of employees during the term of his employment. In the event Mr. Ingenlath breaches any restrictive covenant under his employment agreement, he may owe liquidated damages to Polestar in respect of each such breach in an amount equal to six times his average monthly gross salary.</w:t>
      </w:r>
    </w:p>
    <w:p>
      <w:pPr>
        <w:spacing w:after="0" w:line="183" w:lineRule="exact"/>
        <w:rPr>
          <w:sz w:val="20"/>
          <w:szCs w:val="20"/>
          <w:color w:val="auto"/>
        </w:rPr>
      </w:pPr>
    </w:p>
    <w:p>
      <w:pPr>
        <w:ind w:left="120" w:right="140" w:firstLine="440"/>
        <w:spacing w:after="0" w:line="281" w:lineRule="auto"/>
        <w:rPr>
          <w:sz w:val="20"/>
          <w:szCs w:val="20"/>
          <w:color w:val="auto"/>
        </w:rPr>
      </w:pPr>
      <w:r>
        <w:rPr>
          <w:rFonts w:ascii="Times New Roman" w:cs="Times New Roman" w:eastAsia="Times New Roman" w:hAnsi="Times New Roman"/>
          <w:sz w:val="17"/>
          <w:szCs w:val="17"/>
          <w:color w:val="auto"/>
        </w:rPr>
        <w:t>Messrs. Ingenlath and Malmqvist’s employments may be terminated by Polestar subject to 12 months’ notice and be terminated by the executive subject to six months’ notice. In the event of termination of employment by Polestar, Messrs. Ingenlath and Malmqvist are each entitled to severance pay equal to 12 times monthly base salary, payable in installments. Mr. Nobelius’s employment may be terminated according to the notice periods stipulated under the applicable collective bargaining agreement. Mr. Nobelius is not entitled to severance pursuant to his employment agreement.</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Health and Welfare and Retirement Benefits</w:t>
      </w:r>
    </w:p>
    <w:p>
      <w:pPr>
        <w:spacing w:after="0" w:line="121"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Messrs. Ingenlath, Malmqvist and Nobelius are entitled to certain health and welfare insurances pursuant to the Swedish collective bargaining agreement Teknikavtalet between Teknikarbetsgivarna and Unionen, Sveriges Ingenjörer and Ledarna, including disability and life insurances. They are also entitled to receive Executive Management Health Care Insurance, and travel insurance.</w:t>
      </w:r>
    </w:p>
    <w:p>
      <w:pPr>
        <w:spacing w:after="0" w:line="176"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The ITP Pension Plan is an occupational pension plan for private sector salaried employees and is based on a collective bargaining agreement between the Confederation of Swedish Enterprise and the Council for Negotiation and Cooperation. The ITP Pension Plan is divided into two parts: ITP 1 (applicable to employees born 1979 and later), which is a defined contribution plan and ITP 2 (applicable to employees born before 1979), which is primarily a defined benefit plan. Furthermore, it is also possible for employees born in 1978 or earlier that are earning at least 10 Swedish income base amounts to agree with the employer to instead apply the ITP 1 pension plan.</w:t>
      </w:r>
    </w:p>
    <w:p>
      <w:pPr>
        <w:spacing w:after="0" w:line="183"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Messrs. Malmqvist and Nobelius are covered by the defined contribution pension plan (ITP 1) as per the Swedish collectively agreed “Avtal om ITP och TGL,” and the VFF pension (Volvo Företagspension), a defined contribution pension scheme.</w:t>
      </w:r>
    </w:p>
    <w:p>
      <w:pPr>
        <w:spacing w:after="0" w:line="162" w:lineRule="exact"/>
        <w:rPr>
          <w:sz w:val="20"/>
          <w:szCs w:val="20"/>
          <w:color w:val="auto"/>
        </w:rPr>
      </w:pPr>
    </w:p>
    <w:p>
      <w:pPr>
        <w:ind w:left="120" w:right="420" w:firstLine="440"/>
        <w:spacing w:after="0" w:line="282" w:lineRule="auto"/>
        <w:rPr>
          <w:sz w:val="20"/>
          <w:szCs w:val="20"/>
          <w:color w:val="auto"/>
        </w:rPr>
      </w:pPr>
      <w:r>
        <w:rPr>
          <w:rFonts w:ascii="Times New Roman" w:cs="Times New Roman" w:eastAsia="Times New Roman" w:hAnsi="Times New Roman"/>
          <w:sz w:val="18"/>
          <w:szCs w:val="18"/>
          <w:color w:val="auto"/>
        </w:rPr>
        <w:t>Mr. Ingenlath is covered by the defined benefit pension plan (ITP 2) as per the Swedish collectively agreed “Avtal om ITP och TGL” and the Volvo Management Pension (VMP), a supplementary pension plan.</w:t>
      </w:r>
    </w:p>
    <w:p>
      <w:pPr>
        <w:spacing w:after="0" w:line="162"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defined benefit pension plan (i.e. the ITP 2 pension plan) through the Swedish ITP collective bargaining agreement is a final salary-based plan, and is funded through regular insurance payments. This plan is secured with the mutual insurance company Alecta, and the portion secured through such insurance refers to a defined benefit plan that comprises several employers and is reported according to a pronouncement by the Swedish Financial Reporting Board, UFR 10. For 2020, Polestar did not have access to the information to report its proportionate share of the plan’s obligations, assets under management and cost that would make it possible to report this plan as a defined benefit plan, so it is recorded as a defined contribution plan. Polestar paid premiums of about TUSD 3.340 to Alecta in 2021. Polestar’s share of the total saving premiums for the ITP pension plan in Alecta as of December 31, 2021 amounted to 0.13056 (0.05375) per cent and Polestar’s share of the total number of active policy holders amounted to 0.04485 (0.02605) per cent. The collective consolidation level comprises the market value of Alecta’s assets as a percentage of the insurance obligations calculated in accordance with Alecta’s actuarial methods and assumptions, which do not conform to IAS 19. The collective funding ratio is normally allowed to vary between 125 and 175 per cent. At year-end 2021, the consolidation level amounts to 171 per cent.</w:t>
      </w:r>
    </w:p>
    <w:p>
      <w:pPr>
        <w:spacing w:after="0" w:line="1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127</w:t>
      </w:r>
    </w:p>
    <w:p>
      <w:pPr>
        <w:sectPr>
          <w:pgSz w:w="11900" w:h="16838" w:orient="portrait"/>
          <w:cols w:equalWidth="0" w:num="1">
            <w:col w:w="11120"/>
          </w:cols>
          <w:pgMar w:left="320" w:top="455" w:right="45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Historical Compensation of Non-Employee Directors</w:t>
      </w:r>
    </w:p>
    <w:p>
      <w:pPr>
        <w:spacing w:after="0" w:line="121"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Polestar has established a compensation program for its non-employee directors. Directors who are employed or otherwise remunerated by Volvo Cars or Geely do not receive any compensation for their services as directors.</w:t>
      </w:r>
    </w:p>
    <w:p>
      <w:pPr>
        <w:spacing w:after="0" w:line="162"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2021, the aggregate amount of Polestar’s non-employee directors’ compensation paid to or earned by such directors for service on the Polestar Board was approximately $153,881, in the form of a cash retainer for the performance of duties as a director. Polestar also reimbursed its non-employee directors for reasonable out-of-pocket expenses incurred in connection with the performance of their duties as directors, including, without limitation, travel expenses in connection with their attendance in-person at board of directors and committee meetings.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Compensation Arrangements after the Business Combination</w:t>
      </w:r>
    </w:p>
    <w:p>
      <w:pPr>
        <w:spacing w:after="0" w:line="121"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The Company entered into letter agreements with the non-employee directors, pursuant to which non-employee directors will receive (i) an annual fee of $200,000 (or $350,000 if the director serves as the chair of the Board), (ii) an additional annual fee of $10,000 if the director serves on a committee of the Board (or $20,000 for the chairs of the committees of the Board) and (iii) a Polestar car, subject to certain conditions. Pursuant to the letter agreements, each non-employee director will direct the Company to purchase the maximum number of Class A ADSs as may be purchased in the market at the prevailing rate with 50% of the net annual fee (but not including any additional annual fee described above) each non-employee directors is eligible to receive. The Company is also expected to agree to reimburse each non-employee director for reasonable and properly documented expenses they incur in connection with their service as a non-employee director.</w:t>
      </w:r>
    </w:p>
    <w:p>
      <w:pPr>
        <w:spacing w:after="0" w:line="189"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As of June 30, 2022, no determinations regarding the compensation arrangements that will govern following the Closing for executive officers have been made at this point and current compensation arrangements will remain in effect.</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At Closing, the Company adopted the Equity Plan and the Employee Stock Purchase Plan (each, as defined and described below).</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Equity Plan</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At Closing, the Company adopted the Polestar Automotive Holding UK PLC 2022 Omnibus Incentive Plan (the “Equity Plan”), pursuant to which employees of the Company and the Company’s affiliates performing services for the Company, including the Company’s executive officers, will be eligible to receive awards. The Equity Plan provides for the grant of stock options (in the form of either non-qualified stock options (“NSOs”) or incentive stock options (“ISOs”)), stock appreciation rights (“SARs”), restricted stock, RSUs, performance awards, other stock-based awards, cash awards and substitute awards intended to align the interests of participants with those of the Company’s shareholders. The Annex to the Equity Plan permits grants of awards that may be settled in cash or shares to employees, consultants and non-employee directors of the Company and the Company’s affiliates.</w:t>
      </w:r>
    </w:p>
    <w:p>
      <w:pPr>
        <w:spacing w:after="0" w:line="189"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The following description of the Equity Plan is qualified in its entirety by reference to the Equity Plan, a copy of which is filed as an exhibit to the registration statement on form S-8 filed with the SEC on August 29, 2022.</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Securities Offered</w:t>
      </w:r>
    </w:p>
    <w:p>
      <w:pPr>
        <w:spacing w:after="0" w:line="119" w:lineRule="exact"/>
        <w:rPr>
          <w:sz w:val="20"/>
          <w:szCs w:val="20"/>
          <w:color w:val="auto"/>
        </w:rPr>
      </w:pPr>
    </w:p>
    <w:p>
      <w:pPr>
        <w:jc w:val="both"/>
        <w:ind w:left="120" w:right="280" w:firstLine="440"/>
        <w:spacing w:after="0" w:line="289" w:lineRule="auto"/>
        <w:rPr>
          <w:sz w:val="20"/>
          <w:szCs w:val="20"/>
          <w:color w:val="auto"/>
        </w:rPr>
      </w:pPr>
      <w:r>
        <w:rPr>
          <w:rFonts w:ascii="Times New Roman" w:cs="Times New Roman" w:eastAsia="Times New Roman" w:hAnsi="Times New Roman"/>
          <w:sz w:val="17"/>
          <w:szCs w:val="17"/>
          <w:color w:val="auto"/>
        </w:rPr>
        <w:t>Subject to adjustment in the event of certain transactions or changes of capitalization in accordance with the Equity Plan, a total of 10,000,000 shares of Class A ADSs (or Class A Shares, as the context may require) have been initially reserved for issuance pursuant to awards under the Equity Plan. The total number of shares reserved for issuance under the Equity Plan will be increased on January 1 of each calendar year during the term</w:t>
      </w:r>
    </w:p>
    <w:p>
      <w:pPr>
        <w:spacing w:after="0" w:line="9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128</w:t>
      </w:r>
    </w:p>
    <w:p>
      <w:pPr>
        <w:sectPr>
          <w:pgSz w:w="11900" w:h="16838" w:orient="portrait"/>
          <w:cols w:equalWidth="0" w:num="1">
            <w:col w:w="11120"/>
          </w:cols>
          <w:pgMar w:left="320" w:top="455" w:right="45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of the Equity Plan, by the lesser of (i) 0.5% of the total number of Shares outstanding on each December 31 immediately prior to the date of increase or</w:t>
      </w:r>
    </w:p>
    <w:p>
      <w:pPr>
        <w:spacing w:after="0" w:line="27" w:lineRule="exact"/>
        <w:rPr>
          <w:sz w:val="20"/>
          <w:szCs w:val="20"/>
          <w:color w:val="auto"/>
        </w:rPr>
      </w:pPr>
    </w:p>
    <w:p>
      <w:pPr>
        <w:ind w:left="120" w:right="40" w:hanging="4"/>
        <w:spacing w:after="0" w:line="252" w:lineRule="auto"/>
        <w:tabs>
          <w:tab w:leader="none" w:pos="385"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number of Shares determined by the Board. No more than 10,000,000 Class A ADSs under the Equity Plan may be issued pursuant to ISOs (subject to the overall limit of shares that may be used in the Equity Plan). Class A ADSs subject to an award that expires or is tendered in payment of an option, delivered or withheld to satisfy any tax withholding obligations, covered by a stock-settled SAR or other award that were not issued upon settlement, or shares subject to an award that expires or is canceled, forfeited, or terminated without issuance of the full number of shares to which such award related (only to the extent of such cancellation, forfeiture or termination) will again be available for issuance or delivery pursuant to other awards under the Equity Plan. Any award settled in cash shall not be counted toward the maximum number of shares reserved for issuance under the Equity Plan.</w:t>
      </w:r>
    </w:p>
    <w:p>
      <w:pPr>
        <w:spacing w:after="0" w:line="2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Administration</w:t>
      </w:r>
    </w:p>
    <w:p>
      <w:pPr>
        <w:spacing w:after="0" w:line="119" w:lineRule="exact"/>
        <w:rPr>
          <w:sz w:val="20"/>
          <w:szCs w:val="20"/>
          <w:color w:val="auto"/>
        </w:rPr>
      </w:pPr>
    </w:p>
    <w:p>
      <w:pPr>
        <w:ind w:left="120" w:right="60" w:firstLine="440"/>
        <w:spacing w:after="0" w:line="277" w:lineRule="auto"/>
        <w:rPr>
          <w:sz w:val="20"/>
          <w:szCs w:val="20"/>
          <w:color w:val="auto"/>
        </w:rPr>
      </w:pPr>
      <w:r>
        <w:rPr>
          <w:rFonts w:ascii="Times New Roman" w:cs="Times New Roman" w:eastAsia="Times New Roman" w:hAnsi="Times New Roman"/>
          <w:sz w:val="17"/>
          <w:szCs w:val="17"/>
          <w:color w:val="auto"/>
        </w:rPr>
        <w:t>The Equity Plan is administered by a committee of the Board that has been authorized to administer the Equity Plan, except if no such committee is authorized by the Board, the Board will administer the Equity Plan (as applicable, the “Committee”)</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 xml:space="preserve"> The Committee has broad discretion (subject to the terms and conditions of the Equity Plan) to administer the Equity Plan, including the power to determine the eligible individuals to whom awards will be granted, the number and type of awards to be granted and the terms and conditions of awards. The Committee may also accelerate the vesting or exercise of any award and make all other determinations and to take all other actions necessary or advisable for the administration of the Equity Plan.</w:t>
      </w:r>
    </w:p>
    <w:p>
      <w:pPr>
        <w:spacing w:after="0" w:line="27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Eligibility</w:t>
      </w:r>
    </w:p>
    <w:p>
      <w:pPr>
        <w:spacing w:after="0" w:line="119"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Employees of the Company and its affiliates are eligible to receive awards under the Equity Plan. Consultants and non-employee directors of the Company and its affiliates may receive awards granted under the Annex.</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Types of Awards</w:t>
      </w:r>
    </w:p>
    <w:p>
      <w:pPr>
        <w:spacing w:after="0" w:line="117" w:lineRule="exact"/>
        <w:rPr>
          <w:sz w:val="20"/>
          <w:szCs w:val="20"/>
          <w:color w:val="auto"/>
        </w:rPr>
      </w:pPr>
    </w:p>
    <w:p>
      <w:pPr>
        <w:ind w:left="120" w:right="100" w:firstLine="44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Options. </w:t>
      </w:r>
      <w:r>
        <w:rPr>
          <w:rFonts w:ascii="Times New Roman" w:cs="Times New Roman" w:eastAsia="Times New Roman" w:hAnsi="Times New Roman"/>
          <w:sz w:val="18"/>
          <w:szCs w:val="18"/>
          <w:color w:val="auto"/>
        </w:rPr>
        <w:t>The Company may grant options to the Company’s employees and employees of its affiliates, except that ISOs may only be granted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persons who are Company’s employees or employees of one of Company’s parents or subsidiaries, in accordance with Section 422 of the Code. Except as otherwise permitted by applicable law in the case of eligible employees located outside the United States, the exercise price of an option cannot be less than 100% of the fair market value of a Class A ADS on the date on which the option is granted and the option must not be exercisable for longer than ten years following the date of grant. However, in the case of an incentive option granted to an individual who owns (or is deemed to own) more than 10% of the total combined voting power of all classes of Company’s equity securities or of the Company’s parents or subsidiaries, the exercise price of the option must be at least 110% of the fair market value of a Class A ADS on the date of grant and the option must not be exercisable more than five years from the date of grant.</w:t>
      </w:r>
    </w:p>
    <w:p>
      <w:pPr>
        <w:spacing w:after="0" w:line="185"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SARs. </w:t>
      </w:r>
      <w:r>
        <w:rPr>
          <w:rFonts w:ascii="Times New Roman" w:cs="Times New Roman" w:eastAsia="Times New Roman" w:hAnsi="Times New Roman"/>
          <w:sz w:val="18"/>
          <w:szCs w:val="18"/>
          <w:color w:val="auto"/>
        </w:rPr>
        <w:t>A SAR is the right to receive an amount (payable in Class A ADSs) equal to the excess of the fair market value of one Class A ADS 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date of exercise over the grant price of the SAR. Except as otherwise permitted by applicable law in the case of eligible employees located outside the United States, the grant price of a SAR cannot be less than 100% of the fair market value of a Class A ADS on the date on which the SAR is granted. The term of a SAR may not exceed ten years. SARs may be granted in connection with, or independent of, other awards. The Committee has the discretion to determine other terms and conditions of an SAR award.</w:t>
      </w:r>
    </w:p>
    <w:p>
      <w:pPr>
        <w:spacing w:after="0" w:line="183"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Restricted Stock Awards. </w:t>
      </w:r>
      <w:r>
        <w:rPr>
          <w:rFonts w:ascii="Times New Roman" w:cs="Times New Roman" w:eastAsia="Times New Roman" w:hAnsi="Times New Roman"/>
          <w:sz w:val="18"/>
          <w:szCs w:val="18"/>
          <w:color w:val="auto"/>
        </w:rPr>
        <w:t>A restricted stock award is a grant of Class A ADSs subject to the restrictions on transferability and risk of forfeiture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imposed by the Committee. Unless otherwise determined by the Committee and specified in the applicable award agreement, the holder of a restricted stock award has rights as a shareholder, including the right to vote the Class A ADSs subject to the restricted stock award or to receive dividends on the Class A ADSs subject to the restricted stock award during the restriction period. The Committee has the discretion to determine the terms and conditions that the participant will be entitled to dividends payable on the shares of restricted stock.</w:t>
      </w:r>
    </w:p>
    <w:p>
      <w:pPr>
        <w:spacing w:after="0" w:line="11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129</w:t>
      </w:r>
    </w:p>
    <w:p>
      <w:pPr>
        <w:sectPr>
          <w:pgSz w:w="11900" w:h="16838" w:orient="portrait"/>
          <w:cols w:equalWidth="0" w:num="1">
            <w:col w:w="11100"/>
          </w:cols>
          <w:pgMar w:left="320" w:top="455" w:right="47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7" w:lineRule="exact"/>
        <w:rPr>
          <w:sz w:val="20"/>
          <w:szCs w:val="20"/>
          <w:color w:val="auto"/>
        </w:rPr>
      </w:pPr>
    </w:p>
    <w:p>
      <w:pPr>
        <w:ind w:left="120" w:right="12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Restricted Stock Units. </w:t>
      </w:r>
      <w:r>
        <w:rPr>
          <w:rFonts w:ascii="Times New Roman" w:cs="Times New Roman" w:eastAsia="Times New Roman" w:hAnsi="Times New Roman"/>
          <w:sz w:val="18"/>
          <w:szCs w:val="18"/>
          <w:color w:val="auto"/>
        </w:rPr>
        <w:t>A RSU is a right to receive Class A ADSs at the end of a specified period equal to the fair market value of one Class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ADS on the date of vesting. RSUs may be subject to the restrictions, including a risk of forfeiture, imposed by the Committee, and holders of RSUs are not entitled to rights as shareholders unless and until shares are delivered in settlement of such RSUs. The Committee may determine that a grant of RSUs will provide a participant a right to receive dividend equivalents, which entitles the participant to receive the equivalent value (in Class A ADSs) of dividends paid on the underlying Class A ADSs. Dividend equivalents may be paid currently or credited to an account, settled in shares, and may be subject to the same restrictions as the RSUs with respect to which the dividend equivalents are granted.</w:t>
      </w:r>
    </w:p>
    <w:p>
      <w:pPr>
        <w:spacing w:after="0" w:line="182" w:lineRule="exact"/>
        <w:rPr>
          <w:sz w:val="20"/>
          <w:szCs w:val="20"/>
          <w:color w:val="auto"/>
        </w:rPr>
      </w:pPr>
    </w:p>
    <w:p>
      <w:pPr>
        <w:ind w:left="120" w:right="40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Performance Awards. </w:t>
      </w:r>
      <w:r>
        <w:rPr>
          <w:rFonts w:ascii="Times New Roman" w:cs="Times New Roman" w:eastAsia="Times New Roman" w:hAnsi="Times New Roman"/>
          <w:sz w:val="18"/>
          <w:szCs w:val="18"/>
          <w:color w:val="auto"/>
        </w:rPr>
        <w:t>A performance award is an award that vests and/or becomes exercisable or distributable subject to the achievement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certain performance goals during a specified performance period, as established by the Committee. Performance awards may be granted alone or in addition to other awards under the Equity Plan, and will be settled in Class A ADSs.</w:t>
      </w:r>
    </w:p>
    <w:p>
      <w:pPr>
        <w:spacing w:after="0" w:line="173" w:lineRule="exact"/>
        <w:rPr>
          <w:sz w:val="20"/>
          <w:szCs w:val="20"/>
          <w:color w:val="auto"/>
        </w:rPr>
      </w:pPr>
    </w:p>
    <w:p>
      <w:pPr>
        <w:ind w:left="120" w:right="46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Other Share-Based Awards. </w:t>
      </w:r>
      <w:r>
        <w:rPr>
          <w:rFonts w:ascii="Times New Roman" w:cs="Times New Roman" w:eastAsia="Times New Roman" w:hAnsi="Times New Roman"/>
          <w:sz w:val="18"/>
          <w:szCs w:val="18"/>
          <w:color w:val="auto"/>
        </w:rPr>
        <w:t>Other share-based awards are awards denominated and payable in, valued in whole or in part by reference to,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otherwise based on or related to, the value of Class A ADSs.</w:t>
      </w:r>
    </w:p>
    <w:p>
      <w:pPr>
        <w:spacing w:after="0" w:line="158" w:lineRule="exact"/>
        <w:rPr>
          <w:sz w:val="20"/>
          <w:szCs w:val="20"/>
          <w:color w:val="auto"/>
        </w:rPr>
      </w:pPr>
    </w:p>
    <w:p>
      <w:pPr>
        <w:ind w:left="120" w:right="2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Cash Awards. </w:t>
      </w:r>
      <w:r>
        <w:rPr>
          <w:rFonts w:ascii="Times New Roman" w:cs="Times New Roman" w:eastAsia="Times New Roman" w:hAnsi="Times New Roman"/>
          <w:sz w:val="18"/>
          <w:szCs w:val="18"/>
          <w:color w:val="auto"/>
        </w:rPr>
        <w:t>Under the Annex to the Equity Plan, cash awards may be granted on a free-standing basis or as an element of, a supplement to, or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lieu of any other award. SARs, RSUs and performance awards that may be settled in cash may be granted under the Annex to the Equity Plan.</w:t>
      </w:r>
    </w:p>
    <w:p>
      <w:pPr>
        <w:spacing w:after="0" w:line="158" w:lineRule="exact"/>
        <w:rPr>
          <w:sz w:val="20"/>
          <w:szCs w:val="20"/>
          <w:color w:val="auto"/>
        </w:rPr>
      </w:pPr>
    </w:p>
    <w:p>
      <w:pPr>
        <w:ind w:left="120" w:right="16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Substitute Awards. </w:t>
      </w:r>
      <w:r>
        <w:rPr>
          <w:rFonts w:ascii="Times New Roman" w:cs="Times New Roman" w:eastAsia="Times New Roman" w:hAnsi="Times New Roman"/>
          <w:sz w:val="18"/>
          <w:szCs w:val="18"/>
          <w:color w:val="auto"/>
        </w:rPr>
        <w:t>Awards may be granted under the Equity Plan in substitution for similar awards held for individuals who become participants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a result of a merger, consolidation or acquisition of another entity by or with the Company or one of its affiliates.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Certain Transactions</w:t>
      </w:r>
    </w:p>
    <w:p>
      <w:pPr>
        <w:spacing w:after="0" w:line="119"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If any change is made to the Company’s capitalization, such as a stock split, stock combination, stock dividend, exchange of stock or other recapitalization, merger or otherwise, which results in an increase or decrease in the number of outstanding Class A ADSs, appropriate adjustments will be made by the Committee in the shares subject to an award under the Equity Plan. The Committee will also have the discretion to make certain adjustments to awards in the event of a change in control (which includes a “scheme of arrangement” under the Companies Act 2006 enacted under the laws of England and Wales or under any other substantially equivalent local legislation), such as the assumption or substitution of outstanding awards, the purchase of any outstanding awards in cash based on the applicable change in control price, the ability for participants to exercise any outstanding stock options, SARs or other stock-based awards upon the change in control (and if not exercised such awards will be terminated), and the acceleration of vesting or exercisability of any outstanding awards.</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Clawback</w:t>
      </w:r>
    </w:p>
    <w:p>
      <w:pPr>
        <w:spacing w:after="0" w:line="119"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All awards granted under the Equity Plan are subject to reduction, cancelation or recoupment under any written clawback policy that the Company may adopt and that the Company determines should apply to awards under the Equity Plan.</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Plan Amendment and Termination</w:t>
      </w:r>
    </w:p>
    <w:p>
      <w:pPr>
        <w:spacing w:after="0" w:line="119"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The Board or the Committee may amend or terminate any award, award agreement or the Equity Plan at any time, provided that the rights of a participant granted an award prior to such amendment or termination may not be impaired without such participant’s consent. In addition, shareholder approval will be required for any amendment to the extent necessary to comply with applicable law or exchange listing standards. The Committee will not have the authority, without the approval of shareholders, to amend any outstanding option or share appreciation right to reduce its exercise price per share. The Equity Plan will remain in effect for a period of ten years (unless earlier terminated by the Board).</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130</w:t>
      </w:r>
    </w:p>
    <w:p>
      <w:pPr>
        <w:sectPr>
          <w:pgSz w:w="11900" w:h="16838" w:orient="portrait"/>
          <w:cols w:equalWidth="0" w:num="1">
            <w:col w:w="11120"/>
          </w:cols>
          <w:pgMar w:left="320" w:top="455" w:right="45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Material U.S. Federal Income Tax Consequences</w:t>
      </w:r>
    </w:p>
    <w:p>
      <w:pPr>
        <w:spacing w:after="0" w:line="119"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The following is a general summary under current law of the principal United States federal income tax consequences related to awards under the Equity Plan. This summary deals with the general federal income tax principles that apply and is provided only for general information. Some kinds of taxes, such as state, local and foreign income taxes and federal employment taxes, are not discussed. This summary is not intended as tax advice to participants, who should consult their own tax advisors.</w:t>
      </w:r>
    </w:p>
    <w:p>
      <w:pPr>
        <w:spacing w:after="0" w:line="178" w:lineRule="exact"/>
        <w:rPr>
          <w:sz w:val="20"/>
          <w:szCs w:val="20"/>
          <w:color w:val="auto"/>
        </w:rPr>
      </w:pPr>
    </w:p>
    <w:p>
      <w:pPr>
        <w:ind w:left="12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Non-Qualified Stock Options. </w:t>
      </w:r>
      <w:r>
        <w:rPr>
          <w:rFonts w:ascii="Times New Roman" w:cs="Times New Roman" w:eastAsia="Times New Roman" w:hAnsi="Times New Roman"/>
          <w:sz w:val="18"/>
          <w:szCs w:val="18"/>
          <w:color w:val="auto"/>
        </w:rPr>
        <w:t>If an optionee is granted an NSO under the Equity Plan, the optionee should not have taxable income on the grant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option. Generally, the optionee should recognize ordinary income at the time of exercise in an amount equal to the fair market value of the shares acquired on the date of exercise, less the exercise price paid for the shares. The optionee’s basis in the Class A ADSs for purposes of determining gain or loss on a subsequent sale or disposition of such shares generally will be the fair market value of the Class A ADSs on the date the optionee exercises such option. Any subsequent gain or loss will be taxable as a long-term or short-term capital gain or loss. The Company or its subsidiaries or affiliates generally should be entitled to a federal income tax deduction at the time and for the same amount as the optionee recognizes ordinary income.</w:t>
      </w:r>
    </w:p>
    <w:p>
      <w:pPr>
        <w:spacing w:after="0" w:line="182"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Incentive Stock Options. </w:t>
      </w:r>
      <w:r>
        <w:rPr>
          <w:rFonts w:ascii="Times New Roman" w:cs="Times New Roman" w:eastAsia="Times New Roman" w:hAnsi="Times New Roman"/>
          <w:sz w:val="18"/>
          <w:szCs w:val="18"/>
          <w:color w:val="auto"/>
        </w:rPr>
        <w:t>A participant receiving ISOs should not recognize taxable income upon grant. Additionally, if applicable holding period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requirements are met, the participant should not recognize taxable income at the time of exercise. However, the excess of the fair market value of the shares of Class A ADSs received over the option exercise price is an item of tax preference income potentially subject to the alternative minimum tax. If stock acquired upon exercise of an ISO is held for a minimum of two years from the date of grant and one year from the date of exercise and otherwise satisfies the ISO requirements, the gain or loss (in an amount equal to the difference between the fair market value on the date of disposition and the exercise price) upon disposition of the stock will be treated as a long-term capital gain or loss, and the Company will not be entitled to any deduction. If the holding period requirements are not met, the ISO will be treated as one that does not meet the requirements of the Code for ISOs and the participant will recognize ordinary income at the time of the disposition equal to the excess of the amount realized over the exercise price, but not more than the excess of the fair market value of the shares on the date the ISO is exercised over the exercise price, with any remaining gain or loss being treated as capital gain or capital loss. The Company or its subsidiaries or affiliates generally are not entitled to a federal income tax deduction upon either the exercise of an ISO or upon disposition of the shares acquired pursuant to such exercise, except to the extent that the participant recognizes ordinary income on disposition of the shares.</w:t>
      </w:r>
    </w:p>
    <w:p>
      <w:pPr>
        <w:spacing w:after="0" w:line="190" w:lineRule="exact"/>
        <w:rPr>
          <w:sz w:val="20"/>
          <w:szCs w:val="20"/>
          <w:color w:val="auto"/>
        </w:rPr>
      </w:pPr>
    </w:p>
    <w:p>
      <w:pPr>
        <w:ind w:left="120" w:right="2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Other Awards. </w:t>
      </w:r>
      <w:r>
        <w:rPr>
          <w:rFonts w:ascii="Times New Roman" w:cs="Times New Roman" w:eastAsia="Times New Roman" w:hAnsi="Times New Roman"/>
          <w:sz w:val="18"/>
          <w:szCs w:val="18"/>
          <w:color w:val="auto"/>
        </w:rPr>
        <w:t>The current federal income tax consequences of other awards authorized under the Equity Plan generally follow certain basic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patterns: SARs are taxed and deductible in substantially the same manner as NSOs; nontransferable restricted stock subject to a substantial risk of forfeiture results in income recognition equal to the excess of the fair market value over the price paid, if any, only at the time the restrictions lapse (unless the recipient elects to accelerate recognition as of the date of grant through a Section 83(b) election); RSUs, dividend equivalents and other stock or cash based awards are generally subject to tax at the time of payment. The Company or its subsidiaries or affiliates generally should be entitled to a federal income tax deduction at the time and for the same amount as the award recipient recognizes ordinary income.</w:t>
      </w:r>
    </w:p>
    <w:p>
      <w:pPr>
        <w:spacing w:after="0" w:line="2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Section 409A of the Code</w:t>
      </w:r>
    </w:p>
    <w:p>
      <w:pPr>
        <w:spacing w:after="0" w:line="119"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Certain types of awards under the Equity Plan may constitute, or provide for, a deferral of compensation subject to Section 409A of the Code. Unless certain requirements set forth in Section 409A of the Code are complied with, holders of such awards may be taxed earlier than would otherwise be the case (e.g., at the time of vesting instead of the time of payment) and may be subject to an additional 20% penalty tax (and, potentially, certain interest, penalties and additional state taxes). To the extent applicable, the Equity Plan and awards granted under the Equity Plan are intended to be structured and interpreted in a manner intended to either comply with or be exempt from Section 409A of the Code and the Department of Treasury regulations and other interpretive</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131</w:t>
      </w:r>
    </w:p>
    <w:p>
      <w:pPr>
        <w:sectPr>
          <w:pgSz w:w="11900" w:h="16838" w:orient="portrait"/>
          <w:cols w:equalWidth="0" w:num="1">
            <w:col w:w="11120"/>
          </w:cols>
          <w:pgMar w:left="320" w:top="455" w:right="45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40"/>
        <w:spacing w:after="0" w:line="266" w:lineRule="auto"/>
        <w:rPr>
          <w:sz w:val="20"/>
          <w:szCs w:val="20"/>
          <w:color w:val="auto"/>
        </w:rPr>
      </w:pPr>
      <w:r>
        <w:rPr>
          <w:rFonts w:ascii="Times New Roman" w:cs="Times New Roman" w:eastAsia="Times New Roman" w:hAnsi="Times New Roman"/>
          <w:sz w:val="18"/>
          <w:szCs w:val="18"/>
          <w:color w:val="auto"/>
        </w:rPr>
        <w:t>guidance that may be issued under Section 409A of the Code. To the extent determined necessary or appropriate by the plan administrator, the Equity Plan and applicable award agreements may be amended to further comply with Section 409A of the Code or to exempt the applicable awards from Section 409A of the Code.</w:t>
      </w:r>
    </w:p>
    <w:p>
      <w:pPr>
        <w:spacing w:after="0" w:line="176"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THE DISCUSSION ABOVE IS INTENDED ONLY AS A SUMMARY AND DOES NOT PURPORT TO BE A COMPLETE DISCUSSION OF ALL POTENTIAL TAX EFFECTS RELEVANT TO RECIPIENTS OF AWARDS UNDER THE EQUITY PLAN. AMONG OTHER ITEMS THIS DISCUSSION DOES NOT ADDRESS ARE TAX CONSEQUENCES UNDER THE LAWS OF ANY STATE, LOCALITY OR FOREIGN JURISDICTION, OR ANY TAX TREATIES OR CONVENTIONS BETWEEN THE UNITED STATES AND FOREIGN JURISDICTIONS. THIS DISCUSSION IS BASED UPON CURRENT LAW AND INTERPRETATIONAL AUTHORITIES WHICH ARE SUBJECT TO CHANGE AT ANY TIME.</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Employee Stock Purchase Plan</w:t>
      </w:r>
    </w:p>
    <w:p>
      <w:pPr>
        <w:spacing w:after="0" w:line="121" w:lineRule="exact"/>
        <w:rPr>
          <w:sz w:val="20"/>
          <w:szCs w:val="20"/>
          <w:color w:val="auto"/>
        </w:rPr>
      </w:pPr>
    </w:p>
    <w:p>
      <w:pPr>
        <w:jc w:val="both"/>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The Company adopted the Polestar Automotive Holding UK PLC 2022 Employee Stock Purchase Plan (the “Employee Stock Purchase Plan”). The following is a summary of the material features of the Employee Stock Purchase Plan. This summary is qualified in its entirety by reference to the complete text of the Employee Stock Purchase Plan, a copy of which is filed as an exhibit to registration statement on form S-8 filed with the SEC on August 29, 2022.</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Purpose of the Employee Stock Purchase Plan</w:t>
      </w:r>
    </w:p>
    <w:p>
      <w:pPr>
        <w:spacing w:after="0" w:line="119" w:lineRule="exact"/>
        <w:rPr>
          <w:sz w:val="20"/>
          <w:szCs w:val="20"/>
          <w:color w:val="auto"/>
        </w:rPr>
      </w:pPr>
    </w:p>
    <w:p>
      <w:pPr>
        <w:ind w:left="120" w:right="200" w:firstLine="440"/>
        <w:spacing w:after="0" w:line="258" w:lineRule="auto"/>
        <w:rPr>
          <w:sz w:val="20"/>
          <w:szCs w:val="20"/>
          <w:color w:val="auto"/>
        </w:rPr>
      </w:pPr>
      <w:r>
        <w:rPr>
          <w:rFonts w:ascii="Times New Roman" w:cs="Times New Roman" w:eastAsia="Times New Roman" w:hAnsi="Times New Roman"/>
          <w:sz w:val="18"/>
          <w:szCs w:val="18"/>
          <w:color w:val="auto"/>
        </w:rPr>
        <w:t>The purpose of the Employee Stock Purchase Plan is to provide the Company’s employees and employees of the Company’s participating subsidiaries with the opportunity to purchase Class A ADSs (or Class A Shares, as the context may require) through accumulated payroll deductions during successive offering periods. The Company believes that the Employee Stock Purchase Plan enhances such employees’ sense of participation in the Company’s performance, aligns their interests with those of the Company’s shareholders, and is a necessary and powerful incentive and retention tool that benefits the Company’s shareholders.</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Eligibility and Administration</w:t>
      </w:r>
    </w:p>
    <w:p>
      <w:pPr>
        <w:spacing w:after="0" w:line="119"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The Employee Stock Purchase Plan will be administered by a committee of the Board that has been authorized to administer the Employee Stock Purchase Plan, except if no such committee is authorized by the Board, the Board will administer the Employee Stock Purchase Plan. Such committee, as the administrator of the Employee Stock Purchase Plan, administers and has authority to interpret the terms of the Employee Stock Purchase Plan and determine eligibility of participants. The administrator may designate certain of the Company’s subsidiaries as participating “designated subsidiaries” in the Employee Stock Purchase Plan and may change these designations from time to time. The Company’s employees and employees of the Company’s participating designated subsidiaries are eligible to participate in the Employee Stock Purchase Plan if they meet the eligibility requirements under the Employee Stock Purchase Plan established from time to time by the administrator. However, an employee may not be granted rights to purchase shares under the Employee Stock Purchase Plan if such employee, immediately after the grant, would own (directly or through attribution) shares possessing 5% or more of the total combined voting power or value of all classes of the Company’s outstanding stock and stock of any of the Company’s subsidiaries.</w:t>
      </w:r>
    </w:p>
    <w:p>
      <w:pPr>
        <w:spacing w:after="0" w:line="194"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Eligible employees become participants in the Employee Stock Purchase Plan by enrolling and authorizing payroll deductions prior to the first day of the applicable offering period. Non-employee directors and consultants are not eligible to participate in the Employee Stock Purchase Plan. Employees who choose not to participate, or are not eligible to participate at the start of an offering period but who become eligible thereafter, may enroll in any subsequent offering period.</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132</w:t>
      </w:r>
    </w:p>
    <w:p>
      <w:pPr>
        <w:sectPr>
          <w:pgSz w:w="11900" w:h="16838" w:orient="portrait"/>
          <w:cols w:equalWidth="0" w:num="1">
            <w:col w:w="11120"/>
          </w:cols>
          <w:pgMar w:left="320" w:top="455" w:right="45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Shares Available for Awards</w:t>
      </w:r>
    </w:p>
    <w:p>
      <w:pPr>
        <w:spacing w:after="0" w:line="119"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A total of 2,000,000 Class A ADSs are reserved for issuance under the Employee Stock Purchase Plan, which reserve amount will be increased on the first day of each fiscal year during the term of the Employee Stock Purchase Plan following the fiscal year in which the effective date of the Employee Stock Purchase Plan occurs by the lesser of (i) 0.1% of the total number of Shares outstanding on the last day of the immediately preceding fiscal year, (ii) a lesser amount determined by the Board or (iii) 2,000,000. The number of shares subject to the Employee Stock Purchase Plan may be adjusted for changes in the Company’s capitalization and certain corporate transactions, as described below under the heading “—Adjustments.” The Company cannot precisely predict its share usage under the Employee Stock Purchase Plan as it will depend on a range of factors including the level of the Company’s employee participation, the contribution rates of participants, the trading price of Class A ADSs and the Company’s future hiring activity.</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Participating in an Offering</w:t>
      </w:r>
    </w:p>
    <w:p>
      <w:pPr>
        <w:spacing w:after="0" w:line="117"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Offering Periods and Purchase Periods. </w:t>
      </w:r>
      <w:r>
        <w:rPr>
          <w:rFonts w:ascii="Times New Roman" w:cs="Times New Roman" w:eastAsia="Times New Roman" w:hAnsi="Times New Roman"/>
          <w:sz w:val="18"/>
          <w:szCs w:val="18"/>
          <w:color w:val="auto"/>
        </w:rPr>
        <w:t>Class A ADSs are offered to eligible employees under the Employee Stock Purchase Plan during offering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periods. Offering periods under the Employee Stock Purchase Plan commence when determined by the administrator. The length of an offering period under the Employee Stock Purchase Plan is determined by the administrator and may be up to 27 months long. Employee payroll deductions are used to purchase Class A ADSs on the exercise date of an offering period. The exercise date for each offering period is the final trading day in the offering period. The administrator may, in its discretion, modify the terms of future offering periods.</w:t>
      </w:r>
    </w:p>
    <w:p>
      <w:pPr>
        <w:spacing w:after="0" w:line="183" w:lineRule="exact"/>
        <w:rPr>
          <w:sz w:val="20"/>
          <w:szCs w:val="20"/>
          <w:color w:val="auto"/>
        </w:rPr>
      </w:pPr>
    </w:p>
    <w:p>
      <w:pPr>
        <w:ind w:left="120" w:right="180"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Enrollment and Contributions</w:t>
      </w:r>
      <w:r>
        <w:rPr>
          <w:rFonts w:ascii="Times New Roman" w:cs="Times New Roman" w:eastAsia="Times New Roman" w:hAnsi="Times New Roman"/>
          <w:sz w:val="18"/>
          <w:szCs w:val="18"/>
          <w:color w:val="auto"/>
        </w:rPr>
        <w:t>. The Employee Stock Purchase Plan permits participants to purchase Class A ADSs through payroll deductions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at least 1% of their eligible compensation, but not more than 5% of their eligible compensation as of each payroll date during an offering period. The administrator will establish the maximum number of shares that may be purchased by a participant during any offering period. In addition, except as described below under “—Matching Shares,” no participant is permitted to accrue the right to purchase stock at a rate in excess of $25,000 worth of shares during any calendar year.</w:t>
      </w:r>
    </w:p>
    <w:p>
      <w:pPr>
        <w:spacing w:after="0" w:line="183" w:lineRule="exact"/>
        <w:rPr>
          <w:sz w:val="20"/>
          <w:szCs w:val="20"/>
          <w:color w:val="auto"/>
        </w:rPr>
      </w:pPr>
    </w:p>
    <w:p>
      <w:pPr>
        <w:ind w:left="120" w:right="22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Purchase Rights</w:t>
      </w:r>
      <w:r>
        <w:rPr>
          <w:rFonts w:ascii="Times New Roman" w:cs="Times New Roman" w:eastAsia="Times New Roman" w:hAnsi="Times New Roman"/>
          <w:sz w:val="18"/>
          <w:szCs w:val="18"/>
          <w:color w:val="auto"/>
        </w:rPr>
        <w:t>. On the first trading day of each offering period, each participant is automatically granted an option to purchase Class A ADSs.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option expires on the last trading day of the applicable offering period and is exercised at that time to the extent of the payroll deductions accumulated during the offering period. Any remaining balance is carried forward to the next offering period unless the participant has elected to withdraw from the Employee Stock Purchase Plan, as described below, or has ceased to be an eligible employee. In the case of the portion of the Employee Stock Purchase Plan intended to qualify under the provisions of Section 423 of the Code, in no event will a participant be permitted to purchase more than 25,000 shares during each offering period (subject to certain adjustments).</w:t>
      </w:r>
    </w:p>
    <w:p>
      <w:pPr>
        <w:spacing w:after="0" w:line="182"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Purchase Price</w:t>
      </w:r>
      <w:r>
        <w:rPr>
          <w:rFonts w:ascii="Times New Roman" w:cs="Times New Roman" w:eastAsia="Times New Roman" w:hAnsi="Times New Roman"/>
          <w:sz w:val="18"/>
          <w:szCs w:val="18"/>
          <w:color w:val="auto"/>
        </w:rPr>
        <w:t>. The purchase price of the Class A ADSs under the Employee Stock Purchase Plan, in the absence of a contrary designation by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administrator, is 85% of the lower of the fair market value of Class A ADSs on the first trading day of the offering period or on the final trading day of the offering period. The fair market value per Class A ADS under the Employee Stock Purchase Plan generally is the closing sales price of Class A ADSs on the date for which fair market value is being determined, or if there is no closing sales price for Class A ADSs on the date in question, the closing sales price for Class A ADSs on the last preceding date for which such quotation exists.</w:t>
      </w:r>
    </w:p>
    <w:p>
      <w:pPr>
        <w:spacing w:after="0" w:line="183" w:lineRule="exact"/>
        <w:rPr>
          <w:sz w:val="20"/>
          <w:szCs w:val="20"/>
          <w:color w:val="auto"/>
        </w:rPr>
      </w:pPr>
    </w:p>
    <w:p>
      <w:pPr>
        <w:ind w:left="12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Withdrawal and Termination of Employment</w:t>
      </w:r>
      <w:r>
        <w:rPr>
          <w:rFonts w:ascii="Times New Roman" w:cs="Times New Roman" w:eastAsia="Times New Roman" w:hAnsi="Times New Roman"/>
          <w:sz w:val="18"/>
          <w:szCs w:val="18"/>
          <w:color w:val="auto"/>
        </w:rPr>
        <w:t>. Participants may voluntarily end their participation in the Employee Stock Purchase Plan at any time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during an offering period prior to the end of the offering period by delivering written notice to the Company, and can elect to either (i) be paid their accrued payroll deductions that have not yet been used to purchase Class A ADSs or (ii) exercise their option at the end of the applicable offering period, and then be paid any remaining accrued payroll deductions. Participation in the Employee Stock Purchase Plan ends automatically upon a participant’s termination of employment and any remaining accrued payroll deductions in the participant’s account will be paid to such participant following such termination.</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133</w:t>
      </w:r>
    </w:p>
    <w:p>
      <w:pPr>
        <w:sectPr>
          <w:pgSz w:w="11900" w:h="16838" w:orient="portrait"/>
          <w:cols w:equalWidth="0" w:num="1">
            <w:col w:w="11140"/>
          </w:cols>
          <w:pgMar w:left="320" w:top="455" w:right="43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Adjustments</w:t>
      </w:r>
    </w:p>
    <w:p>
      <w:pPr>
        <w:spacing w:after="0" w:line="119"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In the event of certain transactions or events affecting the Class A ADSs, such as any stock split, reverse stock split, stock dividend, combination or reclassification of the Class A ADSs, or any other increase or decrease in the number of Class A ADSs effected without receipt of consideration by the Company, the administrator will make equitable adjustments to the Employee Stock Purchase Plan and outstanding rights under the Employee Stock Purchase Plan. In addition, in the event of a proposed sale of all or substantially all of the Company’s assets, a merger with or into another corporation, or other transaction as set forth by the administrator in an offering document, each outstanding option will be assumed or an equivalent option will be substituted by the successor corporation or a parent or subsidiary of the successor corporation. If the successor corporation or a parent or subsidiary of the successor corporation refuses to assume or substitute outstanding options, any offering periods then in progress will be shortened with a new exercise date prior to the proposed sale or merger. The administrator will notify each participant in writing at least 10 business days prior to such new exercise date that the exercise date has been changed and the participant’s option will be automatically exercised on such new exercise date. Further, in the event of a proposed dissolution or liquidation, any offering periods then in progress will be shortened with a new exercise date prior to the proposed dissolution or liquidation, and the administrator will notify each participant in writing in a similar manner as described above.</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Matching Shares</w:t>
      </w:r>
    </w:p>
    <w:p>
      <w:pPr>
        <w:spacing w:after="0" w:line="11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administrator may provide special terms, establish supplements to, or amendments, restatements or alternative versions of the Employee Stock Purchase Plan, subject to the share limits described above, in order to facilitate grants of awards subject to the laws and/or stock exchange rules of countries outside of the United States and to provide benefits under the Employee Stock Purchase Plan to employees located in the United States in excess of the limitations under Section 423 of the Code. Subject to the administrator’s determination, eligible employees located within or outside the United States may elect to have an amount credited to their plan account (in the case of eligible employees located in the United States, which may be in excess of the $25,000 limitation under Section 423 of the Code), which amounts will be used to purchase Class A ADSs on the open market on such participant’s behalf (based on the full fair market value of such Class A ADSs). In addition, the administrator may, in its discretion, offer matching shares denominated in Class A ADSs on a quarterly basis to all eligible employees, in an amount equal to up to 100% of the number of Class A ADSs credited to the participant’s plan account prior to the last day of the applicable purchase period, provided that a participant may not receive an aggregate value of matching shares in respect of any calendar year in excess of 1% of the participant’s eligible compensation. To receive matching shares, the participant must (i) be an eligible employee on the date the matching shares are offered and (ii) retain the Class A ADSs purchased during the applicable quarter until the date following the one-year anniversary of the purchase with respect to which the matching shares are credited to the participant’s account.</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Transferability</w:t>
      </w:r>
    </w:p>
    <w:p>
      <w:pPr>
        <w:spacing w:after="0" w:line="119"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A participant may not transfer rights granted under the Employee Stock Purchase Plan other than by will or the laws of descent and distribution, and such rights are generally exercisable only by the participant.</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Plan Amendment and Termination</w:t>
      </w:r>
    </w:p>
    <w:p>
      <w:pPr>
        <w:spacing w:after="0" w:line="119"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The Board may amend, suspend or terminate the Employee Stock Purchase Plan at any time and from time to time. However, shareholder approval must be obtained for any amendment that increases the aggregate number or changes the type of shares that may be sold pursuant to rights under the Employee Stock Purchase Plan, changes the designation or class of employees who are eligible to participate in the Employee Stock Purchase Plan or changes the Employee Stock Purchase Plan in any way that would cause the Employee Stock Purchase Plan to no longer be an “employee stock purchase plan” under Section 423(b) of the Code.</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134</w:t>
      </w:r>
    </w:p>
    <w:p>
      <w:pPr>
        <w:sectPr>
          <w:pgSz w:w="11900" w:h="16838" w:orient="portrait"/>
          <w:cols w:equalWidth="0" w:num="1">
            <w:col w:w="11100"/>
          </w:cols>
          <w:pgMar w:left="320" w:top="455" w:right="479"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Material U.S. Federal Income Tax Consequences</w:t>
      </w:r>
    </w:p>
    <w:p>
      <w:pPr>
        <w:spacing w:after="0" w:line="119"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The U.S. federal income tax consequences of the Employee Stock Purchase Plan under current income tax law are summarized in the following discussion, which deals with the general tax principles applicable to the Employee Stock Purchase Plan and is intended for general information only. Other federal taxes and foreign, state and local income taxes are not discussed, and may vary depending on individual circumstances and from locality to locality.</w:t>
      </w:r>
    </w:p>
    <w:p>
      <w:pPr>
        <w:spacing w:after="0" w:line="180"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Except as described above under “—Matching Shares,” the Employee Stock Purchase Plan, and the right of participants to make purchases thereunder, is intended to qualify under the provisions of Section 423 of the Code. Under the applicable Code provisions, no income will be taxable to a participant until the sale or other disposition of the shares purchased under the Employee Stock Purchase Plan. This means that an eligible employee will not recognize taxable income on the date the employee is granted an option under the Employee Stock Purchase Plan. In addition, the employee will not recognize taxable income upon the purchase of shares. Upon such sale or disposition of shares, the participant generally will be subject to tax in an amount that depends upon the length of time such shares are held by the participant prior to selling or disposing of them. If the shares are sold or disposed of more than two years from the date of grant and more than one year from the date of purchase, or if the participant dies while holding the shares, the participant (or the participant’s estate) will recognize ordinary income measured as the lesser of (1) the excess of the fair market value of the shares at the time of such sale or disposition (or death) over the purchase price or (2) the excess of the fair market value of the shares at the time the option was granted over the purchase price. Any additional gain will be treated as long-term capital gain. If the shares are held for the holding periods described above but are sold for a price that is less than the purchase price, there is no ordinary income and the participating employee has a long-term capital loss for the difference between the sale price and the purchase price.</w:t>
      </w:r>
    </w:p>
    <w:p>
      <w:pPr>
        <w:spacing w:after="0" w:line="190"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If the shares are sold or otherwise disposed of before the expiration of the holding periods described above, or in the event a U.S. participant receives matching Class A ADSs as described above under “—Matching Shares,” the participant will recognize ordinary income generally measured as the excess of the fair market value of the shares on the date the shares are purchased over the purchase price and the Company will be entitled to a tax deduction for compensation expense in the amount of ordinary income recognized by the employee. Any additional gain or loss on such sale or disposition will be long-term or short-term capital gain or loss, depending on how long the shares were held following the date they were purchased by the participant prior to disposing of them. If the shares are sold or otherwise disposed of before the expiration of the holding periods described above but are sold for a price that is less than the purchase price, the participant will recognize ordinary income equal to the excess of the fair market value of the shares on the date of purchase over the purchase price (and the Company will be entitled to a corresponding deduction), but the participant generally will be able to report a capital loss equal to the difference between the sales price of the shares and the fair market value of the shares on the date of purchase.</w:t>
      </w:r>
    </w:p>
    <w:p>
      <w:pPr>
        <w:spacing w:after="0" w:line="194"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THE DISCUSSION ABOVE IS INTENDED ONLY AS A SUMMARY AND DOES NOT PURPORT TO BE A COMPLETE DISCUSSION OF ALL POTENTIAL TAX EFFECTS RELEVANT TO RECIPIENTS OF AWARDS UNDER THE EMPLOYEE STOCK PURCHASE PLAN. AMONG OTHER ITEMS THIS DISCUSSION DOES NOT ADDRESS ARE TAX CONSEQUENCES UNDER THE LAWS OF ANY STATE, LOCALITY OR FOREIGN JURISDICTION, OR ANY TAX TREATIES OR CONVENTIONS BETWEEN THE UNITED STATES AND FOREIGN JURISDICTIONS. THIS DISCUSSION IS BASED UPON CURRENT LAW AND INTERPRETATIONAL AUTHORITIES WHICH ARE SUBJECT TO CHANGE AT ANY TIME.</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Insurance and Indemnification</w:t>
      </w:r>
    </w:p>
    <w:p>
      <w:pPr>
        <w:spacing w:after="0" w:line="119"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To the extent permitted by the Companies Act and the Polestar Articles, the Company is empowered to indemnify its directors and officers, as well as members of Polestar Group’s senior management against liabilities in connection with their service at Polestar. The Company will also enter into indemnification</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135</w:t>
      </w:r>
    </w:p>
    <w:p>
      <w:pPr>
        <w:sectPr>
          <w:pgSz w:w="11900" w:h="16838" w:orient="portrait"/>
          <w:cols w:equalWidth="0" w:num="1">
            <w:col w:w="11120"/>
          </w:cols>
          <w:pgMar w:left="320" w:top="455" w:right="459"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agreements with its directors and officers, as well as members of Polestar Group’s senior management. These agreements, among other things, will require the Company to indemnify such directors, officers and members of Polestar Group’s senior management for certain expenses, including attorneys’ fees, judgments, fines and settlement amounts incurred by a director, officer or member of Polestar Group’s senior management in any action or proceeding arising out of their services in the Polestar Group. The Company plans to maintain an insurance policy pursuant to which such persons will also be insured against liability for actions taken in their respective capacities.</w:t>
      </w:r>
    </w:p>
    <w:p>
      <w:pPr>
        <w:spacing w:after="0" w:line="183"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The Company believes that the indemnification of directors, officers and members of Polestar Group’s senior management is necessary to attract and retain qualified persons. Insofar as such indemnification for liabilities arising under the Securities Act may be permitted to such individuals or control persons in the opinion of the SEC, such indemnification is against public policy as expressed in the Securities Act and is therefore unenforceable.</w:t>
      </w:r>
    </w:p>
    <w:p>
      <w:pPr>
        <w:spacing w:after="0" w:line="11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136</w:t>
      </w:r>
    </w:p>
    <w:p>
      <w:pPr>
        <w:sectPr>
          <w:pgSz w:w="11900" w:h="16838" w:orient="portrait"/>
          <w:cols w:equalWidth="0" w:num="1">
            <w:col w:w="11040"/>
          </w:cols>
          <w:pgMar w:left="320" w:top="455" w:right="539"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BENEFICIAL OWNERSHIP</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sets forth information regarding the beneficial ownership of the Company in the form of American depositary shares by:</w:t>
      </w:r>
    </w:p>
    <w:p>
      <w:pPr>
        <w:spacing w:after="0" w:line="131" w:lineRule="exact"/>
        <w:rPr>
          <w:sz w:val="20"/>
          <w:szCs w:val="20"/>
          <w:color w:val="auto"/>
        </w:rPr>
      </w:pPr>
    </w:p>
    <w:p>
      <w:pPr>
        <w:ind w:left="1080" w:hanging="424"/>
        <w:spacing w:after="0"/>
        <w:tabs>
          <w:tab w:leader="none" w:pos="10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beneficial owner of more than 5% of the outstanding Shares;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executive officer or a director of the Company;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Company’s executive officers and directors as a group.</w:t>
      </w:r>
    </w:p>
    <w:p>
      <w:pPr>
        <w:spacing w:after="0" w:line="225" w:lineRule="exact"/>
        <w:rPr>
          <w:sz w:val="20"/>
          <w:szCs w:val="20"/>
          <w:color w:val="auto"/>
        </w:rPr>
      </w:pPr>
    </w:p>
    <w:p>
      <w:pPr>
        <w:ind w:left="120" w:right="60" w:firstLine="440"/>
        <w:spacing w:after="0" w:line="277" w:lineRule="auto"/>
        <w:rPr>
          <w:sz w:val="20"/>
          <w:szCs w:val="20"/>
          <w:color w:val="auto"/>
        </w:rPr>
      </w:pPr>
      <w:r>
        <w:rPr>
          <w:rFonts w:ascii="Times New Roman" w:cs="Times New Roman" w:eastAsia="Times New Roman" w:hAnsi="Times New Roman"/>
          <w:sz w:val="17"/>
          <w:szCs w:val="17"/>
          <w:color w:val="auto"/>
        </w:rPr>
        <w:t>Unless otherwise indicated, the Company believes that all persons named in the table have sole voting and investment power with respect to all shares beneficially owned by them. Except as otherwise noted herein, the number and percentage of Shares beneficially owned is determined in accordance with Rule 13d-3 of the Exchange Act, and the information is not necessarily indicative of beneficial ownership for any other purpose. Under such rule, beneficial ownership includes any Shares as to which the holder has sole or shared voting power or investment power and also any Shares which the holder has the right to acquire within 60 days of the date of this prospectus through the exercise of any option, warrant or any other right.</w:t>
      </w:r>
    </w:p>
    <w:p>
      <w:pPr>
        <w:spacing w:after="0" w:line="168"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Each outstanding Class A Share is entitled to one vote on all matters submitted to a vote of shareholders. Each Class B Share is entitled to 10 votes on all matters submitted to a vote of shareholders. Each Class C Share is entitled to one vote on all matters submitted to a vote of shareholders. Preference Shares, Deferred Shares and GBP Redeemable Preferred Shares (each as defined below) carry no voting rights and do not entitle their holders to receive notice of, to attend, to speak or to vote at any general meeting of the Company. Holders of Shares have no cumulative voting rights. None of the Company’s shareholders are entitled to vote at any general meeting or at any separate class meeting in respect of any share unless all calls or other sums payable in respect of that share have been paid.</w:t>
      </w:r>
    </w:p>
    <w:p>
      <w:pPr>
        <w:spacing w:after="0" w:line="187"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The beneficial ownership of the Shares is based on 2,109,034,797 Shares issued and outstanding as of June 30, 2022. In computing the number of shares beneficially owned by a person and the percentage ownership of that person, Shares subject to options or other rights (as set forth above) held by that person that are currently exercisable, or will become exercisable within 60 days thereafter, are deemed outstanding, while such Shares are not deemed outstanding for purposes of computing percentage ownership of any other person. The beneficial ownership percentage set forth below does not take into account (i) Earn Out Shares that might be issued and (ii) Class A Shares in the form of Class A ADSs that will vest pursuant to the Equity Plan and Employee Stock Purchase Plan.</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Unless otherwise noted, the business address of each beneficial owner is Assar Gabrielssons Väg 9, 405 31 Göteborg, Sweden.</w:t>
      </w:r>
    </w:p>
    <w:p>
      <w:pPr>
        <w:spacing w:after="0" w:line="23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162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Approximate</w:t>
            </w:r>
          </w:p>
        </w:tc>
        <w:tc>
          <w:tcPr>
            <w:tcW w:w="0" w:type="dxa"/>
            <w:vAlign w:val="bottom"/>
          </w:tcPr>
          <w:p>
            <w:pPr>
              <w:spacing w:after="0"/>
              <w:rPr>
                <w:sz w:val="1"/>
                <w:szCs w:val="1"/>
                <w:color w:val="auto"/>
              </w:rPr>
            </w:pPr>
          </w:p>
        </w:tc>
      </w:tr>
      <w:tr>
        <w:trPr>
          <w:trHeight w:val="148"/>
        </w:trPr>
        <w:tc>
          <w:tcPr>
            <w:tcW w:w="162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900" w:type="dxa"/>
            <w:vAlign w:val="bottom"/>
            <w:gridSpan w:val="2"/>
            <w:vMerge w:val="restart"/>
          </w:tcPr>
          <w:p>
            <w:pPr>
              <w:jc w:val="right"/>
              <w:ind w:right="10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4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Percentage of</w:t>
            </w:r>
          </w:p>
        </w:tc>
        <w:tc>
          <w:tcPr>
            <w:tcW w:w="0" w:type="dxa"/>
            <w:vAlign w:val="bottom"/>
          </w:tcPr>
          <w:p>
            <w:pPr>
              <w:spacing w:after="0"/>
              <w:rPr>
                <w:sz w:val="1"/>
                <w:szCs w:val="1"/>
                <w:color w:val="auto"/>
              </w:rPr>
            </w:pPr>
          </w:p>
        </w:tc>
      </w:tr>
      <w:tr>
        <w:trPr>
          <w:trHeight w:val="149"/>
        </w:trPr>
        <w:tc>
          <w:tcPr>
            <w:tcW w:w="16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Beneficial Owner</w:t>
            </w:r>
          </w:p>
        </w:tc>
        <w:tc>
          <w:tcPr>
            <w:tcW w:w="2160" w:type="dxa"/>
            <w:vAlign w:val="bottom"/>
            <w:vMerge w:val="restart"/>
          </w:tcPr>
          <w:p>
            <w:pPr>
              <w:spacing w:after="0"/>
              <w:rPr>
                <w:sz w:val="12"/>
                <w:szCs w:val="12"/>
                <w:color w:val="auto"/>
              </w:rPr>
            </w:pPr>
          </w:p>
        </w:tc>
        <w:tc>
          <w:tcPr>
            <w:tcW w:w="1640" w:type="dxa"/>
            <w:vAlign w:val="bottom"/>
          </w:tcPr>
          <w:p>
            <w:pPr>
              <w:spacing w:after="0"/>
              <w:rPr>
                <w:sz w:val="12"/>
                <w:szCs w:val="12"/>
                <w:color w:val="auto"/>
              </w:rPr>
            </w:pPr>
          </w:p>
        </w:tc>
        <w:tc>
          <w:tcPr>
            <w:tcW w:w="1900" w:type="dxa"/>
            <w:vAlign w:val="bottom"/>
            <w:gridSpan w:val="2"/>
            <w:vMerge w:val="continue"/>
          </w:tcPr>
          <w:p>
            <w:pPr>
              <w:spacing w:after="0"/>
              <w:rPr>
                <w:sz w:val="12"/>
                <w:szCs w:val="12"/>
                <w:color w:val="auto"/>
              </w:rPr>
            </w:pPr>
          </w:p>
        </w:tc>
        <w:tc>
          <w:tcPr>
            <w:tcW w:w="104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0" w:type="dxa"/>
            <w:vAlign w:val="bottom"/>
          </w:tcPr>
          <w:p>
            <w:pPr>
              <w:spacing w:after="0"/>
              <w:rPr>
                <w:sz w:val="1"/>
                <w:szCs w:val="1"/>
                <w:color w:val="auto"/>
              </w:rPr>
            </w:pPr>
          </w:p>
        </w:tc>
      </w:tr>
      <w:tr>
        <w:trPr>
          <w:trHeight w:val="180"/>
        </w:trPr>
        <w:tc>
          <w:tcPr>
            <w:tcW w:w="1620" w:type="dxa"/>
            <w:vAlign w:val="bottom"/>
            <w:tcBorders>
              <w:bottom w:val="single" w:sz="8" w:color="auto"/>
            </w:tcBorders>
            <w:vMerge w:val="continue"/>
          </w:tcPr>
          <w:p>
            <w:pPr>
              <w:spacing w:after="0"/>
              <w:rPr>
                <w:sz w:val="15"/>
                <w:szCs w:val="15"/>
                <w:color w:val="auto"/>
              </w:rPr>
            </w:pPr>
          </w:p>
        </w:tc>
        <w:tc>
          <w:tcPr>
            <w:tcW w:w="2160" w:type="dxa"/>
            <w:vAlign w:val="bottom"/>
            <w:vMerge w:val="continue"/>
          </w:tcPr>
          <w:p>
            <w:pPr>
              <w:spacing w:after="0"/>
              <w:rPr>
                <w:sz w:val="15"/>
                <w:szCs w:val="15"/>
                <w:color w:val="auto"/>
              </w:rPr>
            </w:pPr>
          </w:p>
        </w:tc>
        <w:tc>
          <w:tcPr>
            <w:tcW w:w="1640" w:type="dxa"/>
            <w:vAlign w:val="bottom"/>
          </w:tcPr>
          <w:p>
            <w:pPr>
              <w:spacing w:after="0"/>
              <w:rPr>
                <w:sz w:val="15"/>
                <w:szCs w:val="15"/>
                <w:color w:val="auto"/>
              </w:rPr>
            </w:pPr>
          </w:p>
        </w:tc>
        <w:tc>
          <w:tcPr>
            <w:tcW w:w="1900" w:type="dxa"/>
            <w:vAlign w:val="bottom"/>
            <w:gridSpan w:val="2"/>
          </w:tcPr>
          <w:p>
            <w:pPr>
              <w:jc w:val="right"/>
              <w:ind w:right="1140"/>
              <w:spacing w:after="0" w:line="160" w:lineRule="exact"/>
              <w:rPr>
                <w:sz w:val="20"/>
                <w:szCs w:val="20"/>
                <w:color w:val="auto"/>
              </w:rPr>
            </w:pPr>
            <w:r>
              <w:rPr>
                <w:rFonts w:ascii="Times New Roman" w:cs="Times New Roman" w:eastAsia="Times New Roman" w:hAnsi="Times New Roman"/>
                <w:sz w:val="14"/>
                <w:szCs w:val="14"/>
                <w:b w:val="1"/>
                <w:bCs w:val="1"/>
                <w:color w:val="auto"/>
              </w:rPr>
              <w:t>Shares</w:t>
            </w:r>
          </w:p>
        </w:tc>
        <w:tc>
          <w:tcPr>
            <w:tcW w:w="1040" w:type="dxa"/>
            <w:vAlign w:val="bottom"/>
            <w:gridSpan w:val="2"/>
          </w:tcPr>
          <w:p>
            <w:pPr>
              <w:jc w:val="center"/>
              <w:ind w:right="180"/>
              <w:spacing w:after="0" w:line="160" w:lineRule="exact"/>
              <w:rPr>
                <w:sz w:val="20"/>
                <w:szCs w:val="20"/>
                <w:color w:val="auto"/>
              </w:rPr>
            </w:pPr>
            <w:r>
              <w:rPr>
                <w:rFonts w:ascii="Times New Roman" w:cs="Times New Roman" w:eastAsia="Times New Roman" w:hAnsi="Times New Roman"/>
                <w:sz w:val="14"/>
                <w:szCs w:val="14"/>
                <w:b w:val="1"/>
                <w:bCs w:val="1"/>
                <w:color w:val="auto"/>
              </w:rPr>
              <w:t>Shares</w:t>
            </w:r>
          </w:p>
        </w:tc>
        <w:tc>
          <w:tcPr>
            <w:tcW w:w="0" w:type="dxa"/>
            <w:vAlign w:val="bottom"/>
          </w:tcPr>
          <w:p>
            <w:pPr>
              <w:spacing w:after="0"/>
              <w:rPr>
                <w:sz w:val="1"/>
                <w:szCs w:val="1"/>
                <w:color w:val="auto"/>
              </w:rPr>
            </w:pPr>
          </w:p>
        </w:tc>
      </w:tr>
      <w:tr>
        <w:trPr>
          <w:trHeight w:val="190"/>
        </w:trPr>
        <w:tc>
          <w:tcPr>
            <w:tcW w:w="3780" w:type="dxa"/>
            <w:vAlign w:val="bottom"/>
            <w:tcBorders>
              <w:top w:val="single" w:sz="8" w:color="CCEEFF"/>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i w:val="1"/>
                <w:iCs w:val="1"/>
                <w:color w:val="auto"/>
              </w:rPr>
              <w:t>Executive Officers and Directors:</w:t>
            </w:r>
          </w:p>
        </w:tc>
        <w:tc>
          <w:tcPr>
            <w:tcW w:w="164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CCEEFF"/>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Thomas Ingenlath</w:t>
            </w:r>
          </w:p>
        </w:tc>
        <w:tc>
          <w:tcPr>
            <w:tcW w:w="3540" w:type="dxa"/>
            <w:vAlign w:val="bottom"/>
            <w:gridSpan w:val="3"/>
          </w:tcPr>
          <w:p>
            <w:pPr>
              <w:jc w:val="right"/>
              <w:ind w:right="800"/>
              <w:spacing w:after="0"/>
              <w:rPr>
                <w:sz w:val="20"/>
                <w:szCs w:val="20"/>
                <w:color w:val="auto"/>
              </w:rPr>
            </w:pPr>
            <w:r>
              <w:rPr>
                <w:rFonts w:ascii="Times New Roman" w:cs="Times New Roman" w:eastAsia="Times New Roman" w:hAnsi="Times New Roman"/>
                <w:sz w:val="18"/>
                <w:szCs w:val="18"/>
                <w:color w:val="auto"/>
              </w:rPr>
              <w:t>310,000</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Johan Malmqvist</w:t>
            </w:r>
          </w:p>
        </w:tc>
        <w:tc>
          <w:tcPr>
            <w:tcW w:w="164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9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Dennis Nobelius</w:t>
            </w:r>
          </w:p>
        </w:tc>
        <w:tc>
          <w:tcPr>
            <w:tcW w:w="1640" w:type="dxa"/>
            <w:vAlign w:val="bottom"/>
          </w:tcPr>
          <w:p>
            <w:pPr>
              <w:spacing w:after="0"/>
              <w:rPr>
                <w:sz w:val="18"/>
                <w:szCs w:val="18"/>
                <w:color w:val="auto"/>
              </w:rPr>
            </w:pPr>
          </w:p>
        </w:tc>
        <w:tc>
          <w:tcPr>
            <w:tcW w:w="1900" w:type="dxa"/>
            <w:vAlign w:val="bottom"/>
            <w:gridSpan w:val="2"/>
          </w:tcPr>
          <w:p>
            <w:pPr>
              <w:jc w:val="right"/>
              <w:ind w:right="9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Håkan Samuelsson</w:t>
            </w:r>
          </w:p>
        </w:tc>
        <w:tc>
          <w:tcPr>
            <w:tcW w:w="3540" w:type="dxa"/>
            <w:vAlign w:val="bottom"/>
            <w:gridSpan w:val="3"/>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color w:val="auto"/>
              </w:rPr>
              <w:t>774,400</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Carla De Geyseleer</w:t>
            </w:r>
          </w:p>
        </w:tc>
        <w:tc>
          <w:tcPr>
            <w:tcW w:w="3540" w:type="dxa"/>
            <w:vAlign w:val="bottom"/>
            <w:gridSpan w:val="3"/>
          </w:tcPr>
          <w:p>
            <w:pPr>
              <w:jc w:val="right"/>
              <w:ind w:right="800"/>
              <w:spacing w:after="0"/>
              <w:rPr>
                <w:sz w:val="20"/>
                <w:szCs w:val="20"/>
                <w:color w:val="auto"/>
              </w:rPr>
            </w:pPr>
            <w:r>
              <w:rPr>
                <w:rFonts w:ascii="Times New Roman" w:cs="Times New Roman" w:eastAsia="Times New Roman" w:hAnsi="Times New Roman"/>
                <w:sz w:val="18"/>
                <w:szCs w:val="18"/>
                <w:color w:val="auto"/>
              </w:rPr>
              <w:t>193,750</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Karen C. Francis</w:t>
            </w:r>
          </w:p>
        </w:tc>
        <w:tc>
          <w:tcPr>
            <w:tcW w:w="3540" w:type="dxa"/>
            <w:vAlign w:val="bottom"/>
            <w:gridSpan w:val="3"/>
            <w:shd w:val="clear" w:color="auto" w:fill="CCEEFF"/>
          </w:tcPr>
          <w:p>
            <w:pPr>
              <w:jc w:val="right"/>
              <w:ind w:right="640"/>
              <w:spacing w:after="0" w:line="216" w:lineRule="exact"/>
              <w:rPr>
                <w:sz w:val="20"/>
                <w:szCs w:val="20"/>
                <w:color w:val="auto"/>
              </w:rPr>
            </w:pPr>
            <w:r>
              <w:rPr>
                <w:rFonts w:ascii="Times New Roman" w:cs="Times New Roman" w:eastAsia="Times New Roman" w:hAnsi="Times New Roman"/>
                <w:sz w:val="17"/>
                <w:szCs w:val="17"/>
                <w:color w:val="auto"/>
              </w:rPr>
              <w:t>20,892</w:t>
            </w:r>
            <w:r>
              <w:rPr>
                <w:rFonts w:ascii="Times New Roman" w:cs="Times New Roman" w:eastAsia="Times New Roman" w:hAnsi="Times New Roman"/>
                <w:sz w:val="25"/>
                <w:szCs w:val="25"/>
                <w:color w:val="auto"/>
                <w:vertAlign w:val="superscript"/>
              </w:rPr>
              <w:t>(1)</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Donghui (Daniel) Li</w:t>
            </w:r>
          </w:p>
        </w:tc>
        <w:tc>
          <w:tcPr>
            <w:tcW w:w="1640" w:type="dxa"/>
            <w:vAlign w:val="bottom"/>
          </w:tcPr>
          <w:p>
            <w:pPr>
              <w:spacing w:after="0"/>
              <w:rPr>
                <w:sz w:val="18"/>
                <w:szCs w:val="18"/>
                <w:color w:val="auto"/>
              </w:rPr>
            </w:pPr>
          </w:p>
        </w:tc>
        <w:tc>
          <w:tcPr>
            <w:tcW w:w="1900" w:type="dxa"/>
            <w:vAlign w:val="bottom"/>
            <w:gridSpan w:val="2"/>
          </w:tcPr>
          <w:p>
            <w:pPr>
              <w:jc w:val="right"/>
              <w:ind w:right="9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Dr. Karl-Thomas Neumann</w:t>
            </w:r>
          </w:p>
        </w:tc>
        <w:tc>
          <w:tcPr>
            <w:tcW w:w="164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9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David Richter</w:t>
            </w:r>
          </w:p>
        </w:tc>
        <w:tc>
          <w:tcPr>
            <w:tcW w:w="3540" w:type="dxa"/>
            <w:vAlign w:val="bottom"/>
            <w:gridSpan w:val="3"/>
          </w:tcPr>
          <w:p>
            <w:pPr>
              <w:jc w:val="right"/>
              <w:ind w:right="800"/>
              <w:spacing w:after="0"/>
              <w:rPr>
                <w:sz w:val="20"/>
                <w:szCs w:val="20"/>
                <w:color w:val="auto"/>
              </w:rPr>
            </w:pPr>
            <w:r>
              <w:rPr>
                <w:rFonts w:ascii="Times New Roman" w:cs="Times New Roman" w:eastAsia="Times New Roman" w:hAnsi="Times New Roman"/>
                <w:sz w:val="18"/>
                <w:szCs w:val="18"/>
                <w:color w:val="auto"/>
              </w:rPr>
              <w:t>132,525</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James Rowan</w:t>
            </w:r>
          </w:p>
        </w:tc>
        <w:tc>
          <w:tcPr>
            <w:tcW w:w="164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9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Zhe (David) Wei</w:t>
            </w:r>
          </w:p>
        </w:tc>
        <w:tc>
          <w:tcPr>
            <w:tcW w:w="1640" w:type="dxa"/>
            <w:vAlign w:val="bottom"/>
          </w:tcPr>
          <w:p>
            <w:pPr>
              <w:spacing w:after="0"/>
              <w:rPr>
                <w:sz w:val="18"/>
                <w:szCs w:val="18"/>
                <w:color w:val="auto"/>
              </w:rPr>
            </w:pPr>
          </w:p>
        </w:tc>
        <w:tc>
          <w:tcPr>
            <w:tcW w:w="1900" w:type="dxa"/>
            <w:vAlign w:val="bottom"/>
            <w:gridSpan w:val="2"/>
          </w:tcPr>
          <w:p>
            <w:pPr>
              <w:jc w:val="right"/>
              <w:ind w:right="9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4"/>
        </w:trPr>
        <w:tc>
          <w:tcPr>
            <w:tcW w:w="3780" w:type="dxa"/>
            <w:vAlign w:val="bottom"/>
            <w:gridSpan w:val="2"/>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All directors and executive officers as a group</w:t>
            </w:r>
          </w:p>
        </w:tc>
        <w:tc>
          <w:tcPr>
            <w:tcW w:w="16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7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(eleven individuals)</w:t>
            </w:r>
          </w:p>
        </w:tc>
        <w:tc>
          <w:tcPr>
            <w:tcW w:w="3540" w:type="dxa"/>
            <w:vAlign w:val="bottom"/>
            <w:gridSpan w:val="3"/>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color w:val="auto"/>
              </w:rPr>
              <w:t>1,431,567</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Five Percent or More Holders:</w:t>
            </w:r>
          </w:p>
        </w:tc>
        <w:tc>
          <w:tcPr>
            <w:tcW w:w="16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Li Shufu</w:t>
            </w:r>
            <w:r>
              <w:rPr>
                <w:rFonts w:ascii="Times New Roman" w:cs="Times New Roman" w:eastAsia="Times New Roman" w:hAnsi="Times New Roman"/>
                <w:sz w:val="25"/>
                <w:szCs w:val="25"/>
                <w:color w:val="auto"/>
                <w:vertAlign w:val="superscript"/>
              </w:rPr>
              <w:t>(2)</w:t>
            </w:r>
          </w:p>
        </w:tc>
        <w:tc>
          <w:tcPr>
            <w:tcW w:w="3540" w:type="dxa"/>
            <w:vAlign w:val="bottom"/>
            <w:gridSpan w:val="3"/>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color w:val="auto"/>
              </w:rPr>
              <w:t>1,998,275,965</w:t>
            </w: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94.7%</w:t>
            </w:r>
          </w:p>
        </w:tc>
        <w:tc>
          <w:tcPr>
            <w:tcW w:w="0" w:type="dxa"/>
            <w:vAlign w:val="bottom"/>
          </w:tcPr>
          <w:p>
            <w:pPr>
              <w:spacing w:after="0"/>
              <w:rPr>
                <w:sz w:val="1"/>
                <w:szCs w:val="1"/>
                <w:color w:val="auto"/>
              </w:rPr>
            </w:pPr>
          </w:p>
        </w:tc>
      </w:tr>
      <w:tr>
        <w:trPr>
          <w:trHeight w:val="365"/>
        </w:trPr>
        <w:tc>
          <w:tcPr>
            <w:tcW w:w="16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640" w:type="dxa"/>
            <w:vAlign w:val="bottom"/>
          </w:tcPr>
          <w:p>
            <w:pPr>
              <w:jc w:val="right"/>
              <w:ind w:right="1010"/>
              <w:spacing w:after="0"/>
              <w:rPr>
                <w:sz w:val="20"/>
                <w:szCs w:val="20"/>
                <w:color w:val="auto"/>
              </w:rPr>
            </w:pPr>
            <w:r>
              <w:rPr>
                <w:rFonts w:ascii="Times New Roman" w:cs="Times New Roman" w:eastAsia="Times New Roman" w:hAnsi="Times New Roman"/>
                <w:sz w:val="18"/>
                <w:szCs w:val="18"/>
                <w:color w:val="auto"/>
              </w:rPr>
              <w:t>137</w:t>
            </w:r>
          </w:p>
        </w:tc>
        <w:tc>
          <w:tcPr>
            <w:tcW w:w="1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302260</wp:posOffset>
            </wp:positionV>
            <wp:extent cx="77152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540" w:hanging="424"/>
        <w:spacing w:after="0"/>
        <w:tabs>
          <w:tab w:leader="none" w:pos="54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than one percent.</w:t>
      </w:r>
    </w:p>
    <w:p>
      <w:pPr>
        <w:spacing w:after="0" w:line="27" w:lineRule="exact"/>
        <w:rPr>
          <w:sz w:val="20"/>
          <w:szCs w:val="20"/>
          <w:color w:val="auto"/>
        </w:rPr>
      </w:pPr>
    </w:p>
    <w:p>
      <w:pPr>
        <w:ind w:left="540" w:hanging="424"/>
        <w:spacing w:after="0"/>
        <w:tabs>
          <w:tab w:leader="none" w:pos="54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Class A ADSs that Ms. Francis has purchased in connection with the March Sponsor Assignment.</w:t>
      </w:r>
    </w:p>
    <w:p>
      <w:pPr>
        <w:spacing w:after="0" w:line="9" w:lineRule="exact"/>
        <w:rPr>
          <w:rFonts w:ascii="Times New Roman" w:cs="Times New Roman" w:eastAsia="Times New Roman" w:hAnsi="Times New Roman"/>
          <w:sz w:val="18"/>
          <w:szCs w:val="18"/>
          <w:color w:val="auto"/>
        </w:rPr>
      </w:pPr>
    </w:p>
    <w:p>
      <w:pPr>
        <w:ind w:left="540" w:right="180" w:hanging="424"/>
        <w:spacing w:after="0" w:line="251" w:lineRule="auto"/>
        <w:tabs>
          <w:tab w:leader="none" w:pos="54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294,877,349 Class A ADSs and 1,642,233,575 Class B ADSs for which Parent is the record holder. Also includes 60,000,000 Class A ADSs for which Snita is the record holder and 1,165,041 Class A ADSs for which Northpole GLY 2 LP is the record holder. 42.7% of Parent is owned by PSD Investment Limited and 48.8% of Parent is owned by Volvo Cars. Li Shufu controls PSD Investment Limited and directly or indirectly owns approximately 91.9% of equity interests in Geely, which owns approximately 82.0% of equity interests in Volvo Cars and approximately 86.0% of GLy Capital Management Partners (Cayman) Limited. GLy Capital Management Partners (Cayman) Limited controls Northpole GLY GP1, the general partner of Northpole GLY 2 LP. Consequently, since voting and dispositive decisions with respect to such securities are ultimately made by Li Shufu, he is deemed to have beneficial ownership over 1,998,275,965 Class A ADSs, assuming the conversion of all Class B ADSs into Class A ADSs. Li Shufu disclaims beneficial ownership of these securities except to the extent of any pecuniary interest therein. The business address of Li Shufu and Parent is 13/F, Gloucester Tower, The Landmark, 15 Queen’s Road Central, Central, Hong Kong and the business address of Snita is Stationswerg 2, 4153 RD Beesd, Netherlands.</w:t>
      </w:r>
    </w:p>
    <w:p>
      <w:pPr>
        <w:spacing w:after="0" w:line="29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Holders</w:t>
      </w:r>
    </w:p>
    <w:p>
      <w:pPr>
        <w:spacing w:after="0" w:line="121"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As of June 23, 2022, the date Polestar closed the Business Combination, Polestar had approximately 97 shareholders of record for its Class A ADSs, one shareholder of record for its Class B ADSs and three shareholders of record for its Class C ADSs. The actual number of shareholders is greater than this number of record holders and includes shareholders who are beneficial owners but whose shares are held in street name by brokers and other nominees. This number of holders of record also does not include shareholders whose shares may be held in trust or by other entities.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Significant Changes in Ownership by Major Shareholders</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Prior to the Business Combination and Pre-Closing Reorganization, 42.7% of Parent was owned by PSD Investment Limited and 48.8% of Parent was owned by Volvo Cars. Li Shufu controls PSD Investment Limited and directly or indirectly owns approximately 91.9% of equity interests in Geely, which owns approximately 82.0% of equity interests in Volvo Cars and approximately 86.0% of GLy Capital Management Partners (Cayman) Limited. GLy Capital Management Partners (Cayman) Limited controls Northpole GLY GP1, the general partner of Northpole GLY 2 LP. After the Closing, Li Shufu has a beneficial ownership of 94.7% of the outstanding Shares, as described in the beneficial ownership table above.</w:t>
      </w:r>
    </w:p>
    <w:p>
      <w:pPr>
        <w:spacing w:after="0" w:line="11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138</w:t>
      </w:r>
    </w:p>
    <w:p>
      <w:pPr>
        <w:sectPr>
          <w:pgSz w:w="11900" w:h="16838" w:orient="portrait"/>
          <w:cols w:equalWidth="0" w:num="1">
            <w:col w:w="11060"/>
          </w:cols>
          <w:pgMar w:left="320" w:top="455" w:right="519"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SELLING SECURITYHOLDERS</w:t>
      </w:r>
    </w:p>
    <w:p>
      <w:pPr>
        <w:spacing w:after="0" w:line="229"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This prospectus relates to the offer and sale from time to time by the Selling Securityholders of up to (a) 2,228,977,574 Class A ADSs and (b) 9,000,000 Class C-2 ADSs. The Class A ADSs described in clause (a) of the prior sentence include (i) 294,877,349 Class A ADSs issued to Parent as merger consideration in connection with the Business Combination at an equity consideration value of $10.00 per share, (ii) up to 24,078,638 Class A ADSs which are issuable to Parent and, after the liquidation of Parent and the distribution of the securities held by Parent to its shareholders, the Parent Shareholders as earn out consideration (valued as $10.00 per Class A ADS at the time of the Business Combination) upon the achievement of certain price thresholds for the Class A ADSs, as further described in this prospectus, (iii) up to 1,776,332,546 Class A ADSs issuable upon conversion of Class B ADSs, including up to 134,098,971 Class B ADSs which are issuable to Parent and, after the liquidation of Parent and the distribution of the securities held by Parent to its shareholders, Parent Shareholders as earn out consideration (valued as $10.00 per Class B ADS at the time of the Business Combination) upon the achievement of certain price thresholds for the Class A ADSs, as further described in this prospectus, (iv) 18,459,165 Class A ADSs issued to the GGI Sponsor in connection with the Business Combination in exchange for the 18,459,165 shares of GGI Class F Common Stock that the GGI Sponsor initially purchased at $0.001 per share of GGI Class F Common Stock and that the GGI Sponsor retained after forfeiture of 1,540,835 shares of GGI Class F Common Stock; (v) 26,540,835 Class A ADSs issued to GGI Sponsor, the PIPE Investors and Snita pursuant to the Sponsor Subscription Agreement, the PIPE Subscription Agreements and the Volvo Cars PIPE Subscription Agreement, respectively, at an average cash price of $9.42 per Class A ADS, (vi) 58,882,610 Class A ADSs issued to Snita upon conversion of the Volvo Cars Preference Subscription Shares at the time of the Business Combination at a $10.00 conversion price, (vii) 4,306,466 Class A ADSs that were issued to Parent Convertible Note Holders upon conversion of the Parent Convertible Notes at the time of the Business Combination at a conversion price of $8.18, (viii) up to 500,000 Class A ADSs issuable to a service provider in exchange for the performance of marketing consulting services valued at up to $5,000,000, and (ix) up to 24,999,965 Class A ADSs issuable upon conversion of the Class C ADSs, including up to 9,000,000 Class A ADSs issuable upon conversion of the Class C-2 ADSs held by the GGI Sponsor.</w:t>
      </w:r>
    </w:p>
    <w:p>
      <w:pPr>
        <w:spacing w:after="0" w:line="19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Selling Securityholders may from time to time offer and sell any or all of the securities set forth below pursuant to this prospectus. When we refer to the “Selling Securityholders” in this prospectus, we mean the persons referenced or listed in the tables below, and the donees, pledgees, transferees or other successors-in-interest (as a gift, pledge, partnership distribution or other non-sale related transfer) selling securities received after the date of this prospectus from the Selling Securityholders that may be identified in a supplement to this prospectus or, if required, a post-effective amendment to the registration statement of which this prospectus is a part.</w:t>
      </w:r>
    </w:p>
    <w:p>
      <w:pPr>
        <w:spacing w:after="0" w:line="183"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The table below sets forth, as of the date of this prospectus, the name of the Selling Securityholders for which we are registering the resale of securities to the public and the aggregate principal amount that the Selling Securityholders may offer pursuant to this prospectus. The individuals and entities listed below have beneficial ownership over their respective securities. The SEC has defined “beneficial ownership” of a security to mean the possession, directly or indirectly, of voting power and/or investment power over such security. A shareholder is also deemed to be, as of any date, the beneficial owner of all securities that such shareholder has the right to acquire within 60 days after that date through (i) the exercise of any option, warrant or right, (ii) the conversion of a security, (iii) the power to revoke a trust, discretionary account or similar arrangement, or (iv) the automatic termination of a trust, discretionary account or similar arrangement. In computing the number of shares beneficially owned by a person and the percentage ownership of that person, Class A ADSs subject to options or other rights (as set forth above) held by that person that are currently exercisable, or will become exercisable within 60 days thereafter, are deemed outstanding, while such shares are not deemed outstanding for purposes of computing percentage ownership of any other person.</w:t>
      </w:r>
    </w:p>
    <w:p>
      <w:pPr>
        <w:spacing w:after="0" w:line="194"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Certain of the Selling Securityholders own Class C ADSs. The Class C ADSs were previously issued in a transaction registered with the SEC, and the registration statement of which this prospectus is a part is registering</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139</w:t>
      </w:r>
    </w:p>
    <w:p>
      <w:pPr>
        <w:sectPr>
          <w:pgSz w:w="11900" w:h="16838" w:orient="portrait"/>
          <w:cols w:equalWidth="0" w:num="1">
            <w:col w:w="11120"/>
          </w:cols>
          <w:pgMar w:left="320" w:top="455" w:right="459" w:bottom="1440"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the issuance of Class A ADSs underlying the exercise of such Class C ADSs. Accordingly, such registration statement does not register the resale of the Class A ADSs underlying the exercise of the Class C ADSs, and in the table below such underlying Class A ADSs are reflected as securities beneficially owned after sales that the Selling Securityholders may make pursuant to this prospectus. The below table does not include the issuance by us of up to 15,999,965 Class A ADSs upon conversion of all of the issued and outstanding, publicly held Class C-1 ADSs, which are also covered by this prospectus.</w:t>
      </w:r>
    </w:p>
    <w:p>
      <w:pPr>
        <w:spacing w:after="0" w:line="183"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The securities held by certain of the Selling Securityholders are subject to transfer restrictions, as described in the sections entitled “Description of Share Capital and Articles of Association—Description of Company Share Capital and Polestar Articles—Company Securities—Transfer of Shares,” “Description of American Depositary Shares—ADSs—Transfer, Combination and Split Up of ADRs” and “Securities Eligible For Future Sale—Lock-Up Agreements.”</w:t>
      </w:r>
    </w:p>
    <w:p>
      <w:pPr>
        <w:spacing w:after="0" w:line="180"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We cannot advise you as to whether the Selling Securityholders will in fact sell any or all of such securities. In addition, the Selling Securityholders may sell, transfer or otherwise dispose of, at any time and from time to time, the securities in transactions exempt from the registration requirements of the Securities Act after the date of this prospectus, subject to applicable law.</w:t>
      </w:r>
    </w:p>
    <w:p>
      <w:pPr>
        <w:spacing w:after="0" w:line="176"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Selling Securityholder information for each additional Selling Securityholder, if any, will be set forth in a supplement to this prospectus or, if required, a post-effective amendment to the registration statement of which this prospectus is a part. Any such prospectus supplement or post-effective amendment may add, update, substitute, or change the information contained in this prospectus, including the identity of each Selling Securityholder and the number of securities of the Company registered on its behalf. A Selling Securityholder may sell all, some or none of such securities in this offering. See the section entitled “Plan of Distribution.”</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140</w:t>
      </w:r>
    </w:p>
    <w:p>
      <w:pPr>
        <w:sectPr>
          <w:pgSz w:w="11900" w:h="16838" w:orient="portrait"/>
          <w:cols w:equalWidth="0" w:num="1">
            <w:col w:w="11120"/>
          </w:cols>
          <w:pgMar w:left="320" w:top="455" w:right="459" w:bottom="1440" w:gutter="0" w:footer="0" w:header="0"/>
        </w:sectPr>
      </w:pPr>
    </w:p>
    <w:bookmarkStart w:id="155" w:name="page156"/>
    <w:bookmarkEnd w:id="1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93"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172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420"/>
              <w:spacing w:after="0"/>
              <w:rPr>
                <w:sz w:val="20"/>
                <w:szCs w:val="20"/>
                <w:color w:val="auto"/>
              </w:rPr>
            </w:pPr>
            <w:r>
              <w:rPr>
                <w:rFonts w:ascii="Times New Roman" w:cs="Times New Roman" w:eastAsia="Times New Roman" w:hAnsi="Times New Roman"/>
                <w:sz w:val="13"/>
                <w:szCs w:val="13"/>
                <w:b w:val="1"/>
                <w:bCs w:val="1"/>
                <w:color w:val="auto"/>
                <w:w w:val="95"/>
              </w:rPr>
              <w:t>Securities</w:t>
            </w: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2"/>
          </w:tcPr>
          <w:p>
            <w:pPr>
              <w:jc w:val="center"/>
              <w:ind w:left="609"/>
              <w:spacing w:after="0"/>
              <w:rPr>
                <w:sz w:val="20"/>
                <w:szCs w:val="20"/>
                <w:color w:val="auto"/>
              </w:rPr>
            </w:pPr>
            <w:r>
              <w:rPr>
                <w:rFonts w:ascii="Times New Roman" w:cs="Times New Roman" w:eastAsia="Times New Roman" w:hAnsi="Times New Roman"/>
                <w:sz w:val="13"/>
                <w:szCs w:val="13"/>
                <w:b w:val="1"/>
                <w:bCs w:val="1"/>
                <w:color w:val="auto"/>
                <w:w w:val="95"/>
              </w:rPr>
              <w:t>Securities</w:t>
            </w: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4"/>
          </w:tcPr>
          <w:p>
            <w:pPr>
              <w:jc w:val="center"/>
              <w:ind w:right="269"/>
              <w:spacing w:after="0"/>
              <w:rPr>
                <w:sz w:val="20"/>
                <w:szCs w:val="20"/>
                <w:color w:val="auto"/>
              </w:rPr>
            </w:pPr>
            <w:r>
              <w:rPr>
                <w:rFonts w:ascii="Times New Roman" w:cs="Times New Roman" w:eastAsia="Times New Roman" w:hAnsi="Times New Roman"/>
                <w:sz w:val="13"/>
                <w:szCs w:val="13"/>
                <w:b w:val="1"/>
                <w:bCs w:val="1"/>
                <w:color w:val="auto"/>
                <w:w w:val="95"/>
              </w:rPr>
              <w:t>Securities</w:t>
            </w: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72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2200" w:type="dxa"/>
            <w:vAlign w:val="bottom"/>
            <w:gridSpan w:val="4"/>
          </w:tcPr>
          <w:p>
            <w:pPr>
              <w:jc w:val="center"/>
              <w:ind w:left="609"/>
              <w:spacing w:after="0" w:line="135" w:lineRule="exact"/>
              <w:rPr>
                <w:sz w:val="20"/>
                <w:szCs w:val="20"/>
                <w:color w:val="auto"/>
              </w:rPr>
            </w:pPr>
            <w:r>
              <w:rPr>
                <w:rFonts w:ascii="Times New Roman" w:cs="Times New Roman" w:eastAsia="Times New Roman" w:hAnsi="Times New Roman"/>
                <w:sz w:val="13"/>
                <w:szCs w:val="13"/>
                <w:b w:val="1"/>
                <w:bCs w:val="1"/>
                <w:color w:val="auto"/>
                <w:w w:val="96"/>
              </w:rPr>
              <w:t>Beneficially Owned</w:t>
            </w: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80" w:type="dxa"/>
            <w:vAlign w:val="bottom"/>
            <w:gridSpan w:val="2"/>
          </w:tcPr>
          <w:p>
            <w:pPr>
              <w:jc w:val="center"/>
              <w:ind w:left="609"/>
              <w:spacing w:after="0" w:line="135" w:lineRule="exact"/>
              <w:rPr>
                <w:sz w:val="20"/>
                <w:szCs w:val="20"/>
                <w:color w:val="auto"/>
              </w:rPr>
            </w:pPr>
            <w:r>
              <w:rPr>
                <w:rFonts w:ascii="Times New Roman" w:cs="Times New Roman" w:eastAsia="Times New Roman" w:hAnsi="Times New Roman"/>
                <w:sz w:val="13"/>
                <w:szCs w:val="13"/>
                <w:b w:val="1"/>
                <w:bCs w:val="1"/>
                <w:color w:val="auto"/>
                <w:w w:val="94"/>
              </w:rPr>
              <w:t>to be Sold</w:t>
            </w: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740" w:type="dxa"/>
            <w:vAlign w:val="bottom"/>
            <w:gridSpan w:val="6"/>
          </w:tcPr>
          <w:p>
            <w:pPr>
              <w:jc w:val="center"/>
              <w:ind w:left="349"/>
              <w:spacing w:after="0" w:line="135" w:lineRule="exact"/>
              <w:rPr>
                <w:sz w:val="20"/>
                <w:szCs w:val="20"/>
                <w:color w:val="auto"/>
              </w:rPr>
            </w:pPr>
            <w:r>
              <w:rPr>
                <w:rFonts w:ascii="Times New Roman" w:cs="Times New Roman" w:eastAsia="Times New Roman" w:hAnsi="Times New Roman"/>
                <w:sz w:val="13"/>
                <w:szCs w:val="13"/>
                <w:b w:val="1"/>
                <w:bCs w:val="1"/>
                <w:color w:val="auto"/>
                <w:w w:val="96"/>
              </w:rPr>
              <w:t>Beneficially Owned</w:t>
            </w: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172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2200" w:type="dxa"/>
            <w:vAlign w:val="bottom"/>
            <w:gridSpan w:val="4"/>
          </w:tcPr>
          <w:p>
            <w:pPr>
              <w:jc w:val="center"/>
              <w:ind w:left="629"/>
              <w:spacing w:after="0"/>
              <w:rPr>
                <w:sz w:val="20"/>
                <w:szCs w:val="20"/>
                <w:color w:val="auto"/>
              </w:rPr>
            </w:pPr>
            <w:r>
              <w:rPr>
                <w:rFonts w:ascii="Times New Roman" w:cs="Times New Roman" w:eastAsia="Times New Roman" w:hAnsi="Times New Roman"/>
                <w:sz w:val="13"/>
                <w:szCs w:val="13"/>
                <w:b w:val="1"/>
                <w:bCs w:val="1"/>
                <w:color w:val="auto"/>
                <w:w w:val="96"/>
              </w:rPr>
              <w:t>Prior to This Offering</w:t>
            </w: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120" w:type="dxa"/>
            <w:vAlign w:val="bottom"/>
            <w:gridSpan w:val="4"/>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8"/>
              </w:rPr>
              <w:t>in This Offering</w:t>
            </w:r>
          </w:p>
        </w:tc>
        <w:tc>
          <w:tcPr>
            <w:tcW w:w="1740" w:type="dxa"/>
            <w:vAlign w:val="bottom"/>
            <w:gridSpan w:val="6"/>
          </w:tcPr>
          <w:p>
            <w:pPr>
              <w:jc w:val="center"/>
              <w:ind w:left="349"/>
              <w:spacing w:after="0"/>
              <w:rPr>
                <w:sz w:val="20"/>
                <w:szCs w:val="20"/>
                <w:color w:val="auto"/>
              </w:rPr>
            </w:pPr>
            <w:r>
              <w:rPr>
                <w:rFonts w:ascii="Times New Roman" w:cs="Times New Roman" w:eastAsia="Times New Roman" w:hAnsi="Times New Roman"/>
                <w:sz w:val="13"/>
                <w:szCs w:val="13"/>
                <w:b w:val="1"/>
                <w:bCs w:val="1"/>
                <w:color w:val="auto"/>
                <w:w w:val="95"/>
              </w:rPr>
              <w:t>After This Offering</w:t>
            </w: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362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Name of Selling Securityholders</w:t>
            </w:r>
          </w:p>
        </w:tc>
        <w:tc>
          <w:tcPr>
            <w:tcW w:w="1100" w:type="dxa"/>
            <w:vAlign w:val="bottom"/>
            <w:tcBorders>
              <w:top w:val="single" w:sz="8" w:color="auto"/>
            </w:tcBorders>
            <w:gridSpan w:val="2"/>
          </w:tcPr>
          <w:p>
            <w:pPr>
              <w:jc w:val="center"/>
              <w:ind w:right="140"/>
              <w:spacing w:after="0" w:line="109" w:lineRule="exact"/>
              <w:rPr>
                <w:sz w:val="20"/>
                <w:szCs w:val="20"/>
                <w:color w:val="auto"/>
              </w:rPr>
            </w:pPr>
            <w:r>
              <w:rPr>
                <w:rFonts w:ascii="Times New Roman" w:cs="Times New Roman" w:eastAsia="Times New Roman" w:hAnsi="Times New Roman"/>
                <w:sz w:val="12"/>
                <w:szCs w:val="12"/>
                <w:b w:val="1"/>
                <w:bCs w:val="1"/>
                <w:color w:val="auto"/>
              </w:rPr>
              <w:t>Class A</w:t>
            </w:r>
          </w:p>
        </w:tc>
        <w:tc>
          <w:tcPr>
            <w:tcW w:w="1100" w:type="dxa"/>
            <w:vAlign w:val="bottom"/>
            <w:tcBorders>
              <w:top w:val="single" w:sz="8" w:color="auto"/>
            </w:tcBorders>
            <w:gridSpan w:val="2"/>
          </w:tcPr>
          <w:p>
            <w:pPr>
              <w:ind w:left="280"/>
              <w:spacing w:after="0" w:line="109" w:lineRule="exact"/>
              <w:rPr>
                <w:sz w:val="20"/>
                <w:szCs w:val="20"/>
                <w:color w:val="auto"/>
              </w:rPr>
            </w:pPr>
            <w:r>
              <w:rPr>
                <w:rFonts w:ascii="Times New Roman" w:cs="Times New Roman" w:eastAsia="Times New Roman" w:hAnsi="Times New Roman"/>
                <w:sz w:val="12"/>
                <w:szCs w:val="12"/>
                <w:b w:val="1"/>
                <w:bCs w:val="1"/>
                <w:color w:val="auto"/>
              </w:rPr>
              <w:t>Class B</w:t>
            </w:r>
          </w:p>
        </w:tc>
        <w:tc>
          <w:tcPr>
            <w:tcW w:w="680" w:type="dxa"/>
            <w:vAlign w:val="bottom"/>
            <w:tcBorders>
              <w:top w:val="single" w:sz="8" w:color="auto"/>
            </w:tcBorders>
          </w:tcPr>
          <w:p>
            <w:pPr>
              <w:ind w:left="140"/>
              <w:spacing w:after="0" w:line="109" w:lineRule="exact"/>
              <w:rPr>
                <w:sz w:val="20"/>
                <w:szCs w:val="20"/>
                <w:color w:val="auto"/>
              </w:rPr>
            </w:pPr>
            <w:r>
              <w:rPr>
                <w:rFonts w:ascii="Times New Roman" w:cs="Times New Roman" w:eastAsia="Times New Roman" w:hAnsi="Times New Roman"/>
                <w:sz w:val="12"/>
                <w:szCs w:val="12"/>
                <w:b w:val="1"/>
                <w:bCs w:val="1"/>
                <w:color w:val="auto"/>
              </w:rPr>
              <w:t>Class C</w:t>
            </w:r>
          </w:p>
        </w:tc>
        <w:tc>
          <w:tcPr>
            <w:tcW w:w="160" w:type="dxa"/>
            <w:vAlign w:val="bottom"/>
          </w:tcPr>
          <w:p>
            <w:pPr>
              <w:spacing w:after="0"/>
              <w:rPr>
                <w:sz w:val="9"/>
                <w:szCs w:val="9"/>
                <w:color w:val="auto"/>
              </w:rPr>
            </w:pPr>
          </w:p>
        </w:tc>
        <w:tc>
          <w:tcPr>
            <w:tcW w:w="1280" w:type="dxa"/>
            <w:vAlign w:val="bottom"/>
            <w:tcBorders>
              <w:top w:val="single" w:sz="8" w:color="auto"/>
            </w:tcBorders>
            <w:gridSpan w:val="2"/>
          </w:tcPr>
          <w:p>
            <w:pPr>
              <w:jc w:val="right"/>
              <w:ind w:right="600"/>
              <w:spacing w:after="0" w:line="109" w:lineRule="exact"/>
              <w:rPr>
                <w:sz w:val="20"/>
                <w:szCs w:val="20"/>
                <w:color w:val="auto"/>
              </w:rPr>
            </w:pPr>
            <w:r>
              <w:rPr>
                <w:rFonts w:ascii="Times New Roman" w:cs="Times New Roman" w:eastAsia="Times New Roman" w:hAnsi="Times New Roman"/>
                <w:sz w:val="12"/>
                <w:szCs w:val="12"/>
                <w:b w:val="1"/>
                <w:bCs w:val="1"/>
                <w:color w:val="auto"/>
              </w:rPr>
              <w:t>Class A</w:t>
            </w:r>
          </w:p>
        </w:tc>
        <w:tc>
          <w:tcPr>
            <w:tcW w:w="680" w:type="dxa"/>
            <w:vAlign w:val="bottom"/>
            <w:tcBorders>
              <w:top w:val="single" w:sz="8" w:color="auto"/>
            </w:tcBorders>
          </w:tcPr>
          <w:p>
            <w:pPr>
              <w:ind w:left="140"/>
              <w:spacing w:after="0" w:line="109" w:lineRule="exact"/>
              <w:rPr>
                <w:sz w:val="20"/>
                <w:szCs w:val="20"/>
                <w:color w:val="auto"/>
              </w:rPr>
            </w:pPr>
            <w:r>
              <w:rPr>
                <w:rFonts w:ascii="Times New Roman" w:cs="Times New Roman" w:eastAsia="Times New Roman" w:hAnsi="Times New Roman"/>
                <w:sz w:val="12"/>
                <w:szCs w:val="12"/>
                <w:b w:val="1"/>
                <w:bCs w:val="1"/>
                <w:color w:val="auto"/>
              </w:rPr>
              <w:t>Class C</w:t>
            </w:r>
          </w:p>
        </w:tc>
        <w:tc>
          <w:tcPr>
            <w:tcW w:w="160" w:type="dxa"/>
            <w:vAlign w:val="bottom"/>
          </w:tcPr>
          <w:p>
            <w:pPr>
              <w:spacing w:after="0"/>
              <w:rPr>
                <w:sz w:val="9"/>
                <w:szCs w:val="9"/>
                <w:color w:val="auto"/>
              </w:rPr>
            </w:pPr>
          </w:p>
        </w:tc>
        <w:tc>
          <w:tcPr>
            <w:tcW w:w="760" w:type="dxa"/>
            <w:vAlign w:val="bottom"/>
            <w:tcBorders>
              <w:top w:val="single" w:sz="8" w:color="auto"/>
            </w:tcBorders>
            <w:gridSpan w:val="2"/>
          </w:tcPr>
          <w:p>
            <w:pPr>
              <w:jc w:val="center"/>
              <w:ind w:right="80"/>
              <w:spacing w:after="0" w:line="109" w:lineRule="exact"/>
              <w:rPr>
                <w:sz w:val="20"/>
                <w:szCs w:val="20"/>
                <w:color w:val="auto"/>
              </w:rPr>
            </w:pPr>
            <w:r>
              <w:rPr>
                <w:rFonts w:ascii="Times New Roman" w:cs="Times New Roman" w:eastAsia="Times New Roman" w:hAnsi="Times New Roman"/>
                <w:sz w:val="12"/>
                <w:szCs w:val="12"/>
                <w:b w:val="1"/>
                <w:bCs w:val="1"/>
                <w:color w:val="auto"/>
              </w:rPr>
              <w:t>Class A</w:t>
            </w:r>
          </w:p>
        </w:tc>
        <w:tc>
          <w:tcPr>
            <w:tcW w:w="60" w:type="dxa"/>
            <w:vAlign w:val="bottom"/>
            <w:tcBorders>
              <w:top w:val="single" w:sz="8" w:color="auto"/>
            </w:tcBorders>
          </w:tcPr>
          <w:p>
            <w:pPr>
              <w:spacing w:after="0"/>
              <w:rPr>
                <w:sz w:val="9"/>
                <w:szCs w:val="9"/>
                <w:color w:val="auto"/>
              </w:rPr>
            </w:pPr>
          </w:p>
        </w:tc>
        <w:tc>
          <w:tcPr>
            <w:tcW w:w="30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ind w:left="40"/>
              <w:spacing w:after="0" w:line="109" w:lineRule="exact"/>
              <w:rPr>
                <w:sz w:val="20"/>
                <w:szCs w:val="20"/>
                <w:color w:val="auto"/>
              </w:rPr>
            </w:pPr>
            <w:r>
              <w:rPr>
                <w:rFonts w:ascii="Times New Roman" w:cs="Times New Roman" w:eastAsia="Times New Roman" w:hAnsi="Times New Roman"/>
                <w:sz w:val="12"/>
                <w:szCs w:val="12"/>
                <w:b w:val="1"/>
                <w:bCs w:val="1"/>
                <w:color w:val="auto"/>
              </w:rPr>
              <w:t>Class C</w:t>
            </w:r>
          </w:p>
        </w:tc>
        <w:tc>
          <w:tcPr>
            <w:tcW w:w="140" w:type="dxa"/>
            <w:vAlign w:val="bottom"/>
            <w:tcBorders>
              <w:top w:val="single" w:sz="8" w:color="auto"/>
            </w:tcBorders>
          </w:tcPr>
          <w:p>
            <w:pPr>
              <w:spacing w:after="0"/>
              <w:rPr>
                <w:sz w:val="9"/>
                <w:szCs w:val="9"/>
                <w:color w:val="auto"/>
              </w:rPr>
            </w:pPr>
          </w:p>
        </w:tc>
        <w:tc>
          <w:tcPr>
            <w:tcW w:w="30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3620" w:type="dxa"/>
            <w:vAlign w:val="bottom"/>
            <w:gridSpan w:val="2"/>
            <w:vMerge w:val="continue"/>
          </w:tcPr>
          <w:p>
            <w:pPr>
              <w:spacing w:after="0"/>
              <w:rPr>
                <w:sz w:val="14"/>
                <w:szCs w:val="14"/>
                <w:color w:val="auto"/>
              </w:rPr>
            </w:pPr>
          </w:p>
        </w:tc>
        <w:tc>
          <w:tcPr>
            <w:tcW w:w="1100" w:type="dxa"/>
            <w:vAlign w:val="bottom"/>
            <w:gridSpan w:val="2"/>
          </w:tcPr>
          <w:p>
            <w:pPr>
              <w:jc w:val="center"/>
              <w:ind w:right="140"/>
              <w:spacing w:after="0" w:line="142" w:lineRule="exact"/>
              <w:rPr>
                <w:sz w:val="20"/>
                <w:szCs w:val="20"/>
                <w:color w:val="auto"/>
              </w:rPr>
            </w:pPr>
            <w:r>
              <w:rPr>
                <w:rFonts w:ascii="Times New Roman" w:cs="Times New Roman" w:eastAsia="Times New Roman" w:hAnsi="Times New Roman"/>
                <w:sz w:val="13"/>
                <w:szCs w:val="13"/>
                <w:b w:val="1"/>
                <w:bCs w:val="1"/>
                <w:color w:val="auto"/>
              </w:rPr>
              <w:t>ADSs</w:t>
            </w:r>
          </w:p>
        </w:tc>
        <w:tc>
          <w:tcPr>
            <w:tcW w:w="1100" w:type="dxa"/>
            <w:vAlign w:val="bottom"/>
            <w:gridSpan w:val="2"/>
          </w:tcPr>
          <w:p>
            <w:pPr>
              <w:ind w:left="320"/>
              <w:spacing w:after="0" w:line="142" w:lineRule="exact"/>
              <w:rPr>
                <w:sz w:val="20"/>
                <w:szCs w:val="20"/>
                <w:color w:val="auto"/>
              </w:rPr>
            </w:pPr>
            <w:r>
              <w:rPr>
                <w:rFonts w:ascii="Times New Roman" w:cs="Times New Roman" w:eastAsia="Times New Roman" w:hAnsi="Times New Roman"/>
                <w:sz w:val="13"/>
                <w:szCs w:val="13"/>
                <w:b w:val="1"/>
                <w:bCs w:val="1"/>
                <w:color w:val="auto"/>
              </w:rPr>
              <w:t>ADSs</w:t>
            </w:r>
          </w:p>
        </w:tc>
        <w:tc>
          <w:tcPr>
            <w:tcW w:w="840" w:type="dxa"/>
            <w:vAlign w:val="bottom"/>
            <w:gridSpan w:val="2"/>
          </w:tcPr>
          <w:p>
            <w:pPr>
              <w:ind w:left="200"/>
              <w:spacing w:after="0" w:line="142" w:lineRule="exact"/>
              <w:rPr>
                <w:sz w:val="20"/>
                <w:szCs w:val="20"/>
                <w:color w:val="auto"/>
              </w:rPr>
            </w:pPr>
            <w:r>
              <w:rPr>
                <w:rFonts w:ascii="Times New Roman" w:cs="Times New Roman" w:eastAsia="Times New Roman" w:hAnsi="Times New Roman"/>
                <w:sz w:val="13"/>
                <w:szCs w:val="13"/>
                <w:b w:val="1"/>
                <w:bCs w:val="1"/>
                <w:color w:val="auto"/>
              </w:rPr>
              <w:t>ADSs</w:t>
            </w:r>
          </w:p>
        </w:tc>
        <w:tc>
          <w:tcPr>
            <w:tcW w:w="1280" w:type="dxa"/>
            <w:vAlign w:val="bottom"/>
            <w:gridSpan w:val="2"/>
          </w:tcPr>
          <w:p>
            <w:pPr>
              <w:jc w:val="right"/>
              <w:ind w:right="660"/>
              <w:spacing w:after="0" w:line="142" w:lineRule="exact"/>
              <w:rPr>
                <w:sz w:val="20"/>
                <w:szCs w:val="20"/>
                <w:color w:val="auto"/>
              </w:rPr>
            </w:pPr>
            <w:r>
              <w:rPr>
                <w:rFonts w:ascii="Times New Roman" w:cs="Times New Roman" w:eastAsia="Times New Roman" w:hAnsi="Times New Roman"/>
                <w:sz w:val="13"/>
                <w:szCs w:val="13"/>
                <w:b w:val="1"/>
                <w:bCs w:val="1"/>
                <w:color w:val="auto"/>
              </w:rPr>
              <w:t>ADSs</w:t>
            </w:r>
          </w:p>
        </w:tc>
        <w:tc>
          <w:tcPr>
            <w:tcW w:w="840" w:type="dxa"/>
            <w:vAlign w:val="bottom"/>
            <w:gridSpan w:val="2"/>
          </w:tcPr>
          <w:p>
            <w:pPr>
              <w:ind w:left="200"/>
              <w:spacing w:after="0" w:line="142" w:lineRule="exact"/>
              <w:rPr>
                <w:sz w:val="20"/>
                <w:szCs w:val="20"/>
                <w:color w:val="auto"/>
              </w:rPr>
            </w:pPr>
            <w:r>
              <w:rPr>
                <w:rFonts w:ascii="Times New Roman" w:cs="Times New Roman" w:eastAsia="Times New Roman" w:hAnsi="Times New Roman"/>
                <w:sz w:val="13"/>
                <w:szCs w:val="13"/>
                <w:b w:val="1"/>
                <w:bCs w:val="1"/>
                <w:color w:val="auto"/>
              </w:rPr>
              <w:t>ADSs</w:t>
            </w:r>
          </w:p>
        </w:tc>
        <w:tc>
          <w:tcPr>
            <w:tcW w:w="760" w:type="dxa"/>
            <w:vAlign w:val="bottom"/>
            <w:gridSpan w:val="2"/>
          </w:tcPr>
          <w:p>
            <w:pPr>
              <w:jc w:val="center"/>
              <w:ind w:right="100"/>
              <w:spacing w:after="0" w:line="142" w:lineRule="exact"/>
              <w:rPr>
                <w:sz w:val="20"/>
                <w:szCs w:val="20"/>
                <w:color w:val="auto"/>
              </w:rPr>
            </w:pPr>
            <w:r>
              <w:rPr>
                <w:rFonts w:ascii="Times New Roman" w:cs="Times New Roman" w:eastAsia="Times New Roman" w:hAnsi="Times New Roman"/>
                <w:sz w:val="13"/>
                <w:szCs w:val="13"/>
                <w:b w:val="1"/>
                <w:bCs w:val="1"/>
                <w:color w:val="auto"/>
                <w:w w:val="96"/>
              </w:rPr>
              <w:t>ADSs</w:t>
            </w:r>
          </w:p>
        </w:tc>
        <w:tc>
          <w:tcPr>
            <w:tcW w:w="360" w:type="dxa"/>
            <w:vAlign w:val="bottom"/>
            <w:gridSpan w:val="2"/>
          </w:tcPr>
          <w:p>
            <w:pPr>
              <w:jc w:val="right"/>
              <w:ind w:right="8"/>
              <w:spacing w:after="0" w:line="142" w:lineRule="exact"/>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spacing w:after="0"/>
              <w:rPr>
                <w:sz w:val="14"/>
                <w:szCs w:val="14"/>
                <w:color w:val="auto"/>
              </w:rPr>
            </w:pPr>
          </w:p>
        </w:tc>
        <w:tc>
          <w:tcPr>
            <w:tcW w:w="48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b w:val="1"/>
                <w:bCs w:val="1"/>
                <w:color w:val="auto"/>
              </w:rPr>
              <w:t>ADSs</w:t>
            </w:r>
          </w:p>
        </w:tc>
        <w:tc>
          <w:tcPr>
            <w:tcW w:w="440" w:type="dxa"/>
            <w:vAlign w:val="bottom"/>
            <w:gridSpan w:val="2"/>
          </w:tcPr>
          <w:p>
            <w:pPr>
              <w:ind w:left="220"/>
              <w:spacing w:after="0" w:line="142" w:lineRule="exact"/>
              <w:rPr>
                <w:sz w:val="20"/>
                <w:szCs w:val="20"/>
                <w:color w:val="auto"/>
              </w:rPr>
            </w:pPr>
            <w:r>
              <w:rPr>
                <w:rFonts w:ascii="Times New Roman" w:cs="Times New Roman" w:eastAsia="Times New Roman" w:hAnsi="Times New Roman"/>
                <w:sz w:val="13"/>
                <w:szCs w:val="13"/>
                <w:b w:val="1"/>
                <w:bCs w:val="1"/>
                <w:color w:val="auto"/>
              </w:rPr>
              <w:t>%</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1720" w:type="dxa"/>
            <w:vAlign w:val="bottom"/>
            <w:tcBorders>
              <w:top w:val="single" w:sz="8" w:color="auto"/>
            </w:tcBorders>
            <w:shd w:val="clear" w:color="auto" w:fill="CCEEFF"/>
          </w:tcPr>
          <w:p>
            <w:pPr>
              <w:spacing w:after="0" w:line="136" w:lineRule="exact"/>
              <w:rPr>
                <w:sz w:val="20"/>
                <w:szCs w:val="20"/>
                <w:color w:val="auto"/>
              </w:rPr>
            </w:pPr>
            <w:r>
              <w:rPr>
                <w:rFonts w:ascii="Times New Roman" w:cs="Times New Roman" w:eastAsia="Times New Roman" w:hAnsi="Times New Roman"/>
                <w:sz w:val="14"/>
                <w:szCs w:val="14"/>
                <w:color w:val="auto"/>
              </w:rPr>
              <w:t>339 Capital Holdings LLC</w:t>
            </w:r>
            <w:r>
              <w:rPr>
                <w:rFonts w:ascii="Times New Roman" w:cs="Times New Roman" w:eastAsia="Times New Roman" w:hAnsi="Times New Roman"/>
                <w:sz w:val="10"/>
                <w:szCs w:val="10"/>
                <w:color w:val="auto"/>
              </w:rPr>
              <w:t>(1)</w:t>
            </w:r>
          </w:p>
        </w:tc>
        <w:tc>
          <w:tcPr>
            <w:tcW w:w="1900" w:type="dxa"/>
            <w:vAlign w:val="bottom"/>
            <w:tcBorders>
              <w:top w:val="single" w:sz="8" w:color="CCEEFF"/>
            </w:tcBorders>
            <w:shd w:val="clear" w:color="auto" w:fill="CCEEFF"/>
          </w:tcPr>
          <w:p>
            <w:pPr>
              <w:spacing w:after="0"/>
              <w:rPr>
                <w:sz w:val="11"/>
                <w:szCs w:val="11"/>
                <w:color w:val="auto"/>
              </w:rPr>
            </w:pPr>
          </w:p>
        </w:tc>
        <w:tc>
          <w:tcPr>
            <w:tcW w:w="960" w:type="dxa"/>
            <w:vAlign w:val="bottom"/>
            <w:tcBorders>
              <w:top w:val="single" w:sz="8" w:color="auto"/>
            </w:tcBorders>
            <w:shd w:val="clear" w:color="auto" w:fill="CCEEFF"/>
          </w:tcPr>
          <w:p>
            <w:pPr>
              <w:jc w:val="right"/>
              <w:spacing w:after="0" w:line="136" w:lineRule="exact"/>
              <w:rPr>
                <w:sz w:val="20"/>
                <w:szCs w:val="20"/>
                <w:color w:val="auto"/>
              </w:rPr>
            </w:pPr>
            <w:r>
              <w:rPr>
                <w:rFonts w:ascii="Times New Roman" w:cs="Times New Roman" w:eastAsia="Times New Roman" w:hAnsi="Times New Roman"/>
                <w:sz w:val="14"/>
                <w:szCs w:val="14"/>
                <w:color w:val="auto"/>
              </w:rPr>
              <w:t>550,055</w:t>
            </w:r>
          </w:p>
        </w:tc>
        <w:tc>
          <w:tcPr>
            <w:tcW w:w="140" w:type="dxa"/>
            <w:vAlign w:val="bottom"/>
            <w:tcBorders>
              <w:top w:val="single" w:sz="8" w:color="CCEEFF"/>
            </w:tcBorders>
            <w:shd w:val="clear" w:color="auto" w:fill="CCEEFF"/>
          </w:tcPr>
          <w:p>
            <w:pPr>
              <w:spacing w:after="0"/>
              <w:rPr>
                <w:sz w:val="11"/>
                <w:szCs w:val="11"/>
                <w:color w:val="auto"/>
              </w:rPr>
            </w:pPr>
          </w:p>
        </w:tc>
        <w:tc>
          <w:tcPr>
            <w:tcW w:w="960" w:type="dxa"/>
            <w:vAlign w:val="bottom"/>
            <w:tcBorders>
              <w:top w:val="single" w:sz="8" w:color="auto"/>
            </w:tcBorders>
            <w:shd w:val="clear" w:color="auto" w:fill="CCEEFF"/>
          </w:tcPr>
          <w:p>
            <w:pPr>
              <w:ind w:left="740"/>
              <w:spacing w:after="0" w:line="136"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ind w:left="460"/>
              <w:spacing w:after="0" w:line="136"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top w:val="single" w:sz="8" w:color="CCEEFF"/>
            </w:tcBorders>
            <w:shd w:val="clear" w:color="auto" w:fill="CCEEFF"/>
          </w:tcPr>
          <w:p>
            <w:pPr>
              <w:spacing w:after="0"/>
              <w:rPr>
                <w:sz w:val="11"/>
                <w:szCs w:val="11"/>
                <w:color w:val="auto"/>
              </w:rPr>
            </w:pPr>
          </w:p>
        </w:tc>
        <w:tc>
          <w:tcPr>
            <w:tcW w:w="940" w:type="dxa"/>
            <w:vAlign w:val="bottom"/>
            <w:tcBorders>
              <w:top w:val="single" w:sz="8" w:color="auto"/>
            </w:tcBorders>
            <w:shd w:val="clear" w:color="auto" w:fill="CCEEFF"/>
          </w:tcPr>
          <w:p>
            <w:pPr>
              <w:ind w:left="480"/>
              <w:spacing w:after="0" w:line="136" w:lineRule="exact"/>
              <w:rPr>
                <w:sz w:val="20"/>
                <w:szCs w:val="20"/>
                <w:color w:val="auto"/>
              </w:rPr>
            </w:pPr>
            <w:r>
              <w:rPr>
                <w:rFonts w:ascii="Times New Roman" w:cs="Times New Roman" w:eastAsia="Times New Roman" w:hAnsi="Times New Roman"/>
                <w:sz w:val="14"/>
                <w:szCs w:val="14"/>
                <w:color w:val="auto"/>
                <w:w w:val="96"/>
              </w:rPr>
              <w:t>550,055</w:t>
            </w:r>
          </w:p>
        </w:tc>
        <w:tc>
          <w:tcPr>
            <w:tcW w:w="34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ind w:left="460"/>
              <w:spacing w:after="0" w:line="136"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jc w:val="right"/>
              <w:ind w:right="9"/>
              <w:spacing w:after="0" w:line="136"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300" w:type="dxa"/>
            <w:vAlign w:val="bottom"/>
            <w:tcBorders>
              <w:top w:val="single" w:sz="8" w:color="auto"/>
            </w:tcBorders>
            <w:shd w:val="clear" w:color="auto" w:fill="CCEEFF"/>
          </w:tcPr>
          <w:p>
            <w:pPr>
              <w:jc w:val="right"/>
              <w:ind w:right="8"/>
              <w:spacing w:after="0" w:line="136"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ind w:left="260"/>
              <w:spacing w:after="0" w:line="136"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top w:val="single" w:sz="8" w:color="CCEEFF"/>
            </w:tcBorders>
            <w:shd w:val="clear" w:color="auto" w:fill="CCEEFF"/>
          </w:tcPr>
          <w:p>
            <w:pPr>
              <w:spacing w:after="0"/>
              <w:rPr>
                <w:sz w:val="11"/>
                <w:szCs w:val="11"/>
                <w:color w:val="auto"/>
              </w:rPr>
            </w:pPr>
          </w:p>
        </w:tc>
        <w:tc>
          <w:tcPr>
            <w:tcW w:w="300" w:type="dxa"/>
            <w:vAlign w:val="bottom"/>
            <w:tcBorders>
              <w:top w:val="single" w:sz="8" w:color="auto"/>
            </w:tcBorders>
            <w:shd w:val="clear" w:color="auto" w:fill="CCEEFF"/>
          </w:tcPr>
          <w:p>
            <w:pPr>
              <w:ind w:left="80"/>
              <w:spacing w:after="0" w:line="136"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6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AEG Holdings, LLC</w:t>
            </w:r>
            <w:r>
              <w:rPr>
                <w:rFonts w:ascii="Times New Roman" w:cs="Times New Roman" w:eastAsia="Times New Roman" w:hAnsi="Times New Roman"/>
                <w:sz w:val="10"/>
                <w:szCs w:val="10"/>
                <w:color w:val="auto"/>
              </w:rPr>
              <w:t>(2)</w:t>
            </w:r>
          </w:p>
        </w:tc>
        <w:tc>
          <w:tcPr>
            <w:tcW w:w="11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1,003,584</w:t>
            </w:r>
          </w:p>
        </w:tc>
        <w:tc>
          <w:tcPr>
            <w:tcW w:w="1100" w:type="dxa"/>
            <w:vAlign w:val="bottom"/>
            <w:gridSpan w:val="2"/>
          </w:tcPr>
          <w:p>
            <w:pPr>
              <w:ind w:left="7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1,003,584</w:t>
            </w:r>
          </w:p>
        </w:tc>
        <w:tc>
          <w:tcPr>
            <w:tcW w:w="840" w:type="dxa"/>
            <w:vAlign w:val="bottom"/>
            <w:gridSpan w:val="2"/>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4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36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62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Alyeska Master Fund, LP</w:t>
            </w:r>
            <w:r>
              <w:rPr>
                <w:rFonts w:ascii="Times New Roman" w:cs="Times New Roman" w:eastAsia="Times New Roman" w:hAnsi="Times New Roman"/>
                <w:sz w:val="10"/>
                <w:szCs w:val="10"/>
                <w:color w:val="auto"/>
              </w:rPr>
              <w:t>(3)</w:t>
            </w:r>
          </w:p>
        </w:tc>
        <w:tc>
          <w:tcPr>
            <w:tcW w:w="11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1,333,530</w:t>
            </w:r>
          </w:p>
        </w:tc>
        <w:tc>
          <w:tcPr>
            <w:tcW w:w="1100" w:type="dxa"/>
            <w:vAlign w:val="bottom"/>
            <w:gridSpan w:val="2"/>
            <w:shd w:val="clear" w:color="auto" w:fill="CCEEFF"/>
          </w:tcPr>
          <w:p>
            <w:pPr>
              <w:ind w:left="7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1,333,530</w:t>
            </w:r>
          </w:p>
        </w:tc>
        <w:tc>
          <w:tcPr>
            <w:tcW w:w="840" w:type="dxa"/>
            <w:vAlign w:val="bottom"/>
            <w:gridSpan w:val="2"/>
            <w:shd w:val="clear" w:color="auto" w:fill="CCEEFF"/>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ind w:lef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360" w:type="dxa"/>
            <w:vAlign w:val="bottom"/>
            <w:gridSpan w:val="2"/>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36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AMF Tjänstepension AB</w:t>
            </w:r>
            <w:r>
              <w:rPr>
                <w:rFonts w:ascii="Times New Roman" w:cs="Times New Roman" w:eastAsia="Times New Roman" w:hAnsi="Times New Roman"/>
                <w:sz w:val="10"/>
                <w:szCs w:val="10"/>
                <w:color w:val="auto"/>
              </w:rPr>
              <w:t>(4)</w:t>
            </w:r>
          </w:p>
        </w:tc>
        <w:tc>
          <w:tcPr>
            <w:tcW w:w="11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4,400,440</w:t>
            </w:r>
          </w:p>
        </w:tc>
        <w:tc>
          <w:tcPr>
            <w:tcW w:w="1100" w:type="dxa"/>
            <w:vAlign w:val="bottom"/>
            <w:gridSpan w:val="2"/>
          </w:tcPr>
          <w:p>
            <w:pPr>
              <w:ind w:left="7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4,400,440</w:t>
            </w:r>
          </w:p>
        </w:tc>
        <w:tc>
          <w:tcPr>
            <w:tcW w:w="840" w:type="dxa"/>
            <w:vAlign w:val="bottom"/>
            <w:gridSpan w:val="2"/>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4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36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6"/>
        </w:trPr>
        <w:tc>
          <w:tcPr>
            <w:tcW w:w="362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BNP Paribas Assset Management AS – Agent on Behalf of</w:t>
            </w:r>
          </w:p>
        </w:tc>
        <w:tc>
          <w:tcPr>
            <w:tcW w:w="11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5,844,753</w:t>
            </w:r>
          </w:p>
        </w:tc>
        <w:tc>
          <w:tcPr>
            <w:tcW w:w="1100" w:type="dxa"/>
            <w:vAlign w:val="bottom"/>
            <w:gridSpan w:val="2"/>
            <w:vMerge w:val="restart"/>
            <w:shd w:val="clear" w:color="auto" w:fill="CCEEFF"/>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vMerge w:val="restart"/>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1,925,192</w:t>
            </w:r>
          </w:p>
        </w:tc>
        <w:tc>
          <w:tcPr>
            <w:tcW w:w="840" w:type="dxa"/>
            <w:vAlign w:val="bottom"/>
            <w:gridSpan w:val="2"/>
            <w:vMerge w:val="restart"/>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3,919,561</w:t>
            </w:r>
          </w:p>
        </w:tc>
        <w:tc>
          <w:tcPr>
            <w:tcW w:w="500" w:type="dxa"/>
            <w:vAlign w:val="bottom"/>
            <w:gridSpan w:val="3"/>
            <w:vMerge w:val="restart"/>
            <w:shd w:val="clear" w:color="auto" w:fill="CCEEFF"/>
          </w:tcPr>
          <w:p>
            <w:pPr>
              <w:jc w:val="center"/>
              <w:ind w:left="72"/>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vMerge w:val="restart"/>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0"/>
                <w:szCs w:val="10"/>
                <w:color w:val="auto"/>
              </w:rPr>
            </w:pPr>
          </w:p>
        </w:tc>
        <w:tc>
          <w:tcPr>
            <w:tcW w:w="360" w:type="dxa"/>
            <w:vAlign w:val="bottom"/>
            <w:gridSpan w:val="2"/>
            <w:vMerge w:val="restart"/>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36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BNP Paribas – Funds Energy Transition</w:t>
            </w:r>
            <w:r>
              <w:rPr>
                <w:rFonts w:ascii="Times New Roman" w:cs="Times New Roman" w:eastAsia="Times New Roman" w:hAnsi="Times New Roman"/>
                <w:sz w:val="10"/>
                <w:szCs w:val="10"/>
                <w:color w:val="auto"/>
              </w:rPr>
              <w:t>(5)</w:t>
            </w:r>
          </w:p>
        </w:tc>
        <w:tc>
          <w:tcPr>
            <w:tcW w:w="1100" w:type="dxa"/>
            <w:vAlign w:val="bottom"/>
            <w:gridSpan w:val="2"/>
            <w:vMerge w:val="continue"/>
            <w:shd w:val="clear" w:color="auto" w:fill="CCEEFF"/>
          </w:tcPr>
          <w:p>
            <w:pPr>
              <w:spacing w:after="0"/>
              <w:rPr>
                <w:sz w:val="14"/>
                <w:szCs w:val="14"/>
                <w:color w:val="auto"/>
              </w:rPr>
            </w:pPr>
          </w:p>
        </w:tc>
        <w:tc>
          <w:tcPr>
            <w:tcW w:w="1100" w:type="dxa"/>
            <w:vAlign w:val="bottom"/>
            <w:gridSpan w:val="2"/>
            <w:vMerge w:val="continue"/>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1280" w:type="dxa"/>
            <w:vAlign w:val="bottom"/>
            <w:gridSpan w:val="2"/>
            <w:vMerge w:val="continue"/>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500" w:type="dxa"/>
            <w:vAlign w:val="bottom"/>
            <w:gridSpan w:val="3"/>
            <w:vMerge w:val="continue"/>
            <w:shd w:val="clear" w:color="auto" w:fill="CCEEFF"/>
          </w:tcPr>
          <w:p>
            <w:pPr>
              <w:spacing w:after="0"/>
              <w:rPr>
                <w:sz w:val="14"/>
                <w:szCs w:val="14"/>
                <w:color w:val="auto"/>
              </w:rPr>
            </w:pPr>
          </w:p>
        </w:tc>
        <w:tc>
          <w:tcPr>
            <w:tcW w:w="48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6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6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Charles Pacheco</w:t>
            </w:r>
            <w:r>
              <w:rPr>
                <w:rFonts w:ascii="Times New Roman" w:cs="Times New Roman" w:eastAsia="Times New Roman" w:hAnsi="Times New Roman"/>
                <w:sz w:val="10"/>
                <w:szCs w:val="10"/>
                <w:color w:val="auto"/>
              </w:rPr>
              <w:t>(6)</w:t>
            </w:r>
          </w:p>
        </w:tc>
        <w:tc>
          <w:tcPr>
            <w:tcW w:w="11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100,000</w:t>
            </w:r>
          </w:p>
        </w:tc>
        <w:tc>
          <w:tcPr>
            <w:tcW w:w="1100" w:type="dxa"/>
            <w:vAlign w:val="bottom"/>
            <w:gridSpan w:val="2"/>
          </w:tcPr>
          <w:p>
            <w:pPr>
              <w:ind w:left="7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100,000</w:t>
            </w:r>
          </w:p>
        </w:tc>
        <w:tc>
          <w:tcPr>
            <w:tcW w:w="840" w:type="dxa"/>
            <w:vAlign w:val="bottom"/>
            <w:gridSpan w:val="2"/>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4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36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62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Christopher T Charlton Revocable Living Trust</w:t>
            </w:r>
            <w:r>
              <w:rPr>
                <w:rFonts w:ascii="Times New Roman" w:cs="Times New Roman" w:eastAsia="Times New Roman" w:hAnsi="Times New Roman"/>
                <w:sz w:val="10"/>
                <w:szCs w:val="10"/>
                <w:color w:val="auto"/>
              </w:rPr>
              <w:t>(7)</w:t>
            </w:r>
          </w:p>
        </w:tc>
        <w:tc>
          <w:tcPr>
            <w:tcW w:w="11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1,044,633</w:t>
            </w:r>
          </w:p>
        </w:tc>
        <w:tc>
          <w:tcPr>
            <w:tcW w:w="1100" w:type="dxa"/>
            <w:vAlign w:val="bottom"/>
            <w:gridSpan w:val="2"/>
            <w:shd w:val="clear" w:color="auto" w:fill="CCEEFF"/>
          </w:tcPr>
          <w:p>
            <w:pPr>
              <w:ind w:left="7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1,044,633</w:t>
            </w:r>
          </w:p>
        </w:tc>
        <w:tc>
          <w:tcPr>
            <w:tcW w:w="840" w:type="dxa"/>
            <w:vAlign w:val="bottom"/>
            <w:gridSpan w:val="2"/>
            <w:shd w:val="clear" w:color="auto" w:fill="CCEEFF"/>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ind w:lef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360" w:type="dxa"/>
            <w:vAlign w:val="bottom"/>
            <w:gridSpan w:val="2"/>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36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Citadel CEMF Investments Ltd.</w:t>
            </w:r>
            <w:r>
              <w:rPr>
                <w:rFonts w:ascii="Times New Roman" w:cs="Times New Roman" w:eastAsia="Times New Roman" w:hAnsi="Times New Roman"/>
                <w:sz w:val="10"/>
                <w:szCs w:val="10"/>
                <w:color w:val="auto"/>
              </w:rPr>
              <w:t>(8)</w:t>
            </w:r>
          </w:p>
        </w:tc>
        <w:tc>
          <w:tcPr>
            <w:tcW w:w="11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1,566,948</w:t>
            </w:r>
          </w:p>
        </w:tc>
        <w:tc>
          <w:tcPr>
            <w:tcW w:w="1100" w:type="dxa"/>
            <w:vAlign w:val="bottom"/>
            <w:gridSpan w:val="2"/>
          </w:tcPr>
          <w:p>
            <w:pPr>
              <w:ind w:left="7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1,566,948</w:t>
            </w:r>
          </w:p>
        </w:tc>
        <w:tc>
          <w:tcPr>
            <w:tcW w:w="840" w:type="dxa"/>
            <w:vAlign w:val="bottom"/>
            <w:gridSpan w:val="2"/>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4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36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62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DSK EV Investment Limited</w:t>
            </w:r>
            <w:r>
              <w:rPr>
                <w:rFonts w:ascii="Times New Roman" w:cs="Times New Roman" w:eastAsia="Times New Roman" w:hAnsi="Times New Roman"/>
                <w:sz w:val="10"/>
                <w:szCs w:val="10"/>
                <w:color w:val="auto"/>
              </w:rPr>
              <w:t>(9)</w:t>
            </w:r>
          </w:p>
        </w:tc>
        <w:tc>
          <w:tcPr>
            <w:tcW w:w="11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3,129,202</w:t>
            </w:r>
          </w:p>
        </w:tc>
        <w:tc>
          <w:tcPr>
            <w:tcW w:w="1100" w:type="dxa"/>
            <w:vAlign w:val="bottom"/>
            <w:gridSpan w:val="2"/>
            <w:shd w:val="clear" w:color="auto" w:fill="CCEEFF"/>
          </w:tcPr>
          <w:p>
            <w:pPr>
              <w:ind w:left="7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3,129,202</w:t>
            </w:r>
          </w:p>
        </w:tc>
        <w:tc>
          <w:tcPr>
            <w:tcW w:w="840" w:type="dxa"/>
            <w:vAlign w:val="bottom"/>
            <w:gridSpan w:val="2"/>
            <w:shd w:val="clear" w:color="auto" w:fill="CCEEFF"/>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ind w:lef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360" w:type="dxa"/>
            <w:vAlign w:val="bottom"/>
            <w:gridSpan w:val="2"/>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6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Edward A. Johnson</w:t>
            </w:r>
            <w:r>
              <w:rPr>
                <w:rFonts w:ascii="Times New Roman" w:cs="Times New Roman" w:eastAsia="Times New Roman" w:hAnsi="Times New Roman"/>
                <w:sz w:val="10"/>
                <w:szCs w:val="10"/>
                <w:color w:val="auto"/>
              </w:rPr>
              <w:t>(10)</w:t>
            </w:r>
          </w:p>
        </w:tc>
        <w:tc>
          <w:tcPr>
            <w:tcW w:w="11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150,949</w:t>
            </w:r>
          </w:p>
        </w:tc>
        <w:tc>
          <w:tcPr>
            <w:tcW w:w="1100" w:type="dxa"/>
            <w:vAlign w:val="bottom"/>
            <w:gridSpan w:val="2"/>
          </w:tcPr>
          <w:p>
            <w:pPr>
              <w:ind w:left="7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150,949</w:t>
            </w:r>
          </w:p>
        </w:tc>
        <w:tc>
          <w:tcPr>
            <w:tcW w:w="840" w:type="dxa"/>
            <w:vAlign w:val="bottom"/>
            <w:gridSpan w:val="2"/>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4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36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62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Elizabeth Marcellino</w:t>
            </w:r>
            <w:r>
              <w:rPr>
                <w:rFonts w:ascii="Times New Roman" w:cs="Times New Roman" w:eastAsia="Times New Roman" w:hAnsi="Times New Roman"/>
                <w:sz w:val="10"/>
                <w:szCs w:val="10"/>
                <w:color w:val="auto"/>
              </w:rPr>
              <w:t>(11)</w:t>
            </w:r>
          </w:p>
        </w:tc>
        <w:tc>
          <w:tcPr>
            <w:tcW w:w="11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25,000</w:t>
            </w:r>
          </w:p>
        </w:tc>
        <w:tc>
          <w:tcPr>
            <w:tcW w:w="1100" w:type="dxa"/>
            <w:vAlign w:val="bottom"/>
            <w:gridSpan w:val="2"/>
            <w:shd w:val="clear" w:color="auto" w:fill="CCEEFF"/>
          </w:tcPr>
          <w:p>
            <w:pPr>
              <w:ind w:left="7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25,000</w:t>
            </w:r>
          </w:p>
        </w:tc>
        <w:tc>
          <w:tcPr>
            <w:tcW w:w="840" w:type="dxa"/>
            <w:vAlign w:val="bottom"/>
            <w:gridSpan w:val="2"/>
            <w:shd w:val="clear" w:color="auto" w:fill="CCEEFF"/>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ind w:lef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360" w:type="dxa"/>
            <w:vAlign w:val="bottom"/>
            <w:gridSpan w:val="2"/>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6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Elliott Associates, L.P.</w:t>
            </w:r>
            <w:r>
              <w:rPr>
                <w:rFonts w:ascii="Times New Roman" w:cs="Times New Roman" w:eastAsia="Times New Roman" w:hAnsi="Times New Roman"/>
                <w:sz w:val="10"/>
                <w:szCs w:val="10"/>
                <w:color w:val="auto"/>
              </w:rPr>
              <w:t>(12)</w:t>
            </w:r>
          </w:p>
        </w:tc>
        <w:tc>
          <w:tcPr>
            <w:tcW w:w="11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485,754</w:t>
            </w:r>
          </w:p>
        </w:tc>
        <w:tc>
          <w:tcPr>
            <w:tcW w:w="1100" w:type="dxa"/>
            <w:vAlign w:val="bottom"/>
            <w:gridSpan w:val="2"/>
          </w:tcPr>
          <w:p>
            <w:pPr>
              <w:ind w:left="7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485,754</w:t>
            </w:r>
          </w:p>
        </w:tc>
        <w:tc>
          <w:tcPr>
            <w:tcW w:w="840" w:type="dxa"/>
            <w:vAlign w:val="bottom"/>
            <w:gridSpan w:val="2"/>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4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36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62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Elliott International, L.P.</w:t>
            </w:r>
            <w:r>
              <w:rPr>
                <w:rFonts w:ascii="Times New Roman" w:cs="Times New Roman" w:eastAsia="Times New Roman" w:hAnsi="Times New Roman"/>
                <w:sz w:val="10"/>
                <w:szCs w:val="10"/>
                <w:color w:val="auto"/>
              </w:rPr>
              <w:t>(13)</w:t>
            </w:r>
          </w:p>
        </w:tc>
        <w:tc>
          <w:tcPr>
            <w:tcW w:w="11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1,081,194</w:t>
            </w:r>
          </w:p>
        </w:tc>
        <w:tc>
          <w:tcPr>
            <w:tcW w:w="1100" w:type="dxa"/>
            <w:vAlign w:val="bottom"/>
            <w:gridSpan w:val="2"/>
            <w:shd w:val="clear" w:color="auto" w:fill="CCEEFF"/>
          </w:tcPr>
          <w:p>
            <w:pPr>
              <w:ind w:left="7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1,081,194</w:t>
            </w:r>
          </w:p>
        </w:tc>
        <w:tc>
          <w:tcPr>
            <w:tcW w:w="840" w:type="dxa"/>
            <w:vAlign w:val="bottom"/>
            <w:gridSpan w:val="2"/>
            <w:shd w:val="clear" w:color="auto" w:fill="CCEEFF"/>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ind w:lef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360" w:type="dxa"/>
            <w:vAlign w:val="bottom"/>
            <w:gridSpan w:val="2"/>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36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Erich Sixt Vermögensverwaltung GmbH</w:t>
            </w:r>
            <w:r>
              <w:rPr>
                <w:rFonts w:ascii="Times New Roman" w:cs="Times New Roman" w:eastAsia="Times New Roman" w:hAnsi="Times New Roman"/>
                <w:sz w:val="10"/>
                <w:szCs w:val="10"/>
                <w:color w:val="auto"/>
              </w:rPr>
              <w:t>(14)</w:t>
            </w:r>
          </w:p>
        </w:tc>
        <w:tc>
          <w:tcPr>
            <w:tcW w:w="11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1,305,791</w:t>
            </w:r>
          </w:p>
        </w:tc>
        <w:tc>
          <w:tcPr>
            <w:tcW w:w="1100" w:type="dxa"/>
            <w:vAlign w:val="bottom"/>
            <w:gridSpan w:val="2"/>
          </w:tcPr>
          <w:p>
            <w:pPr>
              <w:ind w:left="7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1,305,791</w:t>
            </w:r>
          </w:p>
        </w:tc>
        <w:tc>
          <w:tcPr>
            <w:tcW w:w="840" w:type="dxa"/>
            <w:vAlign w:val="bottom"/>
            <w:gridSpan w:val="2"/>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4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36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62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GG Sponsor, LLC</w:t>
            </w:r>
            <w:r>
              <w:rPr>
                <w:rFonts w:ascii="Times New Roman" w:cs="Times New Roman" w:eastAsia="Times New Roman" w:hAnsi="Times New Roman"/>
                <w:sz w:val="10"/>
                <w:szCs w:val="10"/>
                <w:color w:val="auto"/>
              </w:rPr>
              <w:t>(15)</w:t>
            </w:r>
          </w:p>
        </w:tc>
        <w:tc>
          <w:tcPr>
            <w:tcW w:w="11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13,392,083</w:t>
            </w:r>
          </w:p>
        </w:tc>
        <w:tc>
          <w:tcPr>
            <w:tcW w:w="1100" w:type="dxa"/>
            <w:vAlign w:val="bottom"/>
            <w:gridSpan w:val="2"/>
            <w:shd w:val="clear" w:color="auto" w:fill="CCEEFF"/>
          </w:tcPr>
          <w:p>
            <w:pPr>
              <w:ind w:left="7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4,500,000</w:t>
            </w:r>
          </w:p>
        </w:tc>
        <w:tc>
          <w:tcPr>
            <w:tcW w:w="1280" w:type="dxa"/>
            <w:vAlign w:val="bottom"/>
            <w:gridSpan w:val="2"/>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13,392,083</w:t>
            </w:r>
          </w:p>
        </w:tc>
        <w:tc>
          <w:tcPr>
            <w:tcW w:w="840" w:type="dxa"/>
            <w:vAlign w:val="bottom"/>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4,500,000</w:t>
            </w:r>
          </w:p>
        </w:tc>
        <w:tc>
          <w:tcPr>
            <w:tcW w:w="76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ind w:lef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360" w:type="dxa"/>
            <w:vAlign w:val="bottom"/>
            <w:gridSpan w:val="2"/>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6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GGP Sponsor Holdings, LLC</w:t>
            </w:r>
            <w:r>
              <w:rPr>
                <w:rFonts w:ascii="Times New Roman" w:cs="Times New Roman" w:eastAsia="Times New Roman" w:hAnsi="Times New Roman"/>
                <w:sz w:val="10"/>
                <w:szCs w:val="10"/>
                <w:color w:val="auto"/>
              </w:rPr>
              <w:t>(16</w:t>
            </w:r>
            <w:r>
              <w:rPr>
                <w:rFonts w:ascii="Times New Roman" w:cs="Times New Roman" w:eastAsia="Times New Roman" w:hAnsi="Times New Roman"/>
                <w:sz w:val="14"/>
                <w:szCs w:val="14"/>
                <w:color w:val="auto"/>
              </w:rPr>
              <w:t>)</w:t>
            </w:r>
          </w:p>
        </w:tc>
        <w:tc>
          <w:tcPr>
            <w:tcW w:w="11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13,313,656</w:t>
            </w:r>
          </w:p>
        </w:tc>
        <w:tc>
          <w:tcPr>
            <w:tcW w:w="1100" w:type="dxa"/>
            <w:vAlign w:val="bottom"/>
            <w:gridSpan w:val="2"/>
          </w:tcPr>
          <w:p>
            <w:pPr>
              <w:ind w:left="7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4,500,000</w:t>
            </w:r>
          </w:p>
        </w:tc>
        <w:tc>
          <w:tcPr>
            <w:tcW w:w="128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13,313,656</w:t>
            </w:r>
          </w:p>
        </w:tc>
        <w:tc>
          <w:tcPr>
            <w:tcW w:w="84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4,500,000</w:t>
            </w:r>
          </w:p>
        </w:tc>
        <w:tc>
          <w:tcPr>
            <w:tcW w:w="7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4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36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62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Gores Guggenheim Sponsor LLC</w:t>
            </w:r>
            <w:r>
              <w:rPr>
                <w:rFonts w:ascii="Times New Roman" w:cs="Times New Roman" w:eastAsia="Times New Roman" w:hAnsi="Times New Roman"/>
                <w:sz w:val="10"/>
                <w:szCs w:val="10"/>
                <w:color w:val="auto"/>
              </w:rPr>
              <w:t>(17)</w:t>
            </w:r>
          </w:p>
        </w:tc>
        <w:tc>
          <w:tcPr>
            <w:tcW w:w="11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500,000</w:t>
            </w:r>
          </w:p>
        </w:tc>
        <w:tc>
          <w:tcPr>
            <w:tcW w:w="1100" w:type="dxa"/>
            <w:vAlign w:val="bottom"/>
            <w:gridSpan w:val="2"/>
            <w:shd w:val="clear" w:color="auto" w:fill="CCEEFF"/>
          </w:tcPr>
          <w:p>
            <w:pPr>
              <w:ind w:left="7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500,000</w:t>
            </w:r>
          </w:p>
        </w:tc>
        <w:tc>
          <w:tcPr>
            <w:tcW w:w="840" w:type="dxa"/>
            <w:vAlign w:val="bottom"/>
            <w:gridSpan w:val="2"/>
            <w:shd w:val="clear" w:color="auto" w:fill="CCEEFF"/>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ind w:lef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360" w:type="dxa"/>
            <w:vAlign w:val="bottom"/>
            <w:gridSpan w:val="2"/>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6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Healthcare Of Ontario Pension Plan Trust Fund</w:t>
            </w:r>
            <w:r>
              <w:rPr>
                <w:rFonts w:ascii="Times New Roman" w:cs="Times New Roman" w:eastAsia="Times New Roman" w:hAnsi="Times New Roman"/>
                <w:sz w:val="10"/>
                <w:szCs w:val="10"/>
                <w:color w:val="auto"/>
              </w:rPr>
              <w:t>(18)</w:t>
            </w:r>
          </w:p>
        </w:tc>
        <w:tc>
          <w:tcPr>
            <w:tcW w:w="11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522,316</w:t>
            </w:r>
          </w:p>
        </w:tc>
        <w:tc>
          <w:tcPr>
            <w:tcW w:w="1100" w:type="dxa"/>
            <w:vAlign w:val="bottom"/>
            <w:gridSpan w:val="2"/>
          </w:tcPr>
          <w:p>
            <w:pPr>
              <w:ind w:left="7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522,316</w:t>
            </w:r>
          </w:p>
        </w:tc>
        <w:tc>
          <w:tcPr>
            <w:tcW w:w="840" w:type="dxa"/>
            <w:vAlign w:val="bottom"/>
            <w:gridSpan w:val="2"/>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4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36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362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Mark Stone</w:t>
            </w:r>
            <w:r>
              <w:rPr>
                <w:rFonts w:ascii="Times New Roman" w:cs="Times New Roman" w:eastAsia="Times New Roman" w:hAnsi="Times New Roman"/>
                <w:sz w:val="10"/>
                <w:szCs w:val="10"/>
                <w:color w:val="auto"/>
              </w:rPr>
              <w:t>(19)</w:t>
            </w:r>
          </w:p>
        </w:tc>
        <w:tc>
          <w:tcPr>
            <w:tcW w:w="11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150,949</w:t>
            </w:r>
          </w:p>
        </w:tc>
        <w:tc>
          <w:tcPr>
            <w:tcW w:w="1100" w:type="dxa"/>
            <w:vAlign w:val="bottom"/>
            <w:gridSpan w:val="2"/>
            <w:shd w:val="clear" w:color="auto" w:fill="CCEEFF"/>
          </w:tcPr>
          <w:p>
            <w:pPr>
              <w:ind w:left="7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150,949</w:t>
            </w:r>
          </w:p>
        </w:tc>
        <w:tc>
          <w:tcPr>
            <w:tcW w:w="840" w:type="dxa"/>
            <w:vAlign w:val="bottom"/>
            <w:gridSpan w:val="2"/>
            <w:shd w:val="clear" w:color="auto" w:fill="CCEEFF"/>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ind w:lef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360" w:type="dxa"/>
            <w:vAlign w:val="bottom"/>
            <w:gridSpan w:val="2"/>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6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MG6TV, LLC</w:t>
            </w:r>
            <w:r>
              <w:rPr>
                <w:rFonts w:ascii="Times New Roman" w:cs="Times New Roman" w:eastAsia="Times New Roman" w:hAnsi="Times New Roman"/>
                <w:sz w:val="10"/>
                <w:szCs w:val="10"/>
                <w:color w:val="auto"/>
              </w:rPr>
              <w:t>(20)</w:t>
            </w:r>
          </w:p>
        </w:tc>
        <w:tc>
          <w:tcPr>
            <w:tcW w:w="11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1,305,791</w:t>
            </w:r>
          </w:p>
        </w:tc>
        <w:tc>
          <w:tcPr>
            <w:tcW w:w="1100" w:type="dxa"/>
            <w:vAlign w:val="bottom"/>
            <w:gridSpan w:val="2"/>
          </w:tcPr>
          <w:p>
            <w:pPr>
              <w:ind w:left="7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1,305,791</w:t>
            </w:r>
          </w:p>
        </w:tc>
        <w:tc>
          <w:tcPr>
            <w:tcW w:w="840" w:type="dxa"/>
            <w:vAlign w:val="bottom"/>
            <w:gridSpan w:val="2"/>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4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36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62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MGXBD LLC</w:t>
            </w:r>
            <w:r>
              <w:rPr>
                <w:rFonts w:ascii="Times New Roman" w:cs="Times New Roman" w:eastAsia="Times New Roman" w:hAnsi="Times New Roman"/>
                <w:sz w:val="10"/>
                <w:szCs w:val="10"/>
                <w:color w:val="auto"/>
              </w:rPr>
              <w:t>(21)</w:t>
            </w:r>
          </w:p>
        </w:tc>
        <w:tc>
          <w:tcPr>
            <w:tcW w:w="11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261,159</w:t>
            </w:r>
          </w:p>
        </w:tc>
        <w:tc>
          <w:tcPr>
            <w:tcW w:w="1100" w:type="dxa"/>
            <w:vAlign w:val="bottom"/>
            <w:gridSpan w:val="2"/>
            <w:shd w:val="clear" w:color="auto" w:fill="CCEEFF"/>
          </w:tcPr>
          <w:p>
            <w:pPr>
              <w:ind w:left="7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261,159</w:t>
            </w:r>
          </w:p>
        </w:tc>
        <w:tc>
          <w:tcPr>
            <w:tcW w:w="840" w:type="dxa"/>
            <w:vAlign w:val="bottom"/>
            <w:gridSpan w:val="2"/>
            <w:shd w:val="clear" w:color="auto" w:fill="CCEEFF"/>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ind w:lef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360" w:type="dxa"/>
            <w:vAlign w:val="bottom"/>
            <w:gridSpan w:val="2"/>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6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MMF LT, LLC</w:t>
            </w:r>
            <w:r>
              <w:rPr>
                <w:rFonts w:ascii="Times New Roman" w:cs="Times New Roman" w:eastAsia="Times New Roman" w:hAnsi="Times New Roman"/>
                <w:sz w:val="10"/>
                <w:szCs w:val="10"/>
                <w:color w:val="auto"/>
              </w:rPr>
              <w:t>(22)</w:t>
            </w:r>
          </w:p>
        </w:tc>
        <w:tc>
          <w:tcPr>
            <w:tcW w:w="11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1,044,632</w:t>
            </w:r>
          </w:p>
        </w:tc>
        <w:tc>
          <w:tcPr>
            <w:tcW w:w="1100" w:type="dxa"/>
            <w:vAlign w:val="bottom"/>
            <w:gridSpan w:val="2"/>
          </w:tcPr>
          <w:p>
            <w:pPr>
              <w:ind w:left="7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1,044,632</w:t>
            </w:r>
          </w:p>
        </w:tc>
        <w:tc>
          <w:tcPr>
            <w:tcW w:w="840" w:type="dxa"/>
            <w:vAlign w:val="bottom"/>
            <w:gridSpan w:val="2"/>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4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36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62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Nancy Tellem</w:t>
            </w:r>
            <w:r>
              <w:rPr>
                <w:rFonts w:ascii="Times New Roman" w:cs="Times New Roman" w:eastAsia="Times New Roman" w:hAnsi="Times New Roman"/>
                <w:sz w:val="10"/>
                <w:szCs w:val="10"/>
                <w:color w:val="auto"/>
              </w:rPr>
              <w:t>(23)</w:t>
            </w:r>
          </w:p>
        </w:tc>
        <w:tc>
          <w:tcPr>
            <w:tcW w:w="11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40,670</w:t>
            </w:r>
          </w:p>
        </w:tc>
        <w:tc>
          <w:tcPr>
            <w:tcW w:w="1100" w:type="dxa"/>
            <w:vAlign w:val="bottom"/>
            <w:gridSpan w:val="2"/>
            <w:shd w:val="clear" w:color="auto" w:fill="CCEEFF"/>
          </w:tcPr>
          <w:p>
            <w:pPr>
              <w:ind w:left="7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40,670</w:t>
            </w:r>
          </w:p>
        </w:tc>
        <w:tc>
          <w:tcPr>
            <w:tcW w:w="840" w:type="dxa"/>
            <w:vAlign w:val="bottom"/>
            <w:gridSpan w:val="2"/>
            <w:shd w:val="clear" w:color="auto" w:fill="CCEEFF"/>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ind w:lef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360" w:type="dxa"/>
            <w:vAlign w:val="bottom"/>
            <w:gridSpan w:val="2"/>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36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Nineteen77 Global Merger Arbitrage Master Limited</w:t>
            </w:r>
            <w:r>
              <w:rPr>
                <w:rFonts w:ascii="Times New Roman" w:cs="Times New Roman" w:eastAsia="Times New Roman" w:hAnsi="Times New Roman"/>
                <w:sz w:val="10"/>
                <w:szCs w:val="10"/>
                <w:color w:val="auto"/>
              </w:rPr>
              <w:t>(24)</w:t>
            </w:r>
          </w:p>
        </w:tc>
        <w:tc>
          <w:tcPr>
            <w:tcW w:w="11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739,284</w:t>
            </w:r>
          </w:p>
        </w:tc>
        <w:tc>
          <w:tcPr>
            <w:tcW w:w="1100" w:type="dxa"/>
            <w:vAlign w:val="bottom"/>
            <w:gridSpan w:val="2"/>
          </w:tcPr>
          <w:p>
            <w:pPr>
              <w:ind w:left="7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739,284</w:t>
            </w:r>
          </w:p>
        </w:tc>
        <w:tc>
          <w:tcPr>
            <w:tcW w:w="840" w:type="dxa"/>
            <w:vAlign w:val="bottom"/>
            <w:gridSpan w:val="2"/>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4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36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62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Nineteen77 Global Merger Arbitrage Opportunity Fund</w:t>
            </w:r>
            <w:r>
              <w:rPr>
                <w:rFonts w:ascii="Times New Roman" w:cs="Times New Roman" w:eastAsia="Times New Roman" w:hAnsi="Times New Roman"/>
                <w:sz w:val="10"/>
                <w:szCs w:val="10"/>
                <w:color w:val="auto"/>
              </w:rPr>
              <w:t>(25)</w:t>
            </w:r>
          </w:p>
        </w:tc>
        <w:tc>
          <w:tcPr>
            <w:tcW w:w="11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88,377</w:t>
            </w:r>
          </w:p>
        </w:tc>
        <w:tc>
          <w:tcPr>
            <w:tcW w:w="1100" w:type="dxa"/>
            <w:vAlign w:val="bottom"/>
            <w:gridSpan w:val="2"/>
            <w:shd w:val="clear" w:color="auto" w:fill="CCEEFF"/>
          </w:tcPr>
          <w:p>
            <w:pPr>
              <w:ind w:left="7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88,377</w:t>
            </w:r>
          </w:p>
        </w:tc>
        <w:tc>
          <w:tcPr>
            <w:tcW w:w="840" w:type="dxa"/>
            <w:vAlign w:val="bottom"/>
            <w:gridSpan w:val="2"/>
            <w:shd w:val="clear" w:color="auto" w:fill="CCEEFF"/>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ind w:lef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360" w:type="dxa"/>
            <w:vAlign w:val="bottom"/>
            <w:gridSpan w:val="2"/>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6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Nineteen77 Global Multi-Strategy Alpha Master Limited</w:t>
            </w:r>
            <w:r>
              <w:rPr>
                <w:rFonts w:ascii="Times New Roman" w:cs="Times New Roman" w:eastAsia="Times New Roman" w:hAnsi="Times New Roman"/>
                <w:sz w:val="10"/>
                <w:szCs w:val="10"/>
                <w:color w:val="auto"/>
              </w:rPr>
              <w:t>(26)</w:t>
            </w:r>
          </w:p>
        </w:tc>
        <w:tc>
          <w:tcPr>
            <w:tcW w:w="11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739,287</w:t>
            </w:r>
          </w:p>
        </w:tc>
        <w:tc>
          <w:tcPr>
            <w:tcW w:w="1100" w:type="dxa"/>
            <w:vAlign w:val="bottom"/>
            <w:gridSpan w:val="2"/>
          </w:tcPr>
          <w:p>
            <w:pPr>
              <w:ind w:left="7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739,287</w:t>
            </w:r>
          </w:p>
        </w:tc>
        <w:tc>
          <w:tcPr>
            <w:tcW w:w="840" w:type="dxa"/>
            <w:vAlign w:val="bottom"/>
            <w:gridSpan w:val="2"/>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4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36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62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Northpole GLY 2 LP</w:t>
            </w:r>
            <w:r>
              <w:rPr>
                <w:rFonts w:ascii="Times New Roman" w:cs="Times New Roman" w:eastAsia="Times New Roman" w:hAnsi="Times New Roman"/>
                <w:sz w:val="10"/>
                <w:szCs w:val="10"/>
                <w:color w:val="auto"/>
              </w:rPr>
              <w:t>(27)</w:t>
            </w:r>
          </w:p>
        </w:tc>
        <w:tc>
          <w:tcPr>
            <w:tcW w:w="11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1,165,041</w:t>
            </w:r>
          </w:p>
        </w:tc>
        <w:tc>
          <w:tcPr>
            <w:tcW w:w="1100" w:type="dxa"/>
            <w:vAlign w:val="bottom"/>
            <w:gridSpan w:val="2"/>
            <w:shd w:val="clear" w:color="auto" w:fill="CCEEFF"/>
          </w:tcPr>
          <w:p>
            <w:pPr>
              <w:ind w:left="7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1,165,041</w:t>
            </w:r>
          </w:p>
        </w:tc>
        <w:tc>
          <w:tcPr>
            <w:tcW w:w="840" w:type="dxa"/>
            <w:vAlign w:val="bottom"/>
            <w:gridSpan w:val="2"/>
            <w:shd w:val="clear" w:color="auto" w:fill="CCEEFF"/>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ind w:lef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360" w:type="dxa"/>
            <w:vAlign w:val="bottom"/>
            <w:gridSpan w:val="2"/>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6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Polestar Automotive Holding Limited</w:t>
            </w:r>
            <w:r>
              <w:rPr>
                <w:rFonts w:ascii="Times New Roman" w:cs="Times New Roman" w:eastAsia="Times New Roman" w:hAnsi="Times New Roman"/>
                <w:sz w:val="10"/>
                <w:szCs w:val="10"/>
                <w:color w:val="auto"/>
              </w:rPr>
              <w:t>(28)</w:t>
            </w:r>
          </w:p>
        </w:tc>
        <w:tc>
          <w:tcPr>
            <w:tcW w:w="11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1,937,110,924</w:t>
            </w:r>
          </w:p>
        </w:tc>
        <w:tc>
          <w:tcPr>
            <w:tcW w:w="110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1,642,233,575</w:t>
            </w:r>
          </w:p>
        </w:tc>
        <w:tc>
          <w:tcPr>
            <w:tcW w:w="840" w:type="dxa"/>
            <w:vAlign w:val="bottom"/>
            <w:gridSpan w:val="2"/>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2,095,288,533</w:t>
            </w:r>
            <w:r>
              <w:rPr>
                <w:rFonts w:ascii="Times New Roman" w:cs="Times New Roman" w:eastAsia="Times New Roman" w:hAnsi="Times New Roman"/>
                <w:sz w:val="10"/>
                <w:szCs w:val="10"/>
                <w:color w:val="auto"/>
              </w:rPr>
              <w:t>(29)</w:t>
            </w:r>
          </w:p>
        </w:tc>
        <w:tc>
          <w:tcPr>
            <w:tcW w:w="840" w:type="dxa"/>
            <w:vAlign w:val="bottom"/>
            <w:gridSpan w:val="2"/>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4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36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62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Randall Bort</w:t>
            </w:r>
            <w:r>
              <w:rPr>
                <w:rFonts w:ascii="Times New Roman" w:cs="Times New Roman" w:eastAsia="Times New Roman" w:hAnsi="Times New Roman"/>
                <w:sz w:val="10"/>
                <w:szCs w:val="10"/>
                <w:color w:val="auto"/>
              </w:rPr>
              <w:t>(30)</w:t>
            </w:r>
          </w:p>
        </w:tc>
        <w:tc>
          <w:tcPr>
            <w:tcW w:w="11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25,000</w:t>
            </w:r>
          </w:p>
        </w:tc>
        <w:tc>
          <w:tcPr>
            <w:tcW w:w="1100" w:type="dxa"/>
            <w:vAlign w:val="bottom"/>
            <w:gridSpan w:val="2"/>
            <w:shd w:val="clear" w:color="auto" w:fill="CCEEFF"/>
          </w:tcPr>
          <w:p>
            <w:pPr>
              <w:ind w:left="7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25,000</w:t>
            </w:r>
          </w:p>
        </w:tc>
        <w:tc>
          <w:tcPr>
            <w:tcW w:w="840" w:type="dxa"/>
            <w:vAlign w:val="bottom"/>
            <w:gridSpan w:val="2"/>
            <w:shd w:val="clear" w:color="auto" w:fill="CCEEFF"/>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ind w:lef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360" w:type="dxa"/>
            <w:vAlign w:val="bottom"/>
            <w:gridSpan w:val="2"/>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36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Saba Capital Master Fund III, LP</w:t>
            </w:r>
            <w:r>
              <w:rPr>
                <w:rFonts w:ascii="Times New Roman" w:cs="Times New Roman" w:eastAsia="Times New Roman" w:hAnsi="Times New Roman"/>
                <w:sz w:val="10"/>
                <w:szCs w:val="10"/>
                <w:color w:val="auto"/>
              </w:rPr>
              <w:t>(31)</w:t>
            </w:r>
          </w:p>
        </w:tc>
        <w:tc>
          <w:tcPr>
            <w:tcW w:w="11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201,747</w:t>
            </w:r>
          </w:p>
        </w:tc>
        <w:tc>
          <w:tcPr>
            <w:tcW w:w="1100" w:type="dxa"/>
            <w:vAlign w:val="bottom"/>
            <w:gridSpan w:val="2"/>
          </w:tcPr>
          <w:p>
            <w:pPr>
              <w:ind w:left="7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201,747</w:t>
            </w:r>
          </w:p>
        </w:tc>
        <w:tc>
          <w:tcPr>
            <w:tcW w:w="840" w:type="dxa"/>
            <w:vAlign w:val="bottom"/>
            <w:gridSpan w:val="2"/>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4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36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62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Saba Capital Master Fund, Ltd.</w:t>
            </w:r>
            <w:r>
              <w:rPr>
                <w:rFonts w:ascii="Times New Roman" w:cs="Times New Roman" w:eastAsia="Times New Roman" w:hAnsi="Times New Roman"/>
                <w:sz w:val="10"/>
                <w:szCs w:val="10"/>
                <w:color w:val="auto"/>
              </w:rPr>
              <w:t>(32)</w:t>
            </w:r>
          </w:p>
        </w:tc>
        <w:tc>
          <w:tcPr>
            <w:tcW w:w="11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1,235,072</w:t>
            </w:r>
          </w:p>
        </w:tc>
        <w:tc>
          <w:tcPr>
            <w:tcW w:w="1100" w:type="dxa"/>
            <w:vAlign w:val="bottom"/>
            <w:gridSpan w:val="2"/>
            <w:shd w:val="clear" w:color="auto" w:fill="CCEEFF"/>
          </w:tcPr>
          <w:p>
            <w:pPr>
              <w:ind w:left="7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1,235,072</w:t>
            </w:r>
          </w:p>
        </w:tc>
        <w:tc>
          <w:tcPr>
            <w:tcW w:w="840" w:type="dxa"/>
            <w:vAlign w:val="bottom"/>
            <w:gridSpan w:val="2"/>
            <w:shd w:val="clear" w:color="auto" w:fill="CCEEFF"/>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ind w:lef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360" w:type="dxa"/>
            <w:vAlign w:val="bottom"/>
            <w:gridSpan w:val="2"/>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6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Saba Capital SPAC Opportunities, Ltd.</w:t>
            </w:r>
            <w:r>
              <w:rPr>
                <w:rFonts w:ascii="Times New Roman" w:cs="Times New Roman" w:eastAsia="Times New Roman" w:hAnsi="Times New Roman"/>
                <w:sz w:val="10"/>
                <w:szCs w:val="10"/>
                <w:color w:val="auto"/>
              </w:rPr>
              <w:t>(33)</w:t>
            </w:r>
          </w:p>
        </w:tc>
        <w:tc>
          <w:tcPr>
            <w:tcW w:w="11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60,693</w:t>
            </w:r>
          </w:p>
        </w:tc>
        <w:tc>
          <w:tcPr>
            <w:tcW w:w="1100" w:type="dxa"/>
            <w:vAlign w:val="bottom"/>
            <w:gridSpan w:val="2"/>
          </w:tcPr>
          <w:p>
            <w:pPr>
              <w:ind w:left="7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60,693</w:t>
            </w:r>
          </w:p>
        </w:tc>
        <w:tc>
          <w:tcPr>
            <w:tcW w:w="840" w:type="dxa"/>
            <w:vAlign w:val="bottom"/>
            <w:gridSpan w:val="2"/>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4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36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62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Saba II AIV LP</w:t>
            </w:r>
            <w:r>
              <w:rPr>
                <w:rFonts w:ascii="Times New Roman" w:cs="Times New Roman" w:eastAsia="Times New Roman" w:hAnsi="Times New Roman"/>
                <w:sz w:val="10"/>
                <w:szCs w:val="10"/>
                <w:color w:val="auto"/>
              </w:rPr>
              <w:t>(34)</w:t>
            </w:r>
          </w:p>
        </w:tc>
        <w:tc>
          <w:tcPr>
            <w:tcW w:w="11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1,691,863</w:t>
            </w:r>
          </w:p>
        </w:tc>
        <w:tc>
          <w:tcPr>
            <w:tcW w:w="1100" w:type="dxa"/>
            <w:vAlign w:val="bottom"/>
            <w:gridSpan w:val="2"/>
            <w:shd w:val="clear" w:color="auto" w:fill="CCEEFF"/>
          </w:tcPr>
          <w:p>
            <w:pPr>
              <w:ind w:left="7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1,691,863</w:t>
            </w:r>
          </w:p>
        </w:tc>
        <w:tc>
          <w:tcPr>
            <w:tcW w:w="840" w:type="dxa"/>
            <w:vAlign w:val="bottom"/>
            <w:gridSpan w:val="2"/>
            <w:shd w:val="clear" w:color="auto" w:fill="CCEEFF"/>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ind w:lef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360" w:type="dxa"/>
            <w:vAlign w:val="bottom"/>
            <w:gridSpan w:val="2"/>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36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Shutfut Menayot Chool – Phoenix Amitim</w:t>
            </w:r>
            <w:r>
              <w:rPr>
                <w:rFonts w:ascii="Times New Roman" w:cs="Times New Roman" w:eastAsia="Times New Roman" w:hAnsi="Times New Roman"/>
                <w:sz w:val="10"/>
                <w:szCs w:val="10"/>
                <w:color w:val="auto"/>
              </w:rPr>
              <w:t>(35)</w:t>
            </w:r>
          </w:p>
        </w:tc>
        <w:tc>
          <w:tcPr>
            <w:tcW w:w="11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887,937</w:t>
            </w:r>
          </w:p>
        </w:tc>
        <w:tc>
          <w:tcPr>
            <w:tcW w:w="1100" w:type="dxa"/>
            <w:vAlign w:val="bottom"/>
            <w:gridSpan w:val="2"/>
          </w:tcPr>
          <w:p>
            <w:pPr>
              <w:ind w:left="7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887,937</w:t>
            </w:r>
          </w:p>
        </w:tc>
        <w:tc>
          <w:tcPr>
            <w:tcW w:w="840" w:type="dxa"/>
            <w:vAlign w:val="bottom"/>
            <w:gridSpan w:val="2"/>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4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36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62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Snita Holding BV</w:t>
            </w:r>
            <w:r>
              <w:rPr>
                <w:rFonts w:ascii="Times New Roman" w:cs="Times New Roman" w:eastAsia="Times New Roman" w:hAnsi="Times New Roman"/>
                <w:sz w:val="10"/>
                <w:szCs w:val="10"/>
                <w:color w:val="auto"/>
              </w:rPr>
              <w:t>(36)</w:t>
            </w:r>
          </w:p>
        </w:tc>
        <w:tc>
          <w:tcPr>
            <w:tcW w:w="11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60,000,000</w:t>
            </w:r>
          </w:p>
        </w:tc>
        <w:tc>
          <w:tcPr>
            <w:tcW w:w="1100" w:type="dxa"/>
            <w:vAlign w:val="bottom"/>
            <w:gridSpan w:val="2"/>
            <w:shd w:val="clear" w:color="auto" w:fill="CCEEFF"/>
          </w:tcPr>
          <w:p>
            <w:pPr>
              <w:ind w:left="7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60,000,000</w:t>
            </w:r>
          </w:p>
        </w:tc>
        <w:tc>
          <w:tcPr>
            <w:tcW w:w="840" w:type="dxa"/>
            <w:vAlign w:val="bottom"/>
            <w:gridSpan w:val="2"/>
            <w:shd w:val="clear" w:color="auto" w:fill="CCEEFF"/>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ind w:lef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360" w:type="dxa"/>
            <w:vAlign w:val="bottom"/>
            <w:gridSpan w:val="2"/>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36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Sycomore L/S Opportunities</w:t>
            </w:r>
            <w:r>
              <w:rPr>
                <w:rFonts w:ascii="Times New Roman" w:cs="Times New Roman" w:eastAsia="Times New Roman" w:hAnsi="Times New Roman"/>
                <w:sz w:val="10"/>
                <w:szCs w:val="10"/>
                <w:color w:val="auto"/>
              </w:rPr>
              <w:t>(37)</w:t>
            </w:r>
          </w:p>
        </w:tc>
        <w:tc>
          <w:tcPr>
            <w:tcW w:w="11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417,853</w:t>
            </w:r>
          </w:p>
        </w:tc>
        <w:tc>
          <w:tcPr>
            <w:tcW w:w="1100" w:type="dxa"/>
            <w:vAlign w:val="bottom"/>
            <w:gridSpan w:val="2"/>
          </w:tcPr>
          <w:p>
            <w:pPr>
              <w:ind w:left="7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417,853</w:t>
            </w:r>
          </w:p>
        </w:tc>
        <w:tc>
          <w:tcPr>
            <w:tcW w:w="840" w:type="dxa"/>
            <w:vAlign w:val="bottom"/>
            <w:gridSpan w:val="2"/>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4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36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62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The Phoenix Insurance Company LTD</w:t>
            </w:r>
            <w:r>
              <w:rPr>
                <w:rFonts w:ascii="Times New Roman" w:cs="Times New Roman" w:eastAsia="Times New Roman" w:hAnsi="Times New Roman"/>
                <w:sz w:val="10"/>
                <w:szCs w:val="10"/>
                <w:color w:val="auto"/>
              </w:rPr>
              <w:t>(38)</w:t>
            </w:r>
          </w:p>
        </w:tc>
        <w:tc>
          <w:tcPr>
            <w:tcW w:w="11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156,695</w:t>
            </w:r>
          </w:p>
        </w:tc>
        <w:tc>
          <w:tcPr>
            <w:tcW w:w="1100" w:type="dxa"/>
            <w:vAlign w:val="bottom"/>
            <w:gridSpan w:val="2"/>
            <w:shd w:val="clear" w:color="auto" w:fill="CCEEFF"/>
          </w:tcPr>
          <w:p>
            <w:pPr>
              <w:ind w:left="7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156,695</w:t>
            </w:r>
          </w:p>
        </w:tc>
        <w:tc>
          <w:tcPr>
            <w:tcW w:w="840" w:type="dxa"/>
            <w:vAlign w:val="bottom"/>
            <w:gridSpan w:val="2"/>
            <w:shd w:val="clear" w:color="auto" w:fill="CCEEFF"/>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ind w:lef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360" w:type="dxa"/>
            <w:vAlign w:val="bottom"/>
            <w:gridSpan w:val="2"/>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6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Union Square Park Partners, LP</w:t>
            </w:r>
            <w:r>
              <w:rPr>
                <w:rFonts w:ascii="Times New Roman" w:cs="Times New Roman" w:eastAsia="Times New Roman" w:hAnsi="Times New Roman"/>
                <w:sz w:val="10"/>
                <w:szCs w:val="10"/>
                <w:color w:val="auto"/>
              </w:rPr>
              <w:t>(39)</w:t>
            </w:r>
          </w:p>
        </w:tc>
        <w:tc>
          <w:tcPr>
            <w:tcW w:w="11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592,149</w:t>
            </w:r>
          </w:p>
        </w:tc>
        <w:tc>
          <w:tcPr>
            <w:tcW w:w="1100" w:type="dxa"/>
            <w:vAlign w:val="bottom"/>
            <w:gridSpan w:val="2"/>
          </w:tcPr>
          <w:p>
            <w:pPr>
              <w:ind w:left="7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261,159</w:t>
            </w:r>
          </w:p>
        </w:tc>
        <w:tc>
          <w:tcPr>
            <w:tcW w:w="840" w:type="dxa"/>
            <w:vAlign w:val="bottom"/>
            <w:gridSpan w:val="2"/>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330,990</w:t>
            </w:r>
          </w:p>
        </w:tc>
        <w:tc>
          <w:tcPr>
            <w:tcW w:w="500" w:type="dxa"/>
            <w:vAlign w:val="bottom"/>
            <w:gridSpan w:val="3"/>
          </w:tcPr>
          <w:p>
            <w:pPr>
              <w:jc w:val="center"/>
              <w:ind w:left="72"/>
              <w:spacing w:after="0" w:line="149" w:lineRule="exact"/>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36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362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West Investments VIII LLC</w:t>
            </w:r>
            <w:r>
              <w:rPr>
                <w:rFonts w:ascii="Times New Roman" w:cs="Times New Roman" w:eastAsia="Times New Roman" w:hAnsi="Times New Roman"/>
                <w:sz w:val="10"/>
                <w:szCs w:val="10"/>
                <w:color w:val="auto"/>
              </w:rPr>
              <w:t>(40)</w:t>
            </w:r>
          </w:p>
        </w:tc>
        <w:tc>
          <w:tcPr>
            <w:tcW w:w="11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12,223</w:t>
            </w:r>
          </w:p>
        </w:tc>
        <w:tc>
          <w:tcPr>
            <w:tcW w:w="1100" w:type="dxa"/>
            <w:vAlign w:val="bottom"/>
            <w:gridSpan w:val="2"/>
            <w:shd w:val="clear" w:color="auto" w:fill="CCEEFF"/>
          </w:tcPr>
          <w:p>
            <w:pPr>
              <w:ind w:left="7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shd w:val="clear" w:color="auto" w:fill="CCEEFF"/>
          </w:tcPr>
          <w:p>
            <w:pPr>
              <w:ind w:left="480"/>
              <w:spacing w:after="0" w:line="149" w:lineRule="exact"/>
              <w:rPr>
                <w:sz w:val="20"/>
                <w:szCs w:val="20"/>
                <w:color w:val="auto"/>
              </w:rPr>
            </w:pPr>
            <w:r>
              <w:rPr>
                <w:rFonts w:ascii="Times New Roman" w:cs="Times New Roman" w:eastAsia="Times New Roman" w:hAnsi="Times New Roman"/>
                <w:sz w:val="14"/>
                <w:szCs w:val="14"/>
                <w:color w:val="auto"/>
              </w:rPr>
              <w:t>512,223</w:t>
            </w:r>
            <w:r>
              <w:rPr>
                <w:rFonts w:ascii="Times New Roman" w:cs="Times New Roman" w:eastAsia="Times New Roman" w:hAnsi="Times New Roman"/>
                <w:sz w:val="10"/>
                <w:szCs w:val="10"/>
                <w:color w:val="auto"/>
              </w:rPr>
              <w:t>41</w:t>
            </w:r>
          </w:p>
        </w:tc>
        <w:tc>
          <w:tcPr>
            <w:tcW w:w="840" w:type="dxa"/>
            <w:vAlign w:val="bottom"/>
            <w:gridSpan w:val="2"/>
            <w:shd w:val="clear" w:color="auto" w:fill="CCEEFF"/>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ind w:lef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360" w:type="dxa"/>
            <w:vAlign w:val="bottom"/>
            <w:gridSpan w:val="2"/>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3"/>
        </w:trPr>
        <w:tc>
          <w:tcPr>
            <w:tcW w:w="362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color w:val="auto"/>
              </w:rPr>
              <w:t>Additional Selling Holders</w:t>
            </w:r>
            <w:r>
              <w:rPr>
                <w:rFonts w:ascii="Times New Roman" w:cs="Times New Roman" w:eastAsia="Times New Roman" w:hAnsi="Times New Roman"/>
                <w:sz w:val="10"/>
                <w:szCs w:val="10"/>
                <w:color w:val="auto"/>
              </w:rPr>
              <w:t>(42)</w:t>
            </w:r>
          </w:p>
        </w:tc>
        <w:tc>
          <w:tcPr>
            <w:tcW w:w="9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873,317</w:t>
            </w:r>
          </w:p>
        </w:tc>
        <w:tc>
          <w:tcPr>
            <w:tcW w:w="140" w:type="dxa"/>
            <w:vAlign w:val="bottom"/>
          </w:tcPr>
          <w:p>
            <w:pPr>
              <w:spacing w:after="0"/>
              <w:rPr>
                <w:sz w:val="14"/>
                <w:szCs w:val="14"/>
                <w:color w:val="auto"/>
              </w:rPr>
            </w:pPr>
          </w:p>
        </w:tc>
        <w:tc>
          <w:tcPr>
            <w:tcW w:w="960" w:type="dxa"/>
            <w:vAlign w:val="bottom"/>
            <w:tcBorders>
              <w:top w:val="single" w:sz="8" w:color="auto"/>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Borders>
              <w:top w:val="single" w:sz="8" w:color="auto"/>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Borders>
              <w:top w:val="single" w:sz="8" w:color="auto"/>
              <w:bottom w:val="single" w:sz="8" w:color="auto"/>
            </w:tcBorders>
          </w:tcPr>
          <w:p>
            <w:pPr>
              <w:ind w:left="480"/>
              <w:spacing w:after="0" w:line="155" w:lineRule="exact"/>
              <w:rPr>
                <w:sz w:val="20"/>
                <w:szCs w:val="20"/>
                <w:color w:val="auto"/>
              </w:rPr>
            </w:pPr>
            <w:r>
              <w:rPr>
                <w:rFonts w:ascii="Times New Roman" w:cs="Times New Roman" w:eastAsia="Times New Roman" w:hAnsi="Times New Roman"/>
                <w:sz w:val="14"/>
                <w:szCs w:val="14"/>
                <w:color w:val="auto"/>
                <w:w w:val="96"/>
              </w:rPr>
              <w:t>873,317</w:t>
            </w:r>
          </w:p>
        </w:tc>
        <w:tc>
          <w:tcPr>
            <w:tcW w:w="340" w:type="dxa"/>
            <w:vAlign w:val="bottom"/>
          </w:tcPr>
          <w:p>
            <w:pPr>
              <w:spacing w:after="0"/>
              <w:rPr>
                <w:sz w:val="14"/>
                <w:szCs w:val="14"/>
                <w:color w:val="auto"/>
              </w:rPr>
            </w:pPr>
          </w:p>
        </w:tc>
        <w:tc>
          <w:tcPr>
            <w:tcW w:w="680" w:type="dxa"/>
            <w:vAlign w:val="bottom"/>
            <w:tcBorders>
              <w:top w:val="single" w:sz="8" w:color="auto"/>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Borders>
              <w:top w:val="single" w:sz="8" w:color="auto"/>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Borders>
              <w:top w:val="single" w:sz="8" w:color="auto"/>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62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TOTAL</w:t>
            </w:r>
          </w:p>
        </w:tc>
        <w:tc>
          <w:tcPr>
            <w:tcW w:w="11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2,058,550,551</w:t>
            </w:r>
          </w:p>
        </w:tc>
        <w:tc>
          <w:tcPr>
            <w:tcW w:w="110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1,642,233,575</w:t>
            </w:r>
          </w:p>
        </w:tc>
        <w:tc>
          <w:tcPr>
            <w:tcW w:w="840" w:type="dxa"/>
            <w:vAlign w:val="bottom"/>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9,000,000</w:t>
            </w:r>
          </w:p>
        </w:tc>
        <w:tc>
          <w:tcPr>
            <w:tcW w:w="1280" w:type="dxa"/>
            <w:vAlign w:val="bottom"/>
            <w:gridSpan w:val="2"/>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2,212,977,609</w:t>
            </w:r>
          </w:p>
        </w:tc>
        <w:tc>
          <w:tcPr>
            <w:tcW w:w="840" w:type="dxa"/>
            <w:vAlign w:val="bottom"/>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9,000,000</w:t>
            </w:r>
          </w:p>
        </w:tc>
        <w:tc>
          <w:tcPr>
            <w:tcW w:w="76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4,250,551</w:t>
            </w:r>
          </w:p>
        </w:tc>
        <w:tc>
          <w:tcPr>
            <w:tcW w:w="500" w:type="dxa"/>
            <w:vAlign w:val="bottom"/>
            <w:gridSpan w:val="3"/>
            <w:shd w:val="clear" w:color="auto" w:fill="CCEEFF"/>
          </w:tcPr>
          <w:p>
            <w:pPr>
              <w:jc w:val="center"/>
              <w:ind w:left="72"/>
              <w:spacing w:after="0" w:line="149" w:lineRule="exact"/>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ind w:lef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360" w:type="dxa"/>
            <w:vAlign w:val="bottom"/>
            <w:gridSpan w:val="2"/>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64" w:lineRule="exact"/>
        <w:rPr>
          <w:sz w:val="20"/>
          <w:szCs w:val="20"/>
          <w:color w:val="auto"/>
        </w:rPr>
      </w:pPr>
    </w:p>
    <w:p>
      <w:pPr>
        <w:ind w:left="540" w:hanging="424"/>
        <w:spacing w:after="0"/>
        <w:tabs>
          <w:tab w:leader="none" w:pos="54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less than one percent.</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141</w:t>
      </w:r>
    </w:p>
    <w:p>
      <w:pPr>
        <w:sectPr>
          <w:pgSz w:w="11900" w:h="16838" w:orient="portrait"/>
          <w:cols w:equalWidth="0" w:num="1">
            <w:col w:w="11140"/>
          </w:cols>
          <w:pgMar w:left="320" w:top="455" w:right="439" w:bottom="1440" w:gutter="0" w:footer="0" w:header="0"/>
        </w:sectPr>
      </w:pPr>
    </w:p>
    <w:bookmarkStart w:id="156" w:name="page157"/>
    <w:bookmarkEnd w:id="1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540" w:right="280" w:hanging="424"/>
        <w:spacing w:after="0" w:line="281" w:lineRule="auto"/>
        <w:tabs>
          <w:tab w:leader="none" w:pos="540" w:val="left"/>
        </w:tabs>
        <w:numPr>
          <w:ilvl w:val="0"/>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Consists of 550,055 Class A ADSs purchased pursuant to a PIPE Subscription Agreement. Benjamin Lincoln is the Manager of such Selling Securityholder and, as such, may be deemed to be the beneficial owner of the securities reported by such Selling Securityholder. Mr. Lincoln disclaims any beneficial ownership of the securities reported by such Selling Securityholder other than to the extent of any pecuniary interest Mr. Lincoln may have therein, directly or indirectly. The business address of this Selling Securityholder is 585 South Blvd, Pontiac, MI 48341.</w:t>
      </w:r>
    </w:p>
    <w:p>
      <w:pPr>
        <w:spacing w:after="0" w:line="69" w:lineRule="exact"/>
        <w:rPr>
          <w:rFonts w:ascii="Times New Roman" w:cs="Times New Roman" w:eastAsia="Times New Roman" w:hAnsi="Times New Roman"/>
          <w:sz w:val="17"/>
          <w:szCs w:val="17"/>
          <w:color w:val="auto"/>
        </w:rPr>
      </w:pPr>
    </w:p>
    <w:p>
      <w:pPr>
        <w:ind w:left="540" w:right="160" w:hanging="424"/>
        <w:spacing w:after="0" w:line="258" w:lineRule="auto"/>
        <w:tabs>
          <w:tab w:leader="none" w:pos="54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925,158 Class A ADSs purchased pursuant to a PIPE Subscription Agreement and (ii) 78,426 Class A ADSs issued upon the conversion of certain shares of GGI Class F Common Stock. Alec Gores is the President of such Selling Securityholder and, as such, may be deemed to be the beneficial owner of the securities reported by such Selling Securityholder. Mr. Gores disclaims any beneficial ownership of the securities reported by such Selling Securityholder other than to the extent of any pecuniary interest Mr. Gores may have therein, directly or indirectly. The business address of this Selling Securityholder is 6260 Lookout Road, Boulder, CO 80301.</w:t>
      </w:r>
    </w:p>
    <w:p>
      <w:pPr>
        <w:spacing w:after="0" w:line="88" w:lineRule="exact"/>
        <w:rPr>
          <w:rFonts w:ascii="Times New Roman" w:cs="Times New Roman" w:eastAsia="Times New Roman" w:hAnsi="Times New Roman"/>
          <w:sz w:val="18"/>
          <w:szCs w:val="18"/>
          <w:color w:val="auto"/>
        </w:rPr>
      </w:pPr>
    </w:p>
    <w:p>
      <w:pPr>
        <w:ind w:left="540" w:right="40" w:hanging="424"/>
        <w:spacing w:after="0" w:line="258" w:lineRule="auto"/>
        <w:tabs>
          <w:tab w:leader="none" w:pos="54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1,333,530 Class A ADSs purchased pursuant to a PIPE Subscription Agreement. Alyeska Master Fund, L.P. is managed by Alyeska Investment Group, L.P., its investment manager. Anand Parekh is the Chief Executive Officer of Alyeska Investment Group, L.P. and, as such, may be deemed to be the beneficial owner of the securities reported by such Selling Securityholder. Mr. Parekh, however, disclaims any beneficial ownership of the securities held by the Selling Securityholder. The business address of this Selling Securityholder is 77 W Wacker Dr Suite 700, Chicago, IL 60601.</w:t>
      </w:r>
    </w:p>
    <w:p>
      <w:pPr>
        <w:spacing w:after="0" w:line="88" w:lineRule="exact"/>
        <w:rPr>
          <w:rFonts w:ascii="Times New Roman" w:cs="Times New Roman" w:eastAsia="Times New Roman" w:hAnsi="Times New Roman"/>
          <w:sz w:val="18"/>
          <w:szCs w:val="18"/>
          <w:color w:val="auto"/>
        </w:rPr>
      </w:pPr>
    </w:p>
    <w:p>
      <w:pPr>
        <w:ind w:left="540" w:right="120" w:hanging="424"/>
        <w:spacing w:after="0" w:line="258" w:lineRule="auto"/>
        <w:tabs>
          <w:tab w:leader="none" w:pos="54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4,400,440 Class A ADSs purchased pursuant to a PIPE Subscription Agreement. The assets of AMF Tjänstepension AB are managed by AMF Fonder AB, its subsidiary. Anders Oscarsson is Head of Equities of AMF Fonder AB and, as such, may be deemed to be the beneficial owners of the securities reported by this Selling Securityholder. Mr. Oscarsson disclaims any beneficial ownership of the securities reported by such Selling Securityholder other than to the extent of any pecuniary interest he may have therein, directly or indirectly. The business address of this Selling Securityholder is Klara Sodra Kyrkogata 18, 11388 Stockholm, Sweden.</w:t>
      </w:r>
    </w:p>
    <w:p>
      <w:pPr>
        <w:spacing w:after="0" w:line="88" w:lineRule="exact"/>
        <w:rPr>
          <w:rFonts w:ascii="Times New Roman" w:cs="Times New Roman" w:eastAsia="Times New Roman" w:hAnsi="Times New Roman"/>
          <w:sz w:val="18"/>
          <w:szCs w:val="18"/>
          <w:color w:val="auto"/>
        </w:rPr>
      </w:pPr>
    </w:p>
    <w:p>
      <w:pPr>
        <w:ind w:left="540" w:right="20" w:hanging="424"/>
        <w:spacing w:after="0" w:line="256" w:lineRule="auto"/>
        <w:tabs>
          <w:tab w:leader="none" w:pos="54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1,925,192 Class A ADSs purchased pursuant to a PIPE Subscription Agreement and 3,919,561 Class A ADSs that were purchased in the open market. BNP Paribas Asset Management as Agent on behalf of BNP Paribas – Funds Energy Transition is managed by BNP Paribas Asset Management UK LTD, its Management Company. BNP Paribas Asset Management UK LTD disclaims any beneficial ownership of the securities reported by such Selling Securityholder other than to the extent of any pecuniary interest BNP Paribas Asset Management UK LTD may have therein, directly or indirectly. The business address of this Selling Securityholder is 5 Aldermanbury Square, London, United Kingdom EC2V7BP.</w:t>
      </w:r>
    </w:p>
    <w:p>
      <w:pPr>
        <w:spacing w:after="0" w:line="92" w:lineRule="exact"/>
        <w:rPr>
          <w:rFonts w:ascii="Times New Roman" w:cs="Times New Roman" w:eastAsia="Times New Roman" w:hAnsi="Times New Roman"/>
          <w:sz w:val="18"/>
          <w:szCs w:val="18"/>
          <w:color w:val="auto"/>
        </w:rPr>
      </w:pPr>
    </w:p>
    <w:p>
      <w:pPr>
        <w:ind w:left="540" w:right="100" w:hanging="424"/>
        <w:spacing w:after="0" w:line="282" w:lineRule="auto"/>
        <w:tabs>
          <w:tab w:leader="none" w:pos="54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100,000 Class A ADSs issued upon the conversion of certain shares of GGI Class F Common Stock. Charles Pacheco is a Member of Gores Guggenheim Sponsor, LLC. The business address of this Selling Securityholder is 170 N Normandie Ave, Los Angeles, CA 90004.</w:t>
      </w:r>
    </w:p>
    <w:p>
      <w:pPr>
        <w:spacing w:after="0" w:line="67" w:lineRule="exact"/>
        <w:rPr>
          <w:rFonts w:ascii="Times New Roman" w:cs="Times New Roman" w:eastAsia="Times New Roman" w:hAnsi="Times New Roman"/>
          <w:sz w:val="18"/>
          <w:szCs w:val="18"/>
          <w:color w:val="auto"/>
        </w:rPr>
      </w:pPr>
    </w:p>
    <w:p>
      <w:pPr>
        <w:ind w:left="540" w:right="100" w:hanging="424"/>
        <w:spacing w:after="0" w:line="261" w:lineRule="auto"/>
        <w:tabs>
          <w:tab w:leader="none" w:pos="54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1,044,633 Class A ADSs purchased pursuant to a PIPE Subscription Agreement. Christopher T. Charlton is the Manager of such trust and, as such, may be deemed to be the beneficial owner of the securities reported by such trust. Mr. Charlton disclaims any beneficial ownership of the securities reported by such Selling Securityholder other than to the extent of any pecuniary interest Mr. Charlton may have therein, directly or indirectly. The business address of this Selling Securityholder is 24000 Greater Mack Ave, St. Claire Shores, MI 48080.</w:t>
      </w:r>
    </w:p>
    <w:p>
      <w:pPr>
        <w:spacing w:after="0" w:line="85" w:lineRule="exact"/>
        <w:rPr>
          <w:rFonts w:ascii="Times New Roman" w:cs="Times New Roman" w:eastAsia="Times New Roman" w:hAnsi="Times New Roman"/>
          <w:sz w:val="18"/>
          <w:szCs w:val="18"/>
          <w:color w:val="auto"/>
        </w:rPr>
      </w:pPr>
    </w:p>
    <w:p>
      <w:pPr>
        <w:ind w:left="540" w:hanging="424"/>
        <w:spacing w:after="0" w:line="258" w:lineRule="auto"/>
        <w:tabs>
          <w:tab w:leader="none" w:pos="54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1,566,948 Class A ADSs purchased pursuant to a PIPE Subscription Agreement. Citadel Advisors LLC is the portfolio manager of Citadel CEMF Investments Ltd. Citadel Advisors Holdings LP is the sole member of Citadel Advisors LLC. Citadel GP LLC is the General Partner of Citadel Advisors Holdings LP. Kenneth Griffin owns a controlling interest in Citadel GP LLC. Mr. Griffin, as the owner of a controlling interest in Citadel GP LLC, may be deemed to have shared power to vote and/or shared power to dispose of the securities held by Citadel CEMF Investments Ltd. This disclosure shall not be construed as an</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142</w:t>
      </w:r>
    </w:p>
    <w:p>
      <w:pPr>
        <w:sectPr>
          <w:pgSz w:w="11900" w:h="16838" w:orient="portrait"/>
          <w:cols w:equalWidth="0" w:num="1">
            <w:col w:w="11120"/>
          </w:cols>
          <w:pgMar w:left="320" w:top="455" w:right="459" w:bottom="1440" w:gutter="0" w:footer="0" w:header="0"/>
        </w:sectPr>
      </w:pPr>
    </w:p>
    <w:bookmarkStart w:id="157" w:name="page158"/>
    <w:bookmarkEnd w:id="1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540" w:right="20"/>
        <w:spacing w:after="0" w:line="312" w:lineRule="auto"/>
        <w:rPr>
          <w:sz w:val="20"/>
          <w:szCs w:val="20"/>
          <w:color w:val="auto"/>
        </w:rPr>
      </w:pPr>
      <w:r>
        <w:rPr>
          <w:rFonts w:ascii="Times New Roman" w:cs="Times New Roman" w:eastAsia="Times New Roman" w:hAnsi="Times New Roman"/>
          <w:sz w:val="17"/>
          <w:szCs w:val="17"/>
          <w:color w:val="auto"/>
        </w:rPr>
        <w:t>admission that Mr. Griffin or any of the Citadel related entities listed above is the beneficial owner of any securities of the Company other than the securities actually owned by such person (if any). The business address of Citadel CEMF Investments Ltd. is 601 Lexington Ave, NY, NY 10022.</w:t>
      </w:r>
    </w:p>
    <w:p>
      <w:pPr>
        <w:spacing w:after="0" w:line="45" w:lineRule="exact"/>
        <w:rPr>
          <w:sz w:val="20"/>
          <w:szCs w:val="20"/>
          <w:color w:val="auto"/>
        </w:rPr>
      </w:pPr>
    </w:p>
    <w:p>
      <w:pPr>
        <w:ind w:left="540" w:hanging="424"/>
        <w:spacing w:after="0" w:line="258" w:lineRule="auto"/>
        <w:tabs>
          <w:tab w:leader="none" w:pos="54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3,129,202 Class A ADSs acquired in connection with the conversion of certain convertible notes of Parent. Joonkang Lee is the sole director of this Selling Securityholder and, as such, may be deemed to be the beneficial owner of the securities reported by such Selling Securityholder. Mr. Lee disclaims any beneficial ownership of the securities reported by such Selling Securityholder other than to the extent of any pecuniary interest Mr. Lee may have therein, directly or indirectly. The business address of this Selling Securityholder is 343 Samil-Daero Jung-Gu, Seoul, South Korea.</w:t>
      </w:r>
    </w:p>
    <w:p>
      <w:pPr>
        <w:spacing w:after="0" w:line="88" w:lineRule="exact"/>
        <w:rPr>
          <w:rFonts w:ascii="Times New Roman" w:cs="Times New Roman" w:eastAsia="Times New Roman" w:hAnsi="Times New Roman"/>
          <w:sz w:val="18"/>
          <w:szCs w:val="18"/>
          <w:color w:val="auto"/>
        </w:rPr>
      </w:pPr>
    </w:p>
    <w:p>
      <w:pPr>
        <w:ind w:left="540" w:right="160" w:hanging="424"/>
        <w:spacing w:after="0" w:line="282" w:lineRule="auto"/>
        <w:tabs>
          <w:tab w:leader="none" w:pos="54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150,949 Class A ADSs purchased pursuant to a PIPE Subscription Agreement. The business address of this Selling Securityholder is 3130 N Harwood St Apt 1901, Dallas, TX 75201.</w:t>
      </w:r>
    </w:p>
    <w:p>
      <w:pPr>
        <w:spacing w:after="0" w:line="67" w:lineRule="exact"/>
        <w:rPr>
          <w:rFonts w:ascii="Times New Roman" w:cs="Times New Roman" w:eastAsia="Times New Roman" w:hAnsi="Times New Roman"/>
          <w:sz w:val="18"/>
          <w:szCs w:val="18"/>
          <w:color w:val="auto"/>
        </w:rPr>
      </w:pPr>
    </w:p>
    <w:p>
      <w:pPr>
        <w:ind w:left="540" w:right="220" w:hanging="424"/>
        <w:spacing w:after="0" w:line="266" w:lineRule="auto"/>
        <w:tabs>
          <w:tab w:leader="none" w:pos="54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25,000 Class A ADSs issued upon the conversion of certain shares of GGI Class F Common Stock. Elizabeth Marcellino previously served as an independent director of Gores Guggenheim, Inc. The business address of this Selling Securityholder is 11917 Pacific Ave, Los Angeles, CA 90066.</w:t>
      </w:r>
    </w:p>
    <w:p>
      <w:pPr>
        <w:spacing w:after="0" w:line="81" w:lineRule="exact"/>
        <w:rPr>
          <w:rFonts w:ascii="Times New Roman" w:cs="Times New Roman" w:eastAsia="Times New Roman" w:hAnsi="Times New Roman"/>
          <w:sz w:val="18"/>
          <w:szCs w:val="18"/>
          <w:color w:val="auto"/>
        </w:rPr>
      </w:pPr>
    </w:p>
    <w:p>
      <w:pPr>
        <w:ind w:left="540" w:right="20" w:hanging="424"/>
        <w:spacing w:after="0" w:line="274" w:lineRule="auto"/>
        <w:tabs>
          <w:tab w:leader="none" w:pos="540" w:val="left"/>
        </w:tabs>
        <w:numPr>
          <w:ilvl w:val="0"/>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Consists of 485,754 Class A ADSs purchased pursuant to a PIPE Subscription Agreement. Elliott Associates, L.P. is managed by Elliott Investment Management L.P., its Investment Advisor. Elliott Investment Management GP LLC is the General Partner of Elliott Investment Management L.P. Paul E. Singer is the Managing Member of Elliott Investment Management GP LLC and, as such, may be deemed to be the beneficial owner of the securities reported by such Selling Securityholder. Mr. Singer disclaims any beneficial ownership of the securities reported by such Selling Securityholder other than to the extent of any pecuniary interest Mr. Singer may have therein, directly or indirectly. The business address of this Selling Securityholder is c/o Elliott Investment Management L.P., 360 S. Rosemary Ave, 18th Floor, West Palm Beach, FL 33401.</w:t>
      </w:r>
    </w:p>
    <w:p>
      <w:pPr>
        <w:spacing w:after="0" w:line="78" w:lineRule="exact"/>
        <w:rPr>
          <w:rFonts w:ascii="Times New Roman" w:cs="Times New Roman" w:eastAsia="Times New Roman" w:hAnsi="Times New Roman"/>
          <w:sz w:val="17"/>
          <w:szCs w:val="17"/>
          <w:color w:val="auto"/>
        </w:rPr>
      </w:pPr>
    </w:p>
    <w:p>
      <w:pPr>
        <w:ind w:left="540" w:right="20" w:hanging="424"/>
        <w:spacing w:after="0" w:line="274" w:lineRule="auto"/>
        <w:tabs>
          <w:tab w:leader="none" w:pos="540" w:val="left"/>
        </w:tabs>
        <w:numPr>
          <w:ilvl w:val="0"/>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Consists of 1,081,194 Class A ADSs purchased pursuant to a PIPE Subscription Agreement. Elliott International, L.P. is managed by Elliott Investment Management L.P., its Investment Advisor. Elliott Investment Management GP LLC is the General Partner of Elliott Investment Management L.P. Paul E. Singer is the Managing Member of Elliott Investment Management GP LLC and, as such, may be deemed to be the beneficial owner of the securities reported by such Selling Securityholder. Mr. Singer disclaims any beneficial ownership of the securities reported by such Selling Securityholder other than to the extent of any pecuniary interest Mr. Singer may have therein, directly or indirectly. The business address of this Selling Securityholder is c/o Elliott Investment Management L.P., 360 S. Rosemary Ave, 18th Floor, West Palm Beach, FL 33401.</w:t>
      </w:r>
    </w:p>
    <w:p>
      <w:pPr>
        <w:spacing w:after="0" w:line="78" w:lineRule="exact"/>
        <w:rPr>
          <w:rFonts w:ascii="Times New Roman" w:cs="Times New Roman" w:eastAsia="Times New Roman" w:hAnsi="Times New Roman"/>
          <w:sz w:val="17"/>
          <w:szCs w:val="17"/>
          <w:color w:val="auto"/>
        </w:rPr>
      </w:pPr>
    </w:p>
    <w:p>
      <w:pPr>
        <w:ind w:left="540" w:right="140" w:hanging="424"/>
        <w:spacing w:after="0" w:line="258" w:lineRule="auto"/>
        <w:tabs>
          <w:tab w:leader="none" w:pos="54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1,305,791 Class A ADSs purchased pursuant to a PIPE Subscription Agreement. Erich Sixt, Konstantin Sixt, and Alexander Sixt are the managing directors of such Selling Securityholder and, as such, may be deemed to be the beneficial owners of the securities reported by such Selling Securityholder. Messrs. Sixt disclaim any beneficial ownership of the securities reported by such Selling Securityholder other than to the extent of any pecuniary interest Messrs. Sixt may have therein, directly or indirectly. The business address of this Selling Securityholder is Zugspitzstraße 1, 82049 Pullach im Isartal, Germany.</w:t>
      </w:r>
    </w:p>
    <w:p>
      <w:pPr>
        <w:spacing w:after="0" w:line="88" w:lineRule="exact"/>
        <w:rPr>
          <w:rFonts w:ascii="Times New Roman" w:cs="Times New Roman" w:eastAsia="Times New Roman" w:hAnsi="Times New Roman"/>
          <w:sz w:val="18"/>
          <w:szCs w:val="18"/>
          <w:color w:val="auto"/>
        </w:rPr>
      </w:pPr>
    </w:p>
    <w:p>
      <w:pPr>
        <w:ind w:left="540" w:right="140" w:hanging="424"/>
        <w:spacing w:after="0" w:line="256" w:lineRule="auto"/>
        <w:tabs>
          <w:tab w:leader="none" w:pos="54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8,892,083 Class A ADSs issued upon the conversion of certain shares of GGI Class F Common Stock and (ii) 4,500,000 Class A ADSs issued upon the conversion of certain Class C-2 ADSs. GG Sponsor, LLC is managed by AEG Holdings, LLC. Alec E. Gores is the Managing Member of AEG Holdings, LLC and, as such, may be deemed to be the beneficial owner of the securities reported by such Selling Securityholder. Mr. Gores disclaims any beneficial ownership of the securities reported by such Selling Securityholder other than to the extent of any pecuniary interest Mr. Gores may have therein, directly or indirectly. The business address of this Selling Securityholder is 6260 Lookout Road, Boulder, CO 80301.</w:t>
      </w:r>
    </w:p>
    <w:p>
      <w:pPr>
        <w:spacing w:after="0" w:line="92" w:lineRule="exact"/>
        <w:rPr>
          <w:rFonts w:ascii="Times New Roman" w:cs="Times New Roman" w:eastAsia="Times New Roman" w:hAnsi="Times New Roman"/>
          <w:sz w:val="18"/>
          <w:szCs w:val="18"/>
          <w:color w:val="auto"/>
        </w:rPr>
      </w:pPr>
    </w:p>
    <w:p>
      <w:pPr>
        <w:ind w:left="540" w:right="240" w:hanging="424"/>
        <w:spacing w:after="0" w:line="282" w:lineRule="auto"/>
        <w:tabs>
          <w:tab w:leader="none" w:pos="54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8,813,656 Class A ADSs issued upon the conversion of certain shares of GGI Class F Common Stock and (ii) 4,500,000 Class A ADSs issued upon the conversion of certain Class C-2 ADSs.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143</w:t>
      </w:r>
    </w:p>
    <w:p>
      <w:pPr>
        <w:sectPr>
          <w:pgSz w:w="11900" w:h="16838" w:orient="portrait"/>
          <w:cols w:equalWidth="0" w:num="1">
            <w:col w:w="11120"/>
          </w:cols>
          <w:pgMar w:left="320" w:top="455" w:right="459" w:bottom="1440" w:gutter="0" w:footer="0" w:header="0"/>
        </w:sectPr>
      </w:pPr>
    </w:p>
    <w:bookmarkStart w:id="158" w:name="page159"/>
    <w:bookmarkEnd w:id="1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540" w:right="220"/>
        <w:spacing w:after="0" w:line="261" w:lineRule="auto"/>
        <w:rPr>
          <w:sz w:val="20"/>
          <w:szCs w:val="20"/>
          <w:color w:val="auto"/>
        </w:rPr>
      </w:pPr>
      <w:r>
        <w:rPr>
          <w:rFonts w:ascii="Times New Roman" w:cs="Times New Roman" w:eastAsia="Times New Roman" w:hAnsi="Times New Roman"/>
          <w:sz w:val="18"/>
          <w:szCs w:val="18"/>
          <w:color w:val="auto"/>
        </w:rPr>
        <w:t>Andrew Rosenfield is the Sole Manager of such Selling Securityholder and, as such, may be deemed to be the beneficial owner of the securities reported by such Selling Securityholder. Mr. Rosenfield disclaims any beneficial ownership of the securities reported by such Selling Securityholder other than to the extent of any pecuniary interest Mr. Rosenfield may have therein, directly or indirectly. The business address of this Selling Securityholder is 6260 Lookout Road, Boulder, CO 80301.</w:t>
      </w:r>
    </w:p>
    <w:p>
      <w:pPr>
        <w:spacing w:after="0" w:line="85" w:lineRule="exact"/>
        <w:rPr>
          <w:sz w:val="20"/>
          <w:szCs w:val="20"/>
          <w:color w:val="auto"/>
        </w:rPr>
      </w:pPr>
    </w:p>
    <w:p>
      <w:pPr>
        <w:ind w:left="540" w:right="20" w:hanging="424"/>
        <w:spacing w:after="0" w:line="255" w:lineRule="auto"/>
        <w:tabs>
          <w:tab w:leader="none" w:pos="54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500,000 Class A ADSs issued upon the conversion of certain shares of GGI Class F Common Stock. Gores Guggenheim Sponsor LLC is managed by GG Sponsor, LLC and GGP Sponsor Holdings, LLC. GG Sponsor, LLC is managed by AEG Holdings, LLC. Alec E. Gores is the Managing Member of AEG Holdings, LLC and, as such, may be deemed to be the beneficial owner of the securities reported by such Selling Securityholder. Andrew Rosenfield is the Sole Manager of GGP Sponsor Holdings, LLC and, as such, may be deemed to be the beneficial owner of the securities reported by such Selling Securityholder. Each of Messrs. Gores and Rosenfield disclaims any beneficial ownership of the securities reported by such Selling Securityholder other than to the extent of any pecuniary interest each may have therein, directly or indirectly. The business address of this Selling Securityholder is 227 W. Monroe, Chicago, IL 60606.</w:t>
      </w:r>
    </w:p>
    <w:p>
      <w:pPr>
        <w:spacing w:after="0" w:line="94" w:lineRule="exact"/>
        <w:rPr>
          <w:rFonts w:ascii="Times New Roman" w:cs="Times New Roman" w:eastAsia="Times New Roman" w:hAnsi="Times New Roman"/>
          <w:sz w:val="18"/>
          <w:szCs w:val="18"/>
          <w:color w:val="auto"/>
        </w:rPr>
      </w:pPr>
    </w:p>
    <w:p>
      <w:pPr>
        <w:ind w:left="540" w:right="40" w:hanging="424"/>
        <w:spacing w:after="0" w:line="282" w:lineRule="auto"/>
        <w:tabs>
          <w:tab w:leader="none" w:pos="54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522,316 Class A ADSs purchased pursuant to a PIPE Subscription Agreement. The business address of this Selling Securityholder is 1 York St Suite 1900, Toronto, ON M5J 0B6.</w:t>
      </w:r>
    </w:p>
    <w:p>
      <w:pPr>
        <w:spacing w:after="0" w:line="67" w:lineRule="exact"/>
        <w:rPr>
          <w:rFonts w:ascii="Times New Roman" w:cs="Times New Roman" w:eastAsia="Times New Roman" w:hAnsi="Times New Roman"/>
          <w:sz w:val="18"/>
          <w:szCs w:val="18"/>
          <w:color w:val="auto"/>
        </w:rPr>
      </w:pPr>
    </w:p>
    <w:p>
      <w:pPr>
        <w:ind w:left="540" w:right="300" w:hanging="424"/>
        <w:spacing w:after="0" w:line="282" w:lineRule="auto"/>
        <w:tabs>
          <w:tab w:leader="none" w:pos="54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150,949 Class A ADSs purchased pursuant to a PIPE Subscription Agreement. Mark Stone is the Chief Executive Officer of Gores Guggenheim, Inc. The business address of this Selling Securityholder is 8520 Calera Dr, Austin, TX 78735.</w:t>
      </w:r>
    </w:p>
    <w:p>
      <w:pPr>
        <w:spacing w:after="0" w:line="67" w:lineRule="exact"/>
        <w:rPr>
          <w:rFonts w:ascii="Times New Roman" w:cs="Times New Roman" w:eastAsia="Times New Roman" w:hAnsi="Times New Roman"/>
          <w:sz w:val="18"/>
          <w:szCs w:val="18"/>
          <w:color w:val="auto"/>
        </w:rPr>
      </w:pPr>
    </w:p>
    <w:p>
      <w:pPr>
        <w:ind w:left="540" w:right="220" w:hanging="424"/>
        <w:spacing w:after="0" w:line="258" w:lineRule="auto"/>
        <w:tabs>
          <w:tab w:leader="none" w:pos="54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1,305,791 Class A ADSs purchased pursuant to a PIPE Subscription Agreement. MG6TV, LLC is owned by Trousdale Sarosphere, LLC. Phillip Sarofim is a manager of Trousdale Sarosphere, LLC and, as such, may be deemed to be the beneficial owner of the securities reported by such Selling Securityholder. Mr. Sarofim disclaims any beneficial ownership of the securities reported by such Securityholder other than to the extent of any pecuniary interest Mr. Sarofim may have therein, directly or indirectly. The business address of this Selling Securityholder is 433 N Camden Dr Suite 600, Beverly Hills, CA 90210.</w:t>
      </w:r>
    </w:p>
    <w:p>
      <w:pPr>
        <w:spacing w:after="0" w:line="88" w:lineRule="exact"/>
        <w:rPr>
          <w:rFonts w:ascii="Times New Roman" w:cs="Times New Roman" w:eastAsia="Times New Roman" w:hAnsi="Times New Roman"/>
          <w:sz w:val="18"/>
          <w:szCs w:val="18"/>
          <w:color w:val="auto"/>
        </w:rPr>
      </w:pPr>
    </w:p>
    <w:p>
      <w:pPr>
        <w:ind w:left="540" w:right="300" w:hanging="424"/>
        <w:spacing w:after="0" w:line="258" w:lineRule="auto"/>
        <w:tabs>
          <w:tab w:leader="none" w:pos="54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261,159 Class A ADSs purchased pursuant to a PIPE Subscription Agreement. Michael Gores has control over such Selling Securityholder and, as such, may be deemed to be the beneficial owner of the securities reported by such Selling Securityholder. Mr. Gores disclaims any beneficial ownership of the securities reported by such Selling Securityholder other than to the extent of any pecuniary interest Mr. Gores may have therein, directly or indirectly. The business address of this Selling Securityholder is 433 N Camden Dr Suite 600, Beverly Hills, CA 90210.</w:t>
      </w:r>
    </w:p>
    <w:p>
      <w:pPr>
        <w:spacing w:after="0" w:line="88" w:lineRule="exact"/>
        <w:rPr>
          <w:rFonts w:ascii="Times New Roman" w:cs="Times New Roman" w:eastAsia="Times New Roman" w:hAnsi="Times New Roman"/>
          <w:sz w:val="18"/>
          <w:szCs w:val="18"/>
          <w:color w:val="auto"/>
        </w:rPr>
      </w:pPr>
    </w:p>
    <w:p>
      <w:pPr>
        <w:ind w:left="540" w:right="80" w:hanging="424"/>
        <w:spacing w:after="0" w:line="258" w:lineRule="auto"/>
        <w:tabs>
          <w:tab w:leader="none" w:pos="54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1,044,632 Class A ADSs purchased pursuant to a PIPE Subscription Agreement. Moore Capital Management, LP, the investment manager of MMF LT, LLC, has voting and investment control of the shares held by MMF LT, LLC. Mr. Louis M. Bacon controls the general partner of Moore Capital Management, LP and may be deemed the beneficial owner of the shares of the Company held by MMF LT, LLC. Mr. Bacon also is the indirect majority owner of MMF LT, LLC. The address of MMF LT, LLC, Moore Capital Management, LP and Mr. Bacon is 11 Times Square, New York, New York 10036.</w:t>
      </w:r>
    </w:p>
    <w:p>
      <w:pPr>
        <w:spacing w:after="0" w:line="88" w:lineRule="exact"/>
        <w:rPr>
          <w:rFonts w:ascii="Times New Roman" w:cs="Times New Roman" w:eastAsia="Times New Roman" w:hAnsi="Times New Roman"/>
          <w:sz w:val="18"/>
          <w:szCs w:val="18"/>
          <w:color w:val="auto"/>
        </w:rPr>
      </w:pPr>
    </w:p>
    <w:p>
      <w:pPr>
        <w:ind w:left="540" w:right="60" w:hanging="424"/>
        <w:spacing w:after="0" w:line="261" w:lineRule="auto"/>
        <w:tabs>
          <w:tab w:leader="none" w:pos="54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15,670 Class A ADSs purchased pursuant to a PIPE Subscription Agreement and (ii) 25,000 Class A ADSs issued upon conversion of certain shares of GGI Class F Common Stock. Nancy Tellem previously served as an independent director of Gores Guggenheim, Inc. Nancy Tellem may be deemed to the beneficial owner of the reported securities. The business address of this Selling Securityholder is 1390 Kirkway Road, Bloomfield Hills, MI 48302.</w:t>
      </w:r>
    </w:p>
    <w:p>
      <w:pPr>
        <w:spacing w:after="0" w:line="85" w:lineRule="exact"/>
        <w:rPr>
          <w:rFonts w:ascii="Times New Roman" w:cs="Times New Roman" w:eastAsia="Times New Roman" w:hAnsi="Times New Roman"/>
          <w:sz w:val="18"/>
          <w:szCs w:val="18"/>
          <w:color w:val="auto"/>
        </w:rPr>
      </w:pPr>
    </w:p>
    <w:p>
      <w:pPr>
        <w:ind w:left="540" w:hanging="424"/>
        <w:spacing w:after="0" w:line="258" w:lineRule="auto"/>
        <w:tabs>
          <w:tab w:leader="none" w:pos="54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739,284 Class A ADSs purchased pursuant to a PIPE Subscription Agreement. Nineteen77 Global Merger Arbitrage Master Limited is managed by UBS O’Connor LLC, its investment manager. Kevin Russell is the Chief Investment Officer of UBS O’Connor LLC and, as such, may be deemed to be the beneficial owner of the securities reported by such Selling Securityholder. Mr. Russell disclaims any beneficial ownership of the securities reported by such Selling Securityholder other than to the extent of any pecuniary interest Mr. Russell may have therein, directly or indirectly. The business address of this Selling Securityholder is One N Wacker Dr 31st Fl, Chicago, IL 60606.</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144</w:t>
      </w:r>
    </w:p>
    <w:p>
      <w:pPr>
        <w:sectPr>
          <w:pgSz w:w="11900" w:h="16838" w:orient="portrait"/>
          <w:cols w:equalWidth="0" w:num="1">
            <w:col w:w="11120"/>
          </w:cols>
          <w:pgMar w:left="320" w:top="455" w:right="459" w:bottom="1440" w:gutter="0" w:footer="0" w:header="0"/>
        </w:sectPr>
      </w:pPr>
    </w:p>
    <w:bookmarkStart w:id="159" w:name="page160"/>
    <w:bookmarkEnd w:id="1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540" w:hanging="424"/>
        <w:spacing w:after="0" w:line="258" w:lineRule="auto"/>
        <w:tabs>
          <w:tab w:leader="none" w:pos="54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88,377 Class A ADSs purchased pursuant to a PIPE Subscription Agreement. Nineteen77 Global Merger Arbitrage Opportunity Fund is managed by UBS O’Connor LLC, its investment manager. Kevin Russell is the Chief Investment Officer of UBS O’Connor LLC and, as such, may be deemed to be the beneficial owner of the securities reported by such Selling Securityholder. Mr. Russell disclaims any beneficial ownership of the securities reported by such Selling Securityholder other than to the extent of any pecuniary interest Mr. Russell may have therein, directly or indirectly. The business address of this Selling Securityholder is One N Wacker Dr 31st Fl, Chicago, IL 60606.</w:t>
      </w:r>
    </w:p>
    <w:p>
      <w:pPr>
        <w:spacing w:after="0" w:line="88" w:lineRule="exact"/>
        <w:rPr>
          <w:rFonts w:ascii="Times New Roman" w:cs="Times New Roman" w:eastAsia="Times New Roman" w:hAnsi="Times New Roman"/>
          <w:sz w:val="18"/>
          <w:szCs w:val="18"/>
          <w:color w:val="auto"/>
        </w:rPr>
      </w:pPr>
    </w:p>
    <w:p>
      <w:pPr>
        <w:ind w:left="540" w:hanging="424"/>
        <w:spacing w:after="0" w:line="258" w:lineRule="auto"/>
        <w:tabs>
          <w:tab w:leader="none" w:pos="54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739,287 Class A ADSs purchased pursuant to a PIPE Subscription Agreement. Nineteen77 Global Multi-Strategy Alpha Master Limited is managed by UBS O’Connor LLC, its investment manager. Kevin Russell is the Chief Investment Officer of UBS O’Connor LLC and, as such, may be deemed to be the beneficial owner of the securities reported by such Selling Securityholder. Mr. Russell disclaims any beneficial ownership of the securities reported by such Selling Securityholder other than to the extent of any pecuniary interest Mr. Russell may have therein, directly or indirectly. The business address of this Selling Securityholder is One N Wacker Dr 31st Fl, Chicago, IL 60606.</w:t>
      </w:r>
    </w:p>
    <w:p>
      <w:pPr>
        <w:spacing w:after="0" w:line="88" w:lineRule="exact"/>
        <w:rPr>
          <w:rFonts w:ascii="Times New Roman" w:cs="Times New Roman" w:eastAsia="Times New Roman" w:hAnsi="Times New Roman"/>
          <w:sz w:val="18"/>
          <w:szCs w:val="18"/>
          <w:color w:val="auto"/>
        </w:rPr>
      </w:pPr>
    </w:p>
    <w:p>
      <w:pPr>
        <w:ind w:left="540" w:right="100" w:hanging="424"/>
        <w:spacing w:after="0" w:line="254" w:lineRule="auto"/>
        <w:tabs>
          <w:tab w:leader="none" w:pos="54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1,165,041 Class A ADSs acquired in connection with the conversion of certain convertible notes of Parent. Northpole GLY 2 LP is managed by Northpole GLY GP1, its General Partner. Geely Financials International Limited (“Geely Financials”) owns approximately 86.0% of GLy Capital Management Partners (Cayman) Limited, which controls Northpole GLY GP1. (i) Geely Financials is 100% owned by Geely Sweden, (ii) Geely Sweden is 100% owned by Shanghai Geely Zhaoyuan International Investment Co., Ltd (“Shanghai Geely”), (iii) Shanghai Geely is 60.96% owned by Beijing Geely Wanyuan International Investment Co. Ltd (“Beijing Geely Wanyuan”) and 39.04% owned by Geely,</w:t>
      </w:r>
    </w:p>
    <w:p>
      <w:pPr>
        <w:spacing w:after="0" w:line="3" w:lineRule="exact"/>
        <w:rPr>
          <w:rFonts w:ascii="Times New Roman" w:cs="Times New Roman" w:eastAsia="Times New Roman" w:hAnsi="Times New Roman"/>
          <w:sz w:val="18"/>
          <w:szCs w:val="18"/>
          <w:color w:val="auto"/>
        </w:rPr>
      </w:pPr>
    </w:p>
    <w:p>
      <w:pPr>
        <w:ind w:left="860" w:hanging="312"/>
        <w:spacing w:after="0"/>
        <w:tabs>
          <w:tab w:leader="none" w:pos="860"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Beijing Geely Wanyuan is 100% owned by Beijing Geely Kaisheng International Investment Co., Ltd. (“Beijing Geely Kaisheng”),</w:t>
      </w:r>
    </w:p>
    <w:p>
      <w:pPr>
        <w:spacing w:after="0" w:line="9" w:lineRule="exact"/>
        <w:rPr>
          <w:rFonts w:ascii="Times New Roman" w:cs="Times New Roman" w:eastAsia="Times New Roman" w:hAnsi="Times New Roman"/>
          <w:sz w:val="18"/>
          <w:szCs w:val="18"/>
          <w:color w:val="auto"/>
        </w:rPr>
      </w:pPr>
    </w:p>
    <w:p>
      <w:pPr>
        <w:ind w:left="540" w:right="340" w:firstLine="8"/>
        <w:spacing w:after="0" w:line="253" w:lineRule="auto"/>
        <w:tabs>
          <w:tab w:leader="none" w:pos="795"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Beijing Geely Kaisheng is 100% owned by Zhejiang Geely, and (vi) Geely is 91.9% owned by Shufu Li. Therefore, Shufu Li is deemed to have voting and dispositive power with respect to the Class A ADSs directly held by Northpole GLY 2 LP. Shufu Li disclaims any beneficial ownership of the securities reported by Northpole GLY 2 LP other than to the extent of any pecuniary interest he may have therein, directly or indirectly. The business address of this Selling Securityholder is 12F H Code, 45 Pottinger St, Central, Hong Kong.</w:t>
      </w:r>
    </w:p>
    <w:p>
      <w:pPr>
        <w:spacing w:after="0" w:line="94" w:lineRule="exact"/>
        <w:rPr>
          <w:rFonts w:ascii="Times New Roman" w:cs="Times New Roman" w:eastAsia="Times New Roman" w:hAnsi="Times New Roman"/>
          <w:sz w:val="18"/>
          <w:szCs w:val="18"/>
          <w:color w:val="auto"/>
        </w:rPr>
      </w:pPr>
    </w:p>
    <w:p>
      <w:pPr>
        <w:ind w:left="540" w:hanging="424"/>
        <w:spacing w:after="0" w:line="253" w:lineRule="auto"/>
        <w:tabs>
          <w:tab w:leader="none" w:pos="54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1,937,110,924 Class A ADSs (including 294,877,349 Class A ADSs that were issued to Parent as merger consideration in connection with the Business Combination and 1,642,233,575 Class A ADSs issuable to Parent assuming that Parent elects to convert the 1,642,233,575 Class B ADSs it holds into Class A ADSs) and 1,642,233,575 Class B ADSs that were issued to Parent as merger consideration in connection with the Business Combination. (i) Snita owns 48.75% of Parent, and controls 48.71% voting power of Parent, (ii) PSD Investment Limited (“PSD Investment”) owns 42.74% of Parent, and controls 49.53% of voting power of Parent, (iii) PSINV AB (“PSINV”) owns 0.74% of Parent, and controls 0.86% voting power of Parent. Pursuant to the Shareholder Acknowledgement Agreement, each of the shareholders of Parent can direct Parent to exercise the proportion of its proportion of Parent’s voting rights in the Company that directly corresponds to the proportion of such shareholder’s voting rights in Parent, and that the Class A and Class B shares of Parent are deemed to have and be subject to the corresponding rights, privileges, entitlements, and obligations as each Class A Share and Class B Share, as set out under the Polestar Articles. In addition, the Polestar Articles provides that decisions of the Board is determined by a majority of votes. Accordingly, the Shareholder Acknowledgement Agreement and Articles, taken collectively, indicates that Snita, PSD Investment, and PSINV collectively share the voting power and dispositive power with respect to 100% of the Class A ADSs and Class B ADSs directly held by Parent. The business address of this Selling Securityholder is 12/F, H Code, 45 Pottinger Street, Central, Hong Kong.</w:t>
      </w:r>
    </w:p>
    <w:p>
      <w:pPr>
        <w:spacing w:after="0" w:line="92" w:lineRule="exact"/>
        <w:rPr>
          <w:rFonts w:ascii="Times New Roman" w:cs="Times New Roman" w:eastAsia="Times New Roman" w:hAnsi="Times New Roman"/>
          <w:sz w:val="18"/>
          <w:szCs w:val="18"/>
          <w:color w:val="auto"/>
        </w:rPr>
      </w:pPr>
    </w:p>
    <w:p>
      <w:pPr>
        <w:ind w:left="540" w:right="240" w:hanging="424"/>
        <w:spacing w:after="0" w:line="312" w:lineRule="auto"/>
        <w:tabs>
          <w:tab w:leader="none" w:pos="540" w:val="left"/>
        </w:tabs>
        <w:numPr>
          <w:ilvl w:val="0"/>
          <w:numId w:val="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Assumes (i) the issuance of all 134,098,971 Earn Out Class B Shares and all 24,078,638 Earn Out Class A Shares to this Selling Securityholder and (ii) the conversion of all Class B ADSs held by this Selling Securityholder after such earn out share issuances to Class A ADSs.</w:t>
      </w:r>
    </w:p>
    <w:p>
      <w:pPr>
        <w:spacing w:after="0" w:line="45" w:lineRule="exact"/>
        <w:rPr>
          <w:rFonts w:ascii="Times New Roman" w:cs="Times New Roman" w:eastAsia="Times New Roman" w:hAnsi="Times New Roman"/>
          <w:sz w:val="17"/>
          <w:szCs w:val="17"/>
          <w:color w:val="auto"/>
        </w:rPr>
      </w:pPr>
    </w:p>
    <w:p>
      <w:pPr>
        <w:ind w:left="540" w:right="520" w:hanging="424"/>
        <w:spacing w:after="0" w:line="282" w:lineRule="auto"/>
        <w:tabs>
          <w:tab w:leader="none" w:pos="54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25,000 Class A ADSs issued upon the conversion of certain shares of GGI Class F Common Stock. The business address of this Selling Securityholder is 406 28th Street, Manhattan Beach, CA 90266.</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145</w:t>
      </w:r>
    </w:p>
    <w:p>
      <w:pPr>
        <w:sectPr>
          <w:pgSz w:w="11900" w:h="16838" w:orient="portrait"/>
          <w:cols w:equalWidth="0" w:num="1">
            <w:col w:w="11120"/>
          </w:cols>
          <w:pgMar w:left="320" w:top="455" w:right="459" w:bottom="1440" w:gutter="0" w:footer="0" w:header="0"/>
        </w:sectPr>
      </w:pPr>
    </w:p>
    <w:bookmarkStart w:id="160" w:name="page161"/>
    <w:bookmarkEnd w:id="1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540" w:right="20" w:hanging="424"/>
        <w:spacing w:after="0" w:line="256" w:lineRule="auto"/>
        <w:tabs>
          <w:tab w:leader="none" w:pos="54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201,747 Class A ADSs purchased pursuant to a PIPE Subscription Agreement. Saba Capital Master Fund III LP is managed by Saba Capital Management, LP. Saba Capital Management GP LLC is the General Partner of Saba Capital Management, LP. Boaz Weinstein is the managing member of Saba Capital Management GP LLC and, as such, may be deemed to be the beneficial owner of the securities reported by this Selling Securityholder. Mr. Weinstein disclaims any beneficial ownership of the securities reported by such Selling Securityholder other than to the extent of any pecuniary interest Mr. Weinstein may have therein, directly or indirectly. The business address of this Selling Securityholder is C/O Saba Capital Management, LP, 405 Lexington Ave 58th Floor, NY, NY 10174.</w:t>
      </w:r>
    </w:p>
    <w:p>
      <w:pPr>
        <w:spacing w:after="0" w:line="92" w:lineRule="exact"/>
        <w:rPr>
          <w:rFonts w:ascii="Times New Roman" w:cs="Times New Roman" w:eastAsia="Times New Roman" w:hAnsi="Times New Roman"/>
          <w:sz w:val="18"/>
          <w:szCs w:val="18"/>
          <w:color w:val="auto"/>
        </w:rPr>
      </w:pPr>
    </w:p>
    <w:p>
      <w:pPr>
        <w:ind w:left="540" w:right="20" w:hanging="424"/>
        <w:spacing w:after="0" w:line="256" w:lineRule="auto"/>
        <w:tabs>
          <w:tab w:leader="none" w:pos="54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1,235,072 Class A ADSs purchased pursuant to a PIPE Subscription Agreement. Saba Capital Master Fund, Ltd. is managed by Saba Capital Management, LP. Saba Capital Management GP LLC is the General Partner of Saba Capital Management, LP. Boaz Weinstein is the managing member of Saba Capital Management GP LLC and, as such, may be deemed to be the beneficial owner of the securities reported by this Selling Securityholder. Mr. Weinstein disclaims any beneficial ownership of the securities reported by such Selling Securityholder other than to the extent of any pecuniary interest Mr. Weinstein may have therein, directly or indirectly. The business address of this Selling Securityholder is C/O Saba Capital Management, LP, 405 Lexington Ave 58th Floor, NY, NY 10174.</w:t>
      </w:r>
    </w:p>
    <w:p>
      <w:pPr>
        <w:spacing w:after="0" w:line="92" w:lineRule="exact"/>
        <w:rPr>
          <w:rFonts w:ascii="Times New Roman" w:cs="Times New Roman" w:eastAsia="Times New Roman" w:hAnsi="Times New Roman"/>
          <w:sz w:val="18"/>
          <w:szCs w:val="18"/>
          <w:color w:val="auto"/>
        </w:rPr>
      </w:pPr>
    </w:p>
    <w:p>
      <w:pPr>
        <w:ind w:left="540" w:right="20" w:hanging="424"/>
        <w:spacing w:after="0" w:line="256" w:lineRule="auto"/>
        <w:tabs>
          <w:tab w:leader="none" w:pos="54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60,693 Class A ADSs purchased pursuant to a PIPE Subscription Agreement. Saba Capital SPAC Opportunities, Ltd. is managed by Saba Capital Management, LP. Saba Capital Management GP LLC is the General Partner of Saba Capital Management, LP. Boaz Weinstein is the managing member of Saba Capital Management GP LLC and, as such, may be deemed to be the beneficial owner of the securities reported by this Selling Securityholder. Mr. Weinstein disclaims any beneficial ownership of the securities reported by such Selling Securityholder other than to the extent of any pecuniary interest Mr. Weinstein may have therein, directly or indirectly. The business address of this Selling Securityholder is C/O Saba Capital Management, LP, 405 Lexington Ave 58th Floor, NY, NY 10174.</w:t>
      </w:r>
    </w:p>
    <w:p>
      <w:pPr>
        <w:spacing w:after="0" w:line="92" w:lineRule="exact"/>
        <w:rPr>
          <w:rFonts w:ascii="Times New Roman" w:cs="Times New Roman" w:eastAsia="Times New Roman" w:hAnsi="Times New Roman"/>
          <w:sz w:val="18"/>
          <w:szCs w:val="18"/>
          <w:color w:val="auto"/>
        </w:rPr>
      </w:pPr>
    </w:p>
    <w:p>
      <w:pPr>
        <w:ind w:left="540" w:right="60" w:hanging="424"/>
        <w:spacing w:after="0" w:line="256" w:lineRule="auto"/>
        <w:tabs>
          <w:tab w:leader="none" w:pos="54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1,691,863 Class A ADSs purchased pursuant to a PIPE Subscription Agreement. Saba II AIV LP is managed by Saba Capital Management, LP. Saba Capital Management GP LLC is the General Partner of Saba Capital Management, LP. Boaz Weinstein is the managing member of Saba Capital Management GP LLC and, as such, may be deemed to be the beneficial owner of the securities reported by this Selling Securityholder. Mr. Weinstein disclaims any beneficial ownership of the securities reported by such Selling Securityholder other than to the extent of any pecuniary interest Mr. Weinstein may have therein, directly or indirectly. The business address of this Selling Securityholder is C/O Saba Capital Management, LP, 405 Lexington Ave 58th Floor, NY, NY 10174.</w:t>
      </w:r>
    </w:p>
    <w:p>
      <w:pPr>
        <w:spacing w:after="0" w:line="92" w:lineRule="exact"/>
        <w:rPr>
          <w:rFonts w:ascii="Times New Roman" w:cs="Times New Roman" w:eastAsia="Times New Roman" w:hAnsi="Times New Roman"/>
          <w:sz w:val="18"/>
          <w:szCs w:val="18"/>
          <w:color w:val="auto"/>
        </w:rPr>
      </w:pPr>
    </w:p>
    <w:p>
      <w:pPr>
        <w:ind w:left="540" w:right="160" w:hanging="424"/>
        <w:spacing w:after="0" w:line="282" w:lineRule="auto"/>
        <w:tabs>
          <w:tab w:leader="none" w:pos="54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887,937 Class A ADSs purchased pursuant to a PIPE Subscription Agreement. The business address of this Selling Securityholder is Derech Hashalom 53, Givatayim, Israel.</w:t>
      </w:r>
    </w:p>
    <w:p>
      <w:pPr>
        <w:spacing w:after="0" w:line="67" w:lineRule="exact"/>
        <w:rPr>
          <w:rFonts w:ascii="Times New Roman" w:cs="Times New Roman" w:eastAsia="Times New Roman" w:hAnsi="Times New Roman"/>
          <w:sz w:val="18"/>
          <w:szCs w:val="18"/>
          <w:color w:val="auto"/>
        </w:rPr>
      </w:pPr>
    </w:p>
    <w:p>
      <w:pPr>
        <w:ind w:left="540" w:hanging="424"/>
        <w:spacing w:after="0" w:line="269" w:lineRule="auto"/>
        <w:tabs>
          <w:tab w:leader="none" w:pos="540" w:val="left"/>
        </w:tabs>
        <w:numPr>
          <w:ilvl w:val="0"/>
          <w:numId w:val="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Consists of 58,882,610 Class A ADSs issued upon conversion of the Volvo Cars Preference Subscription Shares and 1,117,390 Class A ADSs issued to this Securityholder pursuant to the Volvo Cars PIPE Subscription Agreement. (i) Snita is 100% owned by Volvo Car Corporation (“Volvo Cars”), (ii) Volvo Cars is 100% owned by Volvo Car AB (“VCAB”), (iii) VCAB is 82% owned by Geely Sweden Holdings AB (“Geely Sweden”) and 18% owned by stock exchange investors, (iv) Geely Sweden is 100% owned by Shanghai Geely, (v) Shanghai Geely is 60.96% owned by Beijing Geely Wanyuan and 39.04% owned by Geely, (vi) Beijing Geely Wanyuan is 100% owned by Beijing Geely Kaisheng, (vii) Beijing Geely Kaisheng is 100% owned by Geely, and (viii) Geely is 91.9% owned by Shufu Li. Reporting Persons that are direct or indirect shareholders of Snita, including Volvo Cars, VCAB, Geely Sweden, Shanghai Geely, Beijing Geely Wanyuan, Beijing Geely Kaisheng, Geely, and Shufu Li have the sole voting and dispositive power with respect to 100% of the Class A ADSs directly held by Snita. (i) Snita owns 48.75% of Parent, and controls 48.71% voting power of Parent, (ii) PSD Investment owns 42.74% of Parent, and controls 49.53% of voting power of Parent, (iii) PSINV owns 0.74% of Parent, and controls 0.86% voting power of Parent. Pursuant to the Shareholder Acknowledgement Agreement, each of the shareholders of Parent can direct Parent to exercise the proportion of its proportion of Parent’s voting rights in the Company that</w:t>
      </w:r>
    </w:p>
    <w:p>
      <w:pPr>
        <w:spacing w:after="0" w:line="1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146</w:t>
      </w:r>
    </w:p>
    <w:p>
      <w:pPr>
        <w:sectPr>
          <w:pgSz w:w="11900" w:h="16838" w:orient="portrait"/>
          <w:cols w:equalWidth="0" w:num="1">
            <w:col w:w="11120"/>
          </w:cols>
          <w:pgMar w:left="320" w:top="455" w:right="459" w:bottom="1440" w:gutter="0" w:footer="0" w:header="0"/>
        </w:sectPr>
      </w:pPr>
    </w:p>
    <w:bookmarkStart w:id="161" w:name="page162"/>
    <w:bookmarkEnd w:id="1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540" w:right="120"/>
        <w:spacing w:after="0" w:line="256" w:lineRule="auto"/>
        <w:rPr>
          <w:sz w:val="20"/>
          <w:szCs w:val="20"/>
          <w:color w:val="auto"/>
        </w:rPr>
      </w:pPr>
      <w:r>
        <w:rPr>
          <w:rFonts w:ascii="Times New Roman" w:cs="Times New Roman" w:eastAsia="Times New Roman" w:hAnsi="Times New Roman"/>
          <w:sz w:val="18"/>
          <w:szCs w:val="18"/>
          <w:color w:val="auto"/>
        </w:rPr>
        <w:t>directly corresponds to the proportion of such shareholder’s voting rights in Parent, and that the Class A and Class B Shares of Parent are deemed to have and be subject to the corresponding rights, privileges, entitlements, and obligations as each Class A Share and Class B Share, as set out under the Polestar Articles. In addition, the Polestar Articles provides that decisions of the Board is determined by a majority of votes. Accordingly, the Shareholder Acknowledgement Agreement and Articles, taken collectively, indicates that Snita, PSD Investment, and PSINV collectively share the voting power and dispositive power with respect to 100% of the Class A ADSs and Class B ADSs directly held by Parent. The business address of this Selling Securityholder is Stationsweg 2, Beesd, 4153 RD, Netherlands.</w:t>
      </w:r>
    </w:p>
    <w:p>
      <w:pPr>
        <w:spacing w:after="0" w:line="93" w:lineRule="exact"/>
        <w:rPr>
          <w:sz w:val="20"/>
          <w:szCs w:val="20"/>
          <w:color w:val="auto"/>
        </w:rPr>
      </w:pPr>
    </w:p>
    <w:p>
      <w:pPr>
        <w:ind w:left="540" w:right="80" w:hanging="424"/>
        <w:spacing w:after="0" w:line="261" w:lineRule="auto"/>
        <w:tabs>
          <w:tab w:leader="none" w:pos="54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417,853 Class A ADSs purchased pursuant to a PIPE Subscription Agreement. Sycomore L/S Opportunities is managed by Sycomore Asset Management, its Management Company, and, as such, Sycomore Asset Management disclaims any beneficial ownership of the securities reported by such Selling Securityholder other than to the extent of any pecuniary interest Sycomore Asset Management may have therein, directly or indirectly. The business address of this Selling Securityholder is 14 Ave Hoche, 75008 Paris, France.</w:t>
      </w:r>
    </w:p>
    <w:p>
      <w:pPr>
        <w:spacing w:after="0" w:line="85" w:lineRule="exact"/>
        <w:rPr>
          <w:rFonts w:ascii="Times New Roman" w:cs="Times New Roman" w:eastAsia="Times New Roman" w:hAnsi="Times New Roman"/>
          <w:sz w:val="18"/>
          <w:szCs w:val="18"/>
          <w:color w:val="auto"/>
        </w:rPr>
      </w:pPr>
    </w:p>
    <w:p>
      <w:pPr>
        <w:ind w:left="540" w:right="180" w:hanging="424"/>
        <w:spacing w:after="0" w:line="282" w:lineRule="auto"/>
        <w:tabs>
          <w:tab w:leader="none" w:pos="54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156,695 Class A ADSs purchased pursuant to a PIPE Subscription Agreement. The business address of this Selling Securityholder is Derech Hashalom 53, Givatayim, Israel.</w:t>
      </w:r>
    </w:p>
    <w:p>
      <w:pPr>
        <w:spacing w:after="0" w:line="67" w:lineRule="exact"/>
        <w:rPr>
          <w:rFonts w:ascii="Times New Roman" w:cs="Times New Roman" w:eastAsia="Times New Roman" w:hAnsi="Times New Roman"/>
          <w:sz w:val="18"/>
          <w:szCs w:val="18"/>
          <w:color w:val="auto"/>
        </w:rPr>
      </w:pPr>
    </w:p>
    <w:p>
      <w:pPr>
        <w:ind w:left="540" w:hanging="424"/>
        <w:spacing w:after="0" w:line="256" w:lineRule="auto"/>
        <w:tabs>
          <w:tab w:leader="none" w:pos="54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261,159 Class A ADSs purchased pursuant to a PIPE Subscription Agreement and 330,990 Class A ADSs that were purchased in the open market. Union Square Park Partners, LP is managed by Union Square Park Capital Management, LLC, its Investment Manager. Leon Zaltzman is the managing member of such Selling Securityholder and, as such, may be deemed to be the beneficial owner of the securities reported by such Selling Securityholder. Mr. Zaltzman disclaims any beneficial ownership of the securities reported by such Selling Securityholder other than to the extent of any pecuniary interest Mr. Zaltzman may have therein, directly or indirectly. The business address of this Selling Securityholder is 1120 Ave of the Americas, NY, NY 10036.</w:t>
      </w:r>
    </w:p>
    <w:p>
      <w:pPr>
        <w:spacing w:after="0" w:line="92" w:lineRule="exact"/>
        <w:rPr>
          <w:rFonts w:ascii="Times New Roman" w:cs="Times New Roman" w:eastAsia="Times New Roman" w:hAnsi="Times New Roman"/>
          <w:sz w:val="18"/>
          <w:szCs w:val="18"/>
          <w:color w:val="auto"/>
        </w:rPr>
      </w:pPr>
    </w:p>
    <w:p>
      <w:pPr>
        <w:ind w:left="540" w:right="140" w:hanging="424"/>
        <w:spacing w:after="0" w:line="258" w:lineRule="auto"/>
        <w:tabs>
          <w:tab w:leader="none" w:pos="54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12,223 Class A ADSs acquired in connection with the conversion of certain convertible notes of Parent. Robert P. Hrtica is the Manager of West Investments VIII, LLC and, as such, may be deemed to be the beneficial owner of the securities reported by such Selling Securityholder. Mr. Hrtica disclaims any beneficial ownership of the securities reported by such Selling Securityholder other than to the extent of any pecuniary interest Mr. Hrtica may have therein, directly or indirectly. The business address of this Selling Securityholder is 9255 W Sunset Blvd Ste 615, West Hollywood, CA 90069.</w:t>
      </w:r>
    </w:p>
    <w:p>
      <w:pPr>
        <w:spacing w:after="0" w:line="88" w:lineRule="exact"/>
        <w:rPr>
          <w:rFonts w:ascii="Times New Roman" w:cs="Times New Roman" w:eastAsia="Times New Roman" w:hAnsi="Times New Roman"/>
          <w:sz w:val="18"/>
          <w:szCs w:val="18"/>
          <w:color w:val="auto"/>
        </w:rPr>
      </w:pPr>
    </w:p>
    <w:p>
      <w:pPr>
        <w:ind w:left="540" w:right="420" w:hanging="424"/>
        <w:spacing w:after="0" w:line="282" w:lineRule="auto"/>
        <w:tabs>
          <w:tab w:leader="none" w:pos="54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Assumes the issuance of up to 500,000 Class A ADSs to this Selling Securityholder in exchange for the performance of marketing consulting services, as further described in this prospectus.</w:t>
      </w:r>
    </w:p>
    <w:p>
      <w:pPr>
        <w:spacing w:after="0" w:line="67" w:lineRule="exact"/>
        <w:rPr>
          <w:rFonts w:ascii="Times New Roman" w:cs="Times New Roman" w:eastAsia="Times New Roman" w:hAnsi="Times New Roman"/>
          <w:sz w:val="18"/>
          <w:szCs w:val="18"/>
          <w:color w:val="auto"/>
        </w:rPr>
      </w:pPr>
    </w:p>
    <w:p>
      <w:pPr>
        <w:ind w:left="540" w:right="520" w:hanging="424"/>
        <w:spacing w:after="0" w:line="282" w:lineRule="auto"/>
        <w:tabs>
          <w:tab w:leader="none" w:pos="54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disclosure with respect to the remaining Selling Securityholders is being made on an aggregate basis, as opposed to an individual basis, because their aggregate holdings are less than 1% of the outstanding Class A ADSs.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Material Relationships with Selling Securityholders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See the section entitled “Certain Relationships and Related Party Transactions.”</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147</w:t>
      </w:r>
    </w:p>
    <w:p>
      <w:pPr>
        <w:sectPr>
          <w:pgSz w:w="11900" w:h="16838" w:orient="portrait"/>
          <w:cols w:equalWidth="0" w:num="1">
            <w:col w:w="11140"/>
          </w:cols>
          <w:pgMar w:left="320" w:top="455" w:right="439" w:bottom="1440" w:gutter="0" w:footer="0" w:header="0"/>
        </w:sectPr>
      </w:pPr>
    </w:p>
    <w:bookmarkStart w:id="162" w:name="page163"/>
    <w:bookmarkEnd w:id="1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CERTAIN RELATIONSHIPS AND RELATED PARTY TRANSACTIONS</w:t>
      </w:r>
    </w:p>
    <w:p>
      <w:pPr>
        <w:spacing w:after="0" w:line="229" w:lineRule="exact"/>
        <w:rPr>
          <w:sz w:val="20"/>
          <w:szCs w:val="20"/>
          <w:color w:val="auto"/>
        </w:rPr>
      </w:pPr>
    </w:p>
    <w:p>
      <w:pPr>
        <w:ind w:left="120" w:right="380" w:firstLine="440"/>
        <w:spacing w:after="0" w:line="282" w:lineRule="auto"/>
        <w:rPr>
          <w:sz w:val="20"/>
          <w:szCs w:val="20"/>
          <w:color w:val="auto"/>
        </w:rPr>
      </w:pPr>
      <w:r>
        <w:rPr>
          <w:rFonts w:ascii="Times New Roman" w:cs="Times New Roman" w:eastAsia="Times New Roman" w:hAnsi="Times New Roman"/>
          <w:sz w:val="18"/>
          <w:szCs w:val="18"/>
          <w:color w:val="auto"/>
        </w:rPr>
        <w:t>The agreement descriptions set forth below do not purport to be complete and are qualified in their entirety by the terms and conditions of the agreements filed as exhibits to the registration statement of which this prospectus forms a part.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 Related Agreements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PIPE Subscription Agreements</w:t>
      </w:r>
    </w:p>
    <w:p>
      <w:pPr>
        <w:spacing w:after="0" w:line="11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On September 27, 2021, GGI and the Company entered into the Initial PIPE Subscription Agreements with the Initial PIPE Investors, pursuant to which the Initial PIPE Investors purchased an aggregate of approximately 7.43 million Class A Shares in the form of Class A ADSs for a purchase price of $9.09 per share in a private placement, for an aggregate amount of approximately $67.5 million. On December 17, 2021, GGI and the Company entered into the December PIPE Subscription Agreements with the December PIPE Investors, which include certain affiliates and employees of the GGI Sponsor. Pursuant to the December PIPE Subscription Agreements, the December PIPE Investors purchased an aggregate of 14.3 million Class A Shares in the form of Class A ADSs for an average price of approximately $9.54 per Class A ADS, for an amount of approximately $136.0 million. On March 24, 2022, GGI and the Company entered into the March PIPE Subscription Agreements with the March PIPE Investors, which include certain affiliates and employees of the GGI Sponsor. Pursuant to the March PIPE Subscription Agreements, the March PIPE Investors purchased an aggregate of approximately 2.8 million Class A Shares in the form of Class A ADSs for an average price of approximately $9.57 per Class A ADS, for an amount of approximately $27.2 million. The December PIPE Subscription Agreements and the March PIPE Subscription Agreements are substantially similar to the Initial PIPE Subscription Agreements, except with regard to purchase price.</w:t>
      </w:r>
    </w:p>
    <w:p>
      <w:pPr>
        <w:spacing w:after="0" w:line="192"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As a result of the December PIPE Assignment and the March PIPE Assignments, the aggregate investment amount and number of Class A ADSs purchased pursuant to the Subscription Agreements remained unchanged.</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Sponsor Subscription Agreement</w:t>
      </w:r>
    </w:p>
    <w:p>
      <w:pPr>
        <w:spacing w:after="0" w:line="119" w:lineRule="exact"/>
        <w:rPr>
          <w:sz w:val="20"/>
          <w:szCs w:val="20"/>
          <w:color w:val="auto"/>
        </w:rPr>
      </w:pPr>
    </w:p>
    <w:p>
      <w:pPr>
        <w:ind w:left="120" w:right="100" w:firstLine="440"/>
        <w:spacing w:after="0" w:line="252" w:lineRule="auto"/>
        <w:rPr>
          <w:sz w:val="20"/>
          <w:szCs w:val="20"/>
          <w:color w:val="auto"/>
        </w:rPr>
      </w:pPr>
      <w:r>
        <w:rPr>
          <w:rFonts w:ascii="Times New Roman" w:cs="Times New Roman" w:eastAsia="Times New Roman" w:hAnsi="Times New Roman"/>
          <w:sz w:val="18"/>
          <w:szCs w:val="18"/>
          <w:color w:val="auto"/>
        </w:rPr>
        <w:t>On September 27, 2021, GGI and the Company entered into the Sponsor Subscription Agreement with the GGI Sponsor, pursuant to which, the GGI Sponsor purchased an additional 2.15 million Class A Shares in the form of Class A ADSs for a purchase price of $9.09 per share on the Closing Date, for an aggregate investment of approximately $82.5 million. Pursuant to the Sponsor Subscription Agreement, the GGI Sponsor had the right to assign its commitment to purchase the Class A ADSs under the Sponsor Subscription Agreement in advance of the Closing. In connection with the December Sponsor Assignment on December 17, 2021, (i) the GGI Sponsor assigned a portion of its commitment to purchase Class A ADSs, in an aggregate investment amount equaling approximately $63.0 million to the December PIPE Investors and (ii) GGI, the Company and the GGI Sponsor amended and restated the Sponsor Subscription Agreement to reflect the December Sponsor Assignment. In connection with the March Sponsor Assignment on March 24, 2022, (i) the GGI Sponsor further assigned a portion of its commitment to purchase Class A ADSs, in an aggregate investment amount equaling approximately $11.4 million to certain investors and (ii) GGI, the Company and the GGI Sponsor amended the Sponsor Subscription Agreement to reflect the March Sponsor Assignment. As a result, pursuant to the Sponsor Subscription Agreement, an affiliate of Sponsor purchased approximately 891,000 Class A ADSs for a purchase price of approximately $9.09 per Class A ADS on the date of Closing, for an aggregate investment of approximately $8.1 million. The Sponsor Subscription Agreement is substantially similar to the Initial PIPE Subscription Agreements, except that the GGI Sponsor had the right to assign its commitment to acquire the Class A ADSs to be purchased under the Sponsor Subscription Agreement in advance of the Closing.</w:t>
      </w:r>
    </w:p>
    <w:p>
      <w:pPr>
        <w:spacing w:after="0" w:line="3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Volvo Cars PIPE Subscription Agreement</w:t>
      </w:r>
    </w:p>
    <w:p>
      <w:pPr>
        <w:spacing w:after="0" w:line="119"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On September 27, 2021, GGI and the Company entered into the Volvo Cars PIPE Subscription Agreement with Snita, a corporation organized under the laws of Netherlands and a wholly owned indirect subsidiary of</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148</w:t>
      </w:r>
    </w:p>
    <w:p>
      <w:pPr>
        <w:sectPr>
          <w:pgSz w:w="11900" w:h="16838" w:orient="portrait"/>
          <w:cols w:equalWidth="0" w:num="1">
            <w:col w:w="11120"/>
          </w:cols>
          <w:pgMar w:left="320" w:top="455" w:right="459" w:bottom="1440" w:gutter="0" w:footer="0" w:header="0"/>
        </w:sectPr>
      </w:pPr>
    </w:p>
    <w:bookmarkStart w:id="163" w:name="page164"/>
    <w:bookmarkEnd w:id="1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80"/>
        <w:spacing w:after="0" w:line="270" w:lineRule="auto"/>
        <w:rPr>
          <w:sz w:val="20"/>
          <w:szCs w:val="20"/>
          <w:color w:val="auto"/>
        </w:rPr>
      </w:pPr>
      <w:r>
        <w:rPr>
          <w:rFonts w:ascii="Times New Roman" w:cs="Times New Roman" w:eastAsia="Times New Roman" w:hAnsi="Times New Roman"/>
          <w:sz w:val="17"/>
          <w:szCs w:val="17"/>
          <w:color w:val="auto"/>
        </w:rPr>
        <w:t>Volvo Cars, pursuant to which Snita purchased an additional 10 million Class A Shares in the form of Class A ADSs for a purchase price of $10.00 per share on the date of Closing. Pursuant to the Volvo Cars Subscription Agreement, Snita had the right to assign its commitment to purchase the Class A ADSs under the Volvo Cars Subscription Agreement in advance of the Closing. In connection with the December Volvo Assignment on December 17, 2021, (i) Snita assigned a portion of its commitment to purchase Class A ADSs, in an aggregate investment amount equaling approximately</w:t>
      </w:r>
    </w:p>
    <w:p>
      <w:pPr>
        <w:spacing w:after="0" w:line="3" w:lineRule="exact"/>
        <w:rPr>
          <w:sz w:val="20"/>
          <w:szCs w:val="20"/>
          <w:color w:val="auto"/>
        </w:rPr>
      </w:pPr>
    </w:p>
    <w:p>
      <w:pPr>
        <w:ind w:left="120" w:right="60"/>
        <w:spacing w:after="0" w:line="252" w:lineRule="auto"/>
        <w:rPr>
          <w:sz w:val="20"/>
          <w:szCs w:val="20"/>
          <w:color w:val="auto"/>
        </w:rPr>
      </w:pPr>
      <w:r>
        <w:rPr>
          <w:rFonts w:ascii="Times New Roman" w:cs="Times New Roman" w:eastAsia="Times New Roman" w:hAnsi="Times New Roman"/>
          <w:sz w:val="18"/>
          <w:szCs w:val="18"/>
          <w:color w:val="auto"/>
        </w:rPr>
        <w:t>$73.0 million to purchase the Class A ADSs to the December PIPE Investors and (ii) GGI, the Company and Snita amended and restated the Volvo Car Subscription Agreement to reflect the December Volvo Assignment. In connection with the March Volvo Assignment on March 24, 2022, (i) Snita further assigned a portion of its commitment to purchase Class A ADSs, in an aggregate investment amount equaling approximately $15.8 million to certain investors and (ii) GGI, the Company and Snita amended the Volvo Cars Subscription Agreement to reflect the March Volvo Assignment. As a result, pursuant to the Volvo Cars Subscription Agreement, Snita purchased approximately 1.1 million Class A ADSs for a purchase price of $10 per Class A ADS on the date of Closing, for an aggregate investment of approximately $11.2 million. The Volvo Cars Subscription Agreement is substantially similar to the Initial PIPE Subscription Agreements, except with regards to purchase price.</w:t>
      </w:r>
    </w:p>
    <w:p>
      <w:pPr>
        <w:spacing w:after="0" w:line="2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Volvo Cars Preference Subscription Agreement</w:t>
      </w:r>
    </w:p>
    <w:p>
      <w:pPr>
        <w:spacing w:after="0" w:line="119"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On September 27, 2021, the Company entered into the Volvo Cars Preference Subscription Agreement with Snita. Pursuant to the Volvo Cars Preference Subscription Agreement, Snita purchased Preference Shares for an aggregate subscription price of $10.00 per share, for an aggregate investment amount equal to the Volvo Cars Preference Amount. The proceeds of such subscription will be used to satisfy certain accounts payable that are or will be due and payable by certain subsidiaries of Parent to Volvo Cars. The Preference Shares converted into Class A ADSs at Closing, in accordance with, and subject to, the terms of the Preference Shares.</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Registration Rights Agreement</w:t>
      </w:r>
    </w:p>
    <w:p>
      <w:pPr>
        <w:spacing w:after="0" w:line="119"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On September 27, 2021, the Company, Parent, the Parent Shareholders, the GGI Sponsor and the independent directors of GGI entered into a Registration Rights Agreement, which was amended by the Registration Rights Agreement Amendment No. 1 to provide for certain administrative changes to reflect the Amendment No. 1 to the Business Combination Agreement and the December PIPE Subscription Agreements and further amended by the Registration Rights Agreement Amendment No. 2 to provide for certain administrative changes to reflect the Amendment No. 2 to the Business Combination Agreement and the March PIPE Subscription Agreements, which provides customary demand and piggyback registration rights. Pursuant to the Registration Rights Agreement, the Company agreed that, as soon as practicable, and in any event within 30 days after the Closing, the Company will file with the SEC a shelf registration statement. In addition, the Company will use its reasonable best efforts to have the registration statement declared effective as soon as practicable after the filing thereof, but no later than the 60th day (or the 90th day if the registration statement is reviewed by, and received comments from, the SEC) following the filing deadline, in each case subject to the terms and conditions set forth therein. On December 17, 2021, the parties to the Registration Rights Agreement entered into the Registration Rights Agreement Amendment to provide for certain administrative changes to reflect the Amendment No. 1 to the Business Combination Agreement and the December PIPE Subscription.</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Parent Lock-Up Agreement</w:t>
      </w:r>
    </w:p>
    <w:p>
      <w:pPr>
        <w:spacing w:after="0" w:line="11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On September 27, 2021, Parent, the Company and the Parent Shareholders entered into the Parent Lock-Up Agreement, a form of which is included as an exhibit to the registration statement of which this prospectus forms a part. Pursuant to the Parent Lock-Up Agreement, each Parent Shareholder has, subject to certain exceptions, among other things, agreed not to transfer any equity security of the Company issued to them pursuant to the Business Combination Agreement or other transaction documents contemplated by the Business Combination Agreement during the period commencing the date of Closing and ending 180 days following the Closing Date, in each case subject to the terms and conditions set forth therein.</w:t>
      </w:r>
    </w:p>
    <w:p>
      <w:pPr>
        <w:spacing w:after="0" w:line="11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149</w:t>
      </w:r>
    </w:p>
    <w:p>
      <w:pPr>
        <w:sectPr>
          <w:pgSz w:w="11900" w:h="16838" w:orient="portrait"/>
          <w:cols w:equalWidth="0" w:num="1">
            <w:col w:w="11060"/>
          </w:cols>
          <w:pgMar w:left="320" w:top="455" w:right="519" w:bottom="1440" w:gutter="0" w:footer="0" w:header="0"/>
        </w:sectPr>
      </w:pPr>
    </w:p>
    <w:bookmarkStart w:id="164" w:name="page165"/>
    <w:bookmarkEnd w:id="1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Sponsor and Supporting Sponsor Lock-Up Agreement</w:t>
      </w:r>
    </w:p>
    <w:p>
      <w:pPr>
        <w:spacing w:after="0" w:line="11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On September 27, 2021, concurrently with the execution of the Business Combination Agreement, GGI, Parent, the Company, the GGI Initial Stockholders entered into the Sponsor and Supporting Sponsor Stockholder Lock-Up Agreement, pursuant to which each GGI Initial Stockholder, among other things, agreed to (i) vote their GGI Class F Common Stock in favor of the proposal to approve the Business Combination and any other proposals at the special meeting of the stockholders of GGI, and against any alternative business combination, (ii) waive all adjustments to the conversion ratio set forth in the Current GGI Certificate with respect to the GGI Class F Common Stock, (iii) be bound by certain transfer restrictions with respect to their GGI Common Stock, GGI Public Warrants and GGI Private Placement Warrants and (iv) not to transfer any Class A ADSs issued pursuant to the Business Combination Agreement in respect of shares of GGI Class F Common Stock during the period beginning on the date of Closing and ending 180 days following the Closing Date, in each case subject to the terms and conditions set forth therein. In addition, the GGI Sponsor agreed to the forfeiture of up to 1,501,651 shares of GGI Class F Common Stock, which was increased to 1,533,873 shares of GGI Class F Common Stock in connection with the Sponsor and Supporting Sponsor Stockholders Lock-Up Agreement Amendment No. 1, and further increased to 1,540,835 shares of GGI Class F Common Stock in connection with the Sponsor and Supporting Sponsor Stockholders Lock-Up Agreement Amendment No. 2.</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Class C Warrant Amendment</w:t>
      </w:r>
    </w:p>
    <w:p>
      <w:pPr>
        <w:spacing w:after="0" w:line="119"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GGI and Computershare entered into the Class C Warrant Amendment, which is included as an exhibit to the registration statement of which this prospectus forms a part. The Class C Warrant Amendment amended the SPAC Warrant Agreement. Pursuant to the Class C Warrant Amendment,</w:t>
      </w:r>
    </w:p>
    <w:p>
      <w:pPr>
        <w:ind w:left="120" w:hanging="4"/>
        <w:spacing w:after="0" w:line="265" w:lineRule="auto"/>
        <w:tabs>
          <w:tab w:leader="none" w:pos="335" w:val="left"/>
        </w:tabs>
        <w:numPr>
          <w:ilvl w:val="0"/>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GGI Public Warrant was automatically cancelled and extinguished and converted into the right to receive one Class C-1 ADS representing one Class C-1 Share representing the right to acquire one Class A ADS (or one Class A Share if at the time of exercise the Company no longer uses the ADR Facility) at an exercise price of $11.50 per Class C-1 ADS, subject to adjustment, terms and limitations as described in the Polestar Articles, (ii) each GGI Private Placement Warrant was automatically cancelled and extinguished and converted into the right to receive one Class C-2 ADS representing one Class C-2 Share representing the right to acquire one Class A ADS (or one Class A Share if at the time of exercise the Company no longer uses the ADR Facility) at an exercise price of $11.50 per Class C-2 ADS, subject to adjustment, terms and limitations described in the Polestar Articles and</w:t>
      </w:r>
    </w:p>
    <w:p>
      <w:pPr>
        <w:ind w:left="120" w:right="360" w:hanging="4"/>
        <w:spacing w:after="0" w:line="260" w:lineRule="auto"/>
        <w:tabs>
          <w:tab w:leader="none" w:pos="435"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SPAC Warrant Agreement was terminated, in the case of each of clauses (i), (ii) and (iii) above, subject to the terms and conditions set forth therein.</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Shareholder Acknowledgment</w:t>
      </w:r>
    </w:p>
    <w:p>
      <w:pPr>
        <w:spacing w:after="0" w:line="119" w:lineRule="exact"/>
        <w:rPr>
          <w:sz w:val="20"/>
          <w:szCs w:val="20"/>
          <w:color w:val="auto"/>
        </w:rPr>
      </w:pPr>
    </w:p>
    <w:p>
      <w:pPr>
        <w:ind w:left="120" w:right="120" w:firstLine="440"/>
        <w:spacing w:after="0" w:line="269" w:lineRule="auto"/>
        <w:rPr>
          <w:sz w:val="20"/>
          <w:szCs w:val="20"/>
          <w:color w:val="auto"/>
        </w:rPr>
      </w:pPr>
      <w:r>
        <w:rPr>
          <w:rFonts w:ascii="Times New Roman" w:cs="Times New Roman" w:eastAsia="Times New Roman" w:hAnsi="Times New Roman"/>
          <w:sz w:val="17"/>
          <w:szCs w:val="17"/>
          <w:color w:val="auto"/>
        </w:rPr>
        <w:t>On September 27, 2021, Parent, the Parent Shareholders, Volvo Car Corporation and the Company entered into the Shareholders Acknowledgement Agreement, which is included as an exhibit to the registration statement of which this prospectus forms a part. Pursuant to the Shareholders Acknowledgement Agreement, the Parent and the Parent Shareholders undertook that (i) at Closing, the initial Board was to include nine directors, a majority of whom would be independent directors, (ii) for a period of three years following the Closing, Parent and the Parent Shareholders will not vote in favor of the removal any independent directors of the Company unless at least two independent directors vote in favor of such removal,</w:t>
      </w:r>
    </w:p>
    <w:p>
      <w:pPr>
        <w:spacing w:after="0" w:line="3" w:lineRule="exact"/>
        <w:rPr>
          <w:sz w:val="20"/>
          <w:szCs w:val="20"/>
          <w:color w:val="auto"/>
        </w:rPr>
      </w:pPr>
    </w:p>
    <w:p>
      <w:pPr>
        <w:ind w:left="120" w:right="40" w:hanging="4"/>
        <w:spacing w:after="0" w:line="253" w:lineRule="auto"/>
        <w:tabs>
          <w:tab w:leader="none" w:pos="435"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 period of three years following the Closing, Parent and the Parent Shareholders will not require the Company to convene a general meeting for the purpose of removing an independent director and (iv) for three years following the Closing, Parent and the Parent Shareholders will not to vote in favor of any amendment to the Polestar Articles relating to the composition of the Board or the appointment or removal of Company directors. The GGI Sponsor has third party beneficiary rights to enforce the aforementioned undertakings.</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150</w:t>
      </w:r>
    </w:p>
    <w:p>
      <w:pPr>
        <w:sectPr>
          <w:pgSz w:w="11900" w:h="16838" w:orient="portrait"/>
          <w:cols w:equalWidth="0" w:num="1">
            <w:col w:w="11120"/>
          </w:cols>
          <w:pgMar w:left="320" w:top="455" w:right="459" w:bottom="1440" w:gutter="0" w:footer="0" w:header="0"/>
        </w:sectPr>
      </w:pPr>
    </w:p>
    <w:bookmarkStart w:id="165" w:name="page166"/>
    <w:bookmarkEnd w:id="1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Company Relationships and Related Party Transactions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Agreements with Volvo and Geely</w:t>
      </w:r>
    </w:p>
    <w:p>
      <w:pPr>
        <w:spacing w:after="0" w:line="117"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Framework Assignment and License Agreement</w:t>
      </w:r>
      <w:r>
        <w:rPr>
          <w:rFonts w:ascii="Times New Roman" w:cs="Times New Roman" w:eastAsia="Times New Roman" w:hAnsi="Times New Roman"/>
          <w:sz w:val="18"/>
          <w:szCs w:val="18"/>
          <w:color w:val="auto"/>
        </w:rPr>
        <w:t xml:space="preserve"> among Volvo Car Corporation and Polestar Performance AB, dated October 31, 2018 and the </w:t>
      </w:r>
      <w:r>
        <w:rPr>
          <w:rFonts w:ascii="Times New Roman" w:cs="Times New Roman" w:eastAsia="Times New Roman" w:hAnsi="Times New Roman"/>
          <w:sz w:val="18"/>
          <w:szCs w:val="18"/>
          <w:i w:val="1"/>
          <w:iCs w:val="1"/>
          <w:color w:val="auto"/>
        </w:rPr>
        <w:t>Car Model Assignment and License Agreement</w:t>
      </w:r>
      <w:r>
        <w:rPr>
          <w:rFonts w:ascii="Times New Roman" w:cs="Times New Roman" w:eastAsia="Times New Roman" w:hAnsi="Times New Roman"/>
          <w:sz w:val="18"/>
          <w:szCs w:val="18"/>
          <w:color w:val="auto"/>
        </w:rPr>
        <w:t>, dated as of October 31, 2018, between Volvo Car Corporation and Polestar Performance AB,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supplemented by the </w:t>
      </w:r>
      <w:r>
        <w:rPr>
          <w:rFonts w:ascii="Times New Roman" w:cs="Times New Roman" w:eastAsia="Times New Roman" w:hAnsi="Times New Roman"/>
          <w:sz w:val="18"/>
          <w:szCs w:val="18"/>
          <w:i w:val="1"/>
          <w:iCs w:val="1"/>
          <w:color w:val="auto"/>
        </w:rPr>
        <w:t>Side Letter</w:t>
      </w:r>
      <w:r>
        <w:rPr>
          <w:rFonts w:ascii="Times New Roman" w:cs="Times New Roman" w:eastAsia="Times New Roman" w:hAnsi="Times New Roman"/>
          <w:sz w:val="18"/>
          <w:szCs w:val="18"/>
          <w:color w:val="auto"/>
        </w:rPr>
        <w:t xml:space="preserve">, dated as of October 31, 2018, between Volvo Car Corporation, Polestar Performance AB and Polestar New Energy Vehicle Co. Ltd., as amended by the </w:t>
      </w:r>
      <w:r>
        <w:rPr>
          <w:rFonts w:ascii="Times New Roman" w:cs="Times New Roman" w:eastAsia="Times New Roman" w:hAnsi="Times New Roman"/>
          <w:sz w:val="18"/>
          <w:szCs w:val="18"/>
          <w:i w:val="1"/>
          <w:iCs w:val="1"/>
          <w:color w:val="auto"/>
        </w:rPr>
        <w:t>Amendment Agreement to the Car Model Assignment and License Agreement</w:t>
      </w:r>
      <w:r>
        <w:rPr>
          <w:rFonts w:ascii="Times New Roman" w:cs="Times New Roman" w:eastAsia="Times New Roman" w:hAnsi="Times New Roman"/>
          <w:sz w:val="18"/>
          <w:szCs w:val="18"/>
          <w:color w:val="auto"/>
        </w:rPr>
        <w:t>, dated as of May 5, 2021, between Volvo Car Corporation and Polestar Performance AB are agreements governing the assignment of and license to technology for use in the Polestar 1 and Polestar 2. These agreements provide that Polestar Performance AB will pay Volvo Car Corporation a fee based on specified percentages of Volvo Car Corporation’s costs plus an arm’s length mark-up. The Car Model Assignment and License Agreement remains in force during the validity of the license period of the license granted under the contract. The Framework Assignment and License Agreement remains in effect until six months after all Car Model Assignment and License Agreements entered into between the parties have expired or been terminated. Further, the Car Model Assignment and License Agreement may terminate within 60 days of written notice for breach or immediately upon the insolvency of the other party. Polestar Performance AB also has certain termination and cancellation rights under the agreements. Pursuant to the Side Letter, dated as of October 31, 2018, between Volvo Car Corporation, Polestar Performance AB and Polestar New Energy Vehicle Co. Ltd., the Car Model Assignment and License Agreement described here and the Car Model Assignment and License Agreement in the paragraph below are meant to constitute the same agreement. On December 23, 2020, Volvo Car Corporation and Polestar Performance AB entered into a Settlement Agreement relating to a dispute that arose pursuant to the Car Model Assignment and License Agreement. The Settlement Agreement provided that Volvo Car Corporation would compensate Polestar Performance AB for costs and losses associated with delayed deliveries of certain components and the delivery of defective components resulting in a recall of Polestar vehicles. Volvo Car Corporation agreed to settle these claims under the Car Model and License Agreement.</w:t>
      </w:r>
    </w:p>
    <w:p>
      <w:pPr>
        <w:spacing w:after="0" w:line="193" w:lineRule="exact"/>
        <w:rPr>
          <w:sz w:val="20"/>
          <w:szCs w:val="20"/>
          <w:color w:val="auto"/>
        </w:rPr>
      </w:pPr>
    </w:p>
    <w:p>
      <w:pPr>
        <w:ind w:left="120" w:right="20" w:firstLine="440"/>
        <w:spacing w:after="0" w:line="252" w:lineRule="auto"/>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Framework Assignment and License Agreement</w:t>
      </w:r>
      <w:r>
        <w:rPr>
          <w:rFonts w:ascii="Times New Roman" w:cs="Times New Roman" w:eastAsia="Times New Roman" w:hAnsi="Times New Roman"/>
          <w:sz w:val="18"/>
          <w:szCs w:val="18"/>
          <w:color w:val="auto"/>
        </w:rPr>
        <w:t xml:space="preserve">, dated as of October 31, 2018, between Volvo Car Corporation and Polestar New Energy Vehicle Co. Ltd. and the </w:t>
      </w:r>
      <w:r>
        <w:rPr>
          <w:rFonts w:ascii="Times New Roman" w:cs="Times New Roman" w:eastAsia="Times New Roman" w:hAnsi="Times New Roman"/>
          <w:sz w:val="18"/>
          <w:szCs w:val="18"/>
          <w:i w:val="1"/>
          <w:iCs w:val="1"/>
          <w:color w:val="auto"/>
        </w:rPr>
        <w:t>Car Model Assignment and License Agreement,</w:t>
      </w:r>
      <w:r>
        <w:rPr>
          <w:rFonts w:ascii="Times New Roman" w:cs="Times New Roman" w:eastAsia="Times New Roman" w:hAnsi="Times New Roman"/>
          <w:sz w:val="18"/>
          <w:szCs w:val="18"/>
          <w:color w:val="auto"/>
        </w:rPr>
        <w:t xml:space="preserve"> dated as of October 31, 2018, between Volvo Car Corporation and Polestar New Energy Vehicle Co. Ltd, as supplemented by the </w:t>
      </w:r>
      <w:r>
        <w:rPr>
          <w:rFonts w:ascii="Times New Roman" w:cs="Times New Roman" w:eastAsia="Times New Roman" w:hAnsi="Times New Roman"/>
          <w:sz w:val="18"/>
          <w:szCs w:val="18"/>
          <w:i w:val="1"/>
          <w:iCs w:val="1"/>
          <w:color w:val="auto"/>
        </w:rPr>
        <w:t>Side Letter</w:t>
      </w:r>
      <w:r>
        <w:rPr>
          <w:rFonts w:ascii="Times New Roman" w:cs="Times New Roman" w:eastAsia="Times New Roman" w:hAnsi="Times New Roman"/>
          <w:sz w:val="18"/>
          <w:szCs w:val="18"/>
          <w:color w:val="auto"/>
        </w:rPr>
        <w:t xml:space="preserve">, dated as of October 31, 2018, between Volvo Car Corporation, Polestar Performance AB and Polestar New Energy Vehicle Co. Ltd., as supplemented by the </w:t>
      </w:r>
      <w:r>
        <w:rPr>
          <w:rFonts w:ascii="Times New Roman" w:cs="Times New Roman" w:eastAsia="Times New Roman" w:hAnsi="Times New Roman"/>
          <w:sz w:val="18"/>
          <w:szCs w:val="18"/>
          <w:i w:val="1"/>
          <w:iCs w:val="1"/>
          <w:color w:val="auto"/>
        </w:rPr>
        <w:t>Supplement to Car Model Assignment and License Agreement</w:t>
      </w:r>
      <w:r>
        <w:rPr>
          <w:rFonts w:ascii="Times New Roman" w:cs="Times New Roman" w:eastAsia="Times New Roman" w:hAnsi="Times New Roman"/>
          <w:sz w:val="18"/>
          <w:szCs w:val="18"/>
          <w:color w:val="auto"/>
        </w:rPr>
        <w:t xml:space="preserve">, dated as of September 23, 2019, between Volvo Car Corporation and Polestar New Energy Vehicle Co. Ltd., as amended by the </w:t>
      </w:r>
      <w:r>
        <w:rPr>
          <w:rFonts w:ascii="Times New Roman" w:cs="Times New Roman" w:eastAsia="Times New Roman" w:hAnsi="Times New Roman"/>
          <w:sz w:val="18"/>
          <w:szCs w:val="18"/>
          <w:i w:val="1"/>
          <w:iCs w:val="1"/>
          <w:color w:val="auto"/>
        </w:rPr>
        <w:t>Amendment Agreement to the Car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Model Assignment and License Agreement</w:t>
      </w:r>
      <w:r>
        <w:rPr>
          <w:rFonts w:ascii="Times New Roman" w:cs="Times New Roman" w:eastAsia="Times New Roman" w:hAnsi="Times New Roman"/>
          <w:sz w:val="18"/>
          <w:szCs w:val="18"/>
          <w:color w:val="auto"/>
        </w:rPr>
        <w:t>, dated as of June 2020, between Volvo Car Corporation and Polestar New Energy Vehicle Co. Ltd.,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amended by the </w:t>
      </w:r>
      <w:r>
        <w:rPr>
          <w:rFonts w:ascii="Times New Roman" w:cs="Times New Roman" w:eastAsia="Times New Roman" w:hAnsi="Times New Roman"/>
          <w:sz w:val="18"/>
          <w:szCs w:val="18"/>
          <w:i w:val="1"/>
          <w:iCs w:val="1"/>
          <w:color w:val="auto"/>
        </w:rPr>
        <w:t>Novation Agreement</w:t>
      </w:r>
      <w:r>
        <w:rPr>
          <w:rFonts w:ascii="Times New Roman" w:cs="Times New Roman" w:eastAsia="Times New Roman" w:hAnsi="Times New Roman"/>
          <w:sz w:val="18"/>
          <w:szCs w:val="18"/>
          <w:color w:val="auto"/>
        </w:rPr>
        <w:t>, dated as of December 8, 2020, by and among Polestar New Energy Vehicle Co., Ltd., Polestar Automotive China Distribution Co., Ltd. and Volvo Car Corporation are agreements governing the assignment of and license to technology related to Polestar vehicles. Fees paid under the agreements are in part based on actual development costs and take into account the full cost incurred plus an arm’s length mark-up. The fee also takes into account the value of “Existing Know-How and Technology” (as defined in the Car Model Assignment and License Agreement). The hourly rates charged under the agreements are reviewed and updated annually by the parties. The Framework Assignment and License Agreement remains in effect until six months after all Car Model Assignment and License Agreements entered into between the parties have expired or been terminated. Further, the Framework Assignment and License Agreement may terminate within 60 days of written notice for breach of the Framework Assignment and License Agreement or of a Car Model Assignment and License Agreement or immediately upon the insolvency of either party. The Car Model Assignment and License Agreement remains in force during the validity of the license period of the license granted under the contract. Further, a Car Model Assignment and License Agreement may terminate within 60 days of written notice for breach or immediately upon the insolvency of the other party. Polestar also has additional termination and cancellation rights under the Car Model Assignment and License Agreements. The termination of the Framework Assignment and License Agreement terminates all of the Car Model Assignment and License Agreements, while the termination of one Car Model Assignment and License Agreement does not automatically affect the validity of the Framework Assignment and License Agreement or any other Car Model Assignment and License Agreement.</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151</w:t>
      </w:r>
    </w:p>
    <w:p>
      <w:pPr>
        <w:sectPr>
          <w:pgSz w:w="11900" w:h="16838" w:orient="portrait"/>
          <w:cols w:equalWidth="0" w:num="1">
            <w:col w:w="11100"/>
          </w:cols>
          <w:pgMar w:left="320" w:top="455" w:right="479" w:bottom="1440" w:gutter="0" w:footer="0" w:header="0"/>
        </w:sectPr>
      </w:pPr>
    </w:p>
    <w:bookmarkStart w:id="166" w:name="page167"/>
    <w:bookmarkEnd w:id="1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540" w:firstLine="440"/>
        <w:spacing w:after="0" w:line="282" w:lineRule="auto"/>
        <w:rPr>
          <w:sz w:val="20"/>
          <w:szCs w:val="20"/>
          <w:color w:val="auto"/>
        </w:rPr>
      </w:pPr>
      <w:r>
        <w:rPr>
          <w:rFonts w:ascii="Times New Roman" w:cs="Times New Roman" w:eastAsia="Times New Roman" w:hAnsi="Times New Roman"/>
          <w:sz w:val="18"/>
          <w:szCs w:val="18"/>
          <w:color w:val="auto"/>
        </w:rPr>
        <w:t>Pursuant to the Side Letter, the termination of one Car Model Assignment and License Agreement gives Volvo Car Corporation the right to immediately terminate the other Car Model Assignment and License Agreement.</w:t>
      </w:r>
    </w:p>
    <w:p>
      <w:pPr>
        <w:spacing w:after="0" w:line="160"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PHEV IP Sub-License Agreement</w:t>
      </w:r>
      <w:r>
        <w:rPr>
          <w:rFonts w:ascii="Times New Roman" w:cs="Times New Roman" w:eastAsia="Times New Roman" w:hAnsi="Times New Roman"/>
          <w:sz w:val="18"/>
          <w:szCs w:val="18"/>
          <w:color w:val="auto"/>
        </w:rPr>
        <w:t>, dated as of September 4, 2018, between Volvo Personvagnar AB and Polestar Performance AB is a sub-license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 relating to certain technology used in Polestar vehicles. The agreement provides that Polestar Performance AB will pay Volvo Cars a per vehicle fee determined in accordance with the agreement and paid on a monthly basis. The agreement may terminate within 90 days of written notice for breach or immediately upon the insolvency of the other party.</w:t>
      </w:r>
    </w:p>
    <w:p>
      <w:pPr>
        <w:spacing w:after="0" w:line="180" w:lineRule="exact"/>
        <w:rPr>
          <w:sz w:val="20"/>
          <w:szCs w:val="20"/>
          <w:color w:val="auto"/>
        </w:rPr>
      </w:pPr>
    </w:p>
    <w:p>
      <w:pPr>
        <w:ind w:left="120" w:right="60" w:firstLine="440"/>
        <w:spacing w:after="0" w:line="277" w:lineRule="auto"/>
        <w:rPr>
          <w:sz w:val="20"/>
          <w:szCs w:val="20"/>
          <w:color w:val="auto"/>
        </w:rPr>
      </w:pPr>
      <w:r>
        <w:rPr>
          <w:rFonts w:ascii="Times New Roman" w:cs="Times New Roman" w:eastAsia="Times New Roman" w:hAnsi="Times New Roman"/>
          <w:sz w:val="17"/>
          <w:szCs w:val="17"/>
          <w:i w:val="1"/>
          <w:iCs w:val="1"/>
          <w:color w:val="auto"/>
        </w:rPr>
        <w:t>PHEV IP Sub-License Agreement</w:t>
      </w:r>
      <w:r>
        <w:rPr>
          <w:rFonts w:ascii="Times New Roman" w:cs="Times New Roman" w:eastAsia="Times New Roman" w:hAnsi="Times New Roman"/>
          <w:sz w:val="17"/>
          <w:szCs w:val="17"/>
          <w:color w:val="auto"/>
        </w:rPr>
        <w:t>, dated as of September 7, 2018, between Volvo Personvagnar AB and Polestar New Energy Vehicle Co. Ltd, as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amended by the </w:t>
      </w:r>
      <w:r>
        <w:rPr>
          <w:rFonts w:ascii="Times New Roman" w:cs="Times New Roman" w:eastAsia="Times New Roman" w:hAnsi="Times New Roman"/>
          <w:sz w:val="17"/>
          <w:szCs w:val="17"/>
          <w:i w:val="1"/>
          <w:iCs w:val="1"/>
          <w:color w:val="auto"/>
        </w:rPr>
        <w:t>Novation Agreement</w:t>
      </w:r>
      <w:r>
        <w:rPr>
          <w:rFonts w:ascii="Times New Roman" w:cs="Times New Roman" w:eastAsia="Times New Roman" w:hAnsi="Times New Roman"/>
          <w:sz w:val="17"/>
          <w:szCs w:val="17"/>
          <w:color w:val="auto"/>
        </w:rPr>
        <w:t>, dated as of December 8, 2020, by and among Polestar New Energy Vehicle Co., Ltd., Polestar Automotive China Distribution Co., Ltd. and Volvo Car Corporation is a sublicense agreement relating to certain technology used in Polestar vehicles. The agreement provides that Polestar Performance AB will pay Volvo Cars a per vehicle fee determined in accordance with the agreement and paid on a monthly basis. In addition, if an “Event of Default” (as defined in the agreement) occurs, the non-defaulting party may terminate the agreement with immediate effect.</w:t>
      </w:r>
    </w:p>
    <w:p>
      <w:pPr>
        <w:spacing w:after="0" w:line="168"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i w:val="1"/>
          <w:iCs w:val="1"/>
          <w:color w:val="auto"/>
        </w:rPr>
        <w:t>Change Management Agreement</w:t>
      </w:r>
      <w:r>
        <w:rPr>
          <w:rFonts w:ascii="Times New Roman" w:cs="Times New Roman" w:eastAsia="Times New Roman" w:hAnsi="Times New Roman"/>
          <w:sz w:val="18"/>
          <w:szCs w:val="18"/>
          <w:color w:val="auto"/>
        </w:rPr>
        <w:t>, dated as of June 12, 2020, between Volvo Car Corporation and Polestar Performance AB is an agreement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regulating certain updates and upgrades made to certain technology in the Polestar 1. The agreement provides that Polestar Performance AB will pay Volvo Car Corporation a fee based on 100% of Volvo Car Corporation’s actual development cost, as calculated on a time and material basis applying an arm’s length mark-up. The hourly rates charged under the agreement are reviewed and updated annually. The agreement remains in effect during the validity of the license period of the license granted under the agreement unless terminated upon 12 months’ written notice. In addition, the agreement may terminate within 60 days of written notice for breach or immediately upon the insolvency of the other party. Further, Polestar Performance AB also has certain termination and cancellation rights under the agreement.</w:t>
      </w:r>
    </w:p>
    <w:p>
      <w:pPr>
        <w:spacing w:after="0" w:line="183"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i w:val="1"/>
          <w:iCs w:val="1"/>
          <w:color w:val="auto"/>
        </w:rPr>
        <w:t>Service Agreement</w:t>
      </w:r>
      <w:r>
        <w:rPr>
          <w:rFonts w:ascii="Times New Roman" w:cs="Times New Roman" w:eastAsia="Times New Roman" w:hAnsi="Times New Roman"/>
          <w:sz w:val="18"/>
          <w:szCs w:val="18"/>
          <w:color w:val="auto"/>
        </w:rPr>
        <w:t>, dated as of October 31, 2018, between Volvo Car Corporation and Polestar New Energy Vehicle Co. Ltd., as amended by the</w:t>
      </w:r>
      <w:r>
        <w:rPr>
          <w:rFonts w:ascii="Times New Roman" w:cs="Times New Roman" w:eastAsia="Times New Roman" w:hAnsi="Times New Roman"/>
          <w:sz w:val="18"/>
          <w:szCs w:val="18"/>
          <w:i w:val="1"/>
          <w:iCs w:val="1"/>
          <w:color w:val="auto"/>
        </w:rPr>
        <w:t xml:space="preserve"> Novation Agreement</w:t>
      </w:r>
      <w:r>
        <w:rPr>
          <w:rFonts w:ascii="Times New Roman" w:cs="Times New Roman" w:eastAsia="Times New Roman" w:hAnsi="Times New Roman"/>
          <w:sz w:val="18"/>
          <w:szCs w:val="18"/>
          <w:color w:val="auto"/>
        </w:rPr>
        <w:t>, dated as of December 8, 2020, by and among Polestar New Energy Vehicle Co., Ltd., Polestar Automotive China Distribution Co.,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Ltd. and Volvo Car Corporation is a service agreement governing certain sourcing services provided by Volvo Car Corporation to Polestar Automotive China Distribution Co., Ltd. (to which Polestar New Energy Vehicle Co., Ltd. transferred its rights and obligations under the agreement in accordance with a novation agreement). The agreement provides that Polestar Automotive China Distribution Co., Ltd. will pay Volvo Car Corporation a semi-annual service charge calculated on a time and material basis applying an arm’s length mark-up to the full cost incurred, and the hourly rates are reviewed and updated annually by mutual agreement of the parties. The agreement terminates on the date of the final status report, though either party may terminate for convenience upon 60 days’ written notice. Polestar Automotive China Distribution Co., Ltd. also has the right to cancel for convenience the services performed under the agreement upon 30 days’ written notice. In addition, the agreement may terminate within 14 days of written notice for breach or immediately upon the insolvency of the other party.</w:t>
      </w:r>
    </w:p>
    <w:p>
      <w:pPr>
        <w:spacing w:after="0" w:line="185"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i w:val="1"/>
          <w:iCs w:val="1"/>
          <w:color w:val="auto"/>
        </w:rPr>
        <w:t>Service Agreement</w:t>
      </w:r>
      <w:r>
        <w:rPr>
          <w:rFonts w:ascii="Times New Roman" w:cs="Times New Roman" w:eastAsia="Times New Roman" w:hAnsi="Times New Roman"/>
          <w:sz w:val="18"/>
          <w:szCs w:val="18"/>
          <w:color w:val="auto"/>
        </w:rPr>
        <w:t>, dated as of November 17, 2020, between Volvo Cars Technology (Shanghai) Co., Ltd. and Polestar New Energy Vehicle Co.,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Ltd. is a service agreement under which Volvo Cars Technology (Shanghai) Co., Ltd. provides Polestar New Energy Vehicle Co., Ltd. with procurement services needed for Polestar vehicle maintenance at the Chengdu plant. The agreement provides that Polestar New Energy Vehicle Co., Ltd. will pay Volvo Cars Technology (Shanghai) Co., Ltd. a monthly service charge based on the actual hours required for the services to be performed charged at hourly rates. The hourly rates used to calculate the service charge are calculated using the full cost incurred plus an arm’s length markup, and the hourly rates are determined by Volvo Cars Technology (Shanghai) Co., Ltd. on an annual basis. The agreement remains in effect until the services are complete. Either party may terminate the agreement for convenience upon 60 days’ written notice. Further, either party may terminate within 30 days of written notice for breach or immediately upon the</w:t>
      </w:r>
    </w:p>
    <w:p>
      <w:pPr>
        <w:spacing w:after="0" w:line="1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152</w:t>
      </w:r>
    </w:p>
    <w:p>
      <w:pPr>
        <w:sectPr>
          <w:pgSz w:w="11900" w:h="16838" w:orient="portrait"/>
          <w:cols w:equalWidth="0" w:num="1">
            <w:col w:w="11120"/>
          </w:cols>
          <w:pgMar w:left="320" w:top="455" w:right="459" w:bottom="1440" w:gutter="0" w:footer="0" w:header="0"/>
        </w:sectPr>
      </w:pPr>
    </w:p>
    <w:bookmarkStart w:id="167" w:name="page168"/>
    <w:bookmarkEnd w:id="1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 xml:space="preserve">insolvency of the other party. Polestar New Energy Vehicle Co., Ltd. also has certain service cancelation rights and has an immediate termination right with respect to certain breaches by Volvo Cars Technology (Shanghai) Co., Ltd. </w:t>
      </w:r>
      <w:r>
        <w:rPr>
          <w:rFonts w:ascii="Times New Roman" w:cs="Times New Roman" w:eastAsia="Times New Roman" w:hAnsi="Times New Roman"/>
          <w:sz w:val="18"/>
          <w:szCs w:val="18"/>
          <w:i w:val="1"/>
          <w:iCs w:val="1"/>
          <w:color w:val="auto"/>
        </w:rPr>
        <w:t>The Service Agreement</w:t>
      </w:r>
      <w:r>
        <w:rPr>
          <w:rFonts w:ascii="Times New Roman" w:cs="Times New Roman" w:eastAsia="Times New Roman" w:hAnsi="Times New Roman"/>
          <w:sz w:val="18"/>
          <w:szCs w:val="18"/>
          <w:color w:val="auto"/>
        </w:rPr>
        <w:t>, dated as of November 13, 2020, between Volvo Car Corporation and Polestar New Energy Vehicle Co., Ltd. also governs procurement services needed for Polestar vehicles at the Chengdu plant and its terms largely mirror the previously described agreement, but with Volvo Car Corporation acting as the service provider under the contract.</w:t>
      </w:r>
    </w:p>
    <w:p>
      <w:pPr>
        <w:spacing w:after="0" w:line="178" w:lineRule="exact"/>
        <w:rPr>
          <w:sz w:val="20"/>
          <w:szCs w:val="20"/>
          <w:color w:val="auto"/>
        </w:rPr>
      </w:pPr>
    </w:p>
    <w:p>
      <w:pPr>
        <w:ind w:left="120" w:firstLine="440"/>
        <w:spacing w:after="0" w:line="268" w:lineRule="auto"/>
        <w:rPr>
          <w:sz w:val="20"/>
          <w:szCs w:val="20"/>
          <w:color w:val="auto"/>
        </w:rPr>
      </w:pPr>
      <w:r>
        <w:rPr>
          <w:rFonts w:ascii="Times New Roman" w:cs="Times New Roman" w:eastAsia="Times New Roman" w:hAnsi="Times New Roman"/>
          <w:sz w:val="17"/>
          <w:szCs w:val="17"/>
          <w:i w:val="1"/>
          <w:iCs w:val="1"/>
          <w:color w:val="auto"/>
        </w:rPr>
        <w:t>Service Agreement</w:t>
      </w:r>
      <w:r>
        <w:rPr>
          <w:rFonts w:ascii="Times New Roman" w:cs="Times New Roman" w:eastAsia="Times New Roman" w:hAnsi="Times New Roman"/>
          <w:sz w:val="17"/>
          <w:szCs w:val="17"/>
          <w:color w:val="auto"/>
        </w:rPr>
        <w:t>, dated as of October 31, 2018, between Volvo Car Corporation and Polestar New Energy Vehicle Co. Ltd., as amended by the</w:t>
      </w:r>
      <w:r>
        <w:rPr>
          <w:rFonts w:ascii="Times New Roman" w:cs="Times New Roman" w:eastAsia="Times New Roman" w:hAnsi="Times New Roman"/>
          <w:sz w:val="17"/>
          <w:szCs w:val="17"/>
          <w:i w:val="1"/>
          <w:iCs w:val="1"/>
          <w:color w:val="auto"/>
        </w:rPr>
        <w:t xml:space="preserve"> Novation Agreement</w:t>
      </w:r>
      <w:r>
        <w:rPr>
          <w:rFonts w:ascii="Times New Roman" w:cs="Times New Roman" w:eastAsia="Times New Roman" w:hAnsi="Times New Roman"/>
          <w:sz w:val="17"/>
          <w:szCs w:val="17"/>
          <w:color w:val="auto"/>
        </w:rPr>
        <w:t>, dated as of December 8, 2020, by and among Polestar New Energy Vehicle Co., Ltd., Polestar Automotive China Distribution Co.,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Ltd. and Volvo Car Corporation is a service agreement under which Volvo Cars provides Polestar New Energy Vehicle Co. Ltd. and Polestar Automotive China Distribution Co., Ltd. with manufacturing engineering services connected with Polestar 1 and Polestar 2, respectively. The agreement provides that the applicable Polestar entity will pay Volvo Cars a semi- annual service charge based on the estimated hours required for the services to be performed charged at hourly rates. The hourly rates used to calculate the service charges are calculated using the full cost incurred plus an arm’s length markup, and the hourly rates are determined by the parties on an annual basis. This agreement remains in effect until the date of the final status report” as described in the agreement. Either party may terminate the agreement for convenience upon 60 days’ written notice. Further, either party may terminate within 14 days of written notice for breach or immediately upon the insolvency of the other party. The applicable Polestar entity also has the right to cancel the services performed for convenience upon 30 days’ written notice. The </w:t>
      </w:r>
      <w:r>
        <w:rPr>
          <w:rFonts w:ascii="Times New Roman" w:cs="Times New Roman" w:eastAsia="Times New Roman" w:hAnsi="Times New Roman"/>
          <w:sz w:val="17"/>
          <w:szCs w:val="17"/>
          <w:i w:val="1"/>
          <w:iCs w:val="1"/>
          <w:color w:val="auto"/>
        </w:rPr>
        <w:t>Service Agreement</w:t>
      </w:r>
      <w:r>
        <w:rPr>
          <w:rFonts w:ascii="Times New Roman" w:cs="Times New Roman" w:eastAsia="Times New Roman" w:hAnsi="Times New Roman"/>
          <w:sz w:val="17"/>
          <w:szCs w:val="17"/>
          <w:color w:val="auto"/>
        </w:rPr>
        <w:t xml:space="preserve">, dated as of December 21, 2018, between Daqing Volvo Car Manufacturing Co. Ltd. and Polestar New Energy Vehicle Co. Ltd., as amended by the </w:t>
      </w:r>
      <w:r>
        <w:rPr>
          <w:rFonts w:ascii="Times New Roman" w:cs="Times New Roman" w:eastAsia="Times New Roman" w:hAnsi="Times New Roman"/>
          <w:sz w:val="17"/>
          <w:szCs w:val="17"/>
          <w:i w:val="1"/>
          <w:iCs w:val="1"/>
          <w:color w:val="auto"/>
        </w:rPr>
        <w:t>Novation Agreement</w:t>
      </w:r>
      <w:r>
        <w:rPr>
          <w:rFonts w:ascii="Times New Roman" w:cs="Times New Roman" w:eastAsia="Times New Roman" w:hAnsi="Times New Roman"/>
          <w:sz w:val="17"/>
          <w:szCs w:val="17"/>
          <w:color w:val="auto"/>
        </w:rPr>
        <w:t>, dated as of December 8, 2020, by and among Polestar New Energy Vehicle Co., Ltd., Polestar Automotive China Distribution Co., Ltd. and Daqing Volvo Car Manufacturing Co. Ltd. also governs the provision of manufacturing engineering services in relation to the production of Polestar vehicles and its terms largely mirror the previously described agreement, but with Daqing Volvo Car Manufacturing Co. Ltd. acting as the service provider. On December 23, 2020, Volvo Car Corporation and Polestar New Energy Vehicle Co. Ltd. entered into a Settlement Agreement relating to a dispute that arose pursuant to the Service Agreement. The Settlement Agreement provided that Volvo Car Corporation would compensate Polestar New Energy Vehicle Co. Ltd. for costs and losses associated with delayed deliveries of certain components and the delivery of defective components resulting in a recall of Polestar vehicles.</w:t>
      </w:r>
    </w:p>
    <w:p>
      <w:pPr>
        <w:spacing w:after="0" w:line="177" w:lineRule="exact"/>
        <w:rPr>
          <w:sz w:val="20"/>
          <w:szCs w:val="20"/>
          <w:color w:val="auto"/>
        </w:rPr>
      </w:pPr>
    </w:p>
    <w:p>
      <w:pPr>
        <w:ind w:left="120" w:firstLine="440"/>
        <w:spacing w:after="0" w:line="269" w:lineRule="auto"/>
        <w:rPr>
          <w:sz w:val="20"/>
          <w:szCs w:val="20"/>
          <w:color w:val="auto"/>
        </w:rPr>
      </w:pPr>
      <w:r>
        <w:rPr>
          <w:rFonts w:ascii="Times New Roman" w:cs="Times New Roman" w:eastAsia="Times New Roman" w:hAnsi="Times New Roman"/>
          <w:sz w:val="17"/>
          <w:szCs w:val="17"/>
          <w:i w:val="1"/>
          <w:iCs w:val="1"/>
          <w:color w:val="auto"/>
        </w:rPr>
        <w:t>Service Agreement</w:t>
      </w:r>
      <w:r>
        <w:rPr>
          <w:rFonts w:ascii="Times New Roman" w:cs="Times New Roman" w:eastAsia="Times New Roman" w:hAnsi="Times New Roman"/>
          <w:sz w:val="17"/>
          <w:szCs w:val="17"/>
          <w:color w:val="auto"/>
        </w:rPr>
        <w:t>, dated as of October 31, 2018, between Volvo Car Corporation and Polestar New Energy Vehicle Co. Ltd., as amended by the</w:t>
      </w:r>
      <w:r>
        <w:rPr>
          <w:rFonts w:ascii="Times New Roman" w:cs="Times New Roman" w:eastAsia="Times New Roman" w:hAnsi="Times New Roman"/>
          <w:sz w:val="17"/>
          <w:szCs w:val="17"/>
          <w:i w:val="1"/>
          <w:iCs w:val="1"/>
          <w:color w:val="auto"/>
        </w:rPr>
        <w:t xml:space="preserve"> Novation Agreement</w:t>
      </w:r>
      <w:r>
        <w:rPr>
          <w:rFonts w:ascii="Times New Roman" w:cs="Times New Roman" w:eastAsia="Times New Roman" w:hAnsi="Times New Roman"/>
          <w:sz w:val="17"/>
          <w:szCs w:val="17"/>
          <w:color w:val="auto"/>
        </w:rPr>
        <w:t>, dated as of December 8, 2020, by and among Polestar New Energy Vehicle Co., Ltd., Polestar Automotive China Distribution Co.,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Ltd. and Volvo Car Corporation is a service agreement under which Volvo Car Corporation provides Polestar New Energy Vehicle Co. Ltd. and Polestar Automotive China Distribution Co., Ltd. with logistics engineering services connected with the Polestar 1 and Polestar 2, respectively. The agreement provides that the applicable Polestar entity will pay Volvo Car Corporation a semi-annual service charge based on the estimated hours required for the services to be performed charged at hourly rates. The hourly rates used to calculate the service charges are calculated using the full cost incurred plus an arm’s length markup, and the hourly rates are determined by the parties on an annual basis. The agreement remains in effect until the date of the final status report as described in the agreement. Either party may terminate the agreement for convenience upon 60 days’ written notice. Further, either party may terminate within 14 days of written notice for breach or immediately upon the insolvency of the other party. The applicable Polestar entity also has the right to cancel the services performed for convenience upon 30 days written notice. The </w:t>
      </w:r>
      <w:r>
        <w:rPr>
          <w:rFonts w:ascii="Times New Roman" w:cs="Times New Roman" w:eastAsia="Times New Roman" w:hAnsi="Times New Roman"/>
          <w:sz w:val="17"/>
          <w:szCs w:val="17"/>
          <w:i w:val="1"/>
          <w:iCs w:val="1"/>
          <w:color w:val="auto"/>
        </w:rPr>
        <w:t>Service Agreement</w:t>
      </w:r>
      <w:r>
        <w:rPr>
          <w:rFonts w:ascii="Times New Roman" w:cs="Times New Roman" w:eastAsia="Times New Roman" w:hAnsi="Times New Roman"/>
          <w:sz w:val="17"/>
          <w:szCs w:val="17"/>
          <w:color w:val="auto"/>
        </w:rPr>
        <w:t xml:space="preserve">, dated as of December 21, 2018, between Volvo Car (Asia Pacific) Investment Holding Co. Ltd. and Polestar New Energy Vehicle Co. Ltd., as amended by the </w:t>
      </w:r>
      <w:r>
        <w:rPr>
          <w:rFonts w:ascii="Times New Roman" w:cs="Times New Roman" w:eastAsia="Times New Roman" w:hAnsi="Times New Roman"/>
          <w:sz w:val="17"/>
          <w:szCs w:val="17"/>
          <w:i w:val="1"/>
          <w:iCs w:val="1"/>
          <w:color w:val="auto"/>
        </w:rPr>
        <w:t>Novation Agreement</w:t>
      </w:r>
      <w:r>
        <w:rPr>
          <w:rFonts w:ascii="Times New Roman" w:cs="Times New Roman" w:eastAsia="Times New Roman" w:hAnsi="Times New Roman"/>
          <w:sz w:val="17"/>
          <w:szCs w:val="17"/>
          <w:color w:val="auto"/>
        </w:rPr>
        <w:t>, dated as of December 8, 2020, by and among Polestar New Energy Vehicle Co., Ltd., Polestar Automotive China Distribution Co., Ltd and Volvo Car (Asia Pacific) Investment Holding Co. Ltd. also governs the provision of logistics engineering services in relation to the production of Polestar vehicles and its terms largely mirror the previously described agreement, but with Volvo Car (Asia Pacific) Investment Holding Co. Ltd. acting as the service provider.</w:t>
      </w:r>
    </w:p>
    <w:p>
      <w:pPr>
        <w:spacing w:after="0" w:line="10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153</w:t>
      </w:r>
    </w:p>
    <w:p>
      <w:pPr>
        <w:sectPr>
          <w:pgSz w:w="11900" w:h="16838" w:orient="portrait"/>
          <w:cols w:equalWidth="0" w:num="1">
            <w:col w:w="11120"/>
          </w:cols>
          <w:pgMar w:left="320" w:top="455" w:right="459" w:bottom="1440" w:gutter="0" w:footer="0" w:header="0"/>
        </w:sectPr>
      </w:pPr>
    </w:p>
    <w:bookmarkStart w:id="168" w:name="page169"/>
    <w:bookmarkEnd w:id="1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7"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i w:val="1"/>
          <w:iCs w:val="1"/>
          <w:color w:val="auto"/>
        </w:rPr>
        <w:t>Service Agreement</w:t>
      </w:r>
      <w:r>
        <w:rPr>
          <w:rFonts w:ascii="Times New Roman" w:cs="Times New Roman" w:eastAsia="Times New Roman" w:hAnsi="Times New Roman"/>
          <w:sz w:val="18"/>
          <w:szCs w:val="18"/>
          <w:color w:val="auto"/>
        </w:rPr>
        <w:t>, dated as of August 9, 2018, between Zhongjia Automobile Manufacturing (Chengdu) Co. Ltd. and Polestar New Energy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Vehicle Co. Ltd., as amended by the </w:t>
      </w:r>
      <w:r>
        <w:rPr>
          <w:rFonts w:ascii="Times New Roman" w:cs="Times New Roman" w:eastAsia="Times New Roman" w:hAnsi="Times New Roman"/>
          <w:sz w:val="18"/>
          <w:szCs w:val="18"/>
          <w:i w:val="1"/>
          <w:iCs w:val="1"/>
          <w:color w:val="auto"/>
        </w:rPr>
        <w:t>Amendment Agreement to the Service Agreement</w:t>
      </w:r>
      <w:r>
        <w:rPr>
          <w:rFonts w:ascii="Times New Roman" w:cs="Times New Roman" w:eastAsia="Times New Roman" w:hAnsi="Times New Roman"/>
          <w:sz w:val="18"/>
          <w:szCs w:val="18"/>
          <w:color w:val="auto"/>
        </w:rPr>
        <w:t>, dated as of August 26, 2020, between Zhongjia Automobile Manufacturing (Chengdu) Co., Ltd. and Polestar New Energy Vehicle Co., Ltd., AB is a service agreement governing certain services that Zhongjia Automobile Manufacturing (Chengdu) Co. Ltd. provides to Polestar New Energy Vehicle Co. Ltd. relating to the electrocoating of the Polestar 1. The agreement provides that Polestar New Energy Vehicle Co. Ltd. will pay Zhongjia Automobile Manufacturing (Chengdu) Co. Ltd. a monthly service fee based on an actual total cost basis with a mark-up to an arm’s length price using the cost plus method. This service charge is reviewed and updated annually by the parties and is based on a benchmarking study. The agreement remains in effect until terminated. The agreement may be terminated for convenience by either party upon six months’ written notice. Further, the agreement may terminate within 30 days of written notice for breach or immediately upon the insolvency of the other party. Polestar New Energy Vehicle Co. Ltd. also has additional service cancellation and termination rights under the agreement.</w:t>
      </w:r>
    </w:p>
    <w:p>
      <w:pPr>
        <w:spacing w:after="0" w:line="185" w:lineRule="exact"/>
        <w:rPr>
          <w:sz w:val="20"/>
          <w:szCs w:val="20"/>
          <w:color w:val="auto"/>
        </w:rPr>
      </w:pPr>
    </w:p>
    <w:p>
      <w:pPr>
        <w:ind w:left="120" w:right="100" w:firstLine="440"/>
        <w:spacing w:after="0" w:line="254" w:lineRule="auto"/>
        <w:rPr>
          <w:sz w:val="20"/>
          <w:szCs w:val="20"/>
          <w:color w:val="auto"/>
        </w:rPr>
      </w:pPr>
      <w:r>
        <w:rPr>
          <w:rFonts w:ascii="Times New Roman" w:cs="Times New Roman" w:eastAsia="Times New Roman" w:hAnsi="Times New Roman"/>
          <w:sz w:val="18"/>
          <w:szCs w:val="18"/>
          <w:i w:val="1"/>
          <w:iCs w:val="1"/>
          <w:color w:val="auto"/>
        </w:rPr>
        <w:t>Service Agreement</w:t>
      </w:r>
      <w:r>
        <w:rPr>
          <w:rFonts w:ascii="Times New Roman" w:cs="Times New Roman" w:eastAsia="Times New Roman" w:hAnsi="Times New Roman"/>
          <w:sz w:val="18"/>
          <w:szCs w:val="18"/>
          <w:color w:val="auto"/>
        </w:rPr>
        <w:t>, dated as of December 17, 2019, between Volvo Car Belgium NV, Ltd. and Polestar Performance AB, as amended by the</w:t>
      </w:r>
      <w:r>
        <w:rPr>
          <w:rFonts w:ascii="Times New Roman" w:cs="Times New Roman" w:eastAsia="Times New Roman" w:hAnsi="Times New Roman"/>
          <w:sz w:val="18"/>
          <w:szCs w:val="18"/>
          <w:i w:val="1"/>
          <w:iCs w:val="1"/>
          <w:color w:val="auto"/>
        </w:rPr>
        <w:t xml:space="preserve"> Amendment to the Service Agreement</w:t>
      </w:r>
      <w:r>
        <w:rPr>
          <w:rFonts w:ascii="Times New Roman" w:cs="Times New Roman" w:eastAsia="Times New Roman" w:hAnsi="Times New Roman"/>
          <w:sz w:val="18"/>
          <w:szCs w:val="18"/>
          <w:color w:val="auto"/>
        </w:rPr>
        <w:t>, dated as of March 4, 2020, between Volvo Car Belgium NV, Ltd. and Polestar Performance AB governs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performance of various services relating to Polestar vehicles that are provided by Volvo Car Belgium NV, Ltd. to Polestar Performance AB at ESDIC in Gent, Belgium. The agreement provides that Polestar Performance AB will pay Volvo Car Belgium NV, Ltd. a monthly service charge based on hourly rates using the cost plus method. The hourly rates are determined annually by Volvo Car Belgium NV, Ltd., and Polestar Performance AB reimburses Volvo Car Belgium NV, Ltd. for all of its costs incurred to provide the services. The agreement remains in effect until the services are completed or the agreement is otherwise terminated. Either party may terminate the agreement for convenience upon 60 days’ written notice. Further, either party may terminate within 30 days of written notice for breach or immediately upon the insolvency of the other party. Polestar Performance AB also has additional service cancellation and termination rights under the agreement.</w:t>
      </w:r>
    </w:p>
    <w:p>
      <w:pPr>
        <w:spacing w:after="0" w:line="188"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i w:val="1"/>
          <w:iCs w:val="1"/>
          <w:color w:val="auto"/>
        </w:rPr>
        <w:t>Component Supply Agreement</w:t>
      </w:r>
      <w:r>
        <w:rPr>
          <w:rFonts w:ascii="Times New Roman" w:cs="Times New Roman" w:eastAsia="Times New Roman" w:hAnsi="Times New Roman"/>
          <w:sz w:val="18"/>
          <w:szCs w:val="18"/>
          <w:color w:val="auto"/>
        </w:rPr>
        <w:t>, dated as of 2018, between Polestar New Energy Vehicle Co., Ltd. and Zhejiang Haoqing Automobile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Manufacturing Co., Ltd. Chengdu Branch is a supply agreement governing Zhejiang Haoqing Automobile Manufacturing Co., Ltd. Chengdu Branch’s purchase of components from Polestar New Energy Vehicle Co., Ltd. The agreement provides that Zhejiang Haoqing Automobile Manufacturing Co., Ltd. Chengdu Branch must compensate Polestar New Energy Vehicle Co., Ltd. in the aggregate for all components that Polestar New Energy Vehicle Co., Ltd. supplies during a calendar year. Such compensation is calculated using an arm’s length pricing principle. The agreement automatically extends on January 1 of each year unless terminated. The agreement, in whole or in part, may be terminated immediately upon the insolvency of the other party, and either party may terminate for convenience upon 12 months’ written notice.</w:t>
      </w:r>
    </w:p>
    <w:p>
      <w:pPr>
        <w:spacing w:after="0" w:line="183"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i w:val="1"/>
          <w:iCs w:val="1"/>
          <w:color w:val="auto"/>
        </w:rPr>
        <w:t>General Distributor Agreement</w:t>
      </w:r>
      <w:r>
        <w:rPr>
          <w:rFonts w:ascii="Times New Roman" w:cs="Times New Roman" w:eastAsia="Times New Roman" w:hAnsi="Times New Roman"/>
          <w:sz w:val="18"/>
          <w:szCs w:val="18"/>
          <w:color w:val="auto"/>
        </w:rPr>
        <w:t>, effective as of January 1, 2020, between Zhejiang Haoqing Automobile Manufacturing Co., Ltd. Chengdu Branch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Polestar Automotive China Distribution Co., Ltd. is an agreement governing the manufacturing and distribution of Polestar products. The agreement provides that Zhejiang Haoqing Automobile Manufacturing Co., Ltd. Chengdu Branch will supply certain goods to Polestar Automotive China Distribution Co., Ltd., which Polestar Automotive China Distribution Co., Ltd. will then distribute either itself or through an authorized dealer. Polestar Automotive China Distribution Co., Ltd. will compensate Zhejiang Haoqing Automobile Manufacturing Co., Ltd. Chengdu Branch for the full cost of the contract products. The agreement may be terminated only in two years’ intervals by giving two months’ notice with effect as per December 31 of any subsequent second year. Unless a termination notice is given, the agreement continues in effect for an additional two years. Further each party may immediately terminate the agreement for “good cause” as described in and pursuant to the agreement.</w:t>
      </w:r>
    </w:p>
    <w:p>
      <w:pPr>
        <w:spacing w:after="0" w:line="185" w:lineRule="exact"/>
        <w:rPr>
          <w:sz w:val="20"/>
          <w:szCs w:val="20"/>
          <w:color w:val="auto"/>
        </w:rPr>
      </w:pPr>
    </w:p>
    <w:p>
      <w:pPr>
        <w:ind w:left="12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License, License Assignment and Service Agreement</w:t>
      </w:r>
      <w:r>
        <w:rPr>
          <w:rFonts w:ascii="Times New Roman" w:cs="Times New Roman" w:eastAsia="Times New Roman" w:hAnsi="Times New Roman"/>
          <w:sz w:val="18"/>
          <w:szCs w:val="18"/>
          <w:color w:val="auto"/>
        </w:rPr>
        <w:t>, dated as of February 15, 2021, between Volvo Car Corporation and Polestar Performance AB</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 a license assignment and service agreement under which Volvo Car</w:t>
      </w:r>
    </w:p>
    <w:p>
      <w:pPr>
        <w:spacing w:after="0" w:line="9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154</w:t>
      </w:r>
    </w:p>
    <w:p>
      <w:pPr>
        <w:sectPr>
          <w:pgSz w:w="11900" w:h="16838" w:orient="portrait"/>
          <w:cols w:equalWidth="0" w:num="1">
            <w:col w:w="11140"/>
          </w:cols>
          <w:pgMar w:left="320" w:top="455" w:right="439" w:bottom="1440" w:gutter="0" w:footer="0" w:header="0"/>
        </w:sectPr>
      </w:pPr>
    </w:p>
    <w:bookmarkStart w:id="169" w:name="page170"/>
    <w:bookmarkEnd w:id="1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Corporation provides development services to Polestar Performance AB. The agreement relates to certain technology to be developed, assigned or licensed by Volvo Car Corporation to Polestar Performance AB for use in future model year programs of the Polestar 2. The monthly fee paid under the agreement is based on estimated development costs using the cost plus method and the actual hours required for the services billed at an hourly rate. The hourly rates are determined by Volvo Car Corporation on an annual basis. The agreement remains in effect during the performance of the services and the validity of the license period of the license granted under the agreement. Either party may terminate within 60 days of written notice for breach or immediately upon the insolvency of the other party. Polestar Performance AB also has additional service cancellation and termination rights under the agreement. In the event of certain breaches by Volvo Car Corporation, Polestar Performance AB is also entitled to terminate the agreement with 120 days’ written notice. While Polestar Performance AB may cancel the delivery of “Polestar Technology” or “PS Unique Volvo Technology” (each as defined in the agreement) for convenience upon 30 days’ written notice, both parties are limited in their ability to cancel the delivery of “Volvo Technology” (as defined in the agreement).</w:t>
      </w:r>
    </w:p>
    <w:p>
      <w:pPr>
        <w:spacing w:after="0" w:line="192" w:lineRule="exact"/>
        <w:rPr>
          <w:sz w:val="20"/>
          <w:szCs w:val="20"/>
          <w:color w:val="auto"/>
        </w:rPr>
      </w:pPr>
    </w:p>
    <w:p>
      <w:pPr>
        <w:jc w:val="both"/>
        <w:ind w:left="120" w:right="38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License and License Assignment Agreement</w:t>
      </w:r>
      <w:r>
        <w:rPr>
          <w:rFonts w:ascii="Times New Roman" w:cs="Times New Roman" w:eastAsia="Times New Roman" w:hAnsi="Times New Roman"/>
          <w:sz w:val="18"/>
          <w:szCs w:val="18"/>
          <w:color w:val="auto"/>
        </w:rPr>
        <w:t>, dated as of February 15, 2021, between Volvo Car Corporation and Polestar Automotive China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Distribution Co. Ltd. is a license agreement under which Volvo Car Corporation will provide certain development services for Polestar Automotive China Distribution Co. Ltd. relating to the development of technology to be used in future model year programs of the Polestar 2. The terms of the agreement largely mirror those of the License, License Assignment and Service Agreement described in the above paragraph.</w:t>
      </w:r>
    </w:p>
    <w:p>
      <w:pPr>
        <w:spacing w:after="0" w:line="180" w:lineRule="exact"/>
        <w:rPr>
          <w:sz w:val="20"/>
          <w:szCs w:val="20"/>
          <w:color w:val="auto"/>
        </w:rPr>
      </w:pPr>
    </w:p>
    <w:p>
      <w:pPr>
        <w:ind w:left="120" w:right="80" w:firstLine="440"/>
        <w:spacing w:after="0" w:line="253" w:lineRule="auto"/>
        <w:rPr>
          <w:sz w:val="20"/>
          <w:szCs w:val="20"/>
          <w:color w:val="auto"/>
        </w:rPr>
      </w:pPr>
      <w:r>
        <w:rPr>
          <w:rFonts w:ascii="Times New Roman" w:cs="Times New Roman" w:eastAsia="Times New Roman" w:hAnsi="Times New Roman"/>
          <w:sz w:val="18"/>
          <w:szCs w:val="18"/>
          <w:i w:val="1"/>
          <w:iCs w:val="1"/>
          <w:color w:val="auto"/>
        </w:rPr>
        <w:t>Car Model Manufacturing Agreement</w:t>
      </w:r>
      <w:r>
        <w:rPr>
          <w:rFonts w:ascii="Times New Roman" w:cs="Times New Roman" w:eastAsia="Times New Roman" w:hAnsi="Times New Roman"/>
          <w:sz w:val="18"/>
          <w:szCs w:val="18"/>
          <w:color w:val="auto"/>
        </w:rPr>
        <w:t>, dated as of November 28, 2018, between First Automobile Branch of Zhejiang Haoqing Automobile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Manufacturing Co., Ltd. and Polestar New Energy Vehicle Co. Ltd., as amended by the </w:t>
      </w:r>
      <w:r>
        <w:rPr>
          <w:rFonts w:ascii="Times New Roman" w:cs="Times New Roman" w:eastAsia="Times New Roman" w:hAnsi="Times New Roman"/>
          <w:sz w:val="18"/>
          <w:szCs w:val="18"/>
          <w:i w:val="1"/>
          <w:iCs w:val="1"/>
          <w:color w:val="auto"/>
        </w:rPr>
        <w:t>Novation Agreement</w:t>
      </w:r>
      <w:r>
        <w:rPr>
          <w:rFonts w:ascii="Times New Roman" w:cs="Times New Roman" w:eastAsia="Times New Roman" w:hAnsi="Times New Roman"/>
          <w:sz w:val="18"/>
          <w:szCs w:val="18"/>
          <w:color w:val="auto"/>
        </w:rPr>
        <w:t>, dated as of July 7, 2021, between Polestar New Energy Vehicle Co., Ltd., Polestar Automotive China Distribution (Taizhou) Co., Ltd. and First Automobile Branch of Zhejiang Haoqing Automobile Manufacturing Co., Ltd. is an agreement governing the manufacturing of the Polestar 2 at the manufacturing plant in Luqiao. Under the agreement, Asia Euro Automobile Manufacturing (Taizhou) Co., Ltd. manufactures and assembles the vehicle up to close-to-final status, and First Automobile Branch of Zhejiang Haoqing Automobile Manufacturing Co., Ltd. then completes and sells the completed product to Polestar Automotive China Distribution (Taizhou) Co., Ltd. (who replaced Polestar New Energy Vehicle Co., Ltd. pursuant to the novation agreement). The products are priced based on their full cost of production, including Polestar Automotive China Distribution (Taizhou) Co., Ltd.’s pro rata portion of the common cost of the plant, plus a mark-up that is reviewed and adjusted according to certain benchmarks. The prices for vehicles produced in the plant are determined annually based on reserved volumes and the estimated cost for producing the vehicles, as determined by First Automobile Branch of Zhejiang Haoqing Automobile Manufacturing Co., Ltd., and are subject to review and amendment on a monthly basis. The agreement terminates seven years after becoming effective, and either party may terminate within 60 days of written notice for breach or immediately upon the insolvency of the other party. If Polestar Automotive China Distribution (Taizhou) Co., Ltd. discontinues having vehicles produced at the Luqiao plant under the agreement prior to its termination, Polestar Automotive China Distribution (Taizhou) Co., Ltd. must pay certain exit costs.</w:t>
      </w:r>
    </w:p>
    <w:p>
      <w:pPr>
        <w:spacing w:after="0" w:line="185" w:lineRule="exact"/>
        <w:rPr>
          <w:sz w:val="20"/>
          <w:szCs w:val="20"/>
          <w:color w:val="auto"/>
        </w:rPr>
      </w:pPr>
    </w:p>
    <w:p>
      <w:pPr>
        <w:ind w:left="12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Car Model Manufacturing Agreement</w:t>
      </w:r>
      <w:r>
        <w:rPr>
          <w:rFonts w:ascii="Times New Roman" w:cs="Times New Roman" w:eastAsia="Times New Roman" w:hAnsi="Times New Roman"/>
          <w:sz w:val="18"/>
          <w:szCs w:val="18"/>
          <w:color w:val="auto"/>
        </w:rPr>
        <w:t>, dated as of November 26, 2018, between Asia Euro Automobile Manufacturing (Taizhou) Co., Ltd.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Polestar Performance AB, as supplemented by the </w:t>
      </w:r>
      <w:r>
        <w:rPr>
          <w:rFonts w:ascii="Times New Roman" w:cs="Times New Roman" w:eastAsia="Times New Roman" w:hAnsi="Times New Roman"/>
          <w:sz w:val="18"/>
          <w:szCs w:val="18"/>
          <w:i w:val="1"/>
          <w:iCs w:val="1"/>
          <w:color w:val="auto"/>
        </w:rPr>
        <w:t>Supplement Car Manufacturing Agreement</w:t>
      </w:r>
      <w:r>
        <w:rPr>
          <w:rFonts w:ascii="Times New Roman" w:cs="Times New Roman" w:eastAsia="Times New Roman" w:hAnsi="Times New Roman"/>
          <w:sz w:val="18"/>
          <w:szCs w:val="18"/>
          <w:color w:val="auto"/>
        </w:rPr>
        <w:t xml:space="preserve">, dated as of May 2021, between Polestar Performance AB and Asia Euro Automobile Manufacturing (Taizhou) Co. Ltd., as amended by the </w:t>
      </w:r>
      <w:r>
        <w:rPr>
          <w:rFonts w:ascii="Times New Roman" w:cs="Times New Roman" w:eastAsia="Times New Roman" w:hAnsi="Times New Roman"/>
          <w:sz w:val="18"/>
          <w:szCs w:val="18"/>
          <w:i w:val="1"/>
          <w:iCs w:val="1"/>
          <w:color w:val="auto"/>
        </w:rPr>
        <w:t>Amendment Car Model Manufacturing Agreement</w:t>
      </w:r>
      <w:r>
        <w:rPr>
          <w:rFonts w:ascii="Times New Roman" w:cs="Times New Roman" w:eastAsia="Times New Roman" w:hAnsi="Times New Roman"/>
          <w:sz w:val="18"/>
          <w:szCs w:val="18"/>
          <w:color w:val="auto"/>
        </w:rPr>
        <w:t>, dated as of July 7, 2021, between Polestar Performance AB and Asia Euro Automobile Manufacturing (Taizhou) Co. Ltd. is an agreement governing the manufacturing of completed Polestar 2 vehicles at the Luqiao plant by Asia Euro Automobile Manufacturing (Taizhou) Co. Ltd. and sold to Polestar Performance AB. The terms of the agreement largely mirror those of the Car Model Manufacturing Agreement described in the paragraph above.</w:t>
      </w:r>
    </w:p>
    <w:p>
      <w:pPr>
        <w:spacing w:after="0" w:line="182" w:lineRule="exact"/>
        <w:rPr>
          <w:sz w:val="20"/>
          <w:szCs w:val="20"/>
          <w:color w:val="auto"/>
        </w:rPr>
      </w:pPr>
    </w:p>
    <w:p>
      <w:pPr>
        <w:ind w:left="120" w:right="4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License, License Assignment and Service Agreement</w:t>
      </w:r>
      <w:r>
        <w:rPr>
          <w:rFonts w:ascii="Times New Roman" w:cs="Times New Roman" w:eastAsia="Times New Roman" w:hAnsi="Times New Roman"/>
          <w:sz w:val="18"/>
          <w:szCs w:val="18"/>
          <w:color w:val="auto"/>
        </w:rPr>
        <w:t>, dated as of June 30, 2019, between Volvo Car Corporation and Polestar Performance AB,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supplemented by the </w:t>
      </w:r>
      <w:r>
        <w:rPr>
          <w:rFonts w:ascii="Times New Roman" w:cs="Times New Roman" w:eastAsia="Times New Roman" w:hAnsi="Times New Roman"/>
          <w:sz w:val="18"/>
          <w:szCs w:val="18"/>
          <w:i w:val="1"/>
          <w:iCs w:val="1"/>
          <w:color w:val="auto"/>
        </w:rPr>
        <w:t>Side Letter</w:t>
      </w:r>
      <w:r>
        <w:rPr>
          <w:rFonts w:ascii="Times New Roman" w:cs="Times New Roman" w:eastAsia="Times New Roman" w:hAnsi="Times New Roman"/>
          <w:sz w:val="18"/>
          <w:szCs w:val="18"/>
          <w:color w:val="auto"/>
        </w:rPr>
        <w:t>, dated as of June 30, 2019,</w:t>
      </w:r>
    </w:p>
    <w:p>
      <w:pPr>
        <w:spacing w:after="0" w:line="9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155</w:t>
      </w:r>
    </w:p>
    <w:p>
      <w:pPr>
        <w:sectPr>
          <w:pgSz w:w="11900" w:h="16838" w:orient="portrait"/>
          <w:cols w:equalWidth="0" w:num="1">
            <w:col w:w="11100"/>
          </w:cols>
          <w:pgMar w:left="320" w:top="455" w:right="479" w:bottom="1440" w:gutter="0" w:footer="0" w:header="0"/>
        </w:sectPr>
      </w:pPr>
    </w:p>
    <w:bookmarkStart w:id="170" w:name="page171"/>
    <w:bookmarkEnd w:id="1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60"/>
        <w:spacing w:after="0" w:line="254" w:lineRule="auto"/>
        <w:rPr>
          <w:sz w:val="20"/>
          <w:szCs w:val="20"/>
          <w:color w:val="auto"/>
        </w:rPr>
      </w:pPr>
      <w:r>
        <w:rPr>
          <w:rFonts w:ascii="Times New Roman" w:cs="Times New Roman" w:eastAsia="Times New Roman" w:hAnsi="Times New Roman"/>
          <w:sz w:val="18"/>
          <w:szCs w:val="18"/>
          <w:color w:val="auto"/>
        </w:rPr>
        <w:t xml:space="preserve">between Volvo Car Corporation, Volvo Cars (China) Investment Co., Ltd., Polestar Performance AB and Polestar New Energy Vehicle Co. Ltd., as amended by the </w:t>
      </w:r>
      <w:r>
        <w:rPr>
          <w:rFonts w:ascii="Times New Roman" w:cs="Times New Roman" w:eastAsia="Times New Roman" w:hAnsi="Times New Roman"/>
          <w:sz w:val="18"/>
          <w:szCs w:val="18"/>
          <w:i w:val="1"/>
          <w:iCs w:val="1"/>
          <w:color w:val="auto"/>
        </w:rPr>
        <w:t>Amendment Agreement to the License, License Agreement and Service Agreement</w:t>
      </w:r>
      <w:r>
        <w:rPr>
          <w:rFonts w:ascii="Times New Roman" w:cs="Times New Roman" w:eastAsia="Times New Roman" w:hAnsi="Times New Roman"/>
          <w:sz w:val="18"/>
          <w:szCs w:val="18"/>
          <w:color w:val="auto"/>
        </w:rPr>
        <w:t>, dated as of December 19, 2019, between Volvo Car Corporation and Polestar Performance AB is a license assignment and service agreement relating to certain development services and technology. The agreement remains in effect during the performance of the services and the validity of the license period of the license granted under the agreement. Either party may terminate within 60 days of written notice for breach or immediately upon the insolvency of the other party. In the event of certain breaches by Volvo Car Corporation, Polestar Performance AB is also entitled to terminate the agreement with 120 days’ written notice. While Polestar Performance AB may cancel the delivery of “Polestar Technology” or “PS Unique Volvo Technology” (each as defined in the agreement) for convenience upon 30 days’ written notice, both parties are limited in their ability to cancel the delivery of “Volvo Technology” (as defined in the agreement).</w:t>
      </w:r>
    </w:p>
    <w:p>
      <w:pPr>
        <w:spacing w:after="0" w:line="186"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i w:val="1"/>
          <w:iCs w:val="1"/>
          <w:color w:val="auto"/>
        </w:rPr>
        <w:t>License Agreement</w:t>
      </w:r>
      <w:r>
        <w:rPr>
          <w:rFonts w:ascii="Times New Roman" w:cs="Times New Roman" w:eastAsia="Times New Roman" w:hAnsi="Times New Roman"/>
          <w:sz w:val="18"/>
          <w:szCs w:val="18"/>
          <w:color w:val="auto"/>
        </w:rPr>
        <w:t>, dated as of June 30, 2019, between Volvo Car Corporation and Polestar New Energy Vehicle Co. Ltd., as supplemented by the</w:t>
      </w:r>
      <w:r>
        <w:rPr>
          <w:rFonts w:ascii="Times New Roman" w:cs="Times New Roman" w:eastAsia="Times New Roman" w:hAnsi="Times New Roman"/>
          <w:sz w:val="18"/>
          <w:szCs w:val="18"/>
          <w:i w:val="1"/>
          <w:iCs w:val="1"/>
          <w:color w:val="auto"/>
        </w:rPr>
        <w:t xml:space="preserve"> Side Letter</w:t>
      </w:r>
      <w:r>
        <w:rPr>
          <w:rFonts w:ascii="Times New Roman" w:cs="Times New Roman" w:eastAsia="Times New Roman" w:hAnsi="Times New Roman"/>
          <w:sz w:val="18"/>
          <w:szCs w:val="18"/>
          <w:color w:val="auto"/>
        </w:rPr>
        <w:t>, dated as of June 30, 2019, between Polestar Performance AB, Polestar New Energy Vehicle Co., Ltd., Volvo Car Corporation and Volvo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Cars (China) Investment Co. Ltd., as amended by the </w:t>
      </w:r>
      <w:r>
        <w:rPr>
          <w:rFonts w:ascii="Times New Roman" w:cs="Times New Roman" w:eastAsia="Times New Roman" w:hAnsi="Times New Roman"/>
          <w:sz w:val="18"/>
          <w:szCs w:val="18"/>
          <w:i w:val="1"/>
          <w:iCs w:val="1"/>
          <w:color w:val="auto"/>
        </w:rPr>
        <w:t>Novation Agreement</w:t>
      </w:r>
      <w:r>
        <w:rPr>
          <w:rFonts w:ascii="Times New Roman" w:cs="Times New Roman" w:eastAsia="Times New Roman" w:hAnsi="Times New Roman"/>
          <w:sz w:val="18"/>
          <w:szCs w:val="18"/>
          <w:color w:val="auto"/>
        </w:rPr>
        <w:t>, dated as of December 8, 2020, by and among Polestar New Energy Vehicle Co., Ltd., Polestar Automotive China Distribution Co., Ltd. and Volvo Car Corporation is a license agreement relating to certain technology associated with the Polestar 3 in China. The agreement remains in effect during the validity of the license period of the license granted under the agreement. Either party may terminate within 60 days of written notice for breach or immediately upon the insolvency of the other party. In the event of certain breaches by Volvo Car Corporation, Polestar is also entitled to terminate the agreement with 120 days’ written notice. While Polestar may cancel the delivery of “PS Unique Volvo Technology” (as defined in the agreement) for convenience upon 30 days’ written notice, both parties are limited in their ability to cancel the delivery of “Volvo Technology” (as defined in the agreement).</w:t>
      </w:r>
    </w:p>
    <w:p>
      <w:pPr>
        <w:spacing w:after="0" w:line="188"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i w:val="1"/>
          <w:iCs w:val="1"/>
          <w:color w:val="auto"/>
        </w:rPr>
        <w:t>Service Agreement</w:t>
      </w:r>
      <w:r>
        <w:rPr>
          <w:rFonts w:ascii="Times New Roman" w:cs="Times New Roman" w:eastAsia="Times New Roman" w:hAnsi="Times New Roman"/>
          <w:sz w:val="18"/>
          <w:szCs w:val="18"/>
          <w:color w:val="auto"/>
        </w:rPr>
        <w:t>, dated as of June 30, 2019, between Volvo Car Corporation and Polestar New Energy Vehicle Co. Ltd., as supplemented by the</w:t>
      </w:r>
      <w:r>
        <w:rPr>
          <w:rFonts w:ascii="Times New Roman" w:cs="Times New Roman" w:eastAsia="Times New Roman" w:hAnsi="Times New Roman"/>
          <w:sz w:val="18"/>
          <w:szCs w:val="18"/>
          <w:i w:val="1"/>
          <w:iCs w:val="1"/>
          <w:color w:val="auto"/>
        </w:rPr>
        <w:t xml:space="preserve"> Side Letter</w:t>
      </w:r>
      <w:r>
        <w:rPr>
          <w:rFonts w:ascii="Times New Roman" w:cs="Times New Roman" w:eastAsia="Times New Roman" w:hAnsi="Times New Roman"/>
          <w:sz w:val="18"/>
          <w:szCs w:val="18"/>
          <w:color w:val="auto"/>
        </w:rPr>
        <w:t>, dated as of June 30, 2019, between Volvo Car Corporation, Volvo Cars (China) Investment Co., Ltd., Polestar Performance AB and Polestar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New Energy Vehicle Co. Ltd., as amended by the </w:t>
      </w:r>
      <w:r>
        <w:rPr>
          <w:rFonts w:ascii="Times New Roman" w:cs="Times New Roman" w:eastAsia="Times New Roman" w:hAnsi="Times New Roman"/>
          <w:sz w:val="18"/>
          <w:szCs w:val="18"/>
          <w:i w:val="1"/>
          <w:iCs w:val="1"/>
          <w:color w:val="auto"/>
        </w:rPr>
        <w:t>Novation Agreement</w:t>
      </w:r>
      <w:r>
        <w:rPr>
          <w:rFonts w:ascii="Times New Roman" w:cs="Times New Roman" w:eastAsia="Times New Roman" w:hAnsi="Times New Roman"/>
          <w:sz w:val="18"/>
          <w:szCs w:val="18"/>
          <w:color w:val="auto"/>
        </w:rPr>
        <w:t>, dated as of December 8, 2020, by and among Polestar New Energy Vehicle Co., Ltd., Polestar Automotive China Distribution Co., Ltd. and Volvo Car Corporation is a service agreement in relation to manufacturing engineering, logistic engineering and direct material procurement services for the Polestar 3 provided by Volvo Car Corporation to the applicable Polestar entity in all countries except China. The agreement remains in effect during the performance of the services and the validity of the license period of the license granted to the applicable Polestar entity. Either party may terminate within 60 days of written notice for breach or immediately upon the insolvency of the other party. The applicable Polestar entity also has the right to cancel the services performed by Volvo Car Corporation for convenience upon 90 days’ written notice.</w:t>
      </w:r>
    </w:p>
    <w:p>
      <w:pPr>
        <w:spacing w:after="0" w:line="188"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i w:val="1"/>
          <w:iCs w:val="1"/>
          <w:color w:val="auto"/>
        </w:rPr>
        <w:t>Service Agreement</w:t>
      </w:r>
      <w:r>
        <w:rPr>
          <w:rFonts w:ascii="Times New Roman" w:cs="Times New Roman" w:eastAsia="Times New Roman" w:hAnsi="Times New Roman"/>
          <w:sz w:val="18"/>
          <w:szCs w:val="18"/>
          <w:color w:val="auto"/>
        </w:rPr>
        <w:t>, dated as of June 30, 2019, between Volvo Cars (China) Investment Co., Ltd. and Polestar New Energy Vehicle Co. Ltd.,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supplemented by the </w:t>
      </w:r>
      <w:r>
        <w:rPr>
          <w:rFonts w:ascii="Times New Roman" w:cs="Times New Roman" w:eastAsia="Times New Roman" w:hAnsi="Times New Roman"/>
          <w:sz w:val="18"/>
          <w:szCs w:val="18"/>
          <w:i w:val="1"/>
          <w:iCs w:val="1"/>
          <w:color w:val="auto"/>
        </w:rPr>
        <w:t>Side Letter</w:t>
      </w:r>
      <w:r>
        <w:rPr>
          <w:rFonts w:ascii="Times New Roman" w:cs="Times New Roman" w:eastAsia="Times New Roman" w:hAnsi="Times New Roman"/>
          <w:sz w:val="18"/>
          <w:szCs w:val="18"/>
          <w:color w:val="auto"/>
        </w:rPr>
        <w:t xml:space="preserve">, dated as of June 30, 2019, between Volvo Car Corporation, Volvo Cars (China) Investment Co., Ltd., Polestar Performance AB and Polestar New Energy Vehicle Co. Ltd., as amended by the </w:t>
      </w:r>
      <w:r>
        <w:rPr>
          <w:rFonts w:ascii="Times New Roman" w:cs="Times New Roman" w:eastAsia="Times New Roman" w:hAnsi="Times New Roman"/>
          <w:sz w:val="18"/>
          <w:szCs w:val="18"/>
          <w:i w:val="1"/>
          <w:iCs w:val="1"/>
          <w:color w:val="auto"/>
        </w:rPr>
        <w:t>Amendment Agreement to the Service Agreement</w:t>
      </w:r>
      <w:r>
        <w:rPr>
          <w:rFonts w:ascii="Times New Roman" w:cs="Times New Roman" w:eastAsia="Times New Roman" w:hAnsi="Times New Roman"/>
          <w:sz w:val="18"/>
          <w:szCs w:val="18"/>
          <w:color w:val="auto"/>
        </w:rPr>
        <w:t xml:space="preserve">, dated as of November 28, 2019, between Volvo Cars (China) Investment Co. Ltd. and Polestar New Energy Vehicle Co. Ltd., as amended by the </w:t>
      </w:r>
      <w:r>
        <w:rPr>
          <w:rFonts w:ascii="Times New Roman" w:cs="Times New Roman" w:eastAsia="Times New Roman" w:hAnsi="Times New Roman"/>
          <w:sz w:val="18"/>
          <w:szCs w:val="18"/>
          <w:i w:val="1"/>
          <w:iCs w:val="1"/>
          <w:color w:val="auto"/>
        </w:rPr>
        <w:t>Novation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Agreement</w:t>
      </w:r>
      <w:r>
        <w:rPr>
          <w:rFonts w:ascii="Times New Roman" w:cs="Times New Roman" w:eastAsia="Times New Roman" w:hAnsi="Times New Roman"/>
          <w:sz w:val="18"/>
          <w:szCs w:val="18"/>
          <w:color w:val="auto"/>
        </w:rPr>
        <w:t>, dated as of December 8, 2020, by and among Polestar New Energy Vehicle Co., Ltd., Polestar Automotive China Distribution Co., Ltd.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Volvo Cars (China) Investment Co., Ltd. is a service agreement in relation to manufacturing engineering, logistic engineering and procurement services for the Polestar 3 provided to the applicable Polestar entity in China. The agreement provides that the applicable Polestar entity will pay three affiliates of Volvo Cars (China) Investment Co., Ltd. ((i) Volvo Car (Asia Pacific) Investment Holding Co., Ltd., (ii) Volvo Cars Technology (Shanghai) Co., Ltd. and (iii) Zhongjia Automobile (Chengdu) Co., Ltd.) a fixed fee for their services provided under the agreement. The agreement remains in effect during the performance of the services and the validity of the license period of the license granted to the applicable Polestar entity. Either party may terminate within 60 days of written notice for breach or immediately</w:t>
      </w:r>
    </w:p>
    <w:p>
      <w:pPr>
        <w:spacing w:after="0" w:line="12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156</w:t>
      </w:r>
    </w:p>
    <w:p>
      <w:pPr>
        <w:sectPr>
          <w:pgSz w:w="11900" w:h="16838" w:orient="portrait"/>
          <w:cols w:equalWidth="0" w:num="1">
            <w:col w:w="11120"/>
          </w:cols>
          <w:pgMar w:left="320" w:top="455" w:right="459" w:bottom="1440" w:gutter="0" w:footer="0" w:header="0"/>
        </w:sectPr>
      </w:pPr>
    </w:p>
    <w:bookmarkStart w:id="171" w:name="page172"/>
    <w:bookmarkEnd w:id="1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720"/>
        <w:spacing w:after="0" w:line="282" w:lineRule="auto"/>
        <w:rPr>
          <w:sz w:val="20"/>
          <w:szCs w:val="20"/>
          <w:color w:val="auto"/>
        </w:rPr>
      </w:pPr>
      <w:r>
        <w:rPr>
          <w:rFonts w:ascii="Times New Roman" w:cs="Times New Roman" w:eastAsia="Times New Roman" w:hAnsi="Times New Roman"/>
          <w:sz w:val="18"/>
          <w:szCs w:val="18"/>
          <w:color w:val="auto"/>
        </w:rPr>
        <w:t>upon the insolvency of the other party. The applicable Polestar entity also has the right to cancel the services performed by Volvo Cars (China) Investment Co., Ltd. for convenience upon 90 days’ written notice.</w:t>
      </w:r>
    </w:p>
    <w:p>
      <w:pPr>
        <w:spacing w:after="0" w:line="160"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Side Letter</w:t>
      </w:r>
      <w:r>
        <w:rPr>
          <w:rFonts w:ascii="Times New Roman" w:cs="Times New Roman" w:eastAsia="Times New Roman" w:hAnsi="Times New Roman"/>
          <w:sz w:val="18"/>
          <w:szCs w:val="18"/>
          <w:color w:val="auto"/>
        </w:rPr>
        <w:t>, dated as of June 30, 2019, between Volvo Car Corporation, Volvo Cars (China) Investment Co., Ltd., Polestar Performance AB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Polestar New Energy Vehicle Co. Ltd., provides that the intention of these parties is for each of the main agreements described in the four previous paragraphs to actually constitute one agreement. In light of the foregoing, the side letter provides that it is the parties’ intention to share the total amount payable to the Volvo entities under the four agreements fairly between the Polestar entities as described in the side letter.</w:t>
      </w:r>
    </w:p>
    <w:p>
      <w:pPr>
        <w:spacing w:after="0" w:line="180"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i w:val="1"/>
          <w:iCs w:val="1"/>
          <w:color w:val="auto"/>
        </w:rPr>
        <w:t>Service Agreement</w:t>
      </w:r>
      <w:r>
        <w:rPr>
          <w:rFonts w:ascii="Times New Roman" w:cs="Times New Roman" w:eastAsia="Times New Roman" w:hAnsi="Times New Roman"/>
          <w:sz w:val="18"/>
          <w:szCs w:val="18"/>
          <w:color w:val="auto"/>
        </w:rPr>
        <w:t>, dated as of August 31, 2020, between Volvo Cars Technology (Shanghai) Co., Ltd. and Polestar Automotive China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Distribution Co. Ltd. is a service agreement governing certain indirect procurement services provided by Volvo Cars Technology (Shanghai) Co., Ltd. to Polestar Automotive China Distribution Co. Ltd. relating to the production of the Polestar 3 at the Chengdu plant. The agreement provides that Polestar Automotive China Distribution Co. Ltd. will pay Volvo Cars Technology (Shanghai) Co., Ltd. a monthly service charge based on the actual hours required for the services to be performed. The hourly rates are calculated using the full cost incurred plus an arm’s length mark-up and are determined annually by Volvo Cars Technology (Shanghai) Co., Ltd. The agreement remains in effect until the services are complete. Either party may terminate the agreement for convenience upon 60 days’ written notice. Further, either party may terminate within 30 days of written notice for breach or immediately upon the insolvency of the other party. Polestar Automotive China Distribution Co. Ltd. also has additional service cancellation and termination rights under the agreement.</w:t>
      </w:r>
    </w:p>
    <w:p>
      <w:pPr>
        <w:spacing w:after="0" w:line="188" w:lineRule="exact"/>
        <w:rPr>
          <w:sz w:val="20"/>
          <w:szCs w:val="20"/>
          <w:color w:val="auto"/>
        </w:rPr>
      </w:pPr>
    </w:p>
    <w:p>
      <w:pPr>
        <w:ind w:left="120" w:right="100" w:firstLine="440"/>
        <w:spacing w:after="0" w:line="255" w:lineRule="auto"/>
        <w:rPr>
          <w:sz w:val="20"/>
          <w:szCs w:val="20"/>
          <w:color w:val="auto"/>
        </w:rPr>
      </w:pPr>
      <w:r>
        <w:rPr>
          <w:rFonts w:ascii="Times New Roman" w:cs="Times New Roman" w:eastAsia="Times New Roman" w:hAnsi="Times New Roman"/>
          <w:sz w:val="18"/>
          <w:szCs w:val="18"/>
          <w:i w:val="1"/>
          <w:iCs w:val="1"/>
          <w:color w:val="auto"/>
        </w:rPr>
        <w:t>Service Agreement</w:t>
      </w:r>
      <w:r>
        <w:rPr>
          <w:rFonts w:ascii="Times New Roman" w:cs="Times New Roman" w:eastAsia="Times New Roman" w:hAnsi="Times New Roman"/>
          <w:sz w:val="18"/>
          <w:szCs w:val="18"/>
          <w:color w:val="auto"/>
        </w:rPr>
        <w:t>, dated as of September 1, 2020, between Volvo Car Corporation and Polestar Automotive China Distribution Co. Ltd. is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service agreement governing certain indirect procurement services provided by Volvo Car Corporation to Polestar Automotive China Distribution Co. Ltd. relating to the production of the Polestar 3 at Volvo Car Corporation’s Chengdu plant. The agreement provides that Polestar Automotive China Distribution Co. Ltd. will pay Volvo Car Corporation a monthly service charge based on the actual hours required for the services to be performed. The hourly rates are calculated using the full cost incurred plus an arm’s length mark-up and are determined annually by Volvo Car Corporation. The agreement remains in effect until the services are complete. Either party may terminate the agreement for convenience upon 60 days’ written notice. Further, either party may terminate within 30 days of written notice for breach or immediately upon the insolvency of the other party. Polestar Automotive China Distribution Co. Ltd. also has additional service cancellation and termination rights under the agreement.</w:t>
      </w:r>
    </w:p>
    <w:p>
      <w:pPr>
        <w:spacing w:after="0" w:line="185"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License Agreement</w:t>
      </w:r>
      <w:r>
        <w:rPr>
          <w:rFonts w:ascii="Times New Roman" w:cs="Times New Roman" w:eastAsia="Times New Roman" w:hAnsi="Times New Roman"/>
          <w:sz w:val="18"/>
          <w:szCs w:val="18"/>
          <w:color w:val="auto"/>
        </w:rPr>
        <w:t>, dated as of December 23, 2020, between Polestar Performance AB and Volvo Car Corporation is a license agreement relating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certain intellectual property developed by Polestar Performance AB. The agreement remains in effect during the validity of the license period of the license granted under the agreement, which is until model year 2024. Either party may terminate within 30 days of written notice for breach or immediately upon the insolvency of the other party.</w:t>
      </w:r>
    </w:p>
    <w:p>
      <w:pPr>
        <w:spacing w:after="0" w:line="180" w:lineRule="exact"/>
        <w:rPr>
          <w:sz w:val="20"/>
          <w:szCs w:val="20"/>
          <w:color w:val="auto"/>
        </w:rPr>
      </w:pPr>
    </w:p>
    <w:p>
      <w:pPr>
        <w:ind w:left="120" w:right="2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Performance Software Agreement</w:t>
      </w:r>
      <w:r>
        <w:rPr>
          <w:rFonts w:ascii="Times New Roman" w:cs="Times New Roman" w:eastAsia="Times New Roman" w:hAnsi="Times New Roman"/>
          <w:sz w:val="18"/>
          <w:szCs w:val="18"/>
          <w:color w:val="auto"/>
        </w:rPr>
        <w:t>, dated as of January 1, 2020, between Polestar Performance AB and Volvo Car Corporation AB is an agreement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relating to the design, development and supply of performance enhancing software by Polestar Performance AB for Volvo Car Corporation AB to distribute in their infrastructure for software download. The agreement remains in effect until either party terminates the agreement. Either party may terminate the agreement for convenience by giving notice to the other party at least six months before the start the start of the next model year, which is week seventeen, day one of each year. If the agreement is terminated for convenience, the agreement will remain in force until the start of the next model year. Either party may terminate within 30 days of written notice for breach or immediately upon the insolvency of the other party.</w:t>
      </w:r>
    </w:p>
    <w:p>
      <w:pPr>
        <w:spacing w:after="0" w:line="182" w:lineRule="exact"/>
        <w:rPr>
          <w:sz w:val="20"/>
          <w:szCs w:val="20"/>
          <w:color w:val="auto"/>
        </w:rPr>
      </w:pPr>
    </w:p>
    <w:p>
      <w:pPr>
        <w:ind w:left="120" w:right="100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Financial Undertaking Agreement—Investments for Vehicle Assembly</w:t>
      </w:r>
      <w:r>
        <w:rPr>
          <w:rFonts w:ascii="Times New Roman" w:cs="Times New Roman" w:eastAsia="Times New Roman" w:hAnsi="Times New Roman"/>
          <w:sz w:val="18"/>
          <w:szCs w:val="18"/>
          <w:color w:val="auto"/>
        </w:rPr>
        <w:t>, dated as of February 27, 2020, between Zhongjia Automobile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Manufacturing (Chengdu) Co., Ltd. and Polestar Automotive China Distribution</w:t>
      </w:r>
    </w:p>
    <w:p>
      <w:pPr>
        <w:spacing w:after="0" w:line="9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157</w:t>
      </w:r>
    </w:p>
    <w:p>
      <w:pPr>
        <w:sectPr>
          <w:pgSz w:w="11900" w:h="16838" w:orient="portrait"/>
          <w:cols w:equalWidth="0" w:num="1">
            <w:col w:w="11100"/>
          </w:cols>
          <w:pgMar w:left="320" w:top="455" w:right="479" w:bottom="1440" w:gutter="0" w:footer="0" w:header="0"/>
        </w:sectPr>
      </w:pPr>
    </w:p>
    <w:bookmarkStart w:id="172" w:name="page173"/>
    <w:bookmarkEnd w:id="1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Co., Ltd. is an agreement that establishes Polestar Automotive China Distribution Co., Ltd.’s binding commitment to pay for investments made by Zhongjia Automobile Manufacturing (Chengdu) Co., Ltd. relating to the production of the Polestar 3 at Volvo Car Corporation’s Chengdu plant. The agreement also sets forth the parties’ intention to enter into another agreement governing the actual production of Polestar vehicles at the Chengdu plant. The agreement remains in force until the parties sign the next production agreement for the Polestar vehicles. Either party may terminate within 60 days of written notice for breach or immediately upon the insolvency of the other party. Prior to a certain point specified in the agreement, Polestar Automotive China Distribution Co., Ltd. may terminate the agreement for convenience upon 60 days’ written notice, and Zhongjia Automobile Manufacturing (Chengdu) Co., Ltd. may terminate in the event of an unremedied material breach.</w:t>
      </w:r>
    </w:p>
    <w:p>
      <w:pPr>
        <w:spacing w:after="0" w:line="187"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i w:val="1"/>
          <w:iCs w:val="1"/>
          <w:color w:val="auto"/>
        </w:rPr>
        <w:t>Service Agreement</w:t>
      </w:r>
      <w:r>
        <w:rPr>
          <w:rFonts w:ascii="Times New Roman" w:cs="Times New Roman" w:eastAsia="Times New Roman" w:hAnsi="Times New Roman"/>
          <w:sz w:val="18"/>
          <w:szCs w:val="18"/>
          <w:color w:val="auto"/>
        </w:rPr>
        <w:t>, dated as of February 2021, between Zhongjia Automobile Manufacturing (Chengdu) Co., Ltd. and Polestar Automotive China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Distribution Co. Ltd. is a service agreement under which Polestar Automotive China Distribution Co. Ltd. purchases Zhongjia Automobile Manufacturing (Chengdu) Co., Ltd.’s IT services to support the production of the Polestar 3 in the Chengdu plant. The agreement provides that Polestar Automotive China Distribution Co. Ltd. will pay Zhongjia Automobile Manufacturing (Chengdu) Co., Ltd. a monthly service charge based on the actual hours required to perform the services. The hourly rates take into account the full cost incurred plus an arm’s length mark-up, and such hourly rates are determined by Zhongjia Automobile Manufacturing (Chengdu) Co., Ltd. annually. The agreement remains in effect until the services are complete. Either party may terminate the agreement for convenience upon 60 days’ written notice. Further, either party may terminate within 30 days of written notice for breach or immediately upon the insolvency of the other party. Polestar Automotive China Distribution Co. Ltd. also has additional service cancellation and termination rights under the agreement. The </w:t>
      </w:r>
      <w:r>
        <w:rPr>
          <w:rFonts w:ascii="Times New Roman" w:cs="Times New Roman" w:eastAsia="Times New Roman" w:hAnsi="Times New Roman"/>
          <w:sz w:val="18"/>
          <w:szCs w:val="18"/>
          <w:i w:val="1"/>
          <w:iCs w:val="1"/>
          <w:color w:val="auto"/>
        </w:rPr>
        <w:t>Service Agreement</w:t>
      </w:r>
      <w:r>
        <w:rPr>
          <w:rFonts w:ascii="Times New Roman" w:cs="Times New Roman" w:eastAsia="Times New Roman" w:hAnsi="Times New Roman"/>
          <w:sz w:val="18"/>
          <w:szCs w:val="18"/>
          <w:color w:val="auto"/>
        </w:rPr>
        <w:t>, dated as of April 28, 2021, between Volvo Car Corporation and Polestar Automotive China Distribution Co. Ltd. largely mirrors the previously described agreement but with Volvo Car Corporation acting as the service provider.</w:t>
      </w:r>
    </w:p>
    <w:p>
      <w:pPr>
        <w:spacing w:after="0" w:line="192"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i w:val="1"/>
          <w:iCs w:val="1"/>
          <w:color w:val="auto"/>
        </w:rPr>
        <w:t>Financial Undertaking Agreement—Investments for Vehicle Assembly</w:t>
      </w:r>
      <w:r>
        <w:rPr>
          <w:rFonts w:ascii="Times New Roman" w:cs="Times New Roman" w:eastAsia="Times New Roman" w:hAnsi="Times New Roman"/>
          <w:sz w:val="18"/>
          <w:szCs w:val="18"/>
          <w:color w:val="auto"/>
        </w:rPr>
        <w:t>, dated as of March 17, 2021, between Volvo Car Corporation and Polestar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Performance AB is an agreement relating to the planned production of Polestar 3 vehicles in Volvo Car Corporation’s South Carolina, USA plant. The agreement imposes a binding commitment on Polestar Performance AB to fund certain investments, relating to common equipment, for example, necessary to manufacture and assemble Polestar 3 vehicles at the South Carolina plant and confirms both parties’ intention to enter into a more robust agreement governing production no later than one year before such production’s planned start. The agreement provides that the general principle to be applied to the pricing of such vehicle production will be one of actual cost plus a mark-up. The agreement terminates when the more detailed production agreement is signed. In addition, either party may terminate within 60 days of written notice for breach or immediately upon the insolvency of the other party. Polestar Performance AB also has the right to terminate the agreement for convenience upon 60 days’ written notice. The </w:t>
      </w:r>
      <w:r>
        <w:rPr>
          <w:rFonts w:ascii="Times New Roman" w:cs="Times New Roman" w:eastAsia="Times New Roman" w:hAnsi="Times New Roman"/>
          <w:sz w:val="18"/>
          <w:szCs w:val="18"/>
          <w:i w:val="1"/>
          <w:iCs w:val="1"/>
          <w:color w:val="auto"/>
        </w:rPr>
        <w:t>Financial Undertaking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Agreement— Investments for Vehicle Assembly</w:t>
      </w:r>
      <w:r>
        <w:rPr>
          <w:rFonts w:ascii="Times New Roman" w:cs="Times New Roman" w:eastAsia="Times New Roman" w:hAnsi="Times New Roman"/>
          <w:sz w:val="18"/>
          <w:szCs w:val="18"/>
          <w:color w:val="auto"/>
        </w:rPr>
        <w:t>, dated as of March 23, 2021, between Volvo Car Corporation and Polestar Performance AB largely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mirrors the previously described agreement but instead imposes investment commitments on Polestar Performance AB relating to Polestar 3 unique equipment (rather than common equipment that is used in the production of both Volvo’s and Polestar’s vehicles).</w:t>
      </w:r>
    </w:p>
    <w:p>
      <w:pPr>
        <w:spacing w:after="0" w:line="192"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i w:val="1"/>
          <w:iCs w:val="1"/>
          <w:color w:val="auto"/>
        </w:rPr>
        <w:t>Service Agreement</w:t>
      </w:r>
      <w:r>
        <w:rPr>
          <w:rFonts w:ascii="Times New Roman" w:cs="Times New Roman" w:eastAsia="Times New Roman" w:hAnsi="Times New Roman"/>
          <w:sz w:val="18"/>
          <w:szCs w:val="18"/>
          <w:color w:val="auto"/>
        </w:rPr>
        <w:t>, dated as of March 24, 2020, between Volvo Car Corporation and Polestar Performance AB is a service agreement under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Volvo Car Corporation will provide design services for a new Polestar vehicle. The agreement provides that Polestar Performance AB will pay Volvo Car Corporation a monthly service charge based on the actual hours required to perform the services. The hourly rates take into account the full cost incurred plus an arm’s length mark-up, and such hourly rates are determined by Volvo Car Corporation annually. The agreement remains in effect until the services are complete. Either party may terminate the agreement for convenience upon 60 days’ written notice. Further, either party may terminate within 30 days of written notice for breach or immediately upon the insolvency of the other party. Polestar Performance AB also has additional service cancellation and termination rights under the agreement.</w:t>
      </w:r>
    </w:p>
    <w:p>
      <w:pPr>
        <w:spacing w:after="0" w:line="183" w:lineRule="exact"/>
        <w:rPr>
          <w:sz w:val="20"/>
          <w:szCs w:val="20"/>
          <w:color w:val="auto"/>
        </w:rPr>
      </w:pPr>
    </w:p>
    <w:p>
      <w:pPr>
        <w:ind w:left="120" w:right="20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Service Agreement</w:t>
      </w:r>
      <w:r>
        <w:rPr>
          <w:rFonts w:ascii="Times New Roman" w:cs="Times New Roman" w:eastAsia="Times New Roman" w:hAnsi="Times New Roman"/>
          <w:sz w:val="18"/>
          <w:szCs w:val="18"/>
          <w:color w:val="auto"/>
        </w:rPr>
        <w:t>, dated as of November 27, 2020, between Volvo Car Corporation and Polestar Performance AB is a service agreement under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Volvo Car Corporation will provide complete design</w:t>
      </w:r>
    </w:p>
    <w:p>
      <w:pPr>
        <w:spacing w:after="0" w:line="9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158</w:t>
      </w:r>
    </w:p>
    <w:p>
      <w:pPr>
        <w:sectPr>
          <w:pgSz w:w="11900" w:h="16838" w:orient="portrait"/>
          <w:cols w:equalWidth="0" w:num="1">
            <w:col w:w="11120"/>
          </w:cols>
          <w:pgMar w:left="320" w:top="455" w:right="459" w:bottom="1440" w:gutter="0" w:footer="0" w:header="0"/>
        </w:sectPr>
      </w:pPr>
    </w:p>
    <w:bookmarkStart w:id="173" w:name="page174"/>
    <w:bookmarkEnd w:id="1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services (i.e., from the concept phase until the start of production) for a new Polestar vehicle. The agreement provides that Polestar Performance AB will pay Volvo Car Corporation a monthly service charge based on the actual hours required to perform the services. The hourly rates take into account the full cost incurred plus an arm’s length mark-up, and such hourly rates are determined by Volvo Car Corporation annually. The agreement remains in effect until the services are complete. Either party may terminate the agreement for convenience upon 60 days’ written notice. Further, either party may terminate within 30 days of written notice for breach or immediately upon the insolvency of the other party. Polestar Performance AB also has additional service cancellation and termination rights under the agreement.</w:t>
      </w:r>
    </w:p>
    <w:p>
      <w:pPr>
        <w:spacing w:after="0" w:line="185"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i w:val="1"/>
          <w:iCs w:val="1"/>
          <w:color w:val="auto"/>
        </w:rPr>
        <w:t>Service Agreement</w:t>
      </w:r>
      <w:r>
        <w:rPr>
          <w:rFonts w:ascii="Times New Roman" w:cs="Times New Roman" w:eastAsia="Times New Roman" w:hAnsi="Times New Roman"/>
          <w:sz w:val="18"/>
          <w:szCs w:val="18"/>
          <w:color w:val="auto"/>
        </w:rPr>
        <w:t>, dated as of January 18, 2021, between Ningbo Geely Automobile Research &amp; Development Co., Ltd. and Polestar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Performance AB is a service agreement under which Ningbo Geely Automobile Research &amp; Development Co., Ltd. provides research and development services to Polestar Performance AB for the concept phase of the development of a new Polestar vehicle. The agreement provides that Polestar Performance AB will pay Ningbo Geely Automobile Research &amp; Development Co., Ltd. a fixed price service charge, for which Polestar Performance AB has paid two out of the three total installments. This fixed price is based on an estimate of the hours and resources required to perform the services. The agreement remains in effect until the services are complete. Either party may terminate the agreement for convenience upon 60 days’ written notice. Further, either party may terminate within 30 days of written notice for breach or immediately upon the insolvency of the other party. Polestar Performance AB also has additional service cancellation and termination rights under the agreement.</w:t>
      </w:r>
    </w:p>
    <w:p>
      <w:pPr>
        <w:spacing w:after="0" w:line="185"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i w:val="1"/>
          <w:iCs w:val="1"/>
          <w:color w:val="auto"/>
        </w:rPr>
        <w:t>Service Agreement</w:t>
      </w:r>
      <w:r>
        <w:rPr>
          <w:rFonts w:ascii="Times New Roman" w:cs="Times New Roman" w:eastAsia="Times New Roman" w:hAnsi="Times New Roman"/>
          <w:sz w:val="18"/>
          <w:szCs w:val="18"/>
          <w:color w:val="auto"/>
        </w:rPr>
        <w:t>, dated as of January 28, 2020, between Volvo Car Corporation and Polestar Performance AB is a service agreement under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Volvo Car Corporation provides Polestar Performance AB with customer care, consumer and care services. The agreement provides that Polestar Performance AB will pay Volvo Car Corporation a monthly service charge taking into account operations costs, implementation costs, development costs and central administrative costs. The hourly rates used to calculate the service charge are calculated using the full cost incurred plus an arm’s length markup, and the hourly rates are determined by Volvo Car Corporation on an annual basis. The agreement remains in effect until the services are complete. Either party may terminate the agreement for convenience upon 12 months’ written notice. Further, either party may terminate within 30 days of written notice for breach or immediately upon the insolvency of the other party. Polestar Performance AB also has an immediate termination right with respect to certain breaches by Volvo Car Corporation.</w:t>
      </w:r>
    </w:p>
    <w:p>
      <w:pPr>
        <w:spacing w:after="0" w:line="185"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i w:val="1"/>
          <w:iCs w:val="1"/>
          <w:color w:val="auto"/>
        </w:rPr>
        <w:t>Service Agreement</w:t>
      </w:r>
      <w:r>
        <w:rPr>
          <w:rFonts w:ascii="Times New Roman" w:cs="Times New Roman" w:eastAsia="Times New Roman" w:hAnsi="Times New Roman"/>
          <w:sz w:val="18"/>
          <w:szCs w:val="18"/>
          <w:color w:val="auto"/>
        </w:rPr>
        <w:t>, dated as of September 4, 2020, between Volvo Car Corporation and Polestar Performance AB is a service agreement under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Volvo Car Corporation provides Polestar Performance AB with technical support to dealers or workshops who are repairing, maintaining and/or servicing Polestar vehicles. The agreement provides that Polestar Performance AB will pay Volvo Car Corporation a monthly service charge taking into account a base price (the full cost of the forecasted number of hours multiplied by the hourly rate) and an excess case price (the cost per case over and above the capacity of the number of forecasted hours covered by the base price charge). The hourly rates used to calculate the service charge are calculated using the full cost incurred plus an arm’s length markup, and the hourly rates are determined by Volvo Car Corporation on an annual basis. The agreement remains in effect until the services are complete. Either party may terminate the agreement for convenience upon six months’ written notice. Further, either party may terminate within 30 days of written notice for breach or immediately upon the insolvency of the other party. Polestar Performance AB also has an immediate termination right with respect to certain breaches by Volvo Cars.</w:t>
      </w:r>
    </w:p>
    <w:p>
      <w:pPr>
        <w:spacing w:after="0" w:line="188" w:lineRule="exact"/>
        <w:rPr>
          <w:sz w:val="20"/>
          <w:szCs w:val="20"/>
          <w:color w:val="auto"/>
        </w:rPr>
      </w:pPr>
    </w:p>
    <w:p>
      <w:pPr>
        <w:ind w:left="12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Service Agreement</w:t>
      </w:r>
      <w:r>
        <w:rPr>
          <w:rFonts w:ascii="Times New Roman" w:cs="Times New Roman" w:eastAsia="Times New Roman" w:hAnsi="Times New Roman"/>
          <w:sz w:val="18"/>
          <w:szCs w:val="18"/>
          <w:color w:val="auto"/>
        </w:rPr>
        <w:t>, dated as of May 11, 2020, between Volvo Car Corporation and Polestar Performance AB is a service agreement governing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Polestar Performance AB’s usage of Volvo Car Performance Academy (Volvo’s learning management system) to manage Polestar’s technical training in the markets. The agreement provides that Polestar Performance AB will pay Volvo Car Corporation a monthly service charge taking into account the following cost categories: technical support, system hosting, administrative support, system enhancement, global commercial team support and share of historical development costs. The costs charged to Polestar Performance AB are in part based on Polestar Performance AB’s market representation share as</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159</w:t>
      </w:r>
    </w:p>
    <w:p>
      <w:pPr>
        <w:sectPr>
          <w:pgSz w:w="11900" w:h="16838" w:orient="portrait"/>
          <w:cols w:equalWidth="0" w:num="1">
            <w:col w:w="11120"/>
          </w:cols>
          <w:pgMar w:left="320" w:top="455" w:right="459" w:bottom="1440" w:gutter="0" w:footer="0" w:header="0"/>
        </w:sectPr>
      </w:pPr>
    </w:p>
    <w:bookmarkStart w:id="174" w:name="page175"/>
    <w:bookmarkEnd w:id="1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00"/>
        <w:spacing w:after="0" w:line="255" w:lineRule="auto"/>
        <w:rPr>
          <w:sz w:val="20"/>
          <w:szCs w:val="20"/>
          <w:color w:val="auto"/>
        </w:rPr>
      </w:pPr>
      <w:r>
        <w:rPr>
          <w:rFonts w:ascii="Times New Roman" w:cs="Times New Roman" w:eastAsia="Times New Roman" w:hAnsi="Times New Roman"/>
          <w:sz w:val="18"/>
          <w:szCs w:val="18"/>
          <w:color w:val="auto"/>
        </w:rPr>
        <w:t>determined in accordance with the agreement. In addition, hourly rates that are used to calculate the service charges are determined annually by Volvo Car Corporation and take into account the full cost incurred plus an arm’s length mark-up. The agreement remains in force until December 31, 2022. Either party may terminate within 30 days of written notice for breach or immediately upon the insolvency of the other party. Volvo Car Corporation may terminate the agreement for convenience upon 90 days’ written notice. Polestar Performance AB also has an immediate termination right with respect to certain breaches by Volvo Car Corporation and may cancel the services performed for convenience upon 90 days’ written notice. Further, if the Volvo Cars Performance Academy agreement between Volvo Car Corporation and its supplier of the Volvo Cars Performance Academy terminates, the service agreement is automatically terminated.</w:t>
      </w:r>
    </w:p>
    <w:p>
      <w:pPr>
        <w:spacing w:after="0" w:line="187"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i w:val="1"/>
          <w:iCs w:val="1"/>
          <w:color w:val="auto"/>
        </w:rPr>
        <w:t>Service Agreement</w:t>
      </w:r>
      <w:r>
        <w:rPr>
          <w:rFonts w:ascii="Times New Roman" w:cs="Times New Roman" w:eastAsia="Times New Roman" w:hAnsi="Times New Roman"/>
          <w:sz w:val="18"/>
          <w:szCs w:val="18"/>
          <w:color w:val="auto"/>
        </w:rPr>
        <w:t>, dated as of September 4, 2020, between Polestar Performance AB and Volvo Bil i Göteborg AB is a service agreement under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Volvo Bil i Göteborg AB personnel provides support in operating Polestar Performance AB’s Damage Repair European Centre and repairing Polestar 1 vehicles. The agreement provides that Polestar Performance AB will pay Volvo Car Corporation a service charge taking into account an hourly work rate (which varies depending on the type of activity performed) and the amount of time worked. The hourly rates and material cost used to calculate the service charges are determined by Volvo Bil i Göteborg AB on an annual basis. The agreement remains in effect until the services are complete. Either party may terminate the agreement for convenience upon 60 days’ written notice. Further, either party may terminate within 30 days of written notice for breach or immediately upon the insolvency of the other party. Polestar Performance AB also has additional service cancellation and termination rights under the agreement.</w:t>
      </w:r>
    </w:p>
    <w:p>
      <w:pPr>
        <w:spacing w:after="0" w:line="185"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i w:val="1"/>
          <w:iCs w:val="1"/>
          <w:color w:val="auto"/>
        </w:rPr>
        <w:t>License Agreement</w:t>
      </w:r>
      <w:r>
        <w:rPr>
          <w:rFonts w:ascii="Times New Roman" w:cs="Times New Roman" w:eastAsia="Times New Roman" w:hAnsi="Times New Roman"/>
          <w:sz w:val="18"/>
          <w:szCs w:val="18"/>
          <w:color w:val="auto"/>
        </w:rPr>
        <w:t>, dated as of December 6, 2020, between Volvo Car Corporation and Polestar Performance AB, as amended by the</w:t>
      </w:r>
      <w:r>
        <w:rPr>
          <w:rFonts w:ascii="Times New Roman" w:cs="Times New Roman" w:eastAsia="Times New Roman" w:hAnsi="Times New Roman"/>
          <w:sz w:val="18"/>
          <w:szCs w:val="18"/>
          <w:i w:val="1"/>
          <w:iCs w:val="1"/>
          <w:color w:val="auto"/>
        </w:rPr>
        <w:t xml:space="preserve"> Amendment Agreement</w:t>
      </w:r>
      <w:r>
        <w:rPr>
          <w:rFonts w:ascii="Times New Roman" w:cs="Times New Roman" w:eastAsia="Times New Roman" w:hAnsi="Times New Roman"/>
          <w:sz w:val="18"/>
          <w:szCs w:val="18"/>
          <w:color w:val="auto"/>
        </w:rPr>
        <w:t>, dated as of June 30, 2021, between Volvo Car Corporation and Polestar Performance AB is a license agreement under which Volvo Car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Corporation will develop and license to Polestar Performance AB a digital platform to be used for making vehicle repair and maintenance information available for independent operators (the “GOLD Platform”). The license fee is determined by Volvo Car Corporation on an annual basis and is based on the activities performed when Volvo Car Corporation develops project results. The license fee should equal 50% of the actual development cost, which take into account the full cost incurred plus an arm’s length mark-up. The agreement remains in force during the validity of the license period granted to Polestar Performance AB thereunder. Neither party may unilaterally terminate the agreement for convenience, however, either party may terminate within 30 days of written notice for breach or immediately upon the insolvency of the other party. Polestar Performance AB also has immediate termination rights with respect to certain not insignificant breaches by Volvo Car Corporation.</w:t>
      </w:r>
    </w:p>
    <w:p>
      <w:pPr>
        <w:spacing w:after="0" w:line="188" w:lineRule="exact"/>
        <w:rPr>
          <w:sz w:val="20"/>
          <w:szCs w:val="20"/>
          <w:color w:val="auto"/>
        </w:rPr>
      </w:pPr>
    </w:p>
    <w:p>
      <w:pPr>
        <w:ind w:left="120" w:right="100" w:firstLine="440"/>
        <w:spacing w:after="0" w:line="254" w:lineRule="auto"/>
        <w:rPr>
          <w:sz w:val="20"/>
          <w:szCs w:val="20"/>
          <w:color w:val="auto"/>
        </w:rPr>
      </w:pPr>
      <w:r>
        <w:rPr>
          <w:rFonts w:ascii="Times New Roman" w:cs="Times New Roman" w:eastAsia="Times New Roman" w:hAnsi="Times New Roman"/>
          <w:sz w:val="18"/>
          <w:szCs w:val="18"/>
          <w:i w:val="1"/>
          <w:iCs w:val="1"/>
          <w:color w:val="auto"/>
        </w:rPr>
        <w:t>Service Agreement</w:t>
      </w:r>
      <w:r>
        <w:rPr>
          <w:rFonts w:ascii="Times New Roman" w:cs="Times New Roman" w:eastAsia="Times New Roman" w:hAnsi="Times New Roman"/>
          <w:sz w:val="18"/>
          <w:szCs w:val="18"/>
          <w:color w:val="auto"/>
        </w:rPr>
        <w:t>, dated as of December 6, 2020, between Volvo Car Corporation and Polestar Performance AB is a service agreement under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Volvo Car Corporation provides Polestar Performance AB with various operation and maintenance services related to the GOLD Platform. The agreement provides that Polestar Performance AB will pay Volvo Car Corporation a monthly service charge based on Polestar Performance AB’s share of actual hours required for the services to be performed by Volvo Car Corporation. The hourly rates used to calculate the service charge are calculated using the full cost incurred plus an arm’s length markup, and the hourly rates are determined by Volvo Car Corporation on an annual basis. The agreement remains in effect until the services are complete. Either party may terminate the agreement for convenience upon 60 days’ written notice. Further, either party may terminate within 30 days of written notice for breach or immediately upon the insolvency of the other party. Polestar Performance AB also has certain service cancelation rights and has an immediate termination right with respect to certain breaches by Volvo Car Corporation.</w:t>
      </w:r>
    </w:p>
    <w:p>
      <w:pPr>
        <w:spacing w:after="0" w:line="188"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Service Agreement</w:t>
      </w:r>
      <w:r>
        <w:rPr>
          <w:rFonts w:ascii="Times New Roman" w:cs="Times New Roman" w:eastAsia="Times New Roman" w:hAnsi="Times New Roman"/>
          <w:sz w:val="18"/>
          <w:szCs w:val="18"/>
          <w:color w:val="auto"/>
        </w:rPr>
        <w:t>, dated as of March 24, 2020, between Volvo Car Corporation and Polestar Performance AB is a service agreement under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Volvo Car Corporation provides Polestar Performance AB with outbound logistics services via the use of Volvo Car Corporation’s existing vehicle distribution network. The agreement is one of six agreements that the parties have agreed to enter into relating to such outbound logistics services. The agreement provides that Polestar Performance AB will pay Volvo Car Corporation a monthly service charge taking into account the estimated hours and other costs for the services to be performed. The service charges are</w:t>
      </w:r>
    </w:p>
    <w:p>
      <w:pPr>
        <w:spacing w:after="0" w:line="11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160</w:t>
      </w:r>
    </w:p>
    <w:p>
      <w:pPr>
        <w:sectPr>
          <w:pgSz w:w="11900" w:h="16838" w:orient="portrait"/>
          <w:cols w:equalWidth="0" w:num="1">
            <w:col w:w="11100"/>
          </w:cols>
          <w:pgMar w:left="320" w:top="455" w:right="479" w:bottom="1440" w:gutter="0" w:footer="0" w:header="0"/>
        </w:sectPr>
      </w:pPr>
    </w:p>
    <w:bookmarkStart w:id="175" w:name="page176"/>
    <w:bookmarkEnd w:id="1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40"/>
        <w:spacing w:after="0" w:line="258" w:lineRule="auto"/>
        <w:rPr>
          <w:sz w:val="20"/>
          <w:szCs w:val="20"/>
          <w:color w:val="auto"/>
        </w:rPr>
      </w:pPr>
      <w:r>
        <w:rPr>
          <w:rFonts w:ascii="Times New Roman" w:cs="Times New Roman" w:eastAsia="Times New Roman" w:hAnsi="Times New Roman"/>
          <w:sz w:val="18"/>
          <w:szCs w:val="18"/>
          <w:color w:val="auto"/>
        </w:rPr>
        <w:t>updated each new calendar year based on changes in required resources, costs and forecasted volumes. The hourly rates used to calculate the service charges are calculated using the full cost incurred plus an arm’s length markup, and the hourly rates are determined by Volvo Car Corporation on an annual basis. The agreement remains in effect until the services are complete. Either party may terminate the agreement for convenience upon 12 months’ written notice. Further, either party may terminate within 30 days of written notice for breach or immediately upon the insolvency of the other party. Polestar Performance AB also has an immediate termination right with respect to certain breaches by Volvo Car Corporation.</w:t>
      </w:r>
    </w:p>
    <w:p>
      <w:pPr>
        <w:spacing w:after="0" w:line="18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i w:val="1"/>
          <w:iCs w:val="1"/>
          <w:color w:val="auto"/>
        </w:rPr>
        <w:t>Service Agreement</w:t>
      </w:r>
      <w:r>
        <w:rPr>
          <w:rFonts w:ascii="Times New Roman" w:cs="Times New Roman" w:eastAsia="Times New Roman" w:hAnsi="Times New Roman"/>
          <w:sz w:val="18"/>
          <w:szCs w:val="18"/>
          <w:color w:val="auto"/>
        </w:rPr>
        <w:t>, dated as of January 19, 2020, between Volvo Car UK Limited and Polestar Performance AB is a service agreement under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Volvo Car UK Limited provides Polestar Performance AB with certain services pertaining to customs clearance and duty declarations relating to the import of Polestar vehicles into the United Kingdom. The agreement provides that Polestar Performance AB will pay Volvo Car UK Limited a monthly service charge based on the actual cost for external resources and actual hours worked by Volvo Car UK Limited’s staff required for the services to be carried out. The hourly rates used to calculate the service charge are calculated using the full cost incurred plus an arm’s length markup, and the hourly rates are determined by Volvo Car UK Limited on an annual basis. Polestar Performance AB is also responsible for the cost for the services provided by the customs broker. The agreement remains in effect until terminated by at least one party in accordance with the agreement. Either party may terminate the agreement for convenience upon 90 days’ written notice. Further, either party may terminate within 30 days of written notice for breach or immediately upon the insolvency of the other party. Polestar Performance AB also has an immediate termination right with respect to certain breaches by Volvo Car UK Limited.</w:t>
      </w:r>
    </w:p>
    <w:p>
      <w:pPr>
        <w:spacing w:after="0" w:line="185" w:lineRule="exact"/>
        <w:rPr>
          <w:sz w:val="20"/>
          <w:szCs w:val="20"/>
          <w:color w:val="auto"/>
        </w:rPr>
      </w:pPr>
    </w:p>
    <w:p>
      <w:pPr>
        <w:jc w:val="both"/>
        <w:ind w:left="120" w:right="6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European CO2 Emission Credit Payment Agreement</w:t>
      </w:r>
      <w:r>
        <w:rPr>
          <w:rFonts w:ascii="Times New Roman" w:cs="Times New Roman" w:eastAsia="Times New Roman" w:hAnsi="Times New Roman"/>
          <w:sz w:val="18"/>
          <w:szCs w:val="18"/>
          <w:color w:val="auto"/>
        </w:rPr>
        <w:t>, dated as of November 27, 2020, between Volvo Car Corporation and Polestar Performance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AB is an agreement under which Volvo Car Corporation agreed to pay Polestar Performance AB an amount equal to approximately 33% of the carbon credits attributable to Volvo Cars under an Open Pool Commercial Agreement, dated as of October 29, 2020, between Volvo Car Corporation and Ford Werke GmbH. The payment reflects the proportion of carbon credits attributable to Volvo Cars under the Open Pool Commercial Agreement that are, in turn, attributable to Polestar vehicles and is based on the number of Polestar vehicles registered during the period, the average specific emission and the specific emissions target for those vehicles.</w:t>
      </w:r>
    </w:p>
    <w:p>
      <w:pPr>
        <w:spacing w:after="0" w:line="182" w:lineRule="exact"/>
        <w:rPr>
          <w:sz w:val="20"/>
          <w:szCs w:val="20"/>
          <w:color w:val="auto"/>
        </w:rPr>
      </w:pPr>
    </w:p>
    <w:p>
      <w:pPr>
        <w:ind w:left="120" w:right="80" w:firstLine="440"/>
        <w:spacing w:after="0" w:line="270" w:lineRule="auto"/>
        <w:rPr>
          <w:sz w:val="20"/>
          <w:szCs w:val="20"/>
          <w:color w:val="auto"/>
        </w:rPr>
      </w:pPr>
      <w:r>
        <w:rPr>
          <w:rFonts w:ascii="Times New Roman" w:cs="Times New Roman" w:eastAsia="Times New Roman" w:hAnsi="Times New Roman"/>
          <w:sz w:val="17"/>
          <w:szCs w:val="17"/>
          <w:i w:val="1"/>
          <w:iCs w:val="1"/>
          <w:color w:val="auto"/>
        </w:rPr>
        <w:t>Parts Supply and License Agreement Polestar Aftermarket Parts and Accessories (CHINA)</w:t>
      </w:r>
      <w:r>
        <w:rPr>
          <w:rFonts w:ascii="Times New Roman" w:cs="Times New Roman" w:eastAsia="Times New Roman" w:hAnsi="Times New Roman"/>
          <w:sz w:val="17"/>
          <w:szCs w:val="17"/>
          <w:color w:val="auto"/>
        </w:rPr>
        <w:t>, dated as of November 22, 2021, between Polestar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Automotive China Distribution Co., Ltd and Volvo Car Distribution (Shanghai) Co., Ltd is a supply and license agreement under which Volvo Car Distribution (Shanghai) Co., Ltd distributes the aftermarket parts and accessories of Polestar Automotive China Distribution Co., Ltd in China. Under this agreement, Polestar Automotive China Distribution Co., Ltd also grants Volvo Car Distribution (Shanghai) Co., Ltd certain licensing rights with respect to Polestar Automotive China Distribution Co., Ltd’s intellectual property in China. The agreement provides that Volvo Car Distribution (Shanghai) Co., Ltd will pay a monthly license fee to Polestar Automotive China Distribution Co., Ltd, and this license fee will be set at a rate that enables Volvo Car Distribution (Shanghai) Co., Ltd to receive an arm’s length compensation for its services. If the “Parts Profit” is less than the “Distribution Profit” (each as defined in the agreement), Polestar Automotive China Distribution Co., Ltd must pay Volvo Car Distribution (Shanghai) Co., Ltd for the shortfall. The license fee is determined in accordance with the provisions of the agreement and is subject to adjustment. The agreement remains in effect until terminated by either party. Either party may terminate the agreement for convenience with 18 months’ written notice to the other. Further, the agreement may terminate within 30 days of written notice for a material breach or immediately upon the insolvency of the other party.</w:t>
      </w:r>
    </w:p>
    <w:p>
      <w:pPr>
        <w:spacing w:after="0" w:line="173" w:lineRule="exact"/>
        <w:rPr>
          <w:sz w:val="20"/>
          <w:szCs w:val="20"/>
          <w:color w:val="auto"/>
        </w:rPr>
      </w:pPr>
    </w:p>
    <w:p>
      <w:pPr>
        <w:ind w:left="120" w:right="30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Service Agreement</w:t>
      </w:r>
      <w:r>
        <w:rPr>
          <w:rFonts w:ascii="Times New Roman" w:cs="Times New Roman" w:eastAsia="Times New Roman" w:hAnsi="Times New Roman"/>
          <w:sz w:val="18"/>
          <w:szCs w:val="18"/>
          <w:color w:val="auto"/>
        </w:rPr>
        <w:t>, effective as of July 1, 2021, between Volvo Car Corporation and Polestar Automotive China Distribution., Ltd. is a service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 under which Volvo Car Corporation provides maintenance and procurement services related to the Polestar 2 at the Luqiao plant. The agreement provides that Polestar Automotive China Distribution., Ltd. will pay Volvo Car Corporation a monthly service charge based on the actual hours worked charged at an hourly rate. This hourly rate takes into account the full cost incurred plus a</w:t>
      </w:r>
    </w:p>
    <w:p>
      <w:pPr>
        <w:spacing w:after="0" w:line="1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161</w:t>
      </w:r>
    </w:p>
    <w:p>
      <w:pPr>
        <w:sectPr>
          <w:pgSz w:w="11900" w:h="16838" w:orient="portrait"/>
          <w:cols w:equalWidth="0" w:num="1">
            <w:col w:w="11120"/>
          </w:cols>
          <w:pgMar w:left="320" w:top="455" w:right="459" w:bottom="1440" w:gutter="0" w:footer="0" w:header="0"/>
        </w:sectPr>
      </w:pPr>
    </w:p>
    <w:bookmarkStart w:id="176" w:name="page177"/>
    <w:bookmarkEnd w:id="1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40"/>
        <w:spacing w:after="0" w:line="258" w:lineRule="auto"/>
        <w:rPr>
          <w:sz w:val="20"/>
          <w:szCs w:val="20"/>
          <w:color w:val="auto"/>
        </w:rPr>
      </w:pPr>
      <w:r>
        <w:rPr>
          <w:rFonts w:ascii="Times New Roman" w:cs="Times New Roman" w:eastAsia="Times New Roman" w:hAnsi="Times New Roman"/>
          <w:sz w:val="18"/>
          <w:szCs w:val="18"/>
          <w:color w:val="auto"/>
        </w:rPr>
        <w:t>mark-up, and it is determined annually by Volvo Car Corporation. The agreement remains in effect until the services are completed. Either party may terminate the agreement for convenience upon 60 days’ written notice. Further, either party may terminate the agreement within 30 days of written notice for breach or immediately upon the insolvency of the other party. Polestar Automotive China Distribution., Ltd. may cancel the services performed under the agreement upon 30 days’ written notice and has additional immediate termination rights with respect to certain breaches by Volvo Car Corporation as described in the agreement.</w:t>
      </w:r>
    </w:p>
    <w:p>
      <w:pPr>
        <w:spacing w:after="0" w:line="18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i w:val="1"/>
          <w:iCs w:val="1"/>
          <w:color w:val="auto"/>
        </w:rPr>
        <w:t>Service Agreement</w:t>
      </w:r>
      <w:r>
        <w:rPr>
          <w:rFonts w:ascii="Times New Roman" w:cs="Times New Roman" w:eastAsia="Times New Roman" w:hAnsi="Times New Roman"/>
          <w:sz w:val="18"/>
          <w:szCs w:val="18"/>
          <w:color w:val="auto"/>
        </w:rPr>
        <w:t>, dated as of December 7, 2021, between Volvo Cars Technology (Shanghai) Co., Ltd. and Polestar Automotive China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Distribution Co., Ltd., is a service agreement under which Volvo Cars Technology (Shanghai) Co., Ltd. provides procurement and management services to Polestar Automotive China Distribution Co., Ltd. related to the Polestar 2 at the Luqiao plant. The agreement provides that Polestar Automotive China Distribution Co., Ltd. will pay Volvo Cars Technology (Shanghai) Co., Ltd. a monthly service charge based on the actual hours worked charged at an hourly rate. This hourly rate takes into account the full cost incurred plus a mark-up, and it is determined annually by Volvo Cars Technology (Shanghai) Co., Ltd. The agreement remains in effect until the services are completed. Either party may terminate the agreement for convenience upon 60 days’ written notice. Further, either party may terminate the agreement within 30 days of written notice for breach or immediately upon the insolvency of the other party. Polestar Automotive China Distribution Co., Ltd. may cancel the services performed under the agreement upon 30 days’ written notice and has additional immediate termination rights with respect to certain breaches by Volvo Cars Technology (Shanghai) Co., Ltd. as described in the agreement.</w:t>
      </w:r>
    </w:p>
    <w:p>
      <w:pPr>
        <w:spacing w:after="0" w:line="185"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i w:val="1"/>
          <w:iCs w:val="1"/>
          <w:color w:val="auto"/>
        </w:rPr>
        <w:t>Service Agreement</w:t>
      </w:r>
      <w:r>
        <w:rPr>
          <w:rFonts w:ascii="Times New Roman" w:cs="Times New Roman" w:eastAsia="Times New Roman" w:hAnsi="Times New Roman"/>
          <w:sz w:val="18"/>
          <w:szCs w:val="18"/>
          <w:color w:val="auto"/>
        </w:rPr>
        <w:t>, dated as of June 23, 2021, between Volvo Car Corporation and Polestar New Energy Vehicle Co. Ltd. is a service agreement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under which Volvo Car Corporation provides commercial purchasing and end-of-production services, amongst other things, to Polestar New Energy Vehicle Co. Ltd. The agreement provides that Polestar New Energy Vehicle Co. Ltd. will pay Volvo Car Corporation a monthly service charge based on the actual hours worked charged at an hourly rate. This hourly rate takes into account the full cost incurred plus a mark-up, and it is determined annually by Volvo Car Corporation. The agreement remains in effect until the services are completed. Either party may terminate the agreement for convenience upon 60 days’ written notice. Further, either party may terminate the agreement within 30 days of written notice for breach or immediately upon the insolvency of the other party. Polestar New Energy Vehicle Co. Ltd. may cancel the services performed under the agreement upon 30 days’ written notice and has additional immediate termination rights with respect to certain breaches by Volvo Car Corporation as described in the agreement. The </w:t>
      </w:r>
      <w:r>
        <w:rPr>
          <w:rFonts w:ascii="Times New Roman" w:cs="Times New Roman" w:eastAsia="Times New Roman" w:hAnsi="Times New Roman"/>
          <w:sz w:val="18"/>
          <w:szCs w:val="18"/>
          <w:i w:val="1"/>
          <w:iCs w:val="1"/>
          <w:color w:val="auto"/>
        </w:rPr>
        <w:t>Service Agreement</w:t>
      </w:r>
      <w:r>
        <w:rPr>
          <w:rFonts w:ascii="Times New Roman" w:cs="Times New Roman" w:eastAsia="Times New Roman" w:hAnsi="Times New Roman"/>
          <w:sz w:val="18"/>
          <w:szCs w:val="18"/>
          <w:color w:val="auto"/>
        </w:rPr>
        <w:t>, dated as of December 7, 2021, between Volvo Cars Technology (Shanghai) Co., Ltd. and Polestar Automotive China Distribution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 Ltd. largely mirrors the </w:t>
      </w:r>
      <w:r>
        <w:rPr>
          <w:rFonts w:ascii="Times New Roman" w:cs="Times New Roman" w:eastAsia="Times New Roman" w:hAnsi="Times New Roman"/>
          <w:sz w:val="18"/>
          <w:szCs w:val="18"/>
          <w:i w:val="1"/>
          <w:iCs w:val="1"/>
          <w:color w:val="auto"/>
        </w:rPr>
        <w:t>Service Agreement</w:t>
      </w:r>
      <w:r>
        <w:rPr>
          <w:rFonts w:ascii="Times New Roman" w:cs="Times New Roman" w:eastAsia="Times New Roman" w:hAnsi="Times New Roman"/>
          <w:sz w:val="18"/>
          <w:szCs w:val="18"/>
          <w:color w:val="auto"/>
        </w:rPr>
        <w:t>, dated as of June 23, 2021, between Volvo Car Corporation and Polestar New Energy Vehicle Co. Ltd. but with Volvo Cars Technology (Shanghai) Co., Ltd. acting as the service provider under the agreement.</w:t>
      </w:r>
    </w:p>
    <w:p>
      <w:pPr>
        <w:spacing w:after="0" w:line="192"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i w:val="1"/>
          <w:iCs w:val="1"/>
          <w:color w:val="auto"/>
        </w:rPr>
        <w:t>Service Agreement</w:t>
      </w:r>
      <w:r>
        <w:rPr>
          <w:rFonts w:ascii="Times New Roman" w:cs="Times New Roman" w:eastAsia="Times New Roman" w:hAnsi="Times New Roman"/>
          <w:sz w:val="18"/>
          <w:szCs w:val="18"/>
          <w:color w:val="auto"/>
        </w:rPr>
        <w:t>, dated as of June 23, 2021, between Volvo Car Corporation and Polestar Automotive China Distribution, Ltd., and the</w:t>
      </w:r>
      <w:r>
        <w:rPr>
          <w:rFonts w:ascii="Times New Roman" w:cs="Times New Roman" w:eastAsia="Times New Roman" w:hAnsi="Times New Roman"/>
          <w:sz w:val="18"/>
          <w:szCs w:val="18"/>
          <w:i w:val="1"/>
          <w:iCs w:val="1"/>
          <w:color w:val="auto"/>
        </w:rPr>
        <w:t xml:space="preserve"> Service Agreement</w:t>
      </w:r>
      <w:r>
        <w:rPr>
          <w:rFonts w:ascii="Times New Roman" w:cs="Times New Roman" w:eastAsia="Times New Roman" w:hAnsi="Times New Roman"/>
          <w:sz w:val="18"/>
          <w:szCs w:val="18"/>
          <w:color w:val="auto"/>
        </w:rPr>
        <w:t>, dated as of December 7, 2021, between Volvo Cars Technology (Shanghai) Co., Ltd. and Polestar Automotive China Distribution Co., Ltd.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are agreements governing the procurement of services and the sustainability evaluation for Polestar branded vehicles. For providing such services, the Volvo entities are paid a monthly service charge based on the actual hours worked charged at an hourly rate. These agreements remain in full force and effect until the services are completed. The agreements may be terminated by either party within 30 days of written notice for breach that is unable to be remedied or immediately if the other party becomes insolvent or is contemplating or enters into bankruptcy. Additionally, Polestar is entitled to cancel the services performed by Volvo Cars for convenience upon 30 days written notice to Volvo Cars, and both parties to each agreement are entitled to terminate such agreement for convenience upon 60 days’ written notice to the other party.</w:t>
      </w:r>
    </w:p>
    <w:p>
      <w:pPr>
        <w:spacing w:after="0" w:line="185" w:lineRule="exact"/>
        <w:rPr>
          <w:sz w:val="20"/>
          <w:szCs w:val="20"/>
          <w:color w:val="auto"/>
        </w:rPr>
      </w:pPr>
    </w:p>
    <w:p>
      <w:pPr>
        <w:ind w:left="120" w:right="40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Service Agreement</w:t>
      </w:r>
      <w:r>
        <w:rPr>
          <w:rFonts w:ascii="Times New Roman" w:cs="Times New Roman" w:eastAsia="Times New Roman" w:hAnsi="Times New Roman"/>
          <w:sz w:val="18"/>
          <w:szCs w:val="18"/>
          <w:color w:val="auto"/>
        </w:rPr>
        <w:t>, dated as of December 28, 2021, between Ningbo Geely Automobile Research &amp; Development Co., Ltd and Polestar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Performance AB is an agreement governing the outsourcing of development services for Polestar vehicles. The agreement remains in full force and effect until the services are completed.</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162</w:t>
      </w:r>
    </w:p>
    <w:p>
      <w:pPr>
        <w:sectPr>
          <w:pgSz w:w="11900" w:h="16838" w:orient="portrait"/>
          <w:cols w:equalWidth="0" w:num="1">
            <w:col w:w="11120"/>
          </w:cols>
          <w:pgMar w:left="320" w:top="455" w:right="459" w:bottom="1440" w:gutter="0" w:footer="0" w:header="0"/>
        </w:sectPr>
      </w:pPr>
    </w:p>
    <w:bookmarkStart w:id="177" w:name="page178"/>
    <w:bookmarkEnd w:id="1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20"/>
        <w:spacing w:after="0" w:line="258" w:lineRule="auto"/>
        <w:rPr>
          <w:sz w:val="20"/>
          <w:szCs w:val="20"/>
          <w:color w:val="auto"/>
        </w:rPr>
      </w:pPr>
      <w:r>
        <w:rPr>
          <w:rFonts w:ascii="Times New Roman" w:cs="Times New Roman" w:eastAsia="Times New Roman" w:hAnsi="Times New Roman"/>
          <w:sz w:val="18"/>
          <w:szCs w:val="18"/>
          <w:color w:val="auto"/>
        </w:rPr>
        <w:t>Polestar Performance AB pays Ningbo Geely Automobile Research &amp; Development Co., Ltd a fixed service charge for the services provided. The agreement may be terminated by either party within 30 days of written notice for breach that is unable to be remedied or immediately if the other party becomes insolvent or is contemplating or enters into bankruptcy. Additionally, Polestar Performance AB is entitled to cancel the services performed by Ningbo Geely Automobile Research &amp; Development Co., Ltd for convenience upon 30 days’ written notice to Ningbo Geely Automobile Research &amp; Development Co., Ltd.</w:t>
      </w:r>
    </w:p>
    <w:p>
      <w:pPr>
        <w:spacing w:after="0" w:line="181"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Tooling and Equipment Agreement</w:t>
      </w:r>
      <w:r>
        <w:rPr>
          <w:rFonts w:ascii="Times New Roman" w:cs="Times New Roman" w:eastAsia="Times New Roman" w:hAnsi="Times New Roman"/>
          <w:sz w:val="18"/>
          <w:szCs w:val="18"/>
          <w:color w:val="auto"/>
        </w:rPr>
        <w:t>, dated as of December 10, 2021, by and among Polestar Automotive China Distribution Co., Ltd. and Ningbo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Hangzhou Bay Geely Automotive Parts Co., Ltd. is an agreement relating to Ningbo Hangzhou Bay Geely Automotive Parts Co., Ltd.’s provision to Polestar Automotive China Distribution Co., Ltd. of manufacturing services. The parties also commit to making certain investments under the agreement. The agreement remains in full force until the agreed fees are paid and may be terminated by either party within 30 days of written notice for breach that is unable to be remedied or immediately if the other party becomes insolvent or is contemplating or enters into bankruptcy.</w:t>
      </w:r>
    </w:p>
    <w:p>
      <w:pPr>
        <w:spacing w:after="0" w:line="183" w:lineRule="exact"/>
        <w:rPr>
          <w:sz w:val="20"/>
          <w:szCs w:val="20"/>
          <w:color w:val="auto"/>
        </w:rPr>
      </w:pPr>
    </w:p>
    <w:p>
      <w:pPr>
        <w:ind w:left="120" w:right="10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Unique Vendor Tooling Agreement</w:t>
      </w:r>
      <w:r>
        <w:rPr>
          <w:rFonts w:ascii="Times New Roman" w:cs="Times New Roman" w:eastAsia="Times New Roman" w:hAnsi="Times New Roman"/>
          <w:sz w:val="18"/>
          <w:szCs w:val="18"/>
          <w:color w:val="auto"/>
        </w:rPr>
        <w:t>, dated as of December 23, 2021, by and among Polestar Automotive China Distribution Co., Ltd. and Ningbo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Geely Automobile Research &amp; Development Co., Ltd. is an agreement governing the purchase and sale of Polestar Unique vendor tooling from Geely for Polestar. Polestar Automotive China Distribution Co., Ltd. pays Ningbo Geely Automobile Research &amp; Development Co., Ltd. for each unique vendor tooling as the actual costs occur. This agreement remains in force and effect until Polestar Automotive China Distribution Co., Ltd. has paid the full price for the purchase of the vendor tooling. The agreement may be terminated within 30 days of written notice for breach that is unable to be remedied or immediately if the other party becomes insolvent or is contemplating or enters into bankruptcy.</w:t>
      </w:r>
    </w:p>
    <w:p>
      <w:pPr>
        <w:spacing w:after="0" w:line="182" w:lineRule="exact"/>
        <w:rPr>
          <w:sz w:val="20"/>
          <w:szCs w:val="20"/>
          <w:color w:val="auto"/>
        </w:rPr>
      </w:pPr>
    </w:p>
    <w:p>
      <w:pPr>
        <w:ind w:left="12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Technology License Agreement</w:t>
      </w:r>
      <w:r>
        <w:rPr>
          <w:rFonts w:ascii="Times New Roman" w:cs="Times New Roman" w:eastAsia="Times New Roman" w:hAnsi="Times New Roman"/>
          <w:sz w:val="18"/>
          <w:szCs w:val="18"/>
          <w:color w:val="auto"/>
        </w:rPr>
        <w:t>, dated as of March 4, 2022, between Zhejiang Liankong Technologies Co., Ltd. and Polestar Performance AB,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Technology License Agreement</w:t>
      </w:r>
      <w:r>
        <w:rPr>
          <w:rFonts w:ascii="Times New Roman" w:cs="Times New Roman" w:eastAsia="Times New Roman" w:hAnsi="Times New Roman"/>
          <w:sz w:val="18"/>
          <w:szCs w:val="18"/>
          <w:color w:val="auto"/>
        </w:rPr>
        <w:t>, effective as of March 4, 2022, between Zhejiang Liankong Technologies Co., Ltd and Polestar Automotive China Distribution Co., Ltd. are agreements governing the license of technology for Polestar branded vehicles. These agreements remain in force and effect during the validity of the licensed intellectual property included in the license granted under the agreement. The agreements may be terminated within 30 days of written notice for breach that is unable to be remedied or immediately if the other party becomes insolvent or is contemplating or enters into bankruptcy.</w:t>
      </w:r>
    </w:p>
    <w:p>
      <w:pPr>
        <w:spacing w:after="0" w:line="182" w:lineRule="exact"/>
        <w:rPr>
          <w:sz w:val="20"/>
          <w:szCs w:val="20"/>
          <w:color w:val="auto"/>
        </w:rPr>
      </w:pPr>
    </w:p>
    <w:p>
      <w:pPr>
        <w:ind w:left="12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Technology License Agreement</w:t>
      </w:r>
      <w:r>
        <w:rPr>
          <w:rFonts w:ascii="Times New Roman" w:cs="Times New Roman" w:eastAsia="Times New Roman" w:hAnsi="Times New Roman"/>
          <w:sz w:val="18"/>
          <w:szCs w:val="18"/>
          <w:color w:val="auto"/>
        </w:rPr>
        <w:t>, dated as of December 10, 2021, between Zhejiang Zeekr Automobile Research and Development Co., Ltd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Polestar Automotive China Distribution Co., Ltd. is an agreement governing the license of technology for Polestar branded vehicles. Polestar Automotive China Distribution Co., Ltd pays Zhejiang Zeekr Automobile Research and Development Co., Ltd a licensing fee under the agreement. This agreement remains in force and effect during the validity of the licensed intellectual property included in the license granted under the agreement. The agreement may be terminated within 30 days of written notice for breach that is unable to be remedied or immediately if the other party becomes insolvent or is contemplating or enters into bankruptcy.</w:t>
      </w:r>
    </w:p>
    <w:p>
      <w:pPr>
        <w:spacing w:after="0" w:line="182" w:lineRule="exact"/>
        <w:rPr>
          <w:sz w:val="20"/>
          <w:szCs w:val="20"/>
          <w:color w:val="auto"/>
        </w:rPr>
      </w:pPr>
    </w:p>
    <w:p>
      <w:pPr>
        <w:ind w:left="120" w:firstLine="440"/>
        <w:spacing w:after="0" w:line="277" w:lineRule="auto"/>
        <w:rPr>
          <w:sz w:val="20"/>
          <w:szCs w:val="20"/>
          <w:color w:val="auto"/>
        </w:rPr>
      </w:pPr>
      <w:r>
        <w:rPr>
          <w:rFonts w:ascii="Times New Roman" w:cs="Times New Roman" w:eastAsia="Times New Roman" w:hAnsi="Times New Roman"/>
          <w:sz w:val="17"/>
          <w:szCs w:val="17"/>
          <w:i w:val="1"/>
          <w:iCs w:val="1"/>
          <w:color w:val="auto"/>
        </w:rPr>
        <w:t>Technology License Agreement</w:t>
      </w:r>
      <w:r>
        <w:rPr>
          <w:rFonts w:ascii="Times New Roman" w:cs="Times New Roman" w:eastAsia="Times New Roman" w:hAnsi="Times New Roman"/>
          <w:sz w:val="17"/>
          <w:szCs w:val="17"/>
          <w:color w:val="auto"/>
        </w:rPr>
        <w:t>, dated as of December 30, 2021, between Zhejiang Zeekr Automobile Research and Development Co., Ltd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Polestar Performance AB is an agreement governing the license of technology for Polestar branded vehicles. Polestar Performance AB pays Zhejiang Zeekr Automobile Research and Development Co., Ltd a licensing fee under the agreement. This agreement remains in force and effect during the validity of the licensed intellectual property included in the license granted under the agreement. The agreement may be terminated within 30 days of written notice for breach that is unable to be remedied or immediately if the other party becomes insolvent or is contemplating or enters into bankruptcy.</w:t>
      </w:r>
    </w:p>
    <w:p>
      <w:pPr>
        <w:spacing w:after="0" w:line="168" w:lineRule="exact"/>
        <w:rPr>
          <w:sz w:val="20"/>
          <w:szCs w:val="20"/>
          <w:color w:val="auto"/>
        </w:rPr>
      </w:pPr>
    </w:p>
    <w:p>
      <w:pPr>
        <w:ind w:left="120" w:right="76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Parts Supply and License Agreement Polestar Aftermarket Parts and Accessories (ROW)</w:t>
      </w:r>
      <w:r>
        <w:rPr>
          <w:rFonts w:ascii="Times New Roman" w:cs="Times New Roman" w:eastAsia="Times New Roman" w:hAnsi="Times New Roman"/>
          <w:sz w:val="18"/>
          <w:szCs w:val="18"/>
          <w:color w:val="auto"/>
        </w:rPr>
        <w:t>, dated as of January 1, 2020, between Polestar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Performance AB and Volvo Car Corporation, is a supply and license</w:t>
      </w:r>
    </w:p>
    <w:p>
      <w:pPr>
        <w:spacing w:after="0" w:line="9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163</w:t>
      </w:r>
    </w:p>
    <w:p>
      <w:pPr>
        <w:sectPr>
          <w:pgSz w:w="11900" w:h="16838" w:orient="portrait"/>
          <w:cols w:equalWidth="0" w:num="1">
            <w:col w:w="11100"/>
          </w:cols>
          <w:pgMar w:left="320" w:top="455" w:right="479" w:bottom="1440" w:gutter="0" w:footer="0" w:header="0"/>
        </w:sectPr>
      </w:pPr>
    </w:p>
    <w:bookmarkStart w:id="178" w:name="page179"/>
    <w:bookmarkEnd w:id="1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agreement under which Volvo Car Corporation distributes the aftermarket parts and accessories of Polestar Performance AB throughout the world, besides in China. Under this agreement, Polestar Performance AB also grants Volvo Car Corporation certain licensing rights with respect to Polestar Performance AB’s intellectual property. The agreement provides that Volvo Car Corporation will pay a monthly license fee to Polestar Performance AB, and this license fee will be set at a rate that enables Volvo Car Corporation to receive an arm’s length compensation for its services. If the “Parts Profit” for a month is less than the “Distribution Profit” (each as defined in the agreement), Polestar Performance AB must pay Volvo Car Corporation for the shortfall. The agreement remains in effect until terminated by either party. Either party may terminate the agreement for convenience with 18 months’ written notice to the other. Further, either party may terminate the agreement within 30 days of written notice for a material breach or immediately upon the insolvency of the other party.</w:t>
      </w:r>
    </w:p>
    <w:p>
      <w:pPr>
        <w:spacing w:after="0" w:line="190" w:lineRule="exact"/>
        <w:rPr>
          <w:sz w:val="20"/>
          <w:szCs w:val="20"/>
          <w:color w:val="auto"/>
        </w:rPr>
      </w:pPr>
    </w:p>
    <w:p>
      <w:pPr>
        <w:ind w:left="120" w:right="2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New, Used and Demonstrator Funding Agreement</w:t>
      </w:r>
      <w:r>
        <w:rPr>
          <w:rFonts w:ascii="Times New Roman" w:cs="Times New Roman" w:eastAsia="Times New Roman" w:hAnsi="Times New Roman"/>
          <w:sz w:val="18"/>
          <w:szCs w:val="18"/>
          <w:color w:val="auto"/>
        </w:rPr>
        <w:t>, dated June 14, 2021, by and among Volvo Car Financial Services UK Limited and Polestar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Automotive UK Limited, is an agreement under which Volvo Car Financial Services UK Limited has agreed to make a standing offer to sell Floorplan Vehicles to Polestar Automotive UK Limited, and Polestar has agreed to purchase such Floorplan Vehicles. Under the agreement, Polestar may display Floorplan Vehicles for sale via the internet or in its premises or those premises operated by third party entities approved by and acting for or on behalf of Polestar for the purpose of marketing and in return, Polestar has agreed to pay certain charges to Volvo. The agreement may be terminated by either party at any time with written notice to the other party.</w:t>
      </w:r>
    </w:p>
    <w:p>
      <w:pPr>
        <w:spacing w:after="0" w:line="182"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Service Agreement</w:t>
      </w:r>
      <w:r>
        <w:rPr>
          <w:rFonts w:ascii="Times New Roman" w:cs="Times New Roman" w:eastAsia="Times New Roman" w:hAnsi="Times New Roman"/>
          <w:sz w:val="18"/>
          <w:szCs w:val="18"/>
          <w:color w:val="auto"/>
        </w:rPr>
        <w:t>, effective as of January 28, 2022, by and between Volvo Cars USA LLC and Polestar Automotive USA Inc. is an agreement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governing the outbound logistics through the utilization of Volvo Cars USA LLC’s existing vehicle distribution process. Under the agreement, Polestar pays Volvo for the estimated hours of work performed and other costs incurred by Volvo. The agreement remains in full force and effect until the services are completed and may be terminated by either party within 30 days of written notice for breach that is unable to be remedied or immediately if the other party becomes insolvent or is contemplating or enters into bankruptcy.</w:t>
      </w:r>
    </w:p>
    <w:p>
      <w:pPr>
        <w:spacing w:after="0" w:line="183" w:lineRule="exact"/>
        <w:rPr>
          <w:sz w:val="20"/>
          <w:szCs w:val="20"/>
          <w:color w:val="auto"/>
        </w:rPr>
      </w:pPr>
    </w:p>
    <w:p>
      <w:pPr>
        <w:ind w:left="120" w:right="140" w:firstLine="440"/>
        <w:spacing w:after="0" w:line="269" w:lineRule="auto"/>
        <w:rPr>
          <w:sz w:val="20"/>
          <w:szCs w:val="20"/>
          <w:color w:val="auto"/>
        </w:rPr>
      </w:pPr>
      <w:r>
        <w:rPr>
          <w:rFonts w:ascii="Times New Roman" w:cs="Times New Roman" w:eastAsia="Times New Roman" w:hAnsi="Times New Roman"/>
          <w:sz w:val="17"/>
          <w:szCs w:val="17"/>
          <w:i w:val="1"/>
          <w:iCs w:val="1"/>
          <w:color w:val="auto"/>
        </w:rPr>
        <w:t>Finance Cooperation Agreement</w:t>
      </w:r>
      <w:r>
        <w:rPr>
          <w:rFonts w:ascii="Times New Roman" w:cs="Times New Roman" w:eastAsia="Times New Roman" w:hAnsi="Times New Roman"/>
          <w:sz w:val="17"/>
          <w:szCs w:val="17"/>
          <w:color w:val="auto"/>
        </w:rPr>
        <w:t>, dated as of May 28, 2021, by and between Volvo Car Financial Services UK Limited and Polestar Automotive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UK LTD. Under this agreement, Volvo Car Financial Services UK Limited (i) provides financing to Polestar Automotive UK LTD to enable Polestar Automotive UK LTD to purchase Polestar vehicles, (ii) markets and sells retail finance arrangements to customers in accordance with the terms of the agreement and (iii) agrees to develop and operate a technical infrastructure to be used to market and sell such financial arrangements. Should Polestar Automotive UK LTD be interested in additional financing services not included in the “Services” (as defined in the agreement), it promises to use its best endeavors to engage Volvo Car Financial Services UK Limited as their financial partner for such services. The agreement continues in effect until the third anniversary of when the Services commenced. After such initial term, the agreement automatically continues in effect for subsequent terms of 36 months unless one of the parties provides a written termination notice to the other at least six months prior to the expiration of the original term or any subsequent 36 month extension term. In addition, Polestar Automotive UK LTD and Volvo Car Financial Services UK Limited each have certain termination rights as described in the agreement. Further, if certain severe market disruptions occur, Volvo Car Financial Services UK Limited has the right to unilaterally revise any of the commercial terms of the agreement. Volvo Car Financial Services UK Limited also has the right to revise the commercial terms of the agreement once every 12 months should a “Trigger Event” (as defined in the agreement) occur.</w:t>
      </w:r>
    </w:p>
    <w:p>
      <w:pPr>
        <w:spacing w:after="0" w:line="179" w:lineRule="exact"/>
        <w:rPr>
          <w:sz w:val="20"/>
          <w:szCs w:val="20"/>
          <w:color w:val="auto"/>
        </w:rPr>
      </w:pPr>
    </w:p>
    <w:p>
      <w:pPr>
        <w:ind w:left="120" w:firstLine="440"/>
        <w:spacing w:after="0" w:line="277" w:lineRule="auto"/>
        <w:rPr>
          <w:sz w:val="20"/>
          <w:szCs w:val="20"/>
          <w:color w:val="auto"/>
        </w:rPr>
      </w:pPr>
      <w:r>
        <w:rPr>
          <w:rFonts w:ascii="Times New Roman" w:cs="Times New Roman" w:eastAsia="Times New Roman" w:hAnsi="Times New Roman"/>
          <w:sz w:val="17"/>
          <w:szCs w:val="17"/>
          <w:i w:val="1"/>
          <w:iCs w:val="1"/>
          <w:color w:val="auto"/>
        </w:rPr>
        <w:t>Corporate Guarantee and Indemnity Relating to Polestar Automotive UK Limited</w:t>
      </w:r>
      <w:r>
        <w:rPr>
          <w:rFonts w:ascii="Times New Roman" w:cs="Times New Roman" w:eastAsia="Times New Roman" w:hAnsi="Times New Roman"/>
          <w:sz w:val="17"/>
          <w:szCs w:val="17"/>
          <w:color w:val="auto"/>
        </w:rPr>
        <w:t>, dated as of June 14, 2021, between Polestar Performance AB</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and Volvo Car Financial Services UK Limited. Under this deed, Polestar Performance AB (i) guarantees to Volvo Car Financial Services UK Limited timely performance by Polestar Automotive UK Limited of all of the “Guaranteed Obligations” (as defined in the agreement), (ii) promises to immediately pay any amount due should Polestar Automotive UK Limited not pay any Guaranteed Obligation and (iii) promises to indemnify Volvo Car Financial Services UK Limited in certain circumstances. There is no limit on the amount recoverable by Volvo Car Financial Services UK Limited from</w:t>
      </w:r>
    </w:p>
    <w:p>
      <w:pPr>
        <w:spacing w:after="0" w:line="10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164</w:t>
      </w:r>
    </w:p>
    <w:p>
      <w:pPr>
        <w:sectPr>
          <w:pgSz w:w="11900" w:h="16838" w:orient="portrait"/>
          <w:cols w:equalWidth="0" w:num="1">
            <w:col w:w="11120"/>
          </w:cols>
          <w:pgMar w:left="320" w:top="455" w:right="459" w:bottom="1440" w:gutter="0" w:footer="0" w:header="0"/>
        </w:sectPr>
      </w:pPr>
    </w:p>
    <w:bookmarkStart w:id="179" w:name="page180"/>
    <w:bookmarkEnd w:id="1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Polestar Performance AB under the deed, and the deed is a continuing guarantee. Polestar Performance AB can terminate the deed at any time by giving at least three months’ written notice specifying the termination date to Volvo Car Financial Services UK Limited, though Polestar Performance AB has certain continuing liabilities under the deed.</w:t>
      </w:r>
    </w:p>
    <w:p>
      <w:pPr>
        <w:spacing w:after="0" w:line="174"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i w:val="1"/>
          <w:iCs w:val="1"/>
          <w:color w:val="auto"/>
        </w:rPr>
        <w:t>Cooperation Agreement</w:t>
      </w:r>
      <w:r>
        <w:rPr>
          <w:rFonts w:ascii="Times New Roman" w:cs="Times New Roman" w:eastAsia="Times New Roman" w:hAnsi="Times New Roman"/>
          <w:sz w:val="18"/>
          <w:szCs w:val="18"/>
          <w:color w:val="auto"/>
        </w:rPr>
        <w:t>, dated as of April 1, 2020, between Polestar Automotive China Distribution Co., Ltd. and Hangzhou Easybao Technology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 Ltd. is a cooperation agreement under which Hangzhou Easybao Technology Co., Ltd. provides technical support to Polestar Automotive China Distribution Co., Ltd. for Polestar Automotive China Distribution Co., Ltd. to connect with the IT system of the insurance company and improve the processing capacity of Polestar Automotive China Distribution Co., Ltd.’s online business. The services Hangzhou Easybao Technology Co., Ltd. provides under this agreement enable Polestar Automotive China Distribution Co., Ltd.’s clients to purchase insurance products online through Polestar Automotive China Distribution Co., Ltd.’s app. Hangzhou also agrees to operate and maintain the online insurance purchase process under this agreement and to provide necessary training requested by Polestar Automotive China Distribution Co., Ltd. In exchange for Hangzhou Easybao Technology Co., Ltd.’s services, Polestar Automotive China Distribution Co., Ltd. facilitates Hangzhou Easybao Technology Co., Ltd.’s collection of fees from Polestar Automotive China Distribution Co., Ltd.’s cooperative insurance company. The fee is paid per insurance policy at a set rate and excludes traffic compulsory insurance. If the annual total amount collected by Hangzhou Easybao Technology Co., Ltd. is less than the annual total amount specified in the agreement, then Polestar Automotive China Distribution Co., Ltd. must pay that difference to Hangzhou Easybao Technology Co., Ltd. If the cooperative insurance company does not pay the fee, then Hangzhou Easybao Technology Co., Ltd. may suspend this agreement and recover certain costs from Polestar Automotive China Distribution Co., Ltd. Polestar Automotive China Distribution Co., Ltd. has certain rights to terminate or rescind the agreement. The agreement terminates on December 31, 2022, though the parties are obligated to discuss the possible extension of the agreement’s term.</w:t>
      </w:r>
    </w:p>
    <w:p>
      <w:pPr>
        <w:spacing w:after="0" w:line="196"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i w:val="1"/>
          <w:iCs w:val="1"/>
          <w:color w:val="auto"/>
        </w:rPr>
        <w:t>Finance Cooperation Agreement</w:t>
      </w:r>
      <w:r>
        <w:rPr>
          <w:rFonts w:ascii="Times New Roman" w:cs="Times New Roman" w:eastAsia="Times New Roman" w:hAnsi="Times New Roman"/>
          <w:sz w:val="18"/>
          <w:szCs w:val="18"/>
          <w:color w:val="auto"/>
        </w:rPr>
        <w:t>, dated as of June 1, 2021, between Polestar Automotive China Distribution Co., Ltd and Genius Auto Finance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 Ltd. is an agreement under which Genius Auto Finance Co., Ltd. provides finance services to Polestar Automotive China Distribution Co., Ltd., including retail finance to end customers in order to assist them with buying vehicles from Polestar, among other things. Genius Auto Finance Co., Ltd. helps to make retail finance credit available to end customers, offers competitive rates and terms for such customers and provides Polestar a service fee as compensation for the services Polestar provides to them, such as explaining the retail finance to customers, assisting with collecting application documents from customers and reviewing such documents. The Finance Cooperation Agreement continues for an initial term of three years, after which it continues unless terminated by either party with at least six months’ prior written notice.</w:t>
      </w:r>
    </w:p>
    <w:p>
      <w:pPr>
        <w:spacing w:after="0" w:line="183" w:lineRule="exact"/>
        <w:rPr>
          <w:sz w:val="20"/>
          <w:szCs w:val="20"/>
          <w:color w:val="auto"/>
        </w:rPr>
      </w:pPr>
    </w:p>
    <w:p>
      <w:pPr>
        <w:jc w:val="both"/>
        <w:ind w:left="120" w:right="360"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The Framework Agreement on Import and Export of Polestar Vehicles </w:t>
      </w:r>
      <w:r>
        <w:rPr>
          <w:rFonts w:ascii="Times New Roman" w:cs="Times New Roman" w:eastAsia="Times New Roman" w:hAnsi="Times New Roman"/>
          <w:sz w:val="18"/>
          <w:szCs w:val="18"/>
          <w:color w:val="auto"/>
        </w:rPr>
        <w:t>between Volvo Car Corporation and Polestar Performance AB, dated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June 21, 2022, establishes the framework for import of Polestar vehicles into the United States by Volvo Cars. The Volvo Cars entity will purchase Polestar vehicles from Polestar and resell those vehicles to the Polestar distributor. In calculating the sales price of Polestar vehicles to Volvo Cars, Volvo Cars’ purchase price will include the amount of duties refunded to Volvo Cars under the US duty drawback regulations. This Agreement will continue until claims for duty drawback have been made on all eligible Polestar vehicles.</w:t>
      </w:r>
    </w:p>
    <w:p>
      <w:pPr>
        <w:spacing w:after="0" w:line="183" w:lineRule="exact"/>
        <w:rPr>
          <w:sz w:val="20"/>
          <w:szCs w:val="20"/>
          <w:color w:val="auto"/>
        </w:rPr>
      </w:pPr>
    </w:p>
    <w:p>
      <w:pPr>
        <w:jc w:val="both"/>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 xml:space="preserve">The sale of Polestar vehicles to Volvo Cars is set forth in the </w:t>
      </w:r>
      <w:r>
        <w:rPr>
          <w:rFonts w:ascii="Times New Roman" w:cs="Times New Roman" w:eastAsia="Times New Roman" w:hAnsi="Times New Roman"/>
          <w:sz w:val="18"/>
          <w:szCs w:val="18"/>
          <w:i w:val="1"/>
          <w:iCs w:val="1"/>
          <w:color w:val="auto"/>
        </w:rPr>
        <w:t>Importer Agreement</w:t>
      </w:r>
      <w:r>
        <w:rPr>
          <w:rFonts w:ascii="Times New Roman" w:cs="Times New Roman" w:eastAsia="Times New Roman" w:hAnsi="Times New Roman"/>
          <w:sz w:val="18"/>
          <w:szCs w:val="18"/>
          <w:color w:val="auto"/>
        </w:rPr>
        <w:t xml:space="preserve"> between Polestar Performance AB and Volvo Cars LLC, dated June 21, 2022, which provides that the purchase price will be calculated on an arms-length basis as set forth therein applying a transactional net margin method and apply the Berry Ratio that would be achieved by comparable unrelated agreements among third parties performing the same function. The agreement will remain in force until December 31, 2023.</w:t>
      </w:r>
    </w:p>
    <w:p>
      <w:pPr>
        <w:spacing w:after="0" w:line="11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165</w:t>
      </w:r>
    </w:p>
    <w:p>
      <w:pPr>
        <w:sectPr>
          <w:pgSz w:w="11900" w:h="16838" w:orient="portrait"/>
          <w:cols w:equalWidth="0" w:num="1">
            <w:col w:w="11080"/>
          </w:cols>
          <w:pgMar w:left="320" w:top="455" w:right="499" w:bottom="1440" w:gutter="0" w:footer="0" w:header="0"/>
        </w:sectPr>
      </w:pPr>
    </w:p>
    <w:bookmarkStart w:id="180" w:name="page181"/>
    <w:bookmarkEnd w:id="1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7" w:lineRule="exact"/>
        <w:rPr>
          <w:sz w:val="20"/>
          <w:szCs w:val="20"/>
          <w:color w:val="auto"/>
        </w:rPr>
      </w:pPr>
    </w:p>
    <w:p>
      <w:pPr>
        <w:ind w:left="120" w:right="30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Sale and Purchase Agreement </w:t>
      </w:r>
      <w:r>
        <w:rPr>
          <w:rFonts w:ascii="Times New Roman" w:cs="Times New Roman" w:eastAsia="Times New Roman" w:hAnsi="Times New Roman"/>
          <w:sz w:val="18"/>
          <w:szCs w:val="18"/>
          <w:color w:val="auto"/>
        </w:rPr>
        <w:t>between Volvo Car USA LLC and Polestar Automotive USA LLC, dated June 21, 2022, provides for the sale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Polestar vehicles imported by Volvo Cars to Polestar for sale in the United States. The agreement will remain in force until December 31, 2023.</w:t>
      </w:r>
    </w:p>
    <w:p>
      <w:pPr>
        <w:spacing w:after="0" w:line="158" w:lineRule="exact"/>
        <w:rPr>
          <w:sz w:val="20"/>
          <w:szCs w:val="20"/>
          <w:color w:val="auto"/>
        </w:rPr>
      </w:pPr>
    </w:p>
    <w:p>
      <w:pPr>
        <w:ind w:left="120" w:firstLine="440"/>
        <w:spacing w:after="0" w:line="257" w:lineRule="auto"/>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Research and Development Frame Agreement,</w:t>
      </w:r>
      <w:r>
        <w:rPr>
          <w:rFonts w:ascii="Times New Roman" w:cs="Times New Roman" w:eastAsia="Times New Roman" w:hAnsi="Times New Roman"/>
          <w:sz w:val="18"/>
          <w:szCs w:val="18"/>
          <w:color w:val="auto"/>
        </w:rPr>
        <w:t xml:space="preserve"> dated as of July 5, 2022, between Polestar Performance AB and China Euro Vehicle Technology AB governs China Euro Vehicle Technology AB’s provision to Polestar Performance AB of facilities, skills, material and human resources for conducting activities of research and development in connection with automotive goods such as passenger cars, auto components and parts and service parts. Fees paid under the agreement are in part based on actual development and disbursement costs and take into account the full costs incurred plus an arm’s length mark-up. The agreement is in effect for two years, unless terminated for convenience by either party with six months’ prior written notice or for good cause or default.</w:t>
      </w:r>
    </w:p>
    <w:p>
      <w:pPr>
        <w:spacing w:after="0" w:line="182"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Service Agreement,</w:t>
      </w:r>
      <w:r>
        <w:rPr>
          <w:rFonts w:ascii="Times New Roman" w:cs="Times New Roman" w:eastAsia="Times New Roman" w:hAnsi="Times New Roman"/>
          <w:sz w:val="18"/>
          <w:szCs w:val="18"/>
          <w:color w:val="auto"/>
        </w:rPr>
        <w:t xml:space="preserve"> dated as of July 4, 2022, between Zhongjia Automobile Manufacturing (Chengdu) CO., Ltd. and Polestar Automotive China Distribution Co. Ltd. governs Zhongjia Automobile Manufacturing (Chengdu) CO., Ltd.’s provision of certain services related to manufacturing engineering support for running change program upgrades of the Polestar 2 vehicle. Service charges are based on actual hours required for the service to be performed, and the hourly rates are determined on an annual basis. The agreement is in effect until the end of production of the Polestar 2 car (until the services are completed) and may be terminated by either party with immediate effect in the event of a material breach. Polestar Automotive China Distribution Co. Ltd. may terminate the agreement for certain types of breach with immediate effect and also may terminate the agreement for convenience with 30 days’ prior written notice to Zhongjia Automobile Manufacturing (Chengdu) CO., Ltd. Either party is also entitled to terminate the agreement for convenience with 60 days’ prior written notice to the other party.</w:t>
      </w:r>
    </w:p>
    <w:p>
      <w:pPr>
        <w:spacing w:after="0" w:line="185"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Service Agreement,</w:t>
      </w:r>
      <w:r>
        <w:rPr>
          <w:rFonts w:ascii="Times New Roman" w:cs="Times New Roman" w:eastAsia="Times New Roman" w:hAnsi="Times New Roman"/>
          <w:sz w:val="18"/>
          <w:szCs w:val="18"/>
          <w:color w:val="auto"/>
        </w:rPr>
        <w:t xml:space="preserve"> dated as of July 4, 2022, between Volvo Cars Technology (Shanghai) Co., Ltd and Polestar Automotive China Distribution Co. Ltd. governs Volvo Cars Technology (Shanghai) Co., Ltd’s provision to Polestar Automotive China Distribution Co. Ltd. of services related to its role as site leader for R&amp;D China and the ramp-up and maintenance of such. Under the agreement, Volvo Cars Technology (Shanghai) Co., Ltd is responsible for R&amp;D staff management in accordance with legal and company requirements, driving and executing engineering topics assigned to the corresponding engineering site, and establishing and maintaining corporations with local internal and external partners, suppliers, and research institutes. Service charges are based on actual hours required for the services to be performed, and the hourly rates are determined on an annual basis. The agreement is in effect until November 30, 2022, at the latest, and may be terminated by either party with immediate effect in the event of a material breach. Polestar Automotive China Distribution Co. Ltd. may terminate the agreement for certain types of breach with immediate effect and also may terminate the agreement for convenience with 30 days’ prior written notice to Volvo Cars Technology (Shanghai) Co., Ltd. Either party is also entitled to terminate the agreement for convenience with 60 days’ prior written notice to the other party.</w:t>
      </w:r>
    </w:p>
    <w:p>
      <w:pPr>
        <w:spacing w:after="0" w:line="185"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China CO2 Emission Credit Payment Agreement</w:t>
      </w:r>
      <w:r>
        <w:rPr>
          <w:rFonts w:ascii="Times New Roman" w:cs="Times New Roman" w:eastAsia="Times New Roman" w:hAnsi="Times New Roman"/>
          <w:sz w:val="18"/>
          <w:szCs w:val="18"/>
          <w:color w:val="auto"/>
        </w:rPr>
        <w:t>, dated as of July 15, 2022, between Polestar Automotive China Distribution Co Ltd and Daqing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Volvo Car Manufacturing Co., Ltd., is an agreement under which Daqing Volvo Car Manufacturing Co., Ltd. has agreed to compensate Polestar Automotive China Distribution Co Ltd in order to use certain emission credits. The purchase price of the credits includes the amount for NEV credits and CAFC credits and is due to Zhejiang Haoqing Automobile Manufacturing Co., Ltd. within 30 days of the execution of the agreement.</w:t>
      </w:r>
    </w:p>
    <w:p>
      <w:pPr>
        <w:spacing w:after="0" w:line="180" w:lineRule="exact"/>
        <w:rPr>
          <w:sz w:val="20"/>
          <w:szCs w:val="20"/>
          <w:color w:val="auto"/>
        </w:rPr>
      </w:pPr>
    </w:p>
    <w:p>
      <w:pPr>
        <w:ind w:left="120" w:right="22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Prototype Supply Agreement</w:t>
      </w:r>
      <w:r>
        <w:rPr>
          <w:rFonts w:ascii="Times New Roman" w:cs="Times New Roman" w:eastAsia="Times New Roman" w:hAnsi="Times New Roman"/>
          <w:sz w:val="18"/>
          <w:szCs w:val="18"/>
          <w:color w:val="auto"/>
        </w:rPr>
        <w:t>, effective as of July 1, 2022, between Asia Europe New Energy Vehicle Manufacturing (Chongqing) Co., Ltd.,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Polestar Performance AB and Polestar Automotive (Chongqing) Co., Ltd. is an agreement governing Polestar Performance AB’s purchase of “Prototypes” (as defined in the agreement), which Polestar Performance AB uses for research and development activities, from Asia Europe New Energy Vehicle Manufacturing (Chongqing) Co., Ltd. The price for the “Prototypes” is determined based on arm’s length terms applying the cost plus method. Polestar Performance AB also compensates Asia Europe New Energy Vehicle Manufacturing (Chongqing) Co., Ltd. for the financing it assumed related to the direct materials</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166</w:t>
      </w:r>
    </w:p>
    <w:p>
      <w:pPr>
        <w:sectPr>
          <w:pgSz w:w="11900" w:h="16838" w:orient="portrait"/>
          <w:cols w:equalWidth="0" w:num="1">
            <w:col w:w="11120"/>
          </w:cols>
          <w:pgMar w:left="320" w:top="455" w:right="459" w:bottom="1440" w:gutter="0" w:footer="0" w:header="0"/>
        </w:sectPr>
      </w:pPr>
    </w:p>
    <w:bookmarkStart w:id="181" w:name="page182"/>
    <w:bookmarkEnd w:id="1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80"/>
        <w:spacing w:after="0" w:line="261" w:lineRule="auto"/>
        <w:rPr>
          <w:sz w:val="20"/>
          <w:szCs w:val="20"/>
          <w:color w:val="auto"/>
        </w:rPr>
      </w:pPr>
      <w:r>
        <w:rPr>
          <w:rFonts w:ascii="Times New Roman" w:cs="Times New Roman" w:eastAsia="Times New Roman" w:hAnsi="Times New Roman"/>
          <w:sz w:val="18"/>
          <w:szCs w:val="18"/>
          <w:color w:val="auto"/>
        </w:rPr>
        <w:t>purchased for the “Prototype” build. The agreement remains in effect until terminated in accordance with the terms of the agreement. The agreement may be terminated by either party with immediate effect in the event of a material breach that has not been remedied within a certain amount of time after receiving written notice from the other party to remedy such breach or if the other party becomes insolvent or is contemplating or enters bankruptcy.</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Declarations of Intent by Snita and PSD Investment Limited</w:t>
      </w:r>
    </w:p>
    <w:p>
      <w:pPr>
        <w:spacing w:after="0" w:line="121" w:lineRule="exact"/>
        <w:rPr>
          <w:sz w:val="20"/>
          <w:szCs w:val="20"/>
          <w:color w:val="auto"/>
        </w:rPr>
      </w:pPr>
    </w:p>
    <w:p>
      <w:pPr>
        <w:ind w:left="120" w:firstLine="440"/>
        <w:spacing w:after="0" w:line="272" w:lineRule="auto"/>
        <w:rPr>
          <w:sz w:val="20"/>
          <w:szCs w:val="20"/>
          <w:color w:val="auto"/>
        </w:rPr>
      </w:pPr>
      <w:r>
        <w:rPr>
          <w:rFonts w:ascii="Times New Roman" w:cs="Times New Roman" w:eastAsia="Times New Roman" w:hAnsi="Times New Roman"/>
          <w:sz w:val="17"/>
          <w:szCs w:val="17"/>
          <w:color w:val="auto"/>
        </w:rPr>
        <w:t>On March 3, 2022, Snita and PSD Investment Limited each executed a Declaration of Intent. These Declarations of Intent are substantially identical and set forth the parties’ intention to subscribe for their pro rata share of equity or equity linked securities issued by the Company in the event of any offering of such securities by the Company until March 31, 2024. The Declarations of Intent also provide that (i) Polestar will actively seek appropriate debt financing and engage in raising capital from the market and (ii) to the extent either Snita and/or PSD Investment Limited decide to make such investments, those investments will be made on market terms and conditions substantially identical to, or better than, those offered to third party investors and will be subject to all necessary corporate and/or regulatory approvals of Snita, Volvo Cars and/or PSD Investment Limited, as the case may be. The Declaration of Intent also states that any investment made by either Snita or PSD Investment Limited will not result in its direct and indirect aggregated beneficial interest in the issued and outstanding share capital of the Company or its share of votes in the Company exceeding 49.5%.</w:t>
      </w:r>
    </w:p>
    <w:p>
      <w:pPr>
        <w:spacing w:after="0" w:line="2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Under Articles of Incorporation; Indemnification Agreements</w:t>
      </w:r>
    </w:p>
    <w:p>
      <w:pPr>
        <w:spacing w:after="0" w:line="121"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To the extent permitted by the Companies Act and the Polestar Articles, the Company is empowered to indemnify its directors and officers, as well as members of Polestar Group’s senior management against liabilities in connection with their service at Polestar. The Company has also entered into indemnification agreements with its directors and officers, as well as members of Polestar Group’s senior management.</w:t>
      </w:r>
    </w:p>
    <w:p>
      <w:pPr>
        <w:spacing w:after="0" w:line="176"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These agreements, among other things, require the Company to indemnify such directors, officers and members of Polestar Group’s senior management for certain expenses, including attorneys’ fees, judgments, fines and settlement amounts incurred by a director, officer or member of Polestar Group’s senior management in any action or proceeding arising out of their services in the Polestar Group. The Company plans to maintain an insurance policy pursuant to which such persons will also be insured against liability for actions taken in their respective capacities.</w:t>
      </w:r>
    </w:p>
    <w:p>
      <w:pPr>
        <w:spacing w:after="0" w:line="180"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The Company believes that the indemnification of directors, officers and members of Polestar Group’s senior management is necessary to attract and retain qualified persons. Insofar as such indemnification for liabilities arising under the Securities Act may be permitted to such individuals or control persons in the opinion of the SEC, such indemnification is against public policy as expressed in the Securities Act and is therefore unenforceable.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Interests of Experts and Counsel</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None.</w:t>
      </w:r>
    </w:p>
    <w:p>
      <w:pPr>
        <w:spacing w:after="0" w:line="15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167</w:t>
      </w:r>
    </w:p>
    <w:p>
      <w:pPr>
        <w:sectPr>
          <w:pgSz w:w="11900" w:h="16838" w:orient="portrait"/>
          <w:cols w:equalWidth="0" w:num="1">
            <w:col w:w="11100"/>
          </w:cols>
          <w:pgMar w:left="320" w:top="455" w:right="479" w:bottom="1440" w:gutter="0" w:footer="0" w:header="0"/>
        </w:sectPr>
      </w:pPr>
    </w:p>
    <w:bookmarkStart w:id="182" w:name="page183"/>
    <w:bookmarkEnd w:id="18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SHARE CAPITAL AND ARTICLES OF ASSOCIATION</w:t>
      </w:r>
    </w:p>
    <w:p>
      <w:pPr>
        <w:spacing w:after="0" w:line="229"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Set forth below is a summary of certain information concerning the Company’s share capital as well as a description of certain provisions of the Polestar Articles and relevant provisions of the Companies Act. The summary below contains only material information concerning the Company’s share capital and corporate status and does not purport to be complete and is qualified in its entirety by reference to the Polestar Articles and applicable English law. Further, please note that holders of AD securities (see section entitled “Description of American Depositary Shares”) will not be treated as one of the Company’s shareholders and will not have any shareholder rights.</w:t>
      </w:r>
    </w:p>
    <w:p>
      <w:pPr>
        <w:spacing w:after="0" w:line="183"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On September 15, 2021, the Company was incorporated under the laws of England and Wales as Polestar Automotive Holding UK Limited, with nominal assets and liabilities for the purpose of becoming the ultimate holding company for Polestar and consummating the Business Combination. The Company has re-registered as a public limited company under the laws of England and Wales with the name “Polestar Automotive Holding UK PLC” in connection with the Business Combination.</w:t>
      </w:r>
    </w:p>
    <w:p>
      <w:pPr>
        <w:spacing w:after="0" w:line="180"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total number of shares of all classes of shares which the Company is authorized to issue is 6,861,249,349 shares, consisting of (a) 5,000,000,000 Class A Shares of nominal value USD 0.01 each, (b) 1,777,366,739 Class B Shares of nominal value USD 0.01 each, (c) 16,000,000 Class C-1 Shares of nominal value USD 0.10 each, (d) 9,000,000 Class C-2 Shares of nominal value USD 0.10 each, (e) 58,882,610 Preference Shares of nominal value USD 10.00 each, and (f) 50,000 GBP Redeemable Preferred Shares of nominal value GBP 1.00 each (“</w:t>
      </w:r>
      <w:r>
        <w:rPr>
          <w:rFonts w:ascii="Times New Roman" w:cs="Times New Roman" w:eastAsia="Times New Roman" w:hAnsi="Times New Roman"/>
          <w:sz w:val="18"/>
          <w:szCs w:val="18"/>
          <w:i w:val="1"/>
          <w:iCs w:val="1"/>
          <w:color w:val="auto"/>
        </w:rPr>
        <w:t>GBP Redeemable Preferred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Shares</w:t>
      </w:r>
      <w:r>
        <w:rPr>
          <w:rFonts w:ascii="Times New Roman" w:cs="Times New Roman" w:eastAsia="Times New Roman" w:hAnsi="Times New Roman"/>
          <w:sz w:val="18"/>
          <w:szCs w:val="18"/>
          <w:color w:val="auto"/>
        </w:rPr>
        <w:t>”). In addition, Class A Shares and Deferred Shares of nominal value USD 0.01 each (“</w:t>
      </w:r>
      <w:r>
        <w:rPr>
          <w:rFonts w:ascii="Times New Roman" w:cs="Times New Roman" w:eastAsia="Times New Roman" w:hAnsi="Times New Roman"/>
          <w:sz w:val="18"/>
          <w:szCs w:val="18"/>
          <w:i w:val="1"/>
          <w:iCs w:val="1"/>
          <w:color w:val="auto"/>
        </w:rPr>
        <w:t>Deferred Shares</w:t>
      </w:r>
      <w:r>
        <w:rPr>
          <w:rFonts w:ascii="Times New Roman" w:cs="Times New Roman" w:eastAsia="Times New Roman" w:hAnsi="Times New Roman"/>
          <w:sz w:val="18"/>
          <w:szCs w:val="18"/>
          <w:color w:val="auto"/>
        </w:rPr>
        <w:t>”) may be created upon conversion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Class C-1 Shares, Class C-2 Shares and Preference Shares without any requirement for further authorization. As of the date of this prospectus, the following securities were issued and outstanding: 467,144,972 Class A Shares, 1,642,233,575 Class B Shares, no Preference Shares, 50,000 GBP Redeemable Preferred Shares, 15,999,965 Class C-1 Shares and 9,000,000 Class C-2 Shares. The Class A Shares, Class B Shares and Class C Shares are represented by Class A ADSs, Class B ADSs and Class C ADSs, respectively.</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Description of Company Share Capital and Polestar Articles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Company Securities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Dividend Rights</w:t>
      </w:r>
    </w:p>
    <w:p>
      <w:pPr>
        <w:spacing w:after="0" w:line="119" w:lineRule="exact"/>
        <w:rPr>
          <w:sz w:val="20"/>
          <w:szCs w:val="20"/>
          <w:color w:val="auto"/>
        </w:rPr>
      </w:pPr>
    </w:p>
    <w:p>
      <w:pPr>
        <w:jc w:val="both"/>
        <w:ind w:left="120" w:right="420" w:firstLine="440"/>
        <w:spacing w:after="0" w:line="266" w:lineRule="auto"/>
        <w:rPr>
          <w:sz w:val="20"/>
          <w:szCs w:val="20"/>
          <w:color w:val="auto"/>
        </w:rPr>
      </w:pPr>
      <w:r>
        <w:rPr>
          <w:rFonts w:ascii="Times New Roman" w:cs="Times New Roman" w:eastAsia="Times New Roman" w:hAnsi="Times New Roman"/>
          <w:sz w:val="18"/>
          <w:szCs w:val="18"/>
          <w:color w:val="auto"/>
        </w:rPr>
        <w:t>Subject to the provisions of English law and any preferences that may apply to shares outstanding at the time, holders of outstanding Class A Shares, Class B Shares and Preference Shares are entitled to receive dividends out of assets legally available at the times and in the amounts as the Board may determine from time to time.</w:t>
      </w:r>
    </w:p>
    <w:p>
      <w:pPr>
        <w:spacing w:after="0" w:line="176" w:lineRule="exact"/>
        <w:rPr>
          <w:sz w:val="20"/>
          <w:szCs w:val="20"/>
          <w:color w:val="auto"/>
        </w:rPr>
      </w:pPr>
    </w:p>
    <w:p>
      <w:pPr>
        <w:jc w:val="both"/>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Any dividends (or other distribution) paid by the Company shall be applied among the holders of outstanding Class A Shares and Class B Shares pro rata to the number of such shares respectively held by them. For the avoidance of doubt, the Class C Shares, the GBP Redeemable Preferred Shares and the Deferred Shares shall not entitle their holders to participate in any dividends or other distributions.</w:t>
      </w:r>
    </w:p>
    <w:p>
      <w:pPr>
        <w:spacing w:after="0" w:line="176"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The Preference Shares shall not entitle any holder to preferred dividends or accruals except that the holders of Preference Shares shall participate in dividends or other distributions on the Class A Shares as if such Preference Shares had been converted into Class A Shares in accordance with the Polestar Articles.</w:t>
      </w:r>
    </w:p>
    <w:p>
      <w:pPr>
        <w:spacing w:after="0" w:line="176" w:lineRule="exact"/>
        <w:rPr>
          <w:sz w:val="20"/>
          <w:szCs w:val="20"/>
          <w:color w:val="auto"/>
        </w:rPr>
      </w:pPr>
    </w:p>
    <w:p>
      <w:pPr>
        <w:ind w:left="120" w:firstLine="440"/>
        <w:spacing w:after="0" w:line="289" w:lineRule="auto"/>
        <w:rPr>
          <w:sz w:val="20"/>
          <w:szCs w:val="20"/>
          <w:color w:val="auto"/>
        </w:rPr>
      </w:pPr>
      <w:r>
        <w:rPr>
          <w:rFonts w:ascii="Times New Roman" w:cs="Times New Roman" w:eastAsia="Times New Roman" w:hAnsi="Times New Roman"/>
          <w:sz w:val="17"/>
          <w:szCs w:val="17"/>
          <w:color w:val="auto"/>
        </w:rPr>
        <w:t>The Board may deduct from any dividend in respect of a share all such sums as may be due from him or her to the Company on account of calls or otherwise in relation to the shares of the Company. Sums so deducted can be used to pay amounts owing to the Company in respect of the shares. Any dividend unclaimed after a period of 12 years from the date such dividend was declared shall, if the Board so resolves, be forfeited and shall revert to</w:t>
      </w:r>
    </w:p>
    <w:p>
      <w:pPr>
        <w:spacing w:after="0" w:line="9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168</w:t>
      </w:r>
    </w:p>
    <w:p>
      <w:pPr>
        <w:sectPr>
          <w:pgSz w:w="11900" w:h="16838" w:orient="portrait"/>
          <w:cols w:equalWidth="0" w:num="1">
            <w:col w:w="11120"/>
          </w:cols>
          <w:pgMar w:left="320" w:top="455" w:right="459" w:bottom="1440" w:gutter="0" w:footer="0" w:header="0"/>
        </w:sectPr>
      </w:pPr>
    </w:p>
    <w:bookmarkStart w:id="183" w:name="page184"/>
    <w:bookmarkEnd w:id="18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160"/>
        <w:spacing w:after="0" w:line="266" w:lineRule="auto"/>
        <w:rPr>
          <w:sz w:val="20"/>
          <w:szCs w:val="20"/>
          <w:color w:val="auto"/>
        </w:rPr>
      </w:pPr>
      <w:r>
        <w:rPr>
          <w:rFonts w:ascii="Times New Roman" w:cs="Times New Roman" w:eastAsia="Times New Roman" w:hAnsi="Times New Roman"/>
          <w:sz w:val="18"/>
          <w:szCs w:val="18"/>
          <w:color w:val="auto"/>
        </w:rPr>
        <w:t>the Company. In addition, the payment by the Board of any unclaimed dividend, interest or other sum payable on or in respect of shares into a separate account shall not constitute the Company as a trustee in respect thereof. For further information regarding the payment of dividends under English law, see “—Polestar Articles and English Law Considerations—Other English Law Considerations—Distributions &amp;Dividends.”</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Voting Rights</w:t>
      </w:r>
    </w:p>
    <w:p>
      <w:pPr>
        <w:spacing w:after="0" w:line="11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Each outstanding Class A Share is entitled to one vote on all matters submitted to a vote of shareholders. Each Class B Share is entitled to 10 votes on all matters submitted to a vote of shareholders. Each Class C Share is entitled to one vote on all matters submitted to a vote of shareholders. Preference Shares, Deferred Shares and GBP Redeemable Preferred Shares carry no voting rights and do not entitle their holders to receive notice of, to attend, to speak or to vote at any general meeting of the Company. Holders of Company securities shall have no cumulative voting rights. None of the Company’s shareholders will be entitled to vote at any general meeting or at any separate class meeting in respect of any share unless all calls or other sums payable in respect of that share have been paid.</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Preemptive Rights</w:t>
      </w:r>
    </w:p>
    <w:p>
      <w:pPr>
        <w:spacing w:after="0" w:line="119" w:lineRule="exact"/>
        <w:rPr>
          <w:sz w:val="20"/>
          <w:szCs w:val="20"/>
          <w:color w:val="auto"/>
        </w:rPr>
      </w:pPr>
    </w:p>
    <w:p>
      <w:pPr>
        <w:ind w:left="120" w:right="40" w:firstLine="440"/>
        <w:spacing w:after="0" w:line="268" w:lineRule="auto"/>
        <w:rPr>
          <w:sz w:val="20"/>
          <w:szCs w:val="20"/>
          <w:color w:val="auto"/>
        </w:rPr>
      </w:pPr>
      <w:r>
        <w:rPr>
          <w:rFonts w:ascii="Times New Roman" w:cs="Times New Roman" w:eastAsia="Times New Roman" w:hAnsi="Times New Roman"/>
          <w:sz w:val="17"/>
          <w:szCs w:val="17"/>
          <w:color w:val="auto"/>
        </w:rPr>
        <w:t>There are no rights of preemption under the Polestar Articles in respect of transfers of issued shares. In certain circumstances, Company shareholders may have statutory preemption rights under the Companies Act in respect of the allotment of new shares. These statutory preemption rights would require the Company to offer new equity securities (which includes ordinary shares but excludes most forms of preferred shares) for allotment to existing ordinary shareholders (including holders of Class A Shares and Class B Shares) on a pro rata basis before allotting them to other persons, unless shareholders dis-apply such rights by a special resolution for a period of not more than five years at a shareholders’ meeting. These preemption rights will be dis-applied in respect of Company securities and the Company intends to propose equivalent resolutions in the future once the initial period</w:t>
      </w:r>
    </w:p>
    <w:p>
      <w:pPr>
        <w:spacing w:after="0" w:line="5" w:lineRule="exact"/>
        <w:rPr>
          <w:sz w:val="20"/>
          <w:szCs w:val="20"/>
          <w:color w:val="auto"/>
        </w:rPr>
      </w:pPr>
    </w:p>
    <w:p>
      <w:pPr>
        <w:ind w:left="120" w:right="520"/>
        <w:spacing w:after="0" w:line="290" w:lineRule="auto"/>
        <w:rPr>
          <w:sz w:val="20"/>
          <w:szCs w:val="20"/>
          <w:color w:val="auto"/>
        </w:rPr>
      </w:pPr>
      <w:r>
        <w:rPr>
          <w:rFonts w:ascii="Times New Roman" w:cs="Times New Roman" w:eastAsia="Times New Roman" w:hAnsi="Times New Roman"/>
          <w:sz w:val="17"/>
          <w:szCs w:val="17"/>
          <w:color w:val="auto"/>
        </w:rPr>
        <w:t>of dis-application has expired. In any circumstances where the preemption rights have not been dis-applied, the procedure for the exercise of such statutory preemption rights would be set out in the documentation by which such equity securities would be offered to Company shareholders.</w:t>
      </w:r>
    </w:p>
    <w:p>
      <w:pPr>
        <w:spacing w:after="0" w:line="26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Conversion or Redemption Rights</w:t>
      </w:r>
    </w:p>
    <w:p>
      <w:pPr>
        <w:spacing w:after="0" w:line="119"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The Class A Shares and Deferred Shares are neither convertible nor redeemable, provided that the Board has the right to issue additional classes of shares in the Company (including redeemable shares) on such terms and conditions, and with such rights attached, as it may determine.</w:t>
      </w:r>
    </w:p>
    <w:p>
      <w:pPr>
        <w:spacing w:after="0" w:line="162"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Each Class B Share is convertible into one Class A Share at any time at the option of the holder of such Class B Share. The right to convert such Class B Shares into Class A Shares will be exercisable by the holder of the Class B Share delivering a written notice to the Company that such holder elects to convert a specified number of Class B Shares into Class A Shares. In no event shall Class A Shares be convertible into Class B Shares. Any conversion of a Class B Share into a Class A Share shall be effected by means of the re-designation of each relevant Class B Share as a Class A Share or by such other method as may be approved by the Board.</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Each Preference Share shall convert into one Class A Share (credited as fully paid) in the form of a Class A ADS, provided that:</w:t>
      </w:r>
    </w:p>
    <w:p>
      <w:pPr>
        <w:spacing w:after="0" w:line="131" w:lineRule="exact"/>
        <w:rPr>
          <w:sz w:val="20"/>
          <w:szCs w:val="20"/>
          <w:color w:val="auto"/>
        </w:rPr>
      </w:pPr>
    </w:p>
    <w:p>
      <w:pPr>
        <w:ind w:left="1080" w:right="280" w:hanging="532"/>
        <w:spacing w:after="0" w:line="261" w:lineRule="auto"/>
        <w:tabs>
          <w:tab w:leader="none" w:pos="108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maximum number of Class A Shares to be issued on conversion shall be the maximum number that can be issued so that Volvo Cars (alone or taken together with all other legal entities that, directly or indirectly, are controlled by Geely (“Geely Group”)) after such conversion holds, whether directly or indirectly through depositary shares and/or receipts, less than 50% of the aggregate voting rights attaching to the Shares; or</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169</w:t>
      </w:r>
    </w:p>
    <w:p>
      <w:pPr>
        <w:sectPr>
          <w:pgSz w:w="11900" w:h="16838" w:orient="portrait"/>
          <w:cols w:equalWidth="0" w:num="1">
            <w:col w:w="11140"/>
          </w:cols>
          <w:pgMar w:left="320" w:top="455" w:right="439" w:bottom="1440" w:gutter="0" w:footer="0" w:header="0"/>
        </w:sectPr>
      </w:pPr>
    </w:p>
    <w:bookmarkStart w:id="184" w:name="page185"/>
    <w:bookmarkEnd w:id="18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right="240" w:hanging="532"/>
        <w:spacing w:after="0" w:line="266" w:lineRule="auto"/>
        <w:tabs>
          <w:tab w:leader="none" w:pos="108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conversion of a Preference Share shall occur in circumstances which would give rise to an obligation on Volvo or any member of the Geely Group to make a mandatory offer under any applicable law or regulation to acquire all of the Class A Shares not already held by Volvo or the Geely Group, save with the prior written consent of Volvo or a member of the Geely Group.</w:t>
      </w:r>
    </w:p>
    <w:p>
      <w:pPr>
        <w:spacing w:after="0" w:line="176" w:lineRule="exact"/>
        <w:rPr>
          <w:sz w:val="20"/>
          <w:szCs w:val="20"/>
          <w:color w:val="auto"/>
        </w:rPr>
      </w:pPr>
    </w:p>
    <w:p>
      <w:pPr>
        <w:jc w:val="both"/>
        <w:ind w:left="120" w:right="220" w:firstLine="440"/>
        <w:spacing w:after="0" w:line="261" w:lineRule="auto"/>
        <w:rPr>
          <w:sz w:val="20"/>
          <w:szCs w:val="20"/>
          <w:color w:val="auto"/>
        </w:rPr>
      </w:pPr>
      <w:r>
        <w:rPr>
          <w:rFonts w:ascii="Times New Roman" w:cs="Times New Roman" w:eastAsia="Times New Roman" w:hAnsi="Times New Roman"/>
          <w:sz w:val="18"/>
          <w:szCs w:val="18"/>
          <w:color w:val="auto"/>
        </w:rPr>
        <w:t>Subject to the provisions of the Companies Act, Polestar shall be entitled, at any time, to serve notice on all or some of the holders of the GBP Redeemable Preferred Shares that it wishes to redeem all or some of the GBP Redeemable Preferred Shares in issue at that time on the date falling 14 days after service of such notice (or on such other date as may be agreed between Polestar and the holders of the relevant GBP Redeemable Preferred Shares).</w:t>
      </w:r>
    </w:p>
    <w:p>
      <w:pPr>
        <w:spacing w:after="0" w:line="17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conversion and redemption features of the Class C Shares are described below under “—Class C Shares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w:t>
      </w:r>
    </w:p>
    <w:p>
      <w:pPr>
        <w:spacing w:after="0" w:line="33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Liquidation Rights</w:t>
      </w:r>
    </w:p>
    <w:p>
      <w:pPr>
        <w:spacing w:after="0" w:line="119" w:lineRule="exact"/>
        <w:rPr>
          <w:sz w:val="20"/>
          <w:szCs w:val="20"/>
          <w:color w:val="auto"/>
        </w:rPr>
      </w:pPr>
    </w:p>
    <w:p>
      <w:pPr>
        <w:ind w:left="120" w:right="440" w:firstLine="440"/>
        <w:spacing w:after="0" w:line="266" w:lineRule="auto"/>
        <w:rPr>
          <w:sz w:val="20"/>
          <w:szCs w:val="20"/>
          <w:color w:val="auto"/>
        </w:rPr>
      </w:pPr>
      <w:r>
        <w:rPr>
          <w:rFonts w:ascii="Times New Roman" w:cs="Times New Roman" w:eastAsia="Times New Roman" w:hAnsi="Times New Roman"/>
          <w:sz w:val="18"/>
          <w:szCs w:val="18"/>
          <w:color w:val="auto"/>
        </w:rPr>
        <w:t>On a return of assets on liquidation or otherwise, the assets of Polestar remaining after payment of its debts and liabilities and available for distribution to holders of Shares, Class C Shares, Preference Shares, Deferred Shares and GBP Redeemable Preferred Shares will be applied in the following manner and order of priority:</w:t>
      </w:r>
    </w:p>
    <w:p>
      <w:pPr>
        <w:spacing w:after="0" w:line="81" w:lineRule="exact"/>
        <w:rPr>
          <w:sz w:val="20"/>
          <w:szCs w:val="20"/>
          <w:color w:val="auto"/>
        </w:rPr>
      </w:pPr>
    </w:p>
    <w:p>
      <w:pPr>
        <w:ind w:left="1080" w:right="60" w:hanging="532"/>
        <w:spacing w:after="0" w:line="282" w:lineRule="auto"/>
        <w:tabs>
          <w:tab w:leader="none" w:pos="108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to the holders of the Preference Shares (pro rata and pari passu) an amount equal to the initial liquidation preference of $588,826,100 less the aggregate subscription price of any Preference Shares that have been converted into Class A Shares;</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second, to the holders of the GBP Redeemable Preferred Shares an amount equal to the nominal value of such shares;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holders of the Shares pro rata to the number of Shares respectively held by them up to an amount of $1 million per Share; and</w:t>
      </w:r>
    </w:p>
    <w:p>
      <w:pPr>
        <w:spacing w:after="0" w:line="130" w:lineRule="exact"/>
        <w:rPr>
          <w:rFonts w:ascii="Times New Roman" w:cs="Times New Roman" w:eastAsia="Times New Roman" w:hAnsi="Times New Roman"/>
          <w:sz w:val="18"/>
          <w:szCs w:val="18"/>
          <w:color w:val="auto"/>
        </w:rPr>
      </w:pPr>
    </w:p>
    <w:p>
      <w:pPr>
        <w:ind w:left="1540" w:right="60" w:hanging="331"/>
        <w:spacing w:after="0" w:line="266" w:lineRule="auto"/>
        <w:tabs>
          <w:tab w:leader="none" w:pos="1540"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holders of the Class C Shares pari passu with Shares on an as-converted basis less the conversion price of $11.50 (subject to relevant adjustments in the Polestar Articles) pro rata to the number of Class C Shares respectively held by them up to an amount of $1 million per Class C Share;</w:t>
      </w:r>
    </w:p>
    <w:p>
      <w:pPr>
        <w:spacing w:after="0" w:line="81"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fourth, to the holders of Deferred Shares an amount equal to the nominal value of the Deferred Shares; and</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fifth:</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holders of the Shares pro rata to the number of Shares respectively held by them; and</w:t>
      </w:r>
    </w:p>
    <w:p>
      <w:pPr>
        <w:spacing w:after="0" w:line="130" w:lineRule="exact"/>
        <w:rPr>
          <w:rFonts w:ascii="Times New Roman" w:cs="Times New Roman" w:eastAsia="Times New Roman" w:hAnsi="Times New Roman"/>
          <w:sz w:val="18"/>
          <w:szCs w:val="18"/>
          <w:color w:val="auto"/>
        </w:rPr>
      </w:pPr>
    </w:p>
    <w:p>
      <w:pPr>
        <w:ind w:left="1540" w:right="180" w:hanging="331"/>
        <w:spacing w:after="0" w:line="282" w:lineRule="auto"/>
        <w:tabs>
          <w:tab w:leader="none" w:pos="1540"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holders of the Class C Shares pari passu with Shares on an as-converted basis less the conversion price of $11.50 (subject to relevant adjustments in the Polestar Articles),</w:t>
      </w:r>
    </w:p>
    <w:p>
      <w:pPr>
        <w:spacing w:after="0" w:line="162"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provided that if the amount which would be received by the holders of the Preference Shares if all such shares had been converted in accordance with the Polestar Articles would be greater than pursuant to (a) above, the relevant Preference Shares shall be deemed for the purposes of the relevant return of capital to be treated pari passu with the holders of Shares on an as-converted basis.</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Variation of Rights</w:t>
      </w:r>
    </w:p>
    <w:p>
      <w:pPr>
        <w:spacing w:after="0" w:line="119"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Subject to the Companies Act, the rights attached to any class of shares can be varied or abrogated either with the consent in writing of the holders of not less than three-quarters in nominal value of the issued shares of that class (excluding any shares of that class held as treasury shares) or with the authority of a special resolution passed at a separate meeting of the holders of the relevant class of shares known as a class meeting.</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170</w:t>
      </w:r>
    </w:p>
    <w:p>
      <w:pPr>
        <w:sectPr>
          <w:pgSz w:w="11900" w:h="16838" w:orient="portrait"/>
          <w:cols w:equalWidth="0" w:num="1">
            <w:col w:w="11100"/>
          </w:cols>
          <w:pgMar w:left="320" w:top="455" w:right="479" w:bottom="1440" w:gutter="0" w:footer="0" w:header="0"/>
        </w:sectPr>
      </w:pPr>
    </w:p>
    <w:bookmarkStart w:id="185" w:name="page186"/>
    <w:bookmarkEnd w:id="18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Capital Calls</w:t>
      </w:r>
    </w:p>
    <w:p>
      <w:pPr>
        <w:spacing w:after="0" w:line="119"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Subject to the Polestar Articles and the terms on which the Company shares are allotted, the Board has the authority to make calls upon the shareholders in respect of any money unpaid on their shares and each shareholder shall pay to Polestar as required by such notice the amount called on its shares. If a call remains unpaid after it has become due and payable, and the 14 clear days’ notice provided by the Board has not been complied with, any share in respect of which such notice was given may be forfeited by a resolution of the Board. All of the Shares issued have been credited as fully paid and therefore are not subject to a capital call.</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Transfer of Shares</w:t>
      </w:r>
    </w:p>
    <w:p>
      <w:pPr>
        <w:spacing w:after="0" w:line="11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Polestar’s share register will be maintained by its proposed registrar, Computershare Trust Company, N.A. Registration in this share register is determinative of share ownership. A shareholder who holds Polestar’s shares through DTC is not the holder of record of such shares. Instead, the depositary (for example, Cede &amp; Co., as nominee for DTC) or other nominee is the holder of record of such shares. Accordingly, a transfer of shares from a person who holds such shares through DTC to a person who also holds such shares through DTC will not be registered in Polestar’s official share register, as the depositary or other nominee will remain the record holder of such shares. The Board may, in its absolute discretion, decline to register a transfer (or renunciation of a renounceable letter of allotment):</w:t>
      </w:r>
    </w:p>
    <w:p>
      <w:pPr>
        <w:spacing w:after="0" w:line="93" w:lineRule="exact"/>
        <w:rPr>
          <w:sz w:val="20"/>
          <w:szCs w:val="20"/>
          <w:color w:val="auto"/>
        </w:rPr>
      </w:pPr>
    </w:p>
    <w:p>
      <w:pPr>
        <w:ind w:left="1080" w:hanging="532"/>
        <w:spacing w:after="0"/>
        <w:tabs>
          <w:tab w:leader="none" w:pos="108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a share that is not fully paid;</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a share upon which the Company has a lien;</w:t>
      </w:r>
    </w:p>
    <w:p>
      <w:pPr>
        <w:spacing w:after="0" w:line="130" w:lineRule="exact"/>
        <w:rPr>
          <w:rFonts w:ascii="Times New Roman" w:cs="Times New Roman" w:eastAsia="Times New Roman" w:hAnsi="Times New Roman"/>
          <w:sz w:val="18"/>
          <w:szCs w:val="18"/>
          <w:color w:val="auto"/>
        </w:rPr>
      </w:pPr>
    </w:p>
    <w:p>
      <w:pPr>
        <w:ind w:left="1080" w:right="200" w:hanging="532"/>
        <w:spacing w:after="0" w:line="282" w:lineRule="auto"/>
        <w:tabs>
          <w:tab w:leader="none" w:pos="108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a share that is not duly stamped (if required) or is duly certified or otherwise shown to the satisfaction of the Board to be exempt from stamp duty (if required);</w:t>
      </w:r>
    </w:p>
    <w:p>
      <w:pPr>
        <w:spacing w:after="0" w:line="67" w:lineRule="exact"/>
        <w:rPr>
          <w:rFonts w:ascii="Times New Roman" w:cs="Times New Roman" w:eastAsia="Times New Roman" w:hAnsi="Times New Roman"/>
          <w:sz w:val="18"/>
          <w:szCs w:val="18"/>
          <w:color w:val="auto"/>
        </w:rPr>
      </w:pPr>
    </w:p>
    <w:p>
      <w:pPr>
        <w:ind w:left="1080" w:right="40" w:hanging="532"/>
        <w:spacing w:after="0" w:line="266" w:lineRule="auto"/>
        <w:tabs>
          <w:tab w:leader="none" w:pos="108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it is not delivered for registration to the registered office of the Company (or such other place as the Board may determine) accompanied by the certificate of the share to which it relates or such other evidence reasonably required by the directors to show the right of the transferor to make the transfer;</w:t>
      </w:r>
    </w:p>
    <w:p>
      <w:pPr>
        <w:spacing w:after="0" w:line="81" w:lineRule="exact"/>
        <w:rPr>
          <w:rFonts w:ascii="Times New Roman" w:cs="Times New Roman" w:eastAsia="Times New Roman" w:hAnsi="Times New Roman"/>
          <w:sz w:val="18"/>
          <w:szCs w:val="18"/>
          <w:color w:val="auto"/>
        </w:rPr>
      </w:pPr>
    </w:p>
    <w:p>
      <w:pPr>
        <w:ind w:left="1080" w:right="560" w:hanging="532"/>
        <w:spacing w:after="0" w:line="282" w:lineRule="auto"/>
        <w:tabs>
          <w:tab w:leader="none" w:pos="108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a default share where the holder has failed to provide the required details to Polestar under “—Polestar Articles and English Law Considerations—Other English Law Considerations—Disclosure of Interest in Shares,” subject to certain exceptions;</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respect of more than one class of shares; or</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in the case of a transfer to joint holders of a share, the number of joint holders to whom the share is to be transferred exceeds four.</w:t>
      </w:r>
    </w:p>
    <w:p>
      <w:pPr>
        <w:spacing w:after="0" w:line="225"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If the Board refuses to register a transfer of a share it shall notify the transferee of the refusal and the reasons for it within two months after the date on which the transfer was lodged with the Company or the instructions to the relevant system received.</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Limitations on Ownership</w:t>
      </w:r>
    </w:p>
    <w:p>
      <w:pPr>
        <w:spacing w:after="0" w:line="119"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Under English law and the Polestar Articles, there are no limitations on the right of non-residents of the U.K. or owners who are not citizens of the U.K. to hold or, other than the holders of Preference Shares, Deferred Shares or GBP Redeemable Preferred Shares which do no confer voting rights on the relevant holders, vote the Shares.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Polestar Articles and English Law Considerations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Directors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Number</w:t>
      </w:r>
    </w:p>
    <w:p>
      <w:pPr>
        <w:spacing w:after="0" w:line="119"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The Polestar Articles provide that at the time of their adoption, the number of directors of the Company shall be nine (the “Initial Directors”), and that otherwise the number of directors shall be as determined by the</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171</w:t>
      </w:r>
    </w:p>
    <w:p>
      <w:pPr>
        <w:sectPr>
          <w:pgSz w:w="11900" w:h="16838" w:orient="portrait"/>
          <w:cols w:equalWidth="0" w:num="1">
            <w:col w:w="11120"/>
          </w:cols>
          <w:pgMar w:left="320" w:top="455" w:right="459" w:bottom="1440" w:gutter="0" w:footer="0" w:header="0"/>
        </w:sectPr>
      </w:pPr>
    </w:p>
    <w:bookmarkStart w:id="186" w:name="page187"/>
    <w:bookmarkEnd w:id="18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660"/>
        <w:spacing w:after="0" w:line="266" w:lineRule="auto"/>
        <w:rPr>
          <w:sz w:val="20"/>
          <w:szCs w:val="20"/>
          <w:color w:val="auto"/>
        </w:rPr>
      </w:pPr>
      <w:r>
        <w:rPr>
          <w:rFonts w:ascii="Times New Roman" w:cs="Times New Roman" w:eastAsia="Times New Roman" w:hAnsi="Times New Roman"/>
          <w:sz w:val="18"/>
          <w:szCs w:val="18"/>
          <w:color w:val="auto"/>
        </w:rPr>
        <w:t>Board from time to time. Directors may be appointed by any ordinary resolution of shareholders or by the Board, as described below under “— Appointment and Retirement of Directors.” Each director elected shall hold office until his or her successor is elected or until his or her earlier resignation or removal in accordance with the Polestar Articles.</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For a period of three years post-Closing a majority of the director shall be independent directors. A director shall be independent when he or she</w:t>
      </w:r>
    </w:p>
    <w:p>
      <w:pPr>
        <w:spacing w:after="0" w:line="27" w:lineRule="exact"/>
        <w:rPr>
          <w:sz w:val="20"/>
          <w:szCs w:val="20"/>
          <w:color w:val="auto"/>
        </w:rPr>
      </w:pPr>
    </w:p>
    <w:p>
      <w:pPr>
        <w:ind w:left="120" w:right="140" w:hanging="4"/>
        <w:spacing w:after="0" w:line="253" w:lineRule="auto"/>
        <w:tabs>
          <w:tab w:leader="none" w:pos="335"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satisfies the requirements to qualify as an “independent director” under the stock exchange rules of the stock exchange on which the Class A Shares are then-currently listed and (ii) is not affiliated (as a director, employee, shareholder or otherwise) with Parent, Volvo or Geely, provided that an individual shall not be precluded from being appointed, or continuing to act, as an independent director solely on the basis of holding, directly or indirectly, up to 0.01% of the share capital of any publically traded affiliate of Parent, Volvo Cars or Geely.</w:t>
      </w:r>
    </w:p>
    <w:p>
      <w:pPr>
        <w:spacing w:after="0" w:line="18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Initial Directors shall be divided into three classes of directors, designated as “Class I,” “Class II” and “Class III,” respectively (each a “Class”). The Board is authorized to assign members of the Board already in office to such Classes at the time the classification becomes effective. The Board is also authorized to assign any persons who take office as directors after the date the Polestar Articles are adopted to any such Class; provided, however, that the Classes are as close to equal size as possible. In the event of any increase in the number of directors, the additional directorships resulting from such increase shall be apportioned by the Board among the Classes of directors so as to maintain such Classes as nearly equal as possible. No decrease in the number of directors shall shorten the term of any incumbent director.</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Appointment and Retirement of Directors</w:t>
      </w:r>
    </w:p>
    <w:p>
      <w:pPr>
        <w:spacing w:after="0" w:line="11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Subject to the requirements of the Polestar Articles (including director independence requirements), the Company may by ordinary resolution appoint a person who is willing to act to be a director, either to fill a vacancy or as an addition to the then-existing Board but the total number of directors shall not exceed fifteen. Subject to the requirements of the Polestar Articles (including director independence requirements), the Board also has power at any time to appoint any person who is willing to act as a director, either to fill a vacancy or as an addition to the Board as then existing, but the total number of directors shall not exceed fifteen.</w:t>
      </w:r>
    </w:p>
    <w:p>
      <w:pPr>
        <w:spacing w:after="0" w:line="183"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The term of office of directors serving in Class I will expire at Polestar’s first annual general meeting. The term of office of directors serving in Class II will expire at Polestar’s second annual general meeting. The term of office of directors serving in Class III will expire at Polestar’s third annual general meeting. At each succeeding annual general meeting following the third annual general meeting following Closing, directors shall be elected to serve for a term of three years to succeed the directors of the class whose terms expire at such annual general meeting.</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Indemnity of Directors</w:t>
      </w:r>
    </w:p>
    <w:p>
      <w:pPr>
        <w:spacing w:after="0" w:line="121"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Under the Polestar Articles, and subject to the provisions of the Companies Act, each of the Company’s directors is entitled to be indemnified by the Company out of the assets of the Company against all costs, charges, losses, expenses and liabilities incurred by such director or officer in the execution and discharge of his or her duties or in relation to those duties. In addition, each member of the Board entered into a separate deed of indemnity with Polestar (which will also be subject to the provisions of the Companies Act). The Companies Act renders void an indemnity for a director against any liability attaching to him or her in connection with any negligence, default, breach of duty or breach of trust in relation to the company of which he or she is a director.</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Shareholders’ Meetings</w:t>
      </w:r>
    </w:p>
    <w:p>
      <w:pPr>
        <w:spacing w:after="0" w:line="121"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Each year, the Company will hold an annual general meeting of shareholders in addition to any other meetings held in that year, and will specify the meeting as such in the notice convening it. The annual general</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172</w:t>
      </w:r>
    </w:p>
    <w:p>
      <w:pPr>
        <w:sectPr>
          <w:pgSz w:w="11900" w:h="16838" w:orient="portrait"/>
          <w:cols w:equalWidth="0" w:num="1">
            <w:col w:w="11100"/>
          </w:cols>
          <w:pgMar w:left="320" w:top="455" w:right="479" w:bottom="1440" w:gutter="0" w:footer="0" w:header="0"/>
        </w:sectPr>
      </w:pPr>
    </w:p>
    <w:bookmarkStart w:id="187" w:name="page188"/>
    <w:bookmarkEnd w:id="18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meeting will be held at such time and place as the directors may appoint. No business shall be transacted at any general meeting unless a quorum is present when the meeting proceeds to business, but the absence of a quorum shall not preclude the appointment of a chairman, which appointment shall not be treated as part of the business of a meeting. The Polestar Articles provide that the necessary quorum at any general meeting of shareholders (or adjournment thereof) shall be at least two members that in aggregate hold at least 51% of the issued Company securities of the Company, present in person or by proxy and entitled to attend and to vote on the business to be transacted, at such meeting.</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Requisitioning Shareholder Meetings</w:t>
      </w:r>
    </w:p>
    <w:p>
      <w:pPr>
        <w:spacing w:after="0" w:line="121"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Subject to certain conditions being satisfied, under the Companies Act shareholders holding at least 5% of the paid-up capital of the Company carrying voting rights at general meetings can require the directors to call a general meeting and shareholders representing at least 5% of the total voting rights exercisable at an annual general meeting can require Polestar to give notice of a resolution to be proposed at that annual general meeting.</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Other English Law Considerations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Mandatory Purchases and Acquisitions</w:t>
      </w:r>
    </w:p>
    <w:p>
      <w:pPr>
        <w:spacing w:after="0" w:line="11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Pursuant to sections 979 to 982 of the Companies Act, where a takeover offer has been made for the Company and the offeror has, by virtue of acceptances of the offer, acquired or unconditionally contracted to acquire not less than 90% of the voting rights carried by the class of shares to which the offer relates, the offeror may give notice to the holder of any shares of that class to which the offer relates that the offeror has not acquired or unconditionally contracted to acquire that it desires to acquire those shares on the same terms as the takeover offer. The offeror would do so by sending a notice to the outstanding minority shareholders telling them that it will compulsorily acquire their shares.</w:t>
      </w:r>
    </w:p>
    <w:p>
      <w:pPr>
        <w:spacing w:after="0" w:line="183"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Such notice must be sent within three months of the last day on which the offer can be accepted in the prescribed manner or if earlier, and the offer is not one to which the Takeover Code applies, within the period of six months beginning with the date of the offer. The squeeze out of the minority shareholders can be completed at the end of six weeks from the date the notice has been given, subject to the minority shareholders failing to successfully lodge an application to the court to prevent such squeeze out any time prior to the end of those six weeks following which the offeror can execute a transfer of the outstanding shares in its favor and pay the consideration to the Company, which would hold the consideration on trust for the outstanding minority shareholders. The consideration offered to the outstanding minority shareholders whose shares are compulsorily acquired under the Companies Act must, in general, be the same as the consideration that was available under the takeover offer.</w:t>
      </w:r>
    </w:p>
    <w:p>
      <w:pPr>
        <w:spacing w:after="0" w:line="189"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If a takeover is structured as a scheme of arrangement pursuant to Part 26 of the Companies Act, the scheme, and therefore takeover, would need to be approved by a majority in number representing 75% in value of the shareholders of each class of shareholders voting, whether in person or by proxy. If approved, the scheme, and therefore takeover, would be binding on 100% of the shareholders of the relevant class(es).</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Sell Out</w:t>
      </w:r>
    </w:p>
    <w:p>
      <w:pPr>
        <w:spacing w:after="0" w:line="11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Companies Act also gives minority shareholders a right to be bought out in certain circumstances by an offeror who has made a takeover offer for all of the Company’s shares or of any class or classes of the Company’s shares. A holder of voting shares to which the offer relates, and who has not otherwise accepted the offer, may require the offeror to acquire his shares if, prior to the expiry of the acceptance period for such offer, (1) the offeror has acquired or unconditionally agreed to acquire not less than 90% in value of all the voting shares in the company (in the case of an offer for all of Polestar’s shares) or of all the shares of that class and (2) not less than 90% of the voting rights in the company (in the case of an offer for all of the Company’s shares) or of the voting rights carried by that class. The offeror may impose a time limit on the rights of minority</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173</w:t>
      </w:r>
    </w:p>
    <w:p>
      <w:pPr>
        <w:sectPr>
          <w:pgSz w:w="11900" w:h="16838" w:orient="portrait"/>
          <w:cols w:equalWidth="0" w:num="1">
            <w:col w:w="11120"/>
          </w:cols>
          <w:pgMar w:left="320" w:top="455" w:right="459" w:bottom="1440" w:gutter="0" w:footer="0" w:header="0"/>
        </w:sectPr>
      </w:pPr>
    </w:p>
    <w:bookmarkStart w:id="188" w:name="page189"/>
    <w:bookmarkEnd w:id="18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60"/>
        <w:spacing w:after="0" w:line="282" w:lineRule="auto"/>
        <w:rPr>
          <w:sz w:val="20"/>
          <w:szCs w:val="20"/>
          <w:color w:val="auto"/>
        </w:rPr>
      </w:pPr>
      <w:r>
        <w:rPr>
          <w:rFonts w:ascii="Times New Roman" w:cs="Times New Roman" w:eastAsia="Times New Roman" w:hAnsi="Times New Roman"/>
          <w:sz w:val="18"/>
          <w:szCs w:val="18"/>
          <w:color w:val="auto"/>
        </w:rPr>
        <w:t>shareholders to be bought out that is not less than three months after the end of the acceptance period. If a shareholder exercises his rights to be bought out, the offeror is required to acquire those shares on the terms of the takeover offer or on such other terms as may be agreed.</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U.K. City Code on Takeovers and Mergers</w:t>
      </w:r>
    </w:p>
    <w:p>
      <w:pPr>
        <w:spacing w:after="0" w:line="11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majority of the Board resides outside of the U.K., the Channel Islands and the Isle of Man. Based upon the structure of the Board and management structure and Polestar’s intended plans for directors and management, for the purposes of the Takeover Code, the Company is considered to have its place of central management and control outside the U.K., the Channel Islands or the Isle of Man. Accordingly, the Takeover Code is not expected to apply to the Company. It is possible that in the future circumstances, and in particular the Board Composition, could change which may cause the Takeover Code to apply to the Company. The Takeover Code provides a framework within which takeovers of companies subject to it are conducted. In particular, the Takeover Code contains certain rules in respect of mandatory offers. Under Rule 9 of the Takeover Code, if a person:</w:t>
      </w:r>
    </w:p>
    <w:p>
      <w:pPr>
        <w:spacing w:after="0" w:line="93" w:lineRule="exact"/>
        <w:rPr>
          <w:sz w:val="20"/>
          <w:szCs w:val="20"/>
          <w:color w:val="auto"/>
        </w:rPr>
      </w:pPr>
    </w:p>
    <w:p>
      <w:pPr>
        <w:ind w:left="1080" w:right="80" w:hanging="532"/>
        <w:spacing w:after="0" w:line="282" w:lineRule="auto"/>
        <w:tabs>
          <w:tab w:leader="none" w:pos="108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acquires an interest in the Company’s shares that, when taken together with shares in which persons acting in concert with such person are interested, carries 30% or more of the voting rights of the Company’s shares; or</w:t>
      </w:r>
    </w:p>
    <w:p>
      <w:pPr>
        <w:spacing w:after="0" w:line="67" w:lineRule="exact"/>
        <w:rPr>
          <w:rFonts w:ascii="Times New Roman" w:cs="Times New Roman" w:eastAsia="Times New Roman" w:hAnsi="Times New Roman"/>
          <w:sz w:val="18"/>
          <w:szCs w:val="18"/>
          <w:color w:val="auto"/>
        </w:rPr>
      </w:pPr>
    </w:p>
    <w:p>
      <w:pPr>
        <w:ind w:left="1080" w:right="120" w:hanging="532"/>
        <w:spacing w:after="0" w:line="258" w:lineRule="auto"/>
        <w:tabs>
          <w:tab w:leader="none" w:pos="108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who, together with persons acting in concert with such person, is interested in shares that in the aggregate carry not less than 30% and not more than 50% of the voting rights in the company acquires additional interests in shares that increase the percentage of shares carrying voting rights in which that person is interested, the acquirer, and, depending on the circumstances, its concert parties, would be required (except with the consent of the Takeover Panel) to make a cash offer for the Company’s outstanding shares at a price not less than the highest price paid for any interests in the shares by the acquirer or its concert parties during the previous 12 months.</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Disclosure of Interest in Company securities</w:t>
      </w:r>
    </w:p>
    <w:p>
      <w:pPr>
        <w:spacing w:after="0" w:line="119"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Section 793 of the Companies Act gives the Company the power to require persons whom the Company knows have, or whom the Company has reasonable cause to believe have, or within the previous three years have had, any ownership interest in any of the Company’s shares (the “</w:t>
      </w:r>
      <w:r>
        <w:rPr>
          <w:rFonts w:ascii="Times New Roman" w:cs="Times New Roman" w:eastAsia="Times New Roman" w:hAnsi="Times New Roman"/>
          <w:sz w:val="18"/>
          <w:szCs w:val="18"/>
          <w:i w:val="1"/>
          <w:iCs w:val="1"/>
          <w:color w:val="auto"/>
        </w:rPr>
        <w:t>default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shares</w:t>
      </w:r>
      <w:r>
        <w:rPr>
          <w:rFonts w:ascii="Times New Roman" w:cs="Times New Roman" w:eastAsia="Times New Roman" w:hAnsi="Times New Roman"/>
          <w:sz w:val="18"/>
          <w:szCs w:val="18"/>
          <w:color w:val="auto"/>
        </w:rPr>
        <w:t>”), to disclose prescribed particulars of those shares. For this purpose, default shares includes any of the Company’s shares allotted or issued after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date of the Section 793 notice in respect of those shares. Failure to provide the information requested within the prescribed period after the date of sending the notice may result in restrictions being imposed on the default shares under the Polestar Articles (including suspension of voting rights and withholding of dividends), depending on the level of the relevant shareholding, and sanctions being imposed against the holder of the default shares as provided within the Companies Act.</w:t>
      </w:r>
    </w:p>
    <w:p>
      <w:pPr>
        <w:spacing w:after="0" w:line="29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Distributions &amp; Dividends</w:t>
      </w:r>
    </w:p>
    <w:p>
      <w:pPr>
        <w:spacing w:after="0" w:line="119" w:lineRule="exact"/>
        <w:rPr>
          <w:sz w:val="20"/>
          <w:szCs w:val="20"/>
          <w:color w:val="auto"/>
        </w:rPr>
      </w:pPr>
    </w:p>
    <w:p>
      <w:pPr>
        <w:jc w:val="both"/>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Under English law, dividends and distributions may only be made from distributable profits. “Distributable profits” generally means accumulated realized profits, so far as not previously utilized by distribution or capitalization, less accumulated realized losses, so far as not previously written off in a reduction or reorganization of capital, duly made. This would include reserves created by way of a court-approved reduction of capital.</w:t>
      </w:r>
    </w:p>
    <w:p>
      <w:pPr>
        <w:spacing w:after="0" w:line="176" w:lineRule="exact"/>
        <w:rPr>
          <w:sz w:val="20"/>
          <w:szCs w:val="20"/>
          <w:color w:val="auto"/>
        </w:rPr>
      </w:pPr>
    </w:p>
    <w:p>
      <w:pPr>
        <w:jc w:val="both"/>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It is not sufficient that the Company, as a public limited company, has distributable profits for the purpose of making a distribution. An additional capital maintenance requirement is imposed on the Company to ensure that the net worth of the Company is at least equal to the amount of its capital. A public limited company can only make a distribution:</w:t>
      </w:r>
    </w:p>
    <w:p>
      <w:pPr>
        <w:spacing w:after="0" w:line="81" w:lineRule="exact"/>
        <w:rPr>
          <w:sz w:val="20"/>
          <w:szCs w:val="20"/>
          <w:color w:val="auto"/>
        </w:rPr>
      </w:pPr>
    </w:p>
    <w:p>
      <w:pPr>
        <w:ind w:left="1080" w:right="80" w:hanging="532"/>
        <w:spacing w:after="0" w:line="282" w:lineRule="auto"/>
        <w:tabs>
          <w:tab w:leader="none" w:pos="108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the time that the distribution is made, the amount of its net assets (that is, the total excess of assets over liabilities) is not less than the total of its called-up share capital and undistributable reserves; and</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174</w:t>
      </w:r>
    </w:p>
    <w:p>
      <w:pPr>
        <w:sectPr>
          <w:pgSz w:w="11900" w:h="16838" w:orient="portrait"/>
          <w:cols w:equalWidth="0" w:num="1">
            <w:col w:w="11120"/>
          </w:cols>
          <w:pgMar w:left="320" w:top="455" w:right="459" w:bottom="1440" w:gutter="0" w:footer="0" w:header="0"/>
        </w:sectPr>
      </w:pPr>
    </w:p>
    <w:bookmarkStart w:id="189" w:name="page190"/>
    <w:bookmarkEnd w:id="18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hanging="532"/>
        <w:spacing w:after="0"/>
        <w:tabs>
          <w:tab w:leader="none" w:pos="108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to the extent that, the distribution itself, at the time that it is made, does not reduce the amount of the net assets to less than that total.</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Purchase of Own Shares</w:t>
      </w:r>
    </w:p>
    <w:p>
      <w:pPr>
        <w:spacing w:after="0" w:line="119"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Under English law, a public limited company may purchase its own shares only out of the distributable profits of the company or the proceeds of a new issue of shares made for the purpose of financing the purchase. A limited company may not purchase its own shares if as a result of the purchase there would no longer be any issued shares of the company other than redeemable shares or shares held as treasury shares. Subject to the foregoing, because the Nasdaq is not a “recognized investment exchange” under the Companies Act, the Company may purchase its fully paid shares only pursuant to a purchase contract authorized by ordinary resolution of the holders of Company securities before the purchase takes place. Any authority will not be effective if any shareholder from whom the Company proposes to purchase shares votes on the resolution and the resolution would not have been passed if such shareholder had not done so. The resolution authorizing the purchase must specify a date, not being later than five years after the passing of the resolution, on which the authority to purchase is to expire.</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Class C Shares</w:t>
      </w:r>
    </w:p>
    <w:p>
      <w:pPr>
        <w:spacing w:after="0" w:line="121"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Each whole Class C Share entitles the holder the right to acquire one Class A ADS (or one Class A Share if at the time of exercise the Company no longer uses the ADR Facility) at an exercise price of $11.50 per Class A ADS (subject to relevant adjustments in the Polestar Articles) no earlier than 30 days post-Closing. A holder of Class C Shares may exercise its Class C Shares only for a whole number of Class A ADSs. This means that only a whole Class C Share may be exercised at any given time by a holder. No fractional Class C Shares will be issued. The Class C Shares will expire five years after the Closing, at 5:00 p.m., New York City time, or earlier upon redemption or liquidation.</w:t>
      </w:r>
    </w:p>
    <w:p>
      <w:pPr>
        <w:spacing w:after="0" w:line="183"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The Company has agreed that as soon as practicable, but in no event later than 15 business days after the Closing, it will use commercially reasonable efforts to file with the SEC a registration statement for the registration, under the Securities Act, of the Class A ADSs issuable upon exercise of the Class C Shares. The Company will use its best efforts to cause the same to become effective and to maintain the effectiveness of such registration statement, and a current prospectus relating thereto, until the expiration of the Class C Shares in accordance with the provisions of the Class C Warrant Amendment and the Polestar Articles. Notwithstanding the above, if Class A ADSs are at the time of any exercise of a Class C Share not listed on a national securities exchange such that it satisfies the definition of a “covered security” under Section 18(b)(1) of the Securities Act, the Company may, at its option, require holders of Class C Shares who exercise their Class C Shares to do so on a “cashless basis” in accordance with Section 3(a)(9) of the Securities Act and, in the event the Company so elects, the Company will not be required to file or maintain in effect a registration statement, but Polestar will be required to use its best efforts to register or qualify the Class A ADSs under applicable blue sky laws to the extent an exemption is not available.</w:t>
      </w:r>
    </w:p>
    <w:p>
      <w:pPr>
        <w:spacing w:after="0" w:line="192" w:lineRule="exact"/>
        <w:rPr>
          <w:sz w:val="20"/>
          <w:szCs w:val="20"/>
          <w:color w:val="auto"/>
        </w:rPr>
      </w:pPr>
    </w:p>
    <w:p>
      <w:pPr>
        <w:ind w:left="120" w:right="24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Redemption of Class C Shares for cash. </w:t>
      </w:r>
      <w:r>
        <w:rPr>
          <w:rFonts w:ascii="Times New Roman" w:cs="Times New Roman" w:eastAsia="Times New Roman" w:hAnsi="Times New Roman"/>
          <w:sz w:val="18"/>
          <w:szCs w:val="18"/>
          <w:color w:val="auto"/>
        </w:rPr>
        <w:t>Once the Class C Shares become exercisable, the Company may call the Class C Shares for redemption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(except as described herein with respect to Class C-2 Shares):</w:t>
      </w:r>
    </w:p>
    <w:p>
      <w:pPr>
        <w:spacing w:after="0" w:line="66" w:lineRule="exact"/>
        <w:rPr>
          <w:sz w:val="20"/>
          <w:szCs w:val="20"/>
          <w:color w:val="auto"/>
        </w:rPr>
      </w:pPr>
    </w:p>
    <w:p>
      <w:pPr>
        <w:ind w:left="1080" w:hanging="424"/>
        <w:spacing w:after="0"/>
        <w:tabs>
          <w:tab w:leader="none" w:pos="108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and not in part;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price of $0.01 per Class C Share;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not less than 30 days’ prior written notice of redemption (the “30-day redemption period”) to each holder of a Class C Share; and</w:t>
      </w:r>
    </w:p>
    <w:p>
      <w:pPr>
        <w:spacing w:after="0" w:line="130" w:lineRule="exact"/>
        <w:rPr>
          <w:rFonts w:ascii="Times New Roman" w:cs="Times New Roman" w:eastAsia="Times New Roman" w:hAnsi="Times New Roman"/>
          <w:sz w:val="18"/>
          <w:szCs w:val="18"/>
          <w:color w:val="auto"/>
        </w:rPr>
      </w:pPr>
    </w:p>
    <w:p>
      <w:pPr>
        <w:ind w:left="1080" w:right="300" w:hanging="424"/>
        <w:spacing w:after="0" w:line="312" w:lineRule="auto"/>
        <w:tabs>
          <w:tab w:leader="none" w:pos="1080" w:val="left"/>
        </w:tabs>
        <w:numPr>
          <w:ilvl w:val="0"/>
          <w:numId w:val="1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and only if, the reported last sale price of the Class A ADS equals or exceeds $18.00 per Class A ADS for any 20 trading days within a 30-trading day period ending three business days before Polestar sends the notice of redemption to the holders of Class C Shares.</w:t>
      </w:r>
    </w:p>
    <w:p>
      <w:pPr>
        <w:spacing w:after="0" w:line="7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175</w:t>
      </w:r>
    </w:p>
    <w:p>
      <w:pPr>
        <w:sectPr>
          <w:pgSz w:w="11900" w:h="16838" w:orient="portrait"/>
          <w:cols w:equalWidth="0" w:num="1">
            <w:col w:w="11140"/>
          </w:cols>
          <w:pgMar w:left="320" w:top="455" w:right="439" w:bottom="1440" w:gutter="0" w:footer="0" w:header="0"/>
        </w:sectPr>
      </w:pPr>
    </w:p>
    <w:bookmarkStart w:id="190" w:name="page191"/>
    <w:bookmarkEnd w:id="19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The Company will not redeem the Class C Shares as described above unless an effective registration statement under the Securities Act covering the issuance of the Class A ADSs issuable upon exercise of the Class C Shares is effective and a current prospectus relating to those Class A ADSs is available throughout the 30 day redemption period, except if the Class C Shares may be exercised on a cashless basis and such cashless exercise is exempt from registration under the Securities Act. If and when the Class C Shares become redeemable by the Company, the Company may exercise its redemption right even if it is unable to register or qualify the underlying securities for sale under all applicable state securities laws.</w:t>
      </w:r>
    </w:p>
    <w:p>
      <w:pPr>
        <w:spacing w:after="0" w:line="183"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Company has established the last of the redemption criterion discussed above to prevent a redemption call unless there is at the time of the call a significant premium to the Class C Share exercise price. If the foregoing conditions are satisfied and the Company issues a notice of redemption of the Company, each holder of Class C Shares will be entitled to exercise its Class C Shares prior to the scheduled redemption date. However, the price of the Class A ADSs may fall below the $18.00 redemption trigger price as well as the $11.50 (for whole Class A ADSs) Class C Shares exercise price after the redemption notice is issued.</w:t>
      </w:r>
    </w:p>
    <w:p>
      <w:pPr>
        <w:spacing w:after="0" w:line="181" w:lineRule="exact"/>
        <w:rPr>
          <w:sz w:val="20"/>
          <w:szCs w:val="20"/>
          <w:color w:val="auto"/>
        </w:rPr>
      </w:pPr>
    </w:p>
    <w:p>
      <w:pPr>
        <w:ind w:left="120" w:right="22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Redemption of Class C Shares for Class A ADSs. </w:t>
      </w:r>
      <w:r>
        <w:rPr>
          <w:rFonts w:ascii="Times New Roman" w:cs="Times New Roman" w:eastAsia="Times New Roman" w:hAnsi="Times New Roman"/>
          <w:sz w:val="18"/>
          <w:szCs w:val="18"/>
          <w:color w:val="auto"/>
        </w:rPr>
        <w:t>Commencing 90 days after the Class C Shares become exercisable, the Company may redeem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outstanding Class C Shares:</w:t>
      </w:r>
    </w:p>
    <w:p>
      <w:pPr>
        <w:spacing w:after="0" w:line="66" w:lineRule="exact"/>
        <w:rPr>
          <w:sz w:val="20"/>
          <w:szCs w:val="20"/>
          <w:color w:val="auto"/>
        </w:rPr>
      </w:pPr>
    </w:p>
    <w:p>
      <w:pPr>
        <w:ind w:left="1080" w:hanging="424"/>
        <w:spacing w:after="0"/>
        <w:tabs>
          <w:tab w:leader="none" w:pos="108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and not in part;</w:t>
      </w:r>
    </w:p>
    <w:p>
      <w:pPr>
        <w:spacing w:after="0" w:line="130"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price equal to a number of Class A ADSs to be determined by reference to the table below, based on the redemption date and the “fair market value” of Class A ADSs except as otherwise described below;</w:t>
      </w:r>
    </w:p>
    <w:p>
      <w:pPr>
        <w:spacing w:after="0" w:line="67" w:lineRule="exact"/>
        <w:rPr>
          <w:rFonts w:ascii="Times New Roman" w:cs="Times New Roman" w:eastAsia="Times New Roman" w:hAnsi="Times New Roman"/>
          <w:sz w:val="18"/>
          <w:szCs w:val="18"/>
          <w:color w:val="auto"/>
        </w:rPr>
      </w:pPr>
    </w:p>
    <w:p>
      <w:pPr>
        <w:ind w:left="1080" w:right="660" w:hanging="424"/>
        <w:spacing w:after="0" w:line="282" w:lineRule="auto"/>
        <w:tabs>
          <w:tab w:leader="none" w:pos="108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Class C-2 Shares are also concurrently exchanged at the same price (equal to a number of Class A ADSs) as the outstanding Class C-1 Shares, as described above;</w:t>
      </w:r>
    </w:p>
    <w:p>
      <w:pPr>
        <w:spacing w:after="0" w:line="67" w:lineRule="exact"/>
        <w:rPr>
          <w:rFonts w:ascii="Times New Roman" w:cs="Times New Roman" w:eastAsia="Times New Roman" w:hAnsi="Times New Roman"/>
          <w:sz w:val="18"/>
          <w:szCs w:val="18"/>
          <w:color w:val="auto"/>
        </w:rPr>
      </w:pPr>
    </w:p>
    <w:p>
      <w:pPr>
        <w:ind w:left="1080" w:right="260" w:hanging="424"/>
        <w:spacing w:after="0" w:line="282" w:lineRule="auto"/>
        <w:tabs>
          <w:tab w:leader="none" w:pos="108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there is an effective registration statement covering the Class A ADSs issuable upon exercise of the Class C Shares and a current prospectus relating thereto is available throughout the 30-day period after written notice of redemption is given;</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 minimum of 30 days’ prior written notice of redemption; and</w:t>
      </w:r>
    </w:p>
    <w:p>
      <w:pPr>
        <w:spacing w:after="0" w:line="130" w:lineRule="exact"/>
        <w:rPr>
          <w:rFonts w:ascii="Times New Roman" w:cs="Times New Roman" w:eastAsia="Times New Roman" w:hAnsi="Times New Roman"/>
          <w:sz w:val="18"/>
          <w:szCs w:val="18"/>
          <w:color w:val="auto"/>
        </w:rPr>
      </w:pPr>
    </w:p>
    <w:p>
      <w:pPr>
        <w:ind w:left="1080" w:right="180" w:hanging="424"/>
        <w:spacing w:after="0" w:line="266" w:lineRule="auto"/>
        <w:tabs>
          <w:tab w:leader="none" w:pos="108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last reported sale price of Class A ADSs equals or exceeds $10.00 per Class A ADS (as adjusted per share splits, stock dividends, reorganizations, reclassifications, recapitalizations and the like) on the trading day prior to the date on which the Company sends the notice of redemption to the holders of Class C Shares.</w:t>
      </w:r>
    </w:p>
    <w:p>
      <w:pPr>
        <w:spacing w:after="0" w:line="176"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The numbers in the table below represent the “redemption prices,” or the number of Class A ADSs that a holder of Class C Shares will receive upon redemption by the Company pursuant to this redemption feature, based on the “fair market value” of Class A ADSs on the corresponding redemption date, determined based on the average of the last reported sales price for the 10 trading days ending on the third trading day prior to the date on which the notice of redemption is sent to the holders of Class C Shares, and the number of months that the corresponding redemption date precedes the expiration date of the Class C Shares, each as set forth in the table below.</w:t>
      </w:r>
    </w:p>
    <w:p>
      <w:pPr>
        <w:spacing w:after="0" w:line="183"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The Class A ADS prices set forth in the column headings of the table below will be adjusted as of any date on which the number of Class A ADSs issuable upon exercise of a Class C Share is adjusted as set forth in the first three paragraphs under the heading “—Anti-dilution adjustments” below. The adjusted Class A ADS prices in the column headings will equal the Class A ADS prices immediately prior to such adjustment, multiplied by a fraction, the numerator of which is the number of Class A ADSs deliverable upon exercise of a Class C Share immediately prior to such adjustment and the denominator of which is the number of Class A ADSs deliverable upon exercise of a Class C Share as so adjusted. The number of Class A ADSs in the table below shall be</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176</w:t>
      </w:r>
    </w:p>
    <w:p>
      <w:pPr>
        <w:sectPr>
          <w:pgSz w:w="11900" w:h="16838" w:orient="portrait"/>
          <w:cols w:equalWidth="0" w:num="1">
            <w:col w:w="11120"/>
          </w:cols>
          <w:pgMar w:left="320" w:top="455" w:right="459" w:bottom="1440" w:gutter="0" w:footer="0" w:header="0"/>
        </w:sectPr>
      </w:pPr>
    </w:p>
    <w:bookmarkStart w:id="191" w:name="page192"/>
    <w:bookmarkEnd w:id="19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adjusted in the same manner and at the same time as the number of Class A ADSs issuable upon exercise of a Class C Share.</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5160" w:type="dxa"/>
            <w:vAlign w:val="bottom"/>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2740" w:type="dxa"/>
            <w:vAlign w:val="bottom"/>
            <w:tcBorders>
              <w:bottom w:val="single" w:sz="8" w:color="auto"/>
            </w:tcBorders>
            <w:gridSpan w:val="4"/>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Fair Market Value of Class A ADSs</w:t>
            </w:r>
          </w:p>
        </w:tc>
        <w:tc>
          <w:tcPr>
            <w:tcW w:w="6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42"/>
        </w:trPr>
        <w:tc>
          <w:tcPr>
            <w:tcW w:w="5160" w:type="dxa"/>
            <w:vAlign w:val="bottom"/>
          </w:tcPr>
          <w:p>
            <w:pPr>
              <w:spacing w:after="0"/>
              <w:rPr>
                <w:sz w:val="12"/>
                <w:szCs w:val="12"/>
                <w:color w:val="auto"/>
              </w:rPr>
            </w:pPr>
          </w:p>
        </w:tc>
        <w:tc>
          <w:tcPr>
            <w:tcW w:w="600" w:type="dxa"/>
            <w:vAlign w:val="bottom"/>
            <w:tcBorders>
              <w:bottom w:val="single" w:sz="8" w:color="auto"/>
            </w:tcBorders>
          </w:tcPr>
          <w:p>
            <w:pPr>
              <w:jc w:val="right"/>
              <w:ind w:right="71"/>
              <w:spacing w:after="0" w:line="142" w:lineRule="exact"/>
              <w:rPr>
                <w:sz w:val="20"/>
                <w:szCs w:val="20"/>
                <w:color w:val="auto"/>
              </w:rPr>
            </w:pPr>
            <w:r>
              <w:rPr>
                <w:rFonts w:ascii="Times New Roman" w:cs="Times New Roman" w:eastAsia="Times New Roman" w:hAnsi="Times New Roman"/>
                <w:sz w:val="14"/>
                <w:szCs w:val="14"/>
                <w:b w:val="1"/>
                <w:bCs w:val="1"/>
                <w:color w:val="auto"/>
              </w:rPr>
              <w:t>$10.00</w:t>
            </w:r>
          </w:p>
        </w:tc>
        <w:tc>
          <w:tcPr>
            <w:tcW w:w="640" w:type="dxa"/>
            <w:vAlign w:val="bottom"/>
            <w:tcBorders>
              <w:bottom w:val="single" w:sz="8" w:color="auto"/>
            </w:tcBorders>
          </w:tcPr>
          <w:p>
            <w:pPr>
              <w:jc w:val="right"/>
              <w:ind w:right="52"/>
              <w:spacing w:after="0" w:line="142" w:lineRule="exact"/>
              <w:rPr>
                <w:sz w:val="20"/>
                <w:szCs w:val="20"/>
                <w:color w:val="auto"/>
              </w:rPr>
            </w:pPr>
            <w:r>
              <w:rPr>
                <w:rFonts w:ascii="Times New Roman" w:cs="Times New Roman" w:eastAsia="Times New Roman" w:hAnsi="Times New Roman"/>
                <w:sz w:val="14"/>
                <w:szCs w:val="14"/>
                <w:b w:val="1"/>
                <w:bCs w:val="1"/>
                <w:color w:val="auto"/>
              </w:rPr>
              <w:t>$11.00</w:t>
            </w:r>
          </w:p>
        </w:tc>
        <w:tc>
          <w:tcPr>
            <w:tcW w:w="5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$12.00</w:t>
            </w:r>
          </w:p>
        </w:tc>
        <w:tc>
          <w:tcPr>
            <w:tcW w:w="740" w:type="dxa"/>
            <w:vAlign w:val="bottom"/>
            <w:tcBorders>
              <w:bottom w:val="single" w:sz="8" w:color="auto"/>
            </w:tcBorders>
          </w:tcPr>
          <w:p>
            <w:pPr>
              <w:jc w:val="right"/>
              <w:ind w:right="52"/>
              <w:spacing w:after="0" w:line="142" w:lineRule="exact"/>
              <w:rPr>
                <w:sz w:val="20"/>
                <w:szCs w:val="20"/>
                <w:color w:val="auto"/>
              </w:rPr>
            </w:pPr>
            <w:r>
              <w:rPr>
                <w:rFonts w:ascii="Times New Roman" w:cs="Times New Roman" w:eastAsia="Times New Roman" w:hAnsi="Times New Roman"/>
                <w:sz w:val="14"/>
                <w:szCs w:val="14"/>
                <w:b w:val="1"/>
                <w:bCs w:val="1"/>
                <w:color w:val="auto"/>
              </w:rPr>
              <w:t>$13.00</w:t>
            </w:r>
          </w:p>
        </w:tc>
        <w:tc>
          <w:tcPr>
            <w:tcW w:w="660" w:type="dxa"/>
            <w:vAlign w:val="bottom"/>
            <w:tcBorders>
              <w:bottom w:val="single" w:sz="8" w:color="auto"/>
            </w:tcBorders>
          </w:tcPr>
          <w:p>
            <w:pPr>
              <w:jc w:val="right"/>
              <w:ind w:right="71"/>
              <w:spacing w:after="0" w:line="142" w:lineRule="exact"/>
              <w:rPr>
                <w:sz w:val="20"/>
                <w:szCs w:val="20"/>
                <w:color w:val="auto"/>
              </w:rPr>
            </w:pPr>
            <w:r>
              <w:rPr>
                <w:rFonts w:ascii="Times New Roman" w:cs="Times New Roman" w:eastAsia="Times New Roman" w:hAnsi="Times New Roman"/>
                <w:sz w:val="14"/>
                <w:szCs w:val="14"/>
                <w:b w:val="1"/>
                <w:bCs w:val="1"/>
                <w:color w:val="auto"/>
              </w:rPr>
              <w:t>$14.00</w:t>
            </w:r>
          </w:p>
        </w:tc>
        <w:tc>
          <w:tcPr>
            <w:tcW w:w="660" w:type="dxa"/>
            <w:vAlign w:val="bottom"/>
            <w:tcBorders>
              <w:bottom w:val="single" w:sz="8" w:color="auto"/>
            </w:tcBorders>
          </w:tcPr>
          <w:p>
            <w:pPr>
              <w:jc w:val="right"/>
              <w:ind w:right="71"/>
              <w:spacing w:after="0" w:line="142" w:lineRule="exact"/>
              <w:rPr>
                <w:sz w:val="20"/>
                <w:szCs w:val="20"/>
                <w:color w:val="auto"/>
              </w:rPr>
            </w:pPr>
            <w:r>
              <w:rPr>
                <w:rFonts w:ascii="Times New Roman" w:cs="Times New Roman" w:eastAsia="Times New Roman" w:hAnsi="Times New Roman"/>
                <w:sz w:val="14"/>
                <w:szCs w:val="14"/>
                <w:b w:val="1"/>
                <w:bCs w:val="1"/>
                <w:color w:val="auto"/>
              </w:rPr>
              <w:t>$15.00</w:t>
            </w:r>
          </w:p>
        </w:tc>
        <w:tc>
          <w:tcPr>
            <w:tcW w:w="680" w:type="dxa"/>
            <w:vAlign w:val="bottom"/>
            <w:tcBorders>
              <w:bottom w:val="single" w:sz="8" w:color="auto"/>
            </w:tcBorders>
          </w:tcPr>
          <w:p>
            <w:pPr>
              <w:jc w:val="right"/>
              <w:ind w:right="91"/>
              <w:spacing w:after="0" w:line="142" w:lineRule="exact"/>
              <w:rPr>
                <w:sz w:val="20"/>
                <w:szCs w:val="20"/>
                <w:color w:val="auto"/>
              </w:rPr>
            </w:pPr>
            <w:r>
              <w:rPr>
                <w:rFonts w:ascii="Times New Roman" w:cs="Times New Roman" w:eastAsia="Times New Roman" w:hAnsi="Times New Roman"/>
                <w:sz w:val="14"/>
                <w:szCs w:val="14"/>
                <w:b w:val="1"/>
                <w:bCs w:val="1"/>
                <w:color w:val="auto"/>
              </w:rPr>
              <w:t>$16.00</w:t>
            </w:r>
          </w:p>
        </w:tc>
        <w:tc>
          <w:tcPr>
            <w:tcW w:w="660" w:type="dxa"/>
            <w:vAlign w:val="bottom"/>
            <w:tcBorders>
              <w:bottom w:val="single" w:sz="8" w:color="auto"/>
            </w:tcBorders>
          </w:tcPr>
          <w:p>
            <w:pPr>
              <w:jc w:val="right"/>
              <w:ind w:right="71"/>
              <w:spacing w:after="0" w:line="142" w:lineRule="exact"/>
              <w:rPr>
                <w:sz w:val="20"/>
                <w:szCs w:val="20"/>
                <w:color w:val="auto"/>
              </w:rPr>
            </w:pPr>
            <w:r>
              <w:rPr>
                <w:rFonts w:ascii="Times New Roman" w:cs="Times New Roman" w:eastAsia="Times New Roman" w:hAnsi="Times New Roman"/>
                <w:sz w:val="14"/>
                <w:szCs w:val="14"/>
                <w:b w:val="1"/>
                <w:bCs w:val="1"/>
                <w:color w:val="auto"/>
              </w:rPr>
              <w:t>$17.00</w:t>
            </w:r>
          </w:p>
        </w:tc>
        <w:tc>
          <w:tcPr>
            <w:tcW w:w="5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$18.00</w:t>
            </w:r>
          </w:p>
        </w:tc>
        <w:tc>
          <w:tcPr>
            <w:tcW w:w="80" w:type="dxa"/>
            <w:vAlign w:val="bottom"/>
          </w:tcPr>
          <w:p>
            <w:pPr>
              <w:spacing w:after="0"/>
              <w:rPr>
                <w:sz w:val="12"/>
                <w:szCs w:val="12"/>
                <w:color w:val="auto"/>
              </w:rPr>
            </w:pPr>
          </w:p>
        </w:tc>
      </w:tr>
      <w:tr>
        <w:trPr>
          <w:trHeight w:val="142"/>
        </w:trPr>
        <w:tc>
          <w:tcPr>
            <w:tcW w:w="5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600" w:type="dxa"/>
            <w:vAlign w:val="bottom"/>
            <w:gridSpan w:val="7"/>
          </w:tcPr>
          <w:p>
            <w:pPr>
              <w:jc w:val="right"/>
              <w:ind w:right="451"/>
              <w:spacing w:after="0" w:line="142" w:lineRule="exact"/>
              <w:rPr>
                <w:sz w:val="20"/>
                <w:szCs w:val="20"/>
                <w:color w:val="auto"/>
              </w:rPr>
            </w:pPr>
            <w:r>
              <w:rPr>
                <w:rFonts w:ascii="Times New Roman" w:cs="Times New Roman" w:eastAsia="Times New Roman" w:hAnsi="Times New Roman"/>
                <w:sz w:val="14"/>
                <w:szCs w:val="14"/>
                <w:b w:val="1"/>
                <w:bCs w:val="1"/>
                <w:color w:val="auto"/>
              </w:rPr>
              <w:t>Redemption Date (period to expiration of Class C Shares)</w:t>
            </w: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216"/>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57 months</w:t>
            </w:r>
          </w:p>
        </w:tc>
        <w:tc>
          <w:tcPr>
            <w:tcW w:w="6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0.257</w:t>
            </w:r>
          </w:p>
        </w:tc>
        <w:tc>
          <w:tcPr>
            <w:tcW w:w="6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0.277</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0.294</w:t>
            </w:r>
          </w:p>
        </w:tc>
        <w:tc>
          <w:tcPr>
            <w:tcW w:w="7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0.31</w:t>
            </w:r>
          </w:p>
        </w:tc>
        <w:tc>
          <w:tcPr>
            <w:tcW w:w="6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0.324</w:t>
            </w:r>
          </w:p>
        </w:tc>
        <w:tc>
          <w:tcPr>
            <w:tcW w:w="6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0.337</w:t>
            </w:r>
          </w:p>
        </w:tc>
        <w:tc>
          <w:tcPr>
            <w:tcW w:w="6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0.348</w:t>
            </w:r>
          </w:p>
        </w:tc>
        <w:tc>
          <w:tcPr>
            <w:tcW w:w="6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0.358</w:t>
            </w: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0.365</w:t>
            </w: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54 months</w:t>
            </w:r>
          </w:p>
        </w:tc>
        <w:tc>
          <w:tcPr>
            <w:tcW w:w="6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0.252</w:t>
            </w:r>
          </w:p>
        </w:tc>
        <w:tc>
          <w:tcPr>
            <w:tcW w:w="6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0.272</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0.291</w:t>
            </w:r>
          </w:p>
        </w:tc>
        <w:tc>
          <w:tcPr>
            <w:tcW w:w="7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0.307</w:t>
            </w:r>
          </w:p>
        </w:tc>
        <w:tc>
          <w:tcPr>
            <w:tcW w:w="6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0.322</w:t>
            </w:r>
          </w:p>
        </w:tc>
        <w:tc>
          <w:tcPr>
            <w:tcW w:w="6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0.335</w:t>
            </w:r>
          </w:p>
        </w:tc>
        <w:tc>
          <w:tcPr>
            <w:tcW w:w="6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0.347</w:t>
            </w:r>
          </w:p>
        </w:tc>
        <w:tc>
          <w:tcPr>
            <w:tcW w:w="6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0.357</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0.365</w:t>
            </w:r>
          </w:p>
        </w:tc>
      </w:tr>
      <w:tr>
        <w:trPr>
          <w:trHeight w:val="216"/>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51 months</w:t>
            </w:r>
          </w:p>
        </w:tc>
        <w:tc>
          <w:tcPr>
            <w:tcW w:w="6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0.246</w:t>
            </w:r>
          </w:p>
        </w:tc>
        <w:tc>
          <w:tcPr>
            <w:tcW w:w="6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0.268</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0.287</w:t>
            </w:r>
          </w:p>
        </w:tc>
        <w:tc>
          <w:tcPr>
            <w:tcW w:w="7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0.304</w:t>
            </w:r>
          </w:p>
        </w:tc>
        <w:tc>
          <w:tcPr>
            <w:tcW w:w="6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0.32</w:t>
            </w:r>
          </w:p>
        </w:tc>
        <w:tc>
          <w:tcPr>
            <w:tcW w:w="6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0.333</w:t>
            </w:r>
          </w:p>
        </w:tc>
        <w:tc>
          <w:tcPr>
            <w:tcW w:w="6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0.346</w:t>
            </w:r>
          </w:p>
        </w:tc>
        <w:tc>
          <w:tcPr>
            <w:tcW w:w="6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0.357</w:t>
            </w: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0.365</w:t>
            </w: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48 months</w:t>
            </w:r>
          </w:p>
        </w:tc>
        <w:tc>
          <w:tcPr>
            <w:tcW w:w="6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0.241</w:t>
            </w:r>
          </w:p>
        </w:tc>
        <w:tc>
          <w:tcPr>
            <w:tcW w:w="6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0.263</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0.283</w:t>
            </w:r>
          </w:p>
        </w:tc>
        <w:tc>
          <w:tcPr>
            <w:tcW w:w="7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0.301</w:t>
            </w:r>
          </w:p>
        </w:tc>
        <w:tc>
          <w:tcPr>
            <w:tcW w:w="6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0.317</w:t>
            </w:r>
          </w:p>
        </w:tc>
        <w:tc>
          <w:tcPr>
            <w:tcW w:w="6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0.332</w:t>
            </w:r>
          </w:p>
        </w:tc>
        <w:tc>
          <w:tcPr>
            <w:tcW w:w="6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0.344</w:t>
            </w:r>
          </w:p>
        </w:tc>
        <w:tc>
          <w:tcPr>
            <w:tcW w:w="6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0.356</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0.365</w:t>
            </w:r>
          </w:p>
        </w:tc>
      </w:tr>
      <w:tr>
        <w:trPr>
          <w:trHeight w:val="216"/>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45 months</w:t>
            </w:r>
          </w:p>
        </w:tc>
        <w:tc>
          <w:tcPr>
            <w:tcW w:w="6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0.235</w:t>
            </w:r>
          </w:p>
        </w:tc>
        <w:tc>
          <w:tcPr>
            <w:tcW w:w="6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0.258</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0.279</w:t>
            </w:r>
          </w:p>
        </w:tc>
        <w:tc>
          <w:tcPr>
            <w:tcW w:w="7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0.298</w:t>
            </w:r>
          </w:p>
        </w:tc>
        <w:tc>
          <w:tcPr>
            <w:tcW w:w="6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0.315</w:t>
            </w:r>
          </w:p>
        </w:tc>
        <w:tc>
          <w:tcPr>
            <w:tcW w:w="6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0.33</w:t>
            </w:r>
          </w:p>
        </w:tc>
        <w:tc>
          <w:tcPr>
            <w:tcW w:w="6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0.343</w:t>
            </w:r>
          </w:p>
        </w:tc>
        <w:tc>
          <w:tcPr>
            <w:tcW w:w="6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0.356</w:t>
            </w: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0.365</w:t>
            </w: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42 months</w:t>
            </w:r>
          </w:p>
        </w:tc>
        <w:tc>
          <w:tcPr>
            <w:tcW w:w="6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0.228</w:t>
            </w:r>
          </w:p>
        </w:tc>
        <w:tc>
          <w:tcPr>
            <w:tcW w:w="6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0.252</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0.274</w:t>
            </w:r>
          </w:p>
        </w:tc>
        <w:tc>
          <w:tcPr>
            <w:tcW w:w="7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0.294</w:t>
            </w:r>
          </w:p>
        </w:tc>
        <w:tc>
          <w:tcPr>
            <w:tcW w:w="6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0.312</w:t>
            </w:r>
          </w:p>
        </w:tc>
        <w:tc>
          <w:tcPr>
            <w:tcW w:w="6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0.328</w:t>
            </w:r>
          </w:p>
        </w:tc>
        <w:tc>
          <w:tcPr>
            <w:tcW w:w="6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0.342</w:t>
            </w:r>
          </w:p>
        </w:tc>
        <w:tc>
          <w:tcPr>
            <w:tcW w:w="6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0.355</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0.364</w:t>
            </w:r>
          </w:p>
        </w:tc>
      </w:tr>
      <w:tr>
        <w:trPr>
          <w:trHeight w:val="216"/>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39 months</w:t>
            </w:r>
          </w:p>
        </w:tc>
        <w:tc>
          <w:tcPr>
            <w:tcW w:w="6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0.221</w:t>
            </w:r>
          </w:p>
        </w:tc>
        <w:tc>
          <w:tcPr>
            <w:tcW w:w="6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0.246</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0.269</w:t>
            </w:r>
          </w:p>
        </w:tc>
        <w:tc>
          <w:tcPr>
            <w:tcW w:w="7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0.29</w:t>
            </w:r>
          </w:p>
        </w:tc>
        <w:tc>
          <w:tcPr>
            <w:tcW w:w="6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0.309</w:t>
            </w:r>
          </w:p>
        </w:tc>
        <w:tc>
          <w:tcPr>
            <w:tcW w:w="6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0.325</w:t>
            </w:r>
          </w:p>
        </w:tc>
        <w:tc>
          <w:tcPr>
            <w:tcW w:w="6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0.34</w:t>
            </w:r>
          </w:p>
        </w:tc>
        <w:tc>
          <w:tcPr>
            <w:tcW w:w="6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0.354</w:t>
            </w: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0.364</w:t>
            </w: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36 months</w:t>
            </w:r>
          </w:p>
        </w:tc>
        <w:tc>
          <w:tcPr>
            <w:tcW w:w="6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0.213</w:t>
            </w:r>
          </w:p>
        </w:tc>
        <w:tc>
          <w:tcPr>
            <w:tcW w:w="6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0.239</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0.263</w:t>
            </w:r>
          </w:p>
        </w:tc>
        <w:tc>
          <w:tcPr>
            <w:tcW w:w="7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0.285</w:t>
            </w:r>
          </w:p>
        </w:tc>
        <w:tc>
          <w:tcPr>
            <w:tcW w:w="6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0.305</w:t>
            </w:r>
          </w:p>
        </w:tc>
        <w:tc>
          <w:tcPr>
            <w:tcW w:w="6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0.323</w:t>
            </w:r>
          </w:p>
        </w:tc>
        <w:tc>
          <w:tcPr>
            <w:tcW w:w="6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0.339</w:t>
            </w:r>
          </w:p>
        </w:tc>
        <w:tc>
          <w:tcPr>
            <w:tcW w:w="6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0.353</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0.364</w:t>
            </w:r>
          </w:p>
        </w:tc>
      </w:tr>
      <w:tr>
        <w:trPr>
          <w:trHeight w:val="216"/>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33 months</w:t>
            </w:r>
          </w:p>
        </w:tc>
        <w:tc>
          <w:tcPr>
            <w:tcW w:w="6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0.205</w:t>
            </w:r>
          </w:p>
        </w:tc>
        <w:tc>
          <w:tcPr>
            <w:tcW w:w="6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0.232</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0.257</w:t>
            </w:r>
          </w:p>
        </w:tc>
        <w:tc>
          <w:tcPr>
            <w:tcW w:w="7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0.28</w:t>
            </w:r>
          </w:p>
        </w:tc>
        <w:tc>
          <w:tcPr>
            <w:tcW w:w="6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0.301</w:t>
            </w:r>
          </w:p>
        </w:tc>
        <w:tc>
          <w:tcPr>
            <w:tcW w:w="6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0.32</w:t>
            </w:r>
          </w:p>
        </w:tc>
        <w:tc>
          <w:tcPr>
            <w:tcW w:w="6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0.337</w:t>
            </w:r>
          </w:p>
        </w:tc>
        <w:tc>
          <w:tcPr>
            <w:tcW w:w="6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0.352</w:t>
            </w: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0.364</w:t>
            </w: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30 months</w:t>
            </w:r>
          </w:p>
        </w:tc>
        <w:tc>
          <w:tcPr>
            <w:tcW w:w="6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0.196</w:t>
            </w:r>
          </w:p>
        </w:tc>
        <w:tc>
          <w:tcPr>
            <w:tcW w:w="6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0.224</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0.25</w:t>
            </w:r>
          </w:p>
        </w:tc>
        <w:tc>
          <w:tcPr>
            <w:tcW w:w="7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0.274</w:t>
            </w:r>
          </w:p>
        </w:tc>
        <w:tc>
          <w:tcPr>
            <w:tcW w:w="6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0.297</w:t>
            </w:r>
          </w:p>
        </w:tc>
        <w:tc>
          <w:tcPr>
            <w:tcW w:w="6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0.316</w:t>
            </w:r>
          </w:p>
        </w:tc>
        <w:tc>
          <w:tcPr>
            <w:tcW w:w="6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0.335</w:t>
            </w:r>
          </w:p>
        </w:tc>
        <w:tc>
          <w:tcPr>
            <w:tcW w:w="6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0.351</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0.364</w:t>
            </w:r>
          </w:p>
        </w:tc>
      </w:tr>
      <w:tr>
        <w:trPr>
          <w:trHeight w:val="216"/>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27 months</w:t>
            </w:r>
          </w:p>
        </w:tc>
        <w:tc>
          <w:tcPr>
            <w:tcW w:w="6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0.185</w:t>
            </w:r>
          </w:p>
        </w:tc>
        <w:tc>
          <w:tcPr>
            <w:tcW w:w="6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0.214</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0.242</w:t>
            </w:r>
          </w:p>
        </w:tc>
        <w:tc>
          <w:tcPr>
            <w:tcW w:w="7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0.268</w:t>
            </w:r>
          </w:p>
        </w:tc>
        <w:tc>
          <w:tcPr>
            <w:tcW w:w="6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0.291</w:t>
            </w:r>
          </w:p>
        </w:tc>
        <w:tc>
          <w:tcPr>
            <w:tcW w:w="6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0.313</w:t>
            </w:r>
          </w:p>
        </w:tc>
        <w:tc>
          <w:tcPr>
            <w:tcW w:w="6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0.332</w:t>
            </w:r>
          </w:p>
        </w:tc>
        <w:tc>
          <w:tcPr>
            <w:tcW w:w="6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0.35</w:t>
            </w: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0.364</w:t>
            </w: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24 months</w:t>
            </w:r>
          </w:p>
        </w:tc>
        <w:tc>
          <w:tcPr>
            <w:tcW w:w="6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0.173</w:t>
            </w:r>
          </w:p>
        </w:tc>
        <w:tc>
          <w:tcPr>
            <w:tcW w:w="6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0.204</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0.233</w:t>
            </w:r>
          </w:p>
        </w:tc>
        <w:tc>
          <w:tcPr>
            <w:tcW w:w="7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0.26</w:t>
            </w:r>
          </w:p>
        </w:tc>
        <w:tc>
          <w:tcPr>
            <w:tcW w:w="6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0.285</w:t>
            </w:r>
          </w:p>
        </w:tc>
        <w:tc>
          <w:tcPr>
            <w:tcW w:w="6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0.308</w:t>
            </w:r>
          </w:p>
        </w:tc>
        <w:tc>
          <w:tcPr>
            <w:tcW w:w="6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0.329</w:t>
            </w:r>
          </w:p>
        </w:tc>
        <w:tc>
          <w:tcPr>
            <w:tcW w:w="6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0.348</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0.364</w:t>
            </w:r>
          </w:p>
        </w:tc>
      </w:tr>
      <w:tr>
        <w:trPr>
          <w:trHeight w:val="216"/>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21 months</w:t>
            </w:r>
          </w:p>
        </w:tc>
        <w:tc>
          <w:tcPr>
            <w:tcW w:w="6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0.161</w:t>
            </w:r>
          </w:p>
        </w:tc>
        <w:tc>
          <w:tcPr>
            <w:tcW w:w="6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0.193</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0.223</w:t>
            </w:r>
          </w:p>
        </w:tc>
        <w:tc>
          <w:tcPr>
            <w:tcW w:w="7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0.252</w:t>
            </w:r>
          </w:p>
        </w:tc>
        <w:tc>
          <w:tcPr>
            <w:tcW w:w="6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0.279</w:t>
            </w:r>
          </w:p>
        </w:tc>
        <w:tc>
          <w:tcPr>
            <w:tcW w:w="6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0.304</w:t>
            </w:r>
          </w:p>
        </w:tc>
        <w:tc>
          <w:tcPr>
            <w:tcW w:w="6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0.326</w:t>
            </w:r>
          </w:p>
        </w:tc>
        <w:tc>
          <w:tcPr>
            <w:tcW w:w="6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0.347</w:t>
            </w: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0.364</w:t>
            </w: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18 months</w:t>
            </w:r>
          </w:p>
        </w:tc>
        <w:tc>
          <w:tcPr>
            <w:tcW w:w="6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0.146</w:t>
            </w:r>
          </w:p>
        </w:tc>
        <w:tc>
          <w:tcPr>
            <w:tcW w:w="6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0.179</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0.211</w:t>
            </w:r>
          </w:p>
        </w:tc>
        <w:tc>
          <w:tcPr>
            <w:tcW w:w="7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0.242</w:t>
            </w:r>
          </w:p>
        </w:tc>
        <w:tc>
          <w:tcPr>
            <w:tcW w:w="6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0.271</w:t>
            </w:r>
          </w:p>
        </w:tc>
        <w:tc>
          <w:tcPr>
            <w:tcW w:w="6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0.298</w:t>
            </w:r>
          </w:p>
        </w:tc>
        <w:tc>
          <w:tcPr>
            <w:tcW w:w="6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0.322</w:t>
            </w:r>
          </w:p>
        </w:tc>
        <w:tc>
          <w:tcPr>
            <w:tcW w:w="6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0.345</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0.363</w:t>
            </w:r>
          </w:p>
        </w:tc>
      </w:tr>
      <w:tr>
        <w:trPr>
          <w:trHeight w:val="216"/>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15 months</w:t>
            </w:r>
          </w:p>
        </w:tc>
        <w:tc>
          <w:tcPr>
            <w:tcW w:w="6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0.13</w:t>
            </w:r>
          </w:p>
        </w:tc>
        <w:tc>
          <w:tcPr>
            <w:tcW w:w="6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0.164</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0.197</w:t>
            </w:r>
          </w:p>
        </w:tc>
        <w:tc>
          <w:tcPr>
            <w:tcW w:w="7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0.23</w:t>
            </w:r>
          </w:p>
        </w:tc>
        <w:tc>
          <w:tcPr>
            <w:tcW w:w="6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0.262</w:t>
            </w:r>
          </w:p>
        </w:tc>
        <w:tc>
          <w:tcPr>
            <w:tcW w:w="6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0.291</w:t>
            </w:r>
          </w:p>
        </w:tc>
        <w:tc>
          <w:tcPr>
            <w:tcW w:w="6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0.317</w:t>
            </w:r>
          </w:p>
        </w:tc>
        <w:tc>
          <w:tcPr>
            <w:tcW w:w="6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0.342</w:t>
            </w: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0.363</w:t>
            </w: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12 months</w:t>
            </w:r>
          </w:p>
        </w:tc>
        <w:tc>
          <w:tcPr>
            <w:tcW w:w="6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0.111</w:t>
            </w:r>
          </w:p>
        </w:tc>
        <w:tc>
          <w:tcPr>
            <w:tcW w:w="6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0.146</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0.181</w:t>
            </w:r>
          </w:p>
        </w:tc>
        <w:tc>
          <w:tcPr>
            <w:tcW w:w="7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0.216</w:t>
            </w:r>
          </w:p>
        </w:tc>
        <w:tc>
          <w:tcPr>
            <w:tcW w:w="6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0.25</w:t>
            </w:r>
          </w:p>
        </w:tc>
        <w:tc>
          <w:tcPr>
            <w:tcW w:w="6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0.282</w:t>
            </w:r>
          </w:p>
        </w:tc>
        <w:tc>
          <w:tcPr>
            <w:tcW w:w="6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0.312</w:t>
            </w:r>
          </w:p>
        </w:tc>
        <w:tc>
          <w:tcPr>
            <w:tcW w:w="6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0.339</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0.363</w:t>
            </w:r>
          </w:p>
        </w:tc>
      </w:tr>
      <w:tr>
        <w:trPr>
          <w:trHeight w:val="216"/>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9 months</w:t>
            </w:r>
          </w:p>
        </w:tc>
        <w:tc>
          <w:tcPr>
            <w:tcW w:w="6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0.09</w:t>
            </w:r>
          </w:p>
        </w:tc>
        <w:tc>
          <w:tcPr>
            <w:tcW w:w="6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0.125</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0.162</w:t>
            </w:r>
          </w:p>
        </w:tc>
        <w:tc>
          <w:tcPr>
            <w:tcW w:w="7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0.199</w:t>
            </w:r>
          </w:p>
        </w:tc>
        <w:tc>
          <w:tcPr>
            <w:tcW w:w="6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0.237</w:t>
            </w:r>
          </w:p>
        </w:tc>
        <w:tc>
          <w:tcPr>
            <w:tcW w:w="6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0.272</w:t>
            </w:r>
          </w:p>
        </w:tc>
        <w:tc>
          <w:tcPr>
            <w:tcW w:w="6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0.305</w:t>
            </w:r>
          </w:p>
        </w:tc>
        <w:tc>
          <w:tcPr>
            <w:tcW w:w="6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0.336</w:t>
            </w: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0.362</w:t>
            </w: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6 months</w:t>
            </w:r>
          </w:p>
        </w:tc>
        <w:tc>
          <w:tcPr>
            <w:tcW w:w="6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0.065</w:t>
            </w:r>
          </w:p>
        </w:tc>
        <w:tc>
          <w:tcPr>
            <w:tcW w:w="6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0.099</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0.137</w:t>
            </w:r>
          </w:p>
        </w:tc>
        <w:tc>
          <w:tcPr>
            <w:tcW w:w="7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0.178</w:t>
            </w:r>
          </w:p>
        </w:tc>
        <w:tc>
          <w:tcPr>
            <w:tcW w:w="6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0.219</w:t>
            </w:r>
          </w:p>
        </w:tc>
        <w:tc>
          <w:tcPr>
            <w:tcW w:w="6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0.259</w:t>
            </w:r>
          </w:p>
        </w:tc>
        <w:tc>
          <w:tcPr>
            <w:tcW w:w="6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0.296</w:t>
            </w:r>
          </w:p>
        </w:tc>
        <w:tc>
          <w:tcPr>
            <w:tcW w:w="6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0.331</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0.362</w:t>
            </w:r>
          </w:p>
        </w:tc>
      </w:tr>
      <w:tr>
        <w:trPr>
          <w:trHeight w:val="216"/>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 months</w:t>
            </w:r>
          </w:p>
        </w:tc>
        <w:tc>
          <w:tcPr>
            <w:tcW w:w="6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0.034</w:t>
            </w:r>
          </w:p>
        </w:tc>
        <w:tc>
          <w:tcPr>
            <w:tcW w:w="6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0.065</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0.104</w:t>
            </w:r>
          </w:p>
        </w:tc>
        <w:tc>
          <w:tcPr>
            <w:tcW w:w="7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0.15</w:t>
            </w:r>
          </w:p>
        </w:tc>
        <w:tc>
          <w:tcPr>
            <w:tcW w:w="6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0.197</w:t>
            </w:r>
          </w:p>
        </w:tc>
        <w:tc>
          <w:tcPr>
            <w:tcW w:w="6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0.243</w:t>
            </w:r>
          </w:p>
        </w:tc>
        <w:tc>
          <w:tcPr>
            <w:tcW w:w="6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0.286</w:t>
            </w:r>
          </w:p>
        </w:tc>
        <w:tc>
          <w:tcPr>
            <w:tcW w:w="6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0.326</w:t>
            </w: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0.361</w:t>
            </w:r>
          </w:p>
        </w:tc>
      </w:tr>
      <w:tr>
        <w:trPr>
          <w:trHeight w:val="234"/>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0 months</w:t>
            </w:r>
          </w:p>
        </w:tc>
        <w:tc>
          <w:tcPr>
            <w:tcW w:w="60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0.042</w:t>
            </w:r>
          </w:p>
        </w:tc>
        <w:tc>
          <w:tcPr>
            <w:tcW w:w="7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0.115</w:t>
            </w:r>
          </w:p>
        </w:tc>
        <w:tc>
          <w:tcPr>
            <w:tcW w:w="6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0.179</w:t>
            </w:r>
          </w:p>
        </w:tc>
        <w:tc>
          <w:tcPr>
            <w:tcW w:w="6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0.233</w:t>
            </w:r>
          </w:p>
        </w:tc>
        <w:tc>
          <w:tcPr>
            <w:tcW w:w="6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0.281</w:t>
            </w:r>
          </w:p>
        </w:tc>
        <w:tc>
          <w:tcPr>
            <w:tcW w:w="6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0.323</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0.361</w:t>
            </w:r>
          </w:p>
        </w:tc>
      </w:tr>
    </w:tbl>
    <w:p>
      <w:pPr>
        <w:spacing w:after="0" w:line="179"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The “fair market value” of Class A ADSs shall mean the average last reported sale price of Class A ADSs for the 10 trading days ending on the third trading day prior to the date on which the notice of redemption is sent to the holders of Class C Shares.</w:t>
      </w:r>
    </w:p>
    <w:p>
      <w:pPr>
        <w:spacing w:after="0" w:line="162"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color w:val="auto"/>
        </w:rPr>
        <w:t>The exact fair market value and redemption date may not be set forth in the table above, in which case, if the fair market value is between two values in the table or the redemption date is between two redemption dates in the table, the number of Class A ADSs to be issued for each Class C Share redeemed will be determined by a straight-line interpolation between the number of Class A ADSs set forth for the higher and lower fair market values and the earlier and later redemption dates, as applicable, based on a 365- or 366-day year, as applicable. For example, if the average last reported sale price of Class A ADSs for the 10 trading days ending on the third trading date prior to the date on which the notice of redemption is sent to the holders of the is $11.00 per Class A ADS, and at such time there are 57 months until the expiration of the Class C Shares, the Company may choose to, pursuant to this redemption feature, redeem the Class C Shares at a “redemption price” of 0.277 Class A ADSs for each whole Class C Share. For an example where the exact fair market value and redemption date are not as set forth in the table above, if the average last reported sale price of Class A ADSs for the 10 trading days ending on the third trading date prior to the date on which the notice of redemption is sent to the holders of the Class C Shares is $13.50 per Class A ADS, and at such time there are 38 months until the expiration of the Class C Shares, the Company may choose to, pursuant to this redemption feature, redeem the Class C Shares at a “redemption price” of 0.298 Class A ADSs for each whole Class C Share. Finally, as reflected in the table above, the Company can redeem the Class C Shares for no consideration in the event that the Class C Shares are “out of the money” (i.e., the trading price of Class A ADSs is below the exercise price of the Class C Shares) and about to expire.</w:t>
      </w:r>
    </w:p>
    <w:p>
      <w:pPr>
        <w:spacing w:after="0" w:line="187"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Any Class C Shares held by the Company officers or directors will be subject to this redemption feature, except that such officers and directors shall only receive “fair market value” for such Class C Shares so redeemed</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177</w:t>
      </w:r>
    </w:p>
    <w:p>
      <w:pPr>
        <w:sectPr>
          <w:pgSz w:w="11900" w:h="16838" w:orient="portrait"/>
          <w:cols w:equalWidth="0" w:num="1">
            <w:col w:w="11140"/>
          </w:cols>
          <w:pgMar w:left="320" w:top="455" w:right="439" w:bottom="1440" w:gutter="0" w:footer="0" w:header="0"/>
        </w:sectPr>
      </w:pPr>
    </w:p>
    <w:bookmarkStart w:id="192" w:name="page193"/>
    <w:bookmarkEnd w:id="19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20"/>
        <w:spacing w:after="0" w:line="282" w:lineRule="auto"/>
        <w:rPr>
          <w:sz w:val="20"/>
          <w:szCs w:val="20"/>
          <w:color w:val="auto"/>
        </w:rPr>
      </w:pPr>
      <w:r>
        <w:rPr>
          <w:rFonts w:ascii="Times New Roman" w:cs="Times New Roman" w:eastAsia="Times New Roman" w:hAnsi="Times New Roman"/>
          <w:sz w:val="18"/>
          <w:szCs w:val="18"/>
          <w:color w:val="auto"/>
        </w:rPr>
        <w:t>(“fair market value” for such Class C-1 Shares held by the Company officers or directors being defined as the last reported sale price of the Class C-1 Shares on such redemption date).</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This redemption feature differs from typical warrant redemption features, which typically only provide for a redemption of warrants for cash</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(other than private placement warrants) when the trading price for Class A common stock exceeds $18.00 per share for a specified period of time. This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redemption feature is structured to allow for all of the outstanding Class C-1 Shares to be redeemed when the Class A ADSs are trading at or above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$10.00 per Class A ADS, which may be at a time when the trading price of the Class A ADSs is below the exercise price of the Class C-1 Shares.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Company has established this redemption feature to provide the Class C-1 Shares with an additional liquidity feature, which provides the Company with</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flexibility to redeem the Class C-1 Shares for Class A ADSs, instead of cash, for “fair value” without the Class C-1 Shares having to reach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$18.00 per Class A ADS threshold set forth above under “—Redemption of Class C Shares for cash.” Holders of the Class C-1 Shares will, in effect,</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receive a number of Class A ADSs representing fair value for their Class C-1 Shares based on an option pricing model with a fixed volatility input. This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redemption right provides the Company not only with an additional mechanism by which to redeem all of the outstanding Class C-1 Shares, in this case,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for Class A ADSs, and therefore have certainty as to (i) the Company’s capital structure as the Class C-1 Shares would no longer be outstanding and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would have been exercised or redeemed and (ii) to the amount of cash provided by the exercise of the Class C-1 Shares and available to the Company,</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and also provides a ceiling to the theoretical value of the Class C-1 Shares as it locks in the “redemption prices” the Company would pay to holders of</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Class C-1 Shares if Polestar chose to redeem Class C-1 Shares in this manner. The Company will effectively be required to pay fair value to holders of</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Class C-1 Shares if the Company chooses to exercise this redemption right and it will allow the Company to quickly proceed with a redemption of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Class C-1 Shares for Class A ADSs if the Company determines it is in the Company’s best interest to do so. As such, the Company would redeem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Class C-1 Shares in this manner when the Company believes it is in the Company’s best interest to update the Company’s capital structure to remove the</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Class C-1 Shares and pay fair value to the holders of Class C-1 Shares. In particular, it would allow the Company to quickly redeem the Class C-1</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Shares for Class A ADSs, without having to negotiate a redemption price with the holders of Class C-1 Shares. In addition, the holders of Class C-1</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Shares will have the ability to exercise the Class C Shares prior to redemption if they should choose to do so.</w:t>
      </w:r>
    </w:p>
    <w:p>
      <w:pPr>
        <w:spacing w:after="0" w:line="207"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As stated above, the Company can redeem the Class C-1 Shares when the Class A ADSs are trading at a price starting at $10.00, which is below the exercise price of $11.50, because it will provide certainty with respect to the Company’s capital structure and cash position while providing holders of Class C-1 Shares with fair value (in the form of Class A ADSs). If the Company chooses to redeem the Class C-1 Shares when the Class A ADSs are trading at a price below the exercise price of the Class C-1 Shares, this could result in the holders of Class C-1 Shares receiving fewer Class A ADSs than they would have received if they had chosen to wait to exercise their Class C-1 Shares for Class A ADSs if and when such Class A ADSs were trading at a price higher than the exercise price of $11.50.</w:t>
      </w:r>
    </w:p>
    <w:p>
      <w:pPr>
        <w:spacing w:after="0" w:line="187"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No fractional Class A ADSs will be issued upon redemption. If, upon redemption, a holder would be entitled to receive a fractional interest in a Class A ADS, the Company will round down to the nearest whole number of the number of Class A ADSs to be issued to the holder.</w:t>
      </w:r>
    </w:p>
    <w:p>
      <w:pPr>
        <w:spacing w:after="0" w:line="160"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Redemption procedures and cashless exercise. </w:t>
      </w:r>
      <w:r>
        <w:rPr>
          <w:rFonts w:ascii="Times New Roman" w:cs="Times New Roman" w:eastAsia="Times New Roman" w:hAnsi="Times New Roman"/>
          <w:sz w:val="18"/>
          <w:szCs w:val="18"/>
          <w:color w:val="auto"/>
        </w:rPr>
        <w:t>If the Company calls the Class C-1 Shares for redemption as described above, the Company’s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management will have the option to require any holder that wishes to exercise its Class C-1 Share to do so on a “cashless basis.” In determining whether to require all holders to exercise their Class C-1 Shares on a “cashless basis,” the Company’s management will consider, among other factors, the Company’s cash position, the number of Class C-1 Shares that are outstanding and the dilutive effect on the Company’s shareholders of issuing the maximum number of Class A ADSs issuable upon the exercise of Class C-1 Shares.</w:t>
      </w:r>
    </w:p>
    <w:p>
      <w:pPr>
        <w:spacing w:after="0" w:line="185"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If the Company management takes advantage of this option, all holders of Class C-1 Shares would pay the exercise price by surrendering their Class C-1 Shares for that number of Class A ADSs equal to the quotient</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178</w:t>
      </w:r>
    </w:p>
    <w:p>
      <w:pPr>
        <w:sectPr>
          <w:pgSz w:w="11900" w:h="16838" w:orient="portrait"/>
          <w:cols w:equalWidth="0" w:num="1">
            <w:col w:w="11100"/>
          </w:cols>
          <w:pgMar w:left="320" w:top="455" w:right="479" w:bottom="1440" w:gutter="0" w:footer="0" w:header="0"/>
        </w:sectPr>
      </w:pPr>
    </w:p>
    <w:bookmarkStart w:id="193" w:name="page194"/>
    <w:bookmarkEnd w:id="19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obtained by dividing (x) the product of the number of Class A ADSs underlying the Class C-1 Shares, multiplied by the difference between the exercise price of the Class C-1 Shares and the “fair market value” (defined below) by (y) the fair market value. The “fair market value” shall mean the average reported last sale price of the Class A ADSs for the 10 trading days ending on the third trading day prior to the date on which the notice of redemption is sent to the holders of Class C-1 Shares. If the Company’s management takes advantage of this option, the notice of redemption will contain the information necessary to calculate the number of Class A ADSs to be received upon exercise of the Class C-1 Shares, including the “fair market value” in such case. Requiring a cashless exercise in this manner will reduce the number of Class A ADSs to be issued and thereby lessen the dilutive effect of a Class C-1 Shares redemption. The Company believes this feature is an attractive option if the Company does not need the cash from the exercise of the Class C-1 Shares after Closing. If the Company calls Class C-1 Shares for redemption and the Company’s management does not take advantage of this option, the GGI Sponsor and its permitted transferees would still be entitled to exercise their Class C-2 Shares for cash or on a cashless basis using the same formula described above that other holders of Class C Shares would have been required to use had all holders of Class C Shares been required to exercise their Class C Shares on a cashless basis, as described in more detail below.</w:t>
      </w:r>
    </w:p>
    <w:p>
      <w:pPr>
        <w:spacing w:after="0" w:line="192"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A holder of a Class C-1 Share may notify the Company in writing in the event it elects to be subject to a requirement that such holder will not have the right to exercise such Class C-1 Shares, to the extent that after giving effect to such exercise, such person (together with such person’s affiliates), to the conversion agent’s actual knowledge, would beneficially own in excess of 9.8% (or such other amount as a holder may specify) of the Class A ADSs outstanding immediately after giving effect to such exercise.</w:t>
      </w:r>
    </w:p>
    <w:p>
      <w:pPr>
        <w:spacing w:after="0" w:line="17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 xml:space="preserve">Anti-dilution adjustments. </w:t>
      </w:r>
      <w:r>
        <w:rPr>
          <w:rFonts w:ascii="Times New Roman" w:cs="Times New Roman" w:eastAsia="Times New Roman" w:hAnsi="Times New Roman"/>
          <w:sz w:val="18"/>
          <w:szCs w:val="18"/>
          <w:color w:val="auto"/>
        </w:rPr>
        <w:t>If the number of outstanding Class A ADSs is increased by a stock dividend payable in Class A ADSs, or by</w:t>
      </w:r>
    </w:p>
    <w:p>
      <w:pPr>
        <w:spacing w:after="0" w:line="29" w:lineRule="exact"/>
        <w:rPr>
          <w:sz w:val="20"/>
          <w:szCs w:val="20"/>
          <w:color w:val="auto"/>
        </w:rPr>
      </w:pPr>
    </w:p>
    <w:p>
      <w:pPr>
        <w:ind w:left="120" w:right="20"/>
        <w:spacing w:after="0" w:line="251" w:lineRule="auto"/>
        <w:rPr>
          <w:sz w:val="20"/>
          <w:szCs w:val="20"/>
          <w:color w:val="auto"/>
        </w:rPr>
      </w:pPr>
      <w:r>
        <w:rPr>
          <w:rFonts w:ascii="Times New Roman" w:cs="Times New Roman" w:eastAsia="Times New Roman" w:hAnsi="Times New Roman"/>
          <w:sz w:val="18"/>
          <w:szCs w:val="18"/>
          <w:color w:val="auto"/>
        </w:rPr>
        <w:t>a split-up of Class A ADSs or other similar event, then, on the effective date of such stock dividend, split-up or similar event, the number of Class A ADSs issuable on exercise of each Class C Share will be increased in proportion to such increase in the outstanding Class A ADSs. A rights offering to holders of Class A ADSs entitling holders to purchase Class A ADSs at a price less than the fair market value will be deemed a stock dividend of a number of Class A ADSs equal to the product of (i) the number of Class A ADSs actually sold in such rights offering (or issuable under any other equity securities sold in such rights offering that are convertible into or exercisable for Class A ADSs) multiplied by (ii) one (1) minus the quotient of (x) the price per Class A ADS paid in such rights offering divided by (y) the fair market value. For these purposes (i) if the rights offering is for securities convertible into or exercisable for Class A ADSs, in determining the price payable for Class A ADSs, there will be taken into account any consideration received for such rights, as well as any additional amount payable upon exercise or conversion and (ii) fair market value means the volume weighted average price of Class A ADS as reported during the 10 trading day period ending on the trading day prior to the first date on which the Class A ADSs trade on the applicable exchange or in the applicable market, regular way, without the right to receive such rights.</w:t>
      </w:r>
    </w:p>
    <w:p>
      <w:pPr>
        <w:spacing w:after="0" w:line="193" w:lineRule="exact"/>
        <w:rPr>
          <w:sz w:val="20"/>
          <w:szCs w:val="20"/>
          <w:color w:val="auto"/>
        </w:rPr>
      </w:pPr>
    </w:p>
    <w:p>
      <w:pPr>
        <w:ind w:left="120" w:right="180" w:firstLine="440"/>
        <w:spacing w:after="0" w:line="258" w:lineRule="auto"/>
        <w:rPr>
          <w:sz w:val="20"/>
          <w:szCs w:val="20"/>
          <w:color w:val="auto"/>
        </w:rPr>
      </w:pPr>
      <w:r>
        <w:rPr>
          <w:rFonts w:ascii="Times New Roman" w:cs="Times New Roman" w:eastAsia="Times New Roman" w:hAnsi="Times New Roman"/>
          <w:sz w:val="18"/>
          <w:szCs w:val="18"/>
          <w:color w:val="auto"/>
        </w:rPr>
        <w:t>In addition, if the Company, at any time while the Class C Shares are outstanding and unexpired, pays a dividend or make a distribution in cash, securities or other assets to the holders of Class A ADSs on account of such Class A ADSs (or other securities of Polestar capital stock into which the Class C Shares are convertible), other than (a) as described above and (b) certain ordinary cash dividends then the Class C Share exercise price will be decreased, effective immediately after the effective date of such event, by the amount of cash and/or the fair market value of any securities or other assets paid on each Class A ADS in respect of such event.</w:t>
      </w:r>
    </w:p>
    <w:p>
      <w:pPr>
        <w:spacing w:after="0" w:line="183" w:lineRule="exact"/>
        <w:rPr>
          <w:sz w:val="20"/>
          <w:szCs w:val="20"/>
          <w:color w:val="auto"/>
        </w:rPr>
      </w:pPr>
    </w:p>
    <w:p>
      <w:pPr>
        <w:jc w:val="both"/>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If the number of outstanding Class A ADSs is decreased by a consolidation, combination, reverse stock split or reclassification of Class A ADSs or other similar event, then, on the effective date of such consolidation, combination, reverse stock split, reclassification or similar event, the number of Class A ADSs issuable on exercise of each Class C Share will be decreased in proportion to such decrease in outstanding Class A ADSs.</w:t>
      </w:r>
    </w:p>
    <w:p>
      <w:pPr>
        <w:spacing w:after="0" w:line="176"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Whenever the number of Class A ADSs purchasable upon the exercise of the Class C Shares is adjusted, as described above, the Class C Share exercise price will be adjusted by multiplying the Class C Share exercise</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179</w:t>
      </w:r>
    </w:p>
    <w:p>
      <w:pPr>
        <w:sectPr>
          <w:pgSz w:w="11900" w:h="16838" w:orient="portrait"/>
          <w:cols w:equalWidth="0" w:num="1">
            <w:col w:w="11120"/>
          </w:cols>
          <w:pgMar w:left="320" w:top="455" w:right="459" w:bottom="1440" w:gutter="0" w:footer="0" w:header="0"/>
        </w:sectPr>
      </w:pPr>
    </w:p>
    <w:bookmarkStart w:id="194" w:name="page195"/>
    <w:bookmarkEnd w:id="19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price immediately prior to such adjustment by a fraction (x) the numerator of which will be the number of Class A ADSs purchasable upon the exercise of the Class C Shares immediately prior to such adjustment, and (y) the denominator of which will be the number of Class A ADSs so purchasable immediately thereafter.</w:t>
      </w:r>
    </w:p>
    <w:p>
      <w:pPr>
        <w:spacing w:after="0" w:line="176"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In case of any reclassification or reorganization of the Class A ADSs (other than those described above or that solely affects the par value of Class A ADSs), or in the case of any merger or consolidation of the Company with or into another corporation (other than a consolidation or merger in which Polestar is the continuing corporation and that does not result in any reclassification or reorganization of Class A ADSs), or in the case of any sale or conveyance to another corporation or entity of the assets or other property of the Company as an entirety or substantially as an entirety in connection with which the Company is dissolved, the holders of the Class C Shares will thereafter have the right to purchase and receive, upon the basis and upon the terms and conditions specified in the Class C Shares and in lieu of Class A ADSs immediately theretofore purchasable and receivable upon the exercise of the rights represented thereby, the kind and amount of shares of stock or other securities or property (including cash) receivable upon such reclassification, reorganization, merger or consolidation, or upon a dissolution following any such sale or transfer, that the holder of the Class C Shares would have received if such holder had exercised their Class C Shares immediately prior to such event. If less than 70% of the consideration receivable by the holders of Class A ADSs in such a transaction is payable in the form of Class A ADSs in the successor entity that is listed for trading on a national securities exchange or is quoted in an established over-the-counter market, or is to be so listed for trading or quoted immediately following such event, and if the registered holder of the Class C Shares properly exercises the Class C Shares within 30 days following public disclosure of such transaction, the Class C Share exercise price will be reduced as specified in the Class C Warrant Amendment and the Polestar Articles based on the Black-Scholes value (as defined in the Class C Amendment) of the Class C Share.</w:t>
      </w:r>
    </w:p>
    <w:p>
      <w:pPr>
        <w:spacing w:after="0" w:line="197" w:lineRule="exact"/>
        <w:rPr>
          <w:sz w:val="20"/>
          <w:szCs w:val="20"/>
          <w:color w:val="auto"/>
        </w:rPr>
      </w:pPr>
    </w:p>
    <w:p>
      <w:pPr>
        <w:jc w:val="center"/>
        <w:ind w:left="380" w:right="60"/>
        <w:spacing w:after="0" w:line="276" w:lineRule="auto"/>
        <w:rPr>
          <w:sz w:val="20"/>
          <w:szCs w:val="20"/>
          <w:color w:val="auto"/>
        </w:rPr>
      </w:pPr>
      <w:r>
        <w:rPr>
          <w:rFonts w:ascii="Times New Roman" w:cs="Times New Roman" w:eastAsia="Times New Roman" w:hAnsi="Times New Roman"/>
          <w:sz w:val="17"/>
          <w:szCs w:val="17"/>
          <w:color w:val="auto"/>
        </w:rPr>
        <w:t>The Class C Shares will be issued in registered form under the Class C Warrant Amendment and the Polestar Articles. The Class C Warrant Amendment and the Polestar Articles provide that the terms of the Class C Shares may be amended without the consent of any holder for the purpose of</w:t>
      </w:r>
    </w:p>
    <w:p>
      <w:pPr>
        <w:spacing w:after="0" w:line="1" w:lineRule="exact"/>
        <w:rPr>
          <w:sz w:val="20"/>
          <w:szCs w:val="20"/>
          <w:color w:val="auto"/>
        </w:rPr>
      </w:pPr>
    </w:p>
    <w:p>
      <w:pPr>
        <w:ind w:left="120" w:right="40" w:hanging="4"/>
        <w:spacing w:after="0" w:line="251" w:lineRule="auto"/>
        <w:tabs>
          <w:tab w:leader="none" w:pos="335"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curing any ambiguity or correct any mistake, including to conform the provisions of the Class C Warrant Amendment and the Polestar Articles to the description of the terms of the Class C Shares and the Class C Warrant Amendment and Polestar Articles set forth in the registration statement on Form F-4 filed by the Company in connection with the Business Combination, or defective provision, (ii) amending the provisions relating to cash dividends on Class A ADSs as contemplated by and in accordance with the Class C Warrant Amendment and Polestar Articles or (iii) adding or changing any provisions with respect to matters or questions arising under the Class C Warrant Amendment and Polestar Articles as the parties to the Class C Warrant Amendment may deem necessary or desirable and that the parties deem to not adversely affect the rights of the registered holders of the Class C Shares; provided that the approval by the holders of at least 50% of the then-outstanding Class C-1 Shares is required to make any change that adversely affects the interests of the registered holders of the Class C-1 Shares. You should review a copy of the Class C Warrant Amendment and Polestar Articles, which have been filed as exhibits to the registration statement of which this prospectus forms a part, for a complete description of the terms and conditions applicable to the Class C Shares.</w:t>
      </w:r>
    </w:p>
    <w:p>
      <w:pPr>
        <w:spacing w:after="0" w:line="193" w:lineRule="exact"/>
        <w:rPr>
          <w:sz w:val="20"/>
          <w:szCs w:val="20"/>
          <w:color w:val="auto"/>
        </w:rPr>
      </w:pPr>
    </w:p>
    <w:p>
      <w:pPr>
        <w:ind w:left="120" w:right="160" w:firstLine="440"/>
        <w:spacing w:after="0" w:line="255" w:lineRule="auto"/>
        <w:rPr>
          <w:sz w:val="20"/>
          <w:szCs w:val="20"/>
          <w:color w:val="auto"/>
        </w:rPr>
      </w:pPr>
      <w:r>
        <w:rPr>
          <w:rFonts w:ascii="Times New Roman" w:cs="Times New Roman" w:eastAsia="Times New Roman" w:hAnsi="Times New Roman"/>
          <w:sz w:val="18"/>
          <w:szCs w:val="18"/>
          <w:color w:val="auto"/>
        </w:rPr>
        <w:t>The Class C Shares may be exercised upon surrender of the Class C Share certificate on or prior to the expiration date at the offices of the conversion agent, with the exercise form on the reverse side of the Class C Share certificate completed and executed as indicated, accompanied by full payment of the exercise price (or on a cashless basis, if applicable), by certified or official bank check payable to Polestar, for the number of Class C Shares being exercised. The holders of Class C Shares do not have the rights or privileges of holders of Class A ADSs and any voting rights until they exercise their Class C Shares and receive Class A ADSs. After the issuance of Class A ADSs upon exercise of the Class C Shares, each holder will be entitled to one vote for each Class A ADS held of record on all matters to be voted on by shareholders. Also see “Description Of American Depositary Shares—Conversion of Class C ADSs.”</w:t>
      </w:r>
    </w:p>
    <w:p>
      <w:pPr>
        <w:spacing w:after="0" w:line="189"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No fractional Class A ADSs will be issued upon exercise of the Class C Shares. If, upon exercise of the Class C Shares, a holder would be entitled to receive a fractional interest in a Class A ADS, the Company will, upon exercise, round down to the nearest whole number of Class A ADSs to be issued to the holders of Class C Shares.</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180</w:t>
      </w:r>
    </w:p>
    <w:p>
      <w:pPr>
        <w:sectPr>
          <w:pgSz w:w="11900" w:h="16838" w:orient="portrait"/>
          <w:cols w:equalWidth="0" w:num="1">
            <w:col w:w="11120"/>
          </w:cols>
          <w:pgMar w:left="320" w:top="455" w:right="459" w:bottom="1440" w:gutter="0" w:footer="0" w:header="0"/>
        </w:sectPr>
      </w:pPr>
    </w:p>
    <w:bookmarkStart w:id="195" w:name="page196"/>
    <w:bookmarkEnd w:id="19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Company has agreed that, subject to applicable law, any action, proceeding or claim against the Company arising out of or relating in any way to the Class C Warrant Amendment, including under the Securities Act, will be brought and enforced in the courts of the State of New York or the United States District Court for the Southern District of New York, and the Company irrevocably submits to such jurisdiction, which jurisdiction will be the exclusive forum for any such action, proceeding or claim. This provision applies to claims under the Securities Act but does not apply to claims under the Exchange Act or any claim for which the federal district courts of the United States of America are the sole and exclusive forum. With respect to any complaint asserting a cause of action arising under the Securities Act or the rules and regulations promulgated thereunder, the Company notes, however, that there is uncertainty as to whether a court would enforce this provision and that investors cannot waive compliance with the federal securities laws and the rules and regulations thereunder. Section 22 of the Securities Act creates concurrent jurisdiction for state and federal courts over all suits brought to enforce any duty or liability created by the Securities Act or the rules and regulations thereunder.</w:t>
      </w:r>
    </w:p>
    <w:p>
      <w:pPr>
        <w:spacing w:after="0" w:line="188" w:lineRule="exact"/>
        <w:rPr>
          <w:sz w:val="20"/>
          <w:szCs w:val="20"/>
          <w:color w:val="auto"/>
        </w:rPr>
      </w:pPr>
    </w:p>
    <w:p>
      <w:pPr>
        <w:ind w:left="120" w:right="200" w:firstLine="440"/>
        <w:spacing w:after="0" w:line="258" w:lineRule="auto"/>
        <w:rPr>
          <w:sz w:val="20"/>
          <w:szCs w:val="20"/>
          <w:color w:val="auto"/>
        </w:rPr>
      </w:pPr>
      <w:r>
        <w:rPr>
          <w:rFonts w:ascii="Times New Roman" w:cs="Times New Roman" w:eastAsia="Times New Roman" w:hAnsi="Times New Roman"/>
          <w:sz w:val="18"/>
          <w:szCs w:val="18"/>
          <w:color w:val="auto"/>
        </w:rPr>
        <w:t>Subject to certain exceptions, the Class C-2 Shares will not be transferable, assignable or salable until 30 days after Closing and they will not be redeemable by the Company so long as they are held by the GGI Sponsor or its permitted transferees. Otherwise, the Class C-2 Shares have terms and provisions that are identical to those of the other Class C Shares, including as to exercise price, exercisability and exercise period. If the Class C-2 Shares are held by holders other than the GGI Sponsor or its permitted transferees, the Class C-2 Shares will be redeemable by the Company and exercisable by the holders on the same basis as the other Class C Shares.</w:t>
      </w:r>
    </w:p>
    <w:p>
      <w:pPr>
        <w:spacing w:after="0" w:line="183"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If holders of the Class C-2 Shares elect to exercise them on a cashless basis, they would pay the exercise price by surrendering their Class C Shares for that number of Class A ADSs equal to the quotient obtained by dividing (x) the product of the number of Class A ADSs underlying the Class C Shares, multiplied by the difference between the exercise price of the Class C Shares and the “fair market value” (defined below) by (y) the fair market value. The “fair market value” shall mean the average reported last sale price of the Class A ADSs for the 10 trading days ending on the third trading day prior to the date on which the notice of Class C Share exercise is sent to the conversion agent.</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Listing</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Class A ADSs and Class C-1 ADSs are listed on Nasdaq under the symbols “PSNY” and “PSNYW,” respectively.</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181</w:t>
      </w:r>
    </w:p>
    <w:p>
      <w:pPr>
        <w:sectPr>
          <w:pgSz w:w="11900" w:h="16838" w:orient="portrait"/>
          <w:cols w:equalWidth="0" w:num="1">
            <w:col w:w="11120"/>
          </w:cols>
          <w:pgMar w:left="320" w:top="455" w:right="459" w:bottom="1440" w:gutter="0" w:footer="0" w:header="0"/>
        </w:sectPr>
      </w:pPr>
    </w:p>
    <w:bookmarkStart w:id="196" w:name="page197"/>
    <w:bookmarkEnd w:id="19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DESCRIPTION OF AMERICAN DEPOSITARY SHARES</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below summarizes the terms of the ADSs.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ADSs</w:t>
      </w:r>
    </w:p>
    <w:p>
      <w:pPr>
        <w:spacing w:after="0" w:line="121" w:lineRule="exact"/>
        <w:rPr>
          <w:sz w:val="20"/>
          <w:szCs w:val="20"/>
          <w:color w:val="auto"/>
        </w:rPr>
      </w:pPr>
    </w:p>
    <w:p>
      <w:pPr>
        <w:ind w:left="120" w:right="240" w:firstLine="440"/>
        <w:spacing w:after="0" w:line="281" w:lineRule="auto"/>
        <w:rPr>
          <w:sz w:val="20"/>
          <w:szCs w:val="20"/>
          <w:color w:val="auto"/>
        </w:rPr>
      </w:pPr>
      <w:r>
        <w:rPr>
          <w:rFonts w:ascii="Times New Roman" w:cs="Times New Roman" w:eastAsia="Times New Roman" w:hAnsi="Times New Roman"/>
          <w:sz w:val="17"/>
          <w:szCs w:val="17"/>
          <w:color w:val="auto"/>
        </w:rPr>
        <w:t>Citibank, N.A. is the depositary for the Company’s American Depositary Shares. Citibank’s depositary offices are located at 388 Greenwich Street, New York, New York 10013. American Depositary Shares are frequently referred to as “ADSs” and represent ownership interests in securities that are on deposit with the depositary. ADSs may be represented by certificates that are commonly known as “American Depositary Receipts” or “ADRs.” The depositary typically appoints a custodian to safekeep the securities on deposit. In this case, the custodian is Citibank, N.A. (London).</w:t>
      </w:r>
    </w:p>
    <w:p>
      <w:pPr>
        <w:spacing w:after="0" w:line="164"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The Company appointed Citibank as depositary pursuant to three separate deposit agreements, one for the Class A ADSs representing the Class A Shares, one for the Class C-1 ADSs representing C-1 Shares and one for the Class C-2 ADSs representing the Class C-2 Shares (as applicable). The Company may refer to the Class A Shares, the Class C-1 Shares and the Class C-2 Shares as the “Shares” and any such reference is to the applicable Shares of the Class corresponding to the applicable ADSs. A draft copy of each of the deposit agreements is on file with the SEC under cover of Registration Statements on Form F-6. You may obtain a copy of the deposit agreements from the SEC’s Public Reference Room at 100 F Street, N.E., Washington, D.C. 20549 and from the SEC’s website (www.sec.gov). Please refer to Registration Number 333-263479 (for the Class A ADSs), 333-263480 (for the Class C-1 ADSs), and 333-263481 (for the Class C-2 ADSs), respectively, when retrieving such copy.</w:t>
      </w:r>
    </w:p>
    <w:p>
      <w:pPr>
        <w:spacing w:after="0" w:line="189"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The Company is providing you with a summary description of the material terms of the ADSs and of your material rights as an owner of ADSs. Please remember that summaries by their nature lack the precision of the information summarized and that the rights and obligations of an owner of ADSs will be determined by reference to the terms of the applicable deposit agreement and not by this summary. Any reference herein to “deposit agreement” is to the deposit agreement for the applicable ADSs, that is: the Class A Share deposit agreement governs the Class A ADSs representing the Class A Shares, the Class C-1 Share deposit agreement governs the Class C-1 ADSs representing the Class C-1 Shares and the Class C-2 Share deposit agreement governs the Class C-2 ADSs representing the Class C-2 Shares. As such, holders of ADSs representing one class of shares of Polestar have no rights or obligations under the deposit agreement for any other class of shares of Polestar. The Company urges you to review the applicable deposit agreements in their entirety. </w:t>
      </w:r>
      <w:r>
        <w:rPr>
          <w:rFonts w:ascii="Times New Roman" w:cs="Times New Roman" w:eastAsia="Times New Roman" w:hAnsi="Times New Roman"/>
          <w:sz w:val="18"/>
          <w:szCs w:val="18"/>
          <w:i w:val="1"/>
          <w:iCs w:val="1"/>
          <w:color w:val="auto"/>
        </w:rPr>
        <w:t>The portions of this summary description that are italicized describe matters that may be relevant to the ownership of ADSs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but that may not be contained in the deposit agreements.</w:t>
      </w:r>
    </w:p>
    <w:p>
      <w:pPr>
        <w:spacing w:after="0" w:line="188"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Each ADS represents the right to receive, and to exercise the beneficial ownership interests in, one Class A Share (in the case of a Class A ADS), or one Class C-1 Share (in the case of a Class C-1 ADS), or one Class C-2 Share (in the case of a Class C-2 ADS), on deposit with the depositary and/or custodian. An ADS also represents the right to receive, and to exercise the beneficial interests in, any other property received by the depositary or the custodian on behalf of the owner of the ADS but that has not been distributed to the owners of ADSs because of legal restrictions or practical considerations. The Company and the depositary may agree to change the ADS-to-Share ratio by amending the applicable deposit agreement. This amendment may give rise to, or change, the depositary fees payable by ADS owners. The custodian, the depositary and their respective nominees will hold all deposited property for the benefit of the holders and beneficial owners of the applicable ADSs. The deposited property does not constitute the proprietary assets of the depositary, the custodian or their nominees. Beneficial ownership in the deposited property will under the terms of the deposit agreement be vested in the beneficial owners of the applicable ADSs. The depositary, the custodian and their respective nominees will be the record holders of the deposited property represented by the ADSs for the benefit of the holders and beneficial owners of the corresponding ADSs. A beneficial owner of ADSs may or may not be the holder of ADSs. Beneficial owners of ADSs will be able to receive, and to exercise beneficial ownership interests in, the applicable deposited property only through the registered holders of the ADSs, the registered holders of the</w:t>
      </w:r>
    </w:p>
    <w:p>
      <w:pPr>
        <w:spacing w:after="0" w:line="1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182</w:t>
      </w:r>
    </w:p>
    <w:p>
      <w:pPr>
        <w:sectPr>
          <w:pgSz w:w="11900" w:h="16838" w:orient="portrait"/>
          <w:cols w:equalWidth="0" w:num="1">
            <w:col w:w="11120"/>
          </w:cols>
          <w:pgMar w:left="320" w:top="455" w:right="459" w:bottom="1440" w:gutter="0" w:footer="0" w:header="0"/>
        </w:sectPr>
      </w:pPr>
    </w:p>
    <w:bookmarkStart w:id="197" w:name="page198"/>
    <w:bookmarkEnd w:id="19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20"/>
        <w:spacing w:after="0" w:line="282" w:lineRule="auto"/>
        <w:rPr>
          <w:sz w:val="20"/>
          <w:szCs w:val="20"/>
          <w:color w:val="auto"/>
        </w:rPr>
      </w:pPr>
      <w:r>
        <w:rPr>
          <w:rFonts w:ascii="Times New Roman" w:cs="Times New Roman" w:eastAsia="Times New Roman" w:hAnsi="Times New Roman"/>
          <w:sz w:val="18"/>
          <w:szCs w:val="18"/>
          <w:color w:val="auto"/>
        </w:rPr>
        <w:t>ADSs (on behalf of the applicable ADS owners) only through the depositary, and the depositary (on behalf of the owners of the corresponding ADSs) directly, or indirectly, through the custodian or their respective nominees, in each case upon the terms of the deposit agreement.</w:t>
      </w:r>
    </w:p>
    <w:p>
      <w:pPr>
        <w:spacing w:after="0" w:line="162" w:lineRule="exact"/>
        <w:rPr>
          <w:sz w:val="20"/>
          <w:szCs w:val="20"/>
          <w:color w:val="auto"/>
        </w:rPr>
      </w:pPr>
    </w:p>
    <w:p>
      <w:pPr>
        <w:jc w:val="both"/>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If you become an owner of ADSs, you will become a party to the applicable deposit agreement and therefore will be bound to its terms and to the terms of any ADR that represents your ADSs. The deposit agreement for your ADSs, and the ADR evidencing your ADSs specify the Company’s rights and obligations as well as your rights and obligations as an owner of ADSs and those of the depositary. As an ADS holder you appoint the depositary to act on your behalf in certain circumstances. The deposit agreement and the ADRs are governed by New York law. However, the Company’s obligations to the holders of the Class A Shares or Class C Shares will continue to be governed by the laws of England and Wales, which may be different from the laws in the United States.</w:t>
      </w:r>
    </w:p>
    <w:p>
      <w:pPr>
        <w:spacing w:after="0" w:line="187"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In addition, applicable laws and regulations may require you to satisfy reporting requirements and obtain regulatory approvals in certain circumstances. You are solely responsible for complying with such reporting requirements and obtaining such approvals. Neither the depositary, the custodian, the Company or any of its or its respective agents or affiliates shall be required to take any actions whatsoever on your behalf to satisfy such reporting requirements or obtain such regulatory approvals under applicable laws and regulations.</w:t>
      </w:r>
    </w:p>
    <w:p>
      <w:pPr>
        <w:spacing w:after="0" w:line="178"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As an owner of ADSs, the Company will not treat you as one of its shareholders and you will not have direct shareholder rights. The depositary will hold on your behalf the shareholder rights attached to the Class A Shares or Class C Shares underlying your ADSs. As an owner of ADSs you will be able to exercise the shareholders rights for the Class A Shares or Class C Shares represented by your ADSs through the depositary only to the extent contemplated in the deposit agreement. To exercise any shareholder rights not contemplated in the deposit agreement you will, as an ADS owner, need to arrange for the cancellation of your ADSs and become a direct shareholder.</w:t>
      </w:r>
    </w:p>
    <w:p>
      <w:pPr>
        <w:spacing w:after="0" w:line="183" w:lineRule="exact"/>
        <w:rPr>
          <w:sz w:val="20"/>
          <w:szCs w:val="20"/>
          <w:color w:val="auto"/>
        </w:rPr>
      </w:pPr>
    </w:p>
    <w:p>
      <w:pPr>
        <w:ind w:left="120" w:right="20" w:firstLine="440"/>
        <w:spacing w:after="0" w:line="252" w:lineRule="auto"/>
        <w:rPr>
          <w:sz w:val="20"/>
          <w:szCs w:val="20"/>
          <w:color w:val="auto"/>
        </w:rPr>
      </w:pPr>
      <w:r>
        <w:rPr>
          <w:rFonts w:ascii="Times New Roman" w:cs="Times New Roman" w:eastAsia="Times New Roman" w:hAnsi="Times New Roman"/>
          <w:sz w:val="18"/>
          <w:szCs w:val="18"/>
          <w:i w:val="1"/>
          <w:iCs w:val="1"/>
          <w:color w:val="auto"/>
        </w:rPr>
        <w:t>The manner in which you own the ADSs (e.g., in a brokerage account vs. as registered holder, or as holder of certificated vs. uncertificated ADSs) may affect your rights and obligations, and the manner in which, and extent to which, the depositary’s services are made available to you. As an owner of ADSs, you may hold your ADSs either by means of an ADR registered in your name, through a brokerage or safekeeping account, or through an account established by the depositary in your name reflecting the registration of uncertificated ADSs directly on the books of the depositary (commonly referred to as the “direct registration system” or “DRS”). The direct registration system reflects the uncertificated (book-entry) registration of ownership of ADSs by the depositary. Under the direct registration system, ownership of ADSs is evidenced by periodic statements issued by the depositary to the holders of the ADSs. The direct registration system includes automated transfers between the depositary and DTC, the central book-entry clearing and settlement system for equity securities in the United States. If you decide to hold your ADSs through your brokerage or safekeeping account, you must rely on the procedures of your broker or bank to assert your rights as ADS owner. Banks and brokers typically hold securities such as the ADSs through clearing and settlement systems such as DTC. The procedures of such clearing and settlement systems may limit your ability to exercise your rights as an owner of ADSs. Please consult with your broker or bank if you have any questions concerning these limitations and procedures. All ADSs held through DTC will be registered in the name of a nominee of DTC, which nominee will be the only “holder” of such ADSs for purposes of the deposit agreement and any applicable ADR. This summary description assumes you have opted to own the ADSs directly by means of an ADS registered in your name and, as such, this section will refer to you as the “holder.” The references to “you” assume the reader owns ADSs and will own ADSs at the relevant time.</w:t>
      </w:r>
    </w:p>
    <w:p>
      <w:pPr>
        <w:spacing w:after="0" w:line="198" w:lineRule="exact"/>
        <w:rPr>
          <w:sz w:val="20"/>
          <w:szCs w:val="20"/>
          <w:color w:val="auto"/>
        </w:rPr>
      </w:pPr>
    </w:p>
    <w:p>
      <w:pPr>
        <w:ind w:left="120" w:right="220" w:firstLine="440"/>
        <w:spacing w:after="0" w:line="261" w:lineRule="auto"/>
        <w:rPr>
          <w:sz w:val="20"/>
          <w:szCs w:val="20"/>
          <w:color w:val="auto"/>
        </w:rPr>
      </w:pPr>
      <w:r>
        <w:rPr>
          <w:rFonts w:ascii="Times New Roman" w:cs="Times New Roman" w:eastAsia="Times New Roman" w:hAnsi="Times New Roman"/>
          <w:sz w:val="18"/>
          <w:szCs w:val="18"/>
          <w:color w:val="auto"/>
        </w:rPr>
        <w:t>The registration of the Class A Shares and the Class C Shares in the name of the depositary or the custodian shall, to the maximum extent permitted by applicable law, vest in the depositary or the custodian the record ownership in the applicable Class A Shares and the Class C Shares with the beneficial ownership rights and interests in such Class A Shares and the Class C Shares being at all times vested with the beneficial owners of the ADSs representing the applicable Class A Shares and the Class C Shares. The depositary or the custodian shall at</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183</w:t>
      </w:r>
    </w:p>
    <w:p>
      <w:pPr>
        <w:sectPr>
          <w:pgSz w:w="11900" w:h="16838" w:orient="portrait"/>
          <w:cols w:equalWidth="0" w:num="1">
            <w:col w:w="11120"/>
          </w:cols>
          <w:pgMar w:left="320" w:top="455" w:right="459" w:bottom="1440" w:gutter="0" w:footer="0" w:header="0"/>
        </w:sectPr>
      </w:pPr>
    </w:p>
    <w:bookmarkStart w:id="198" w:name="page199"/>
    <w:bookmarkEnd w:id="19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20"/>
        <w:spacing w:after="0" w:line="282" w:lineRule="auto"/>
        <w:rPr>
          <w:sz w:val="20"/>
          <w:szCs w:val="20"/>
          <w:color w:val="auto"/>
        </w:rPr>
      </w:pPr>
      <w:r>
        <w:rPr>
          <w:rFonts w:ascii="Times New Roman" w:cs="Times New Roman" w:eastAsia="Times New Roman" w:hAnsi="Times New Roman"/>
          <w:sz w:val="18"/>
          <w:szCs w:val="18"/>
          <w:color w:val="auto"/>
        </w:rPr>
        <w:t>all times be entitled to exercise the beneficial ownership rights in all corresponding deposited property, in each case only on behalf of the holders and beneficial owners of the ADSs representing the deposited property.</w:t>
      </w:r>
    </w:p>
    <w:p>
      <w:pPr>
        <w:spacing w:after="0" w:line="162"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The Class A Shares or Class C Shares, the transfer of which is restricted due to contractual or regulatory limitations and commonly referred to as “Restricted Shares,” are eligible for deposit under the deposit agreements only in limited circumstances described under the section entitled “— Restricted ADSs,” below.</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Dividends and Distributions</w:t>
      </w:r>
    </w:p>
    <w:p>
      <w:pPr>
        <w:spacing w:after="0" w:line="121"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As a holder of ADSs, you generally have the right to receive the distributions the Company makes on the corresponding securities deposited with the custodian. Your receipt of these distributions may be limited, however, by practical considerations and legal limitations. Holders of ADSs will receive such distributions under the terms of the deposit agreement in proportion to the number of ADSs held as of the specified record date, after deduction of the applicable fees, taxes and expenses.</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Distributions of Cash</w:t>
      </w:r>
    </w:p>
    <w:p>
      <w:pPr>
        <w:spacing w:after="0" w:line="119"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Whenever the Company makes a cash distribution for the securities on deposit with the custodian, the Company will deposit the funds with the custodian. Upon receipt of confirmation of the deposit of the requisite funds, the depositary will arrange for the funds received in a currency other than U.S. dollars to be converted into U.S. dollars and for the distribution of the U.S. dollars to the holders of the applicable ADSs, subject to the laws and regulations of England and Wales.</w:t>
      </w:r>
    </w:p>
    <w:p>
      <w:pPr>
        <w:spacing w:after="0" w:line="180"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conversion into U.S. dollars will take place only if practicable and if the U.S. dollars are transferable to the United States. The depositary will apply the same method for distributing the proceeds of the sale of any property (such as undistributed rights) held by the custodian in respect of securities on deposit.</w:t>
      </w:r>
    </w:p>
    <w:p>
      <w:pPr>
        <w:spacing w:after="0" w:line="176"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distribution of cash will be made net of the fees, expenses, taxes and governmental charges payable by holders under the terms of the deposit agreement. The depositary will hold any cash amounts it is unable to distribute in a non-interest bearing account for the benefit of the applicable holders and beneficial owners of ADSs until the distribution can be effected or the funds that the depositary holds must be escheated as unclaimed property in accordance with the laws of the relevant states of the United States.</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Distributions of Class A Shares or Class C Shares</w:t>
      </w:r>
    </w:p>
    <w:p>
      <w:pPr>
        <w:spacing w:after="0" w:line="119"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Whenever the Company makes a free distribution of Class A Shares or Class C Shares for the securities on deposit with the custodian, the Company will deposit the applicable number of Class A Shares or Class C Shares with the custodian. Upon receipt of confirmation of such deposit, the depositary will either distribute to the applicable holders new ADSs representing the Class A Shares or Class C Shares deposited or modify the ADS-to-Share ratio, in which case each ADS you hold will represent rights and interests in the additional Shares so deposited. Only whole new ADSs will be distributed. Fractional entitlements will be sold and the proceeds of such sale will be distributed as in the case of a cash distribution.</w:t>
      </w:r>
    </w:p>
    <w:p>
      <w:pPr>
        <w:spacing w:after="0" w:line="183"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The distribution of new ADSs or the modification of the ADS-to-Share ratio upon a distribution of Shares will be made net of the fees, expenses, taxes and governmental charges payable by holders under the terms of the deposit agreement. In order to pay such taxes or governmental charges, the depositary may sell all or a portion of the new Class A Shares or Class C Shares so distributed.</w:t>
      </w:r>
    </w:p>
    <w:p>
      <w:pPr>
        <w:spacing w:after="0" w:line="174" w:lineRule="exact"/>
        <w:rPr>
          <w:sz w:val="20"/>
          <w:szCs w:val="20"/>
          <w:color w:val="auto"/>
        </w:rPr>
      </w:pPr>
    </w:p>
    <w:p>
      <w:pPr>
        <w:jc w:val="both"/>
        <w:ind w:left="120" w:right="120" w:firstLine="440"/>
        <w:spacing w:after="0" w:line="267" w:lineRule="auto"/>
        <w:rPr>
          <w:sz w:val="20"/>
          <w:szCs w:val="20"/>
          <w:color w:val="auto"/>
        </w:rPr>
      </w:pPr>
      <w:r>
        <w:rPr>
          <w:rFonts w:ascii="Times New Roman" w:cs="Times New Roman" w:eastAsia="Times New Roman" w:hAnsi="Times New Roman"/>
          <w:sz w:val="18"/>
          <w:szCs w:val="18"/>
          <w:color w:val="auto"/>
        </w:rPr>
        <w:t>No such distribution of new ADSs will be made if it would violate a law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the U.S. securities laws) or if it is not operationally practicable. If the depositary does not distribute new ADSs as described above, it may sell the Class A Shares or Class C Shares received upon the terms described in the deposit agreement and will distribute the proceeds of the sale as in the case of a distribution of cash.</w:t>
      </w:r>
    </w:p>
    <w:p>
      <w:pPr>
        <w:spacing w:after="0" w:line="10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184</w:t>
      </w:r>
    </w:p>
    <w:p>
      <w:pPr>
        <w:sectPr>
          <w:pgSz w:w="11900" w:h="16838" w:orient="portrait"/>
          <w:cols w:equalWidth="0" w:num="1">
            <w:col w:w="11080"/>
          </w:cols>
          <w:pgMar w:left="320" w:top="455" w:right="499" w:bottom="1440" w:gutter="0" w:footer="0" w:header="0"/>
        </w:sectPr>
      </w:pPr>
    </w:p>
    <w:bookmarkStart w:id="199" w:name="page200"/>
    <w:bookmarkEnd w:id="19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Distributions of Rights</w:t>
      </w:r>
    </w:p>
    <w:p>
      <w:pPr>
        <w:spacing w:after="0" w:line="119"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Whenever the Company intends to distribute rights to subscribe for additional Class A Shares or Class C Shares, the Company will give prior notice to the depositary and will assist the depositary in determining whether it is lawful and reasonably practicable to distribute rights to subscribe for additional ADSs to the applicable holders.</w:t>
      </w:r>
    </w:p>
    <w:p>
      <w:pPr>
        <w:spacing w:after="0" w:line="176"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The depositary will establish procedures to distribute rights to subscribe for additional ADSs to the applicable holders and to enable such holders to exercise such rights if it is lawful and reasonably practicable to make the rights available to the applicable holders of ADSs, and if the Company provides all of the documentation contemplated in the deposit agreement (such as opinions to address the lawfulness of the transaction). You may have to pay fees, expenses, taxes and other governmental charges to subscribe for the new ADSs upon the exercise of your rights. The depositary is not obligated to establish procedures to facilitate the distribution and exercise by holders of rights to subscribe for new Class A Shares or Class C Shares other than in the form of ADSs.</w:t>
      </w:r>
    </w:p>
    <w:p>
      <w:pPr>
        <w:spacing w:after="0" w:line="18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The depositary will </w:t>
      </w:r>
      <w:r>
        <w:rPr>
          <w:rFonts w:ascii="Times New Roman" w:cs="Times New Roman" w:eastAsia="Times New Roman" w:hAnsi="Times New Roman"/>
          <w:sz w:val="18"/>
          <w:szCs w:val="18"/>
          <w:i w:val="1"/>
          <w:iCs w:val="1"/>
          <w:color w:val="auto"/>
        </w:rPr>
        <w:t>not</w:t>
      </w:r>
      <w:r>
        <w:rPr>
          <w:rFonts w:ascii="Times New Roman" w:cs="Times New Roman" w:eastAsia="Times New Roman" w:hAnsi="Times New Roman"/>
          <w:sz w:val="18"/>
          <w:szCs w:val="18"/>
          <w:color w:val="auto"/>
        </w:rPr>
        <w:t xml:space="preserve"> distribute the rights to you if:</w:t>
      </w:r>
    </w:p>
    <w:p>
      <w:pPr>
        <w:spacing w:after="0" w:line="133" w:lineRule="exact"/>
        <w:rPr>
          <w:sz w:val="20"/>
          <w:szCs w:val="20"/>
          <w:color w:val="auto"/>
        </w:rPr>
      </w:pPr>
    </w:p>
    <w:p>
      <w:pPr>
        <w:ind w:left="1080" w:hanging="424"/>
        <w:spacing w:after="0"/>
        <w:tabs>
          <w:tab w:leader="none" w:pos="1080" w:val="left"/>
        </w:tabs>
        <w:numPr>
          <w:ilvl w:val="0"/>
          <w:numId w:val="1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does not timely request that the rights be distributed to you or the Company requests that the rights not be distributed to you;</w:t>
      </w:r>
    </w:p>
    <w:p>
      <w:pPr>
        <w:spacing w:after="0" w:line="142" w:lineRule="exact"/>
        <w:rPr>
          <w:rFonts w:ascii="Times New Roman" w:cs="Times New Roman" w:eastAsia="Times New Roman" w:hAnsi="Times New Roman"/>
          <w:sz w:val="17"/>
          <w:szCs w:val="17"/>
          <w:color w:val="auto"/>
        </w:rPr>
      </w:pPr>
    </w:p>
    <w:p>
      <w:pPr>
        <w:ind w:left="1080" w:hanging="424"/>
        <w:spacing w:after="0"/>
        <w:tabs>
          <w:tab w:leader="none" w:pos="108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fails to deliver satisfactory documents to the depositary;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not reasonably practicable to distribute the rights.</w:t>
      </w:r>
    </w:p>
    <w:p>
      <w:pPr>
        <w:spacing w:after="0" w:line="225" w:lineRule="exact"/>
        <w:rPr>
          <w:sz w:val="20"/>
          <w:szCs w:val="20"/>
          <w:color w:val="auto"/>
        </w:rPr>
      </w:pPr>
    </w:p>
    <w:p>
      <w:pPr>
        <w:jc w:val="both"/>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The depositary will sell the rights that are not exercised or not distributed if such sale is lawful and reasonably practicable. The proceeds of such sale will be distributed to the applicable holders as in the case of a cash distribution. If the depositary is unable to sell the rights, it will allow the rights to lapse.</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Elective Distributions</w:t>
      </w:r>
    </w:p>
    <w:p>
      <w:pPr>
        <w:spacing w:after="0" w:line="119"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Whenever the Company intends to distribute a dividend payable at the election of shareholders either in cash or in additional Class A Shares or Class C Shares, the Company will give prior notice thereof to the depositary and will indicate whether the Company wishes the elective distribution to be made available to you. In such case, the Company will assist the depositary in determining whether such distribution is lawful and reasonably practicable.</w:t>
      </w:r>
    </w:p>
    <w:p>
      <w:pPr>
        <w:spacing w:after="0" w:line="180"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depositary will make the election available to you only if it is reasonably practicable and if the Company has provided all of the documentation contemplated in the deposit agreement. In such case, the depositary will establish procedures to enable you to elect to receive either cash or additional ADSs, in each case as described in the deposit agreement.</w:t>
      </w:r>
    </w:p>
    <w:p>
      <w:pPr>
        <w:spacing w:after="0" w:line="176"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If the election is not made available to you, you will receive either cash or additional ADSs, depending on what a shareholder in England and Wales would receive upon failing to make an election, as more fully described in the deposit agreement.</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Other Distributions</w:t>
      </w:r>
    </w:p>
    <w:p>
      <w:pPr>
        <w:spacing w:after="0" w:line="119"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Whenever the Company intends to distribute property other than cash, Class A Shares or Class C Shares or rights to subscribe for additional Class A Shares or Class C Shares, the Company will notify the depositary in advance and will indicate whether it wishes such distribution to be made to you. If so, the Company will assist the depositary in determining whether such distribution to holders is lawful and reasonably practicable.</w:t>
      </w:r>
    </w:p>
    <w:p>
      <w:pPr>
        <w:spacing w:after="0" w:line="176" w:lineRule="exact"/>
        <w:rPr>
          <w:sz w:val="20"/>
          <w:szCs w:val="20"/>
          <w:color w:val="auto"/>
        </w:rPr>
      </w:pPr>
    </w:p>
    <w:p>
      <w:pPr>
        <w:jc w:val="both"/>
        <w:ind w:left="120" w:right="800" w:firstLine="440"/>
        <w:spacing w:after="0" w:line="312" w:lineRule="auto"/>
        <w:rPr>
          <w:sz w:val="20"/>
          <w:szCs w:val="20"/>
          <w:color w:val="auto"/>
        </w:rPr>
      </w:pPr>
      <w:r>
        <w:rPr>
          <w:rFonts w:ascii="Times New Roman" w:cs="Times New Roman" w:eastAsia="Times New Roman" w:hAnsi="Times New Roman"/>
          <w:sz w:val="17"/>
          <w:szCs w:val="17"/>
          <w:color w:val="auto"/>
        </w:rPr>
        <w:t>If it is reasonably practicable to distribute such property to you and if the Company provides to the depositary all of the documentation contemplated in the deposit agreement, the depositary will distribute the property to the applicable holders in a manner it deems practicable.</w:t>
      </w:r>
    </w:p>
    <w:p>
      <w:pPr>
        <w:spacing w:after="0" w:line="7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185</w:t>
      </w:r>
    </w:p>
    <w:p>
      <w:pPr>
        <w:sectPr>
          <w:pgSz w:w="11900" w:h="16838" w:orient="portrait"/>
          <w:cols w:equalWidth="0" w:num="1">
            <w:col w:w="11060"/>
          </w:cols>
          <w:pgMar w:left="320" w:top="455" w:right="519" w:bottom="1440" w:gutter="0" w:footer="0" w:header="0"/>
        </w:sectPr>
      </w:pPr>
    </w:p>
    <w:bookmarkStart w:id="200" w:name="page201"/>
    <w:bookmarkEnd w:id="20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The distribution will be made net of fees, expenses, taxes and governmental charges payable by holders under the terms of the applicable deposit agreement. In order to pay such taxes and governmental charges, the depositary may sell all or a portion of the property received.</w:t>
      </w:r>
    </w:p>
    <w:p>
      <w:pPr>
        <w:spacing w:after="0" w:line="16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The depositary will </w:t>
      </w:r>
      <w:r>
        <w:rPr>
          <w:rFonts w:ascii="Times New Roman" w:cs="Times New Roman" w:eastAsia="Times New Roman" w:hAnsi="Times New Roman"/>
          <w:sz w:val="18"/>
          <w:szCs w:val="18"/>
          <w:i w:val="1"/>
          <w:iCs w:val="1"/>
          <w:color w:val="auto"/>
        </w:rPr>
        <w:t>not</w:t>
      </w:r>
      <w:r>
        <w:rPr>
          <w:rFonts w:ascii="Times New Roman" w:cs="Times New Roman" w:eastAsia="Times New Roman" w:hAnsi="Times New Roman"/>
          <w:sz w:val="18"/>
          <w:szCs w:val="18"/>
          <w:color w:val="auto"/>
        </w:rPr>
        <w:t xml:space="preserve"> distribute the property to you and will sell the property if:</w:t>
      </w:r>
    </w:p>
    <w:p>
      <w:pPr>
        <w:spacing w:after="0" w:line="133" w:lineRule="exact"/>
        <w:rPr>
          <w:sz w:val="20"/>
          <w:szCs w:val="20"/>
          <w:color w:val="auto"/>
        </w:rPr>
      </w:pPr>
    </w:p>
    <w:p>
      <w:pPr>
        <w:ind w:left="1080" w:hanging="424"/>
        <w:spacing w:after="0"/>
        <w:tabs>
          <w:tab w:leader="none" w:pos="108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does not request that the property be distributed to you or if the Company requests that the property not be distributed to you;</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does not deliver satisfactory documents to the depositary;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depositary determines that all or a portion of the distribution to you is not reasonably practicable.</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proceeds of such a sale will be distributed to holders as in the case of a cash distribution.</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Redemption and, with respect to Class C Shares, Mandatory Conversion</w:t>
      </w:r>
    </w:p>
    <w:p>
      <w:pPr>
        <w:spacing w:after="0" w:line="121"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Whenever the Company decides to exercise its right of redemption and/or, with respect to the Class C Shares, mandatory conversion, of any of the securities on deposit with the custodian, the Company will notify the depositary in advance. If it is practicable and if the Company provides all of the documentation contemplated in the deposit agreement, the depositary will provide notice of the redemption and/or, with respect to the Class C Shares, mandatory conversion to the applicable holders.</w:t>
      </w:r>
    </w:p>
    <w:p>
      <w:pPr>
        <w:spacing w:after="0" w:line="180"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 xml:space="preserve">The custodian will be instructed to surrender the deposited securities being redeemed and/or, with respect to the Class C Shares, mandatorily converted against payment of the applicable redemption and/or, with respect to the Class C Shares, mandatory conversion price. The depositary will convert into U.S. dollars upon the terms of the deposit agreement the redemption funds received in a currency other than U.S. dollars and will establish procedures to enable holders to receive the net proceeds from the redemption and/or, with respect to the Class C Shares, mandatory conversion upon surrender of their ADSs to the depositary. You may have to pay fees, expenses, taxes and other governmental charges upon the redemption and/or, with respect to the Class C Shares, mandatory conversion of your ADSs. If less than all ADSs are being redeemed and/or, with respect to the Class C Shares, mandatorily converted, the ADSs to be retired will be selected by lot or on a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basis, as the depositary may determine.</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Changes affecting Class A Shares or Class C Shares</w:t>
      </w:r>
    </w:p>
    <w:p>
      <w:pPr>
        <w:spacing w:after="0" w:line="121" w:lineRule="exact"/>
        <w:rPr>
          <w:sz w:val="20"/>
          <w:szCs w:val="20"/>
          <w:color w:val="auto"/>
        </w:rPr>
      </w:pPr>
    </w:p>
    <w:p>
      <w:pPr>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The Class A Shares or Class C Shares held on deposit for your ADSs may change from time to time. For example, there may be a change in nominal or par value, split-up, cancellation, consolidation or any other reclassification of such Class A Shares or Class C Shares or a recapitalization, reorganization, merger, consolidation or sale of assets of the Company.</w:t>
      </w:r>
    </w:p>
    <w:p>
      <w:pPr>
        <w:spacing w:after="0" w:line="176"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If any such change were to occur, your ADSs would, to the extent permitted by law and the deposit agreement, represent the right to receive the property received or exchanged in respect of the Class A Shares or Class C Shares held on deposit. The depositary may in such circumstances deliver new ADSs to you, amend the applicable deposit agreement, the applicable ADRs and the applicable Registration Statement(s) on Form F-6, call for the exchange of your existing ADSs for new ADSs and take any other actions that are appropriate to reflect as to the ADSs the change affecting the Class A Shares or Class C Shares. If the depositary may not lawfully distribute such property to you, the depositary may sell such property and distribute the net proceeds to you as in the case of a cash distribution.</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186</w:t>
      </w:r>
    </w:p>
    <w:p>
      <w:pPr>
        <w:sectPr>
          <w:pgSz w:w="11900" w:h="16838" w:orient="portrait"/>
          <w:cols w:equalWidth="0" w:num="1">
            <w:col w:w="11120"/>
          </w:cols>
          <w:pgMar w:left="320" w:top="455" w:right="459" w:bottom="1440" w:gutter="0" w:footer="0" w:header="0"/>
        </w:sectPr>
      </w:pPr>
    </w:p>
    <w:bookmarkStart w:id="201" w:name="page202"/>
    <w:bookmarkEnd w:id="20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Issuance of ADSs upon Deposit of Class A Shares or Class C Shares</w:t>
      </w:r>
    </w:p>
    <w:p>
      <w:pPr>
        <w:spacing w:after="0" w:line="121"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Upon completion of the Business Combination, the Class A Shares or Class C Shares being offered in connection with the Business Combination were deposited by the Company with the custodian. Upon receipt of confirmation of such deposit, the depositary issued ADSs representing the deposited Class A Shares or Class C Shares to the order of Computershare Inc., a Delaware corporation and Computershare Trust Company, N.A., a federally chartered trust company, in their capacities as transfer agent and exchange agent for the Business Combination for the distribution to the holders of GGI Common Stock and GGI Warrants entitled thereto.</w:t>
      </w:r>
    </w:p>
    <w:p>
      <w:pPr>
        <w:spacing w:after="0" w:line="183"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depositary may create ADSs on your behalf if you or your broker deposit Class A Shares or Class C Shares with the custodian. The depositary will deliver the corresponding ADSs to the person you indicate only after you pay any applicable issuance fees and any charges and taxes payable for the transfer of the Class A Shares or Class C Shares to the custodian. Your ability to deposit Class A Shares or Class C Shares and receive ADSs may be limited by U.S. and English legal considerations applicable at the time of deposit.</w:t>
      </w:r>
    </w:p>
    <w:p>
      <w:pPr>
        <w:spacing w:after="0" w:line="180"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The issuance of ADSs may be delayed until the depositary or the custodian receives confirmation that all required approvals have been given and that the Shares have been duly transferred to the custodian. The depositary will only issue ADSs in whole numbers.</w:t>
      </w:r>
    </w:p>
    <w:p>
      <w:pPr>
        <w:spacing w:after="0" w:line="162"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When you make a deposit of Class A Shares or Class C Shares, you will be responsible for transferring good and valid title to the depositary. As such, you will be deemed to represent and warrant that:</w:t>
      </w:r>
    </w:p>
    <w:p>
      <w:pPr>
        <w:spacing w:after="0" w:line="67" w:lineRule="exact"/>
        <w:rPr>
          <w:sz w:val="20"/>
          <w:szCs w:val="20"/>
          <w:color w:val="auto"/>
        </w:rPr>
      </w:pPr>
    </w:p>
    <w:p>
      <w:pPr>
        <w:ind w:left="1080" w:hanging="424"/>
        <w:spacing w:after="0"/>
        <w:tabs>
          <w:tab w:leader="none" w:pos="108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A Shares or Class C Shares are duly authorized, validly issued, fully paid, non-assessable and legally obtained.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preemptive (and similar) rights, if any, with respect to such Class A Shares or Class C Shares have been validly waived or exercised.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are duly authorized to deposit the Class A Shares or Class C Shares.</w:t>
      </w:r>
    </w:p>
    <w:p>
      <w:pPr>
        <w:spacing w:after="0" w:line="130" w:lineRule="exact"/>
        <w:rPr>
          <w:rFonts w:ascii="Times New Roman" w:cs="Times New Roman" w:eastAsia="Times New Roman" w:hAnsi="Times New Roman"/>
          <w:sz w:val="18"/>
          <w:szCs w:val="18"/>
          <w:color w:val="auto"/>
        </w:rPr>
      </w:pPr>
    </w:p>
    <w:p>
      <w:pPr>
        <w:ind w:left="1080" w:right="40" w:hanging="424"/>
        <w:spacing w:after="0" w:line="266" w:lineRule="auto"/>
        <w:tabs>
          <w:tab w:leader="none" w:pos="108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A Shares or Class C Shares presented for deposit are free and clear of any lien, encumbrance, security interest, charge, mortgage or adverse claim, and are not, and the ADSs issuable upon such deposit will not be, “restricted securities” (except as contemplated below and in the applicable deposit agreement).</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A Shares or Class C Shares presented for deposit have not been stripped of any rights or entitlements.</w:t>
      </w:r>
    </w:p>
    <w:p>
      <w:pPr>
        <w:spacing w:after="0" w:line="225"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If any of the representations or warranties are incorrect in any way, the Company and the depositary may, at your cost and expense, take any and all actions necessary to correct the consequences of the misrepresentations.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Transfer, Combination and Split Up of ADRs</w:t>
      </w:r>
    </w:p>
    <w:p>
      <w:pPr>
        <w:spacing w:after="0" w:line="121"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As an ADR holder, you will be entitled to transfer, combine or split up your ADRs and the ADSs evidenced thereby. For transfers of ADRs, you will have to surrender the ADRs to be transferred to the depositary and also must:</w:t>
      </w:r>
    </w:p>
    <w:p>
      <w:pPr>
        <w:spacing w:after="0" w:line="67" w:lineRule="exact"/>
        <w:rPr>
          <w:sz w:val="20"/>
          <w:szCs w:val="20"/>
          <w:color w:val="auto"/>
        </w:rPr>
      </w:pPr>
    </w:p>
    <w:p>
      <w:pPr>
        <w:ind w:left="1080" w:hanging="424"/>
        <w:spacing w:after="0"/>
        <w:tabs>
          <w:tab w:leader="none" w:pos="108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ensure that the surrendered ADR is properly endorsed or otherwise in proper form for transfer;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such proof of identity and genuineness of signatures as the depositary deems appropriate;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any transfer stamps required by the State of New York or the United States; and</w:t>
      </w:r>
    </w:p>
    <w:p>
      <w:pPr>
        <w:spacing w:after="0" w:line="130" w:lineRule="exact"/>
        <w:rPr>
          <w:rFonts w:ascii="Times New Roman" w:cs="Times New Roman" w:eastAsia="Times New Roman" w:hAnsi="Times New Roman"/>
          <w:sz w:val="18"/>
          <w:szCs w:val="18"/>
          <w:color w:val="auto"/>
        </w:rPr>
      </w:pPr>
    </w:p>
    <w:p>
      <w:pPr>
        <w:ind w:left="1080" w:right="540" w:hanging="424"/>
        <w:spacing w:after="0" w:line="282" w:lineRule="auto"/>
        <w:tabs>
          <w:tab w:leader="none" w:pos="108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all applicable fees, charges, expenses, taxes and other government charges payable by ADR holders pursuant to the terms of the deposit agreement, upon the transfer of ADRs.</w:t>
      </w:r>
    </w:p>
    <w:p>
      <w:pPr>
        <w:spacing w:after="0" w:line="162" w:lineRule="exact"/>
        <w:rPr>
          <w:sz w:val="20"/>
          <w:szCs w:val="20"/>
          <w:color w:val="auto"/>
        </w:rPr>
      </w:pPr>
    </w:p>
    <w:p>
      <w:pPr>
        <w:ind w:left="120" w:right="540" w:firstLine="440"/>
        <w:spacing w:after="0" w:line="266" w:lineRule="auto"/>
        <w:rPr>
          <w:sz w:val="20"/>
          <w:szCs w:val="20"/>
          <w:color w:val="auto"/>
        </w:rPr>
      </w:pPr>
      <w:r>
        <w:rPr>
          <w:rFonts w:ascii="Times New Roman" w:cs="Times New Roman" w:eastAsia="Times New Roman" w:hAnsi="Times New Roman"/>
          <w:sz w:val="18"/>
          <w:szCs w:val="18"/>
          <w:color w:val="auto"/>
        </w:rPr>
        <w:t>To have your ADRs either combined or split up, you must surrender the ADRs in question to the depositary with your request to have them combined or split up, and you must pay all applicable fees, charges and expenses payable by ADR holders, pursuant to the terms of the deposit agreement, upon a combination or split up of ADRs.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187</w:t>
      </w:r>
    </w:p>
    <w:p>
      <w:pPr>
        <w:sectPr>
          <w:pgSz w:w="11900" w:h="16838" w:orient="portrait"/>
          <w:cols w:equalWidth="0" w:num="1">
            <w:col w:w="11120"/>
          </w:cols>
          <w:pgMar w:left="320" w:top="455" w:right="459" w:bottom="1440" w:gutter="0" w:footer="0" w:header="0"/>
        </w:sectPr>
      </w:pPr>
    </w:p>
    <w:bookmarkStart w:id="202" w:name="page203"/>
    <w:bookmarkEnd w:id="20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Withdrawal of Class A Shares or Class C Shares Upon Cancellation of ADSs</w:t>
      </w:r>
    </w:p>
    <w:p>
      <w:pPr>
        <w:spacing w:after="0" w:line="121"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As a holder, you will be entitled to present your ADSs to the depositary for cancellation and then receive the corresponding number of underlying Class A Shares or Class C Shares at the custodian’s offices. Your ability to withdraw the Class A Shares or Class C Shares held in respect of the ADSs may be limited by U.S. and English legal considerations applicable at the time of withdrawal. In order to withdraw the Class A Shares or Class C Shares represented by your ADSs, you will be required to pay to the depositary the fees for cancellation of ADSs and any charges and taxes payable upon the transfer of the Class A Shares or Class C Shares. You assume the risk for delivery of all funds and securities upon withdrawal. Once canceled, the ADSs will not have any rights under the deposit agreement.</w:t>
      </w:r>
    </w:p>
    <w:p>
      <w:pPr>
        <w:spacing w:after="0" w:line="187" w:lineRule="exact"/>
        <w:rPr>
          <w:sz w:val="20"/>
          <w:szCs w:val="20"/>
          <w:color w:val="auto"/>
        </w:rPr>
      </w:pPr>
    </w:p>
    <w:p>
      <w:pPr>
        <w:ind w:left="120" w:right="280" w:firstLine="440"/>
        <w:spacing w:after="0" w:line="261" w:lineRule="auto"/>
        <w:rPr>
          <w:sz w:val="20"/>
          <w:szCs w:val="20"/>
          <w:color w:val="auto"/>
        </w:rPr>
      </w:pPr>
      <w:r>
        <w:rPr>
          <w:rFonts w:ascii="Times New Roman" w:cs="Times New Roman" w:eastAsia="Times New Roman" w:hAnsi="Times New Roman"/>
          <w:sz w:val="18"/>
          <w:szCs w:val="18"/>
          <w:color w:val="auto"/>
        </w:rPr>
        <w:t>If you hold ADSs registered in your name, the depositary may ask you to provide proof of identity and genuineness of any signature and such other documents as the depositary may deem appropriate before it will cancel your ADSs. The withdrawal of the Class A Shares or Class C Shares represented by your ADSs may be delayed until the depositary receives satisfactory evidence of compliance with all applicable laws and regulations. Please keep in mind that the depositary will only accept ADSs for cancellation that represent a whole number of securities on deposit.</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You will have the right to withdraw the securities represented by your ADSs at any time except for:</w:t>
      </w:r>
    </w:p>
    <w:p>
      <w:pPr>
        <w:spacing w:after="0" w:line="131" w:lineRule="exact"/>
        <w:rPr>
          <w:sz w:val="20"/>
          <w:szCs w:val="20"/>
          <w:color w:val="auto"/>
        </w:rPr>
      </w:pPr>
    </w:p>
    <w:p>
      <w:pPr>
        <w:ind w:left="1080" w:right="360" w:hanging="424"/>
        <w:spacing w:after="0" w:line="282" w:lineRule="auto"/>
        <w:tabs>
          <w:tab w:leader="none" w:pos="108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Temporary delays that may arise because (i) the transfer books for the Class A Shares or Class C Shares or ADSs are closed, or (ii) the Class A Shares or Class C Shares are immobilized on account of a shareholders’ meeting or a payment of dividends.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Obligations to pay fees, taxes and similar charges.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imposed because of laws or regulations applicable to ADSs or the withdrawal of securities on deposit.</w:t>
      </w:r>
    </w:p>
    <w:p>
      <w:pPr>
        <w:spacing w:after="0" w:line="225" w:lineRule="exact"/>
        <w:rPr>
          <w:sz w:val="20"/>
          <w:szCs w:val="20"/>
          <w:color w:val="auto"/>
        </w:rPr>
      </w:pPr>
    </w:p>
    <w:p>
      <w:pPr>
        <w:ind w:left="120" w:right="440" w:firstLine="440"/>
        <w:spacing w:after="0" w:line="282" w:lineRule="auto"/>
        <w:rPr>
          <w:sz w:val="20"/>
          <w:szCs w:val="20"/>
          <w:color w:val="auto"/>
        </w:rPr>
      </w:pPr>
      <w:r>
        <w:rPr>
          <w:rFonts w:ascii="Times New Roman" w:cs="Times New Roman" w:eastAsia="Times New Roman" w:hAnsi="Times New Roman"/>
          <w:sz w:val="18"/>
          <w:szCs w:val="18"/>
          <w:color w:val="auto"/>
        </w:rPr>
        <w:t>The deposit agreement may not be modified to impair your right to withdraw the securities represented by your ADSs except to comply with mandatory provisions of law.</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Voting Rights</w:t>
      </w:r>
    </w:p>
    <w:p>
      <w:pPr>
        <w:spacing w:after="0" w:line="121"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As a holder, you generally have the right under the deposit agreement to instruct the depositary to exercise the voting rights for the Class A Shares or Class C Shares represented by your ADSs. The voting rights of holders of Class A Shares or Class C Shares are described in “Description of Share Capital and Articles of Association—Description of Company Share Capital and Polestar Articles—Company Securities—Voting Rights.”</w:t>
      </w:r>
    </w:p>
    <w:p>
      <w:pPr>
        <w:spacing w:after="0" w:line="176" w:lineRule="exact"/>
        <w:rPr>
          <w:sz w:val="20"/>
          <w:szCs w:val="20"/>
          <w:color w:val="auto"/>
        </w:rPr>
      </w:pPr>
    </w:p>
    <w:p>
      <w:pPr>
        <w:jc w:val="both"/>
        <w:ind w:left="120" w:right="360" w:firstLine="440"/>
        <w:spacing w:after="0" w:line="266" w:lineRule="auto"/>
        <w:rPr>
          <w:sz w:val="20"/>
          <w:szCs w:val="20"/>
          <w:color w:val="auto"/>
        </w:rPr>
      </w:pPr>
      <w:r>
        <w:rPr>
          <w:rFonts w:ascii="Times New Roman" w:cs="Times New Roman" w:eastAsia="Times New Roman" w:hAnsi="Times New Roman"/>
          <w:sz w:val="18"/>
          <w:szCs w:val="18"/>
          <w:color w:val="auto"/>
        </w:rPr>
        <w:t>At the Company’s request, the depositary will distribute to you any notice of shareholders’ meeting received from the Company together with information explaining how to instruct the depositary to exercise the voting rights of the securities represented by ADSs. In lieu of distributing such materials, the depositary may distribute to holders of ADSs instructions on how to retrieve such materials upon request.</w:t>
      </w:r>
    </w:p>
    <w:p>
      <w:pPr>
        <w:spacing w:after="0" w:line="176"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If the depositary timely receives voting instructions from a holder of ADSs as of a specified record date, it will endeavor to vote the securities (in person or by proxy) represented by the holder’s ADSs in accordance with the voting instructions received from the holders of ADSs.</w:t>
      </w:r>
    </w:p>
    <w:p>
      <w:pPr>
        <w:spacing w:after="0" w:line="162"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Deposited securities represented by ADSs for which no timely voting instructions are received by the depositary from the holder shall not be voted (except as otherwise contemplated in the deposit agreement). If the depositary timely receives voting instructions from a holder which fail to specify the manner in which the depositary is to vote the deposited securities represented by such holder’s ADSs, the depositary will deem such holder (unless otherwise specified in the notice distributed to holders) to have instructed the depositary to vote in favor of the items set forth in such voting instructions.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188</w:t>
      </w:r>
    </w:p>
    <w:p>
      <w:pPr>
        <w:sectPr>
          <w:pgSz w:w="11900" w:h="16838" w:orient="portrait"/>
          <w:cols w:equalWidth="0" w:num="1">
            <w:col w:w="11120"/>
          </w:cols>
          <w:pgMar w:left="320" w:top="455" w:right="459" w:bottom="1440" w:gutter="0" w:footer="0" w:header="0"/>
        </w:sectPr>
      </w:pPr>
    </w:p>
    <w:bookmarkStart w:id="203" w:name="page204"/>
    <w:bookmarkEnd w:id="20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Please note that the ability of the depositary to carry out voting instructions may be limited by practical and legal limitations and the terms of the securities on deposit. The Company cannot assure you that you will receive voting materials in time to enable you to return voting instructions to the depositary in a timely manner.</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Fees and Charges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an ADS holder, you will be required to pay the following fees under the terms of the deposit agreement:</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260" w:type="dxa"/>
            <w:vAlign w:val="bottom"/>
            <w:tcBorders>
              <w:bottom w:val="single" w:sz="8" w:color="auto"/>
            </w:tcBorders>
          </w:tcPr>
          <w:p>
            <w:pPr>
              <w:spacing w:after="0"/>
              <w:rPr>
                <w:sz w:val="16"/>
                <w:szCs w:val="16"/>
                <w:color w:val="auto"/>
              </w:rPr>
            </w:pPr>
          </w:p>
        </w:tc>
        <w:tc>
          <w:tcPr>
            <w:tcW w:w="5360" w:type="dxa"/>
            <w:vAlign w:val="bottom"/>
            <w:tcBorders>
              <w:bottom w:val="single" w:sz="8" w:color="auto"/>
            </w:tcBorders>
          </w:tcPr>
          <w:p>
            <w:pPr>
              <w:ind w:left="2320"/>
              <w:spacing w:after="0"/>
              <w:rPr>
                <w:sz w:val="20"/>
                <w:szCs w:val="20"/>
                <w:color w:val="auto"/>
              </w:rPr>
            </w:pPr>
            <w:r>
              <w:rPr>
                <w:rFonts w:ascii="Times New Roman" w:cs="Times New Roman" w:eastAsia="Times New Roman" w:hAnsi="Times New Roman"/>
                <w:sz w:val="14"/>
                <w:szCs w:val="14"/>
                <w:b w:val="1"/>
                <w:bCs w:val="1"/>
                <w:color w:val="auto"/>
              </w:rPr>
              <w:t>Service</w:t>
            </w:r>
          </w:p>
        </w:tc>
        <w:tc>
          <w:tcPr>
            <w:tcW w:w="220" w:type="dxa"/>
            <w:vAlign w:val="bottom"/>
          </w:tcPr>
          <w:p>
            <w:pPr>
              <w:spacing w:after="0"/>
              <w:rPr>
                <w:sz w:val="16"/>
                <w:szCs w:val="16"/>
                <w:color w:val="auto"/>
              </w:rPr>
            </w:pPr>
          </w:p>
        </w:tc>
        <w:tc>
          <w:tcPr>
            <w:tcW w:w="5180" w:type="dxa"/>
            <w:vAlign w:val="bottom"/>
            <w:tcBorders>
              <w:bottom w:val="single" w:sz="8" w:color="auto"/>
            </w:tcBorders>
          </w:tcPr>
          <w:p>
            <w:pPr>
              <w:ind w:left="2460"/>
              <w:spacing w:after="0"/>
              <w:rPr>
                <w:sz w:val="20"/>
                <w:szCs w:val="20"/>
                <w:color w:val="auto"/>
              </w:rPr>
            </w:pPr>
            <w:r>
              <w:rPr>
                <w:rFonts w:ascii="Times New Roman" w:cs="Times New Roman" w:eastAsia="Times New Roman" w:hAnsi="Times New Roman"/>
                <w:sz w:val="14"/>
                <w:szCs w:val="14"/>
                <w:b w:val="1"/>
                <w:bCs w:val="1"/>
                <w:color w:val="auto"/>
              </w:rPr>
              <w:t>Fees</w:t>
            </w:r>
          </w:p>
        </w:tc>
      </w:tr>
      <w:tr>
        <w:trPr>
          <w:trHeight w:val="189"/>
        </w:trPr>
        <w:tc>
          <w:tcPr>
            <w:tcW w:w="260" w:type="dxa"/>
            <w:vAlign w:val="bottom"/>
          </w:tcPr>
          <w:p>
            <w:pPr>
              <w:ind w:left="80"/>
              <w:spacing w:after="0"/>
              <w:rPr>
                <w:sz w:val="20"/>
                <w:szCs w:val="20"/>
                <w:color w:val="auto"/>
              </w:rPr>
            </w:pPr>
            <w:r>
              <w:rPr>
                <w:rFonts w:ascii="Times New Roman" w:cs="Times New Roman" w:eastAsia="Times New Roman" w:hAnsi="Times New Roman"/>
                <w:sz w:val="16"/>
                <w:szCs w:val="16"/>
                <w:color w:val="auto"/>
                <w:w w:val="73"/>
              </w:rPr>
              <w:t>• </w:t>
            </w:r>
          </w:p>
        </w:tc>
        <w:tc>
          <w:tcPr>
            <w:tcW w:w="5360" w:type="dxa"/>
            <w:vAlign w:val="bottom"/>
          </w:tcPr>
          <w:p>
            <w:pPr>
              <w:ind w:left="60"/>
              <w:spacing w:after="0" w:line="189" w:lineRule="exact"/>
              <w:rPr>
                <w:sz w:val="20"/>
                <w:szCs w:val="20"/>
                <w:color w:val="auto"/>
              </w:rPr>
            </w:pPr>
            <w:r>
              <w:rPr>
                <w:rFonts w:ascii="Times New Roman" w:cs="Times New Roman" w:eastAsia="Times New Roman" w:hAnsi="Times New Roman"/>
                <w:sz w:val="18"/>
                <w:szCs w:val="18"/>
                <w:color w:val="auto"/>
              </w:rPr>
              <w:t> Other than the initial deposit in connection with the Business</w:t>
            </w:r>
          </w:p>
        </w:tc>
        <w:tc>
          <w:tcPr>
            <w:tcW w:w="220" w:type="dxa"/>
            <w:vAlign w:val="bottom"/>
          </w:tcPr>
          <w:p>
            <w:pPr>
              <w:spacing w:after="0"/>
              <w:rPr>
                <w:sz w:val="16"/>
                <w:szCs w:val="16"/>
                <w:color w:val="auto"/>
              </w:rPr>
            </w:pPr>
          </w:p>
        </w:tc>
        <w:tc>
          <w:tcPr>
            <w:tcW w:w="518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Up to US$0.05 per ADS issued</w:t>
            </w:r>
          </w:p>
        </w:tc>
      </w:tr>
      <w:tr>
        <w:trPr>
          <w:trHeight w:val="218"/>
        </w:trPr>
        <w:tc>
          <w:tcPr>
            <w:tcW w:w="260" w:type="dxa"/>
            <w:vAlign w:val="bottom"/>
          </w:tcPr>
          <w:p>
            <w:pPr>
              <w:spacing w:after="0"/>
              <w:rPr>
                <w:sz w:val="18"/>
                <w:szCs w:val="18"/>
                <w:color w:val="auto"/>
              </w:rPr>
            </w:pPr>
          </w:p>
        </w:tc>
        <w:tc>
          <w:tcPr>
            <w:tcW w:w="5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Combination, issuance of ADSs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xml:space="preserve"> an issuance of ADS upon a</w:t>
            </w:r>
          </w:p>
        </w:tc>
        <w:tc>
          <w:tcPr>
            <w:tcW w:w="220" w:type="dxa"/>
            <w:vAlign w:val="bottom"/>
          </w:tcPr>
          <w:p>
            <w:pPr>
              <w:spacing w:after="0"/>
              <w:rPr>
                <w:sz w:val="18"/>
                <w:szCs w:val="18"/>
                <w:color w:val="auto"/>
              </w:rPr>
            </w:pPr>
          </w:p>
        </w:tc>
        <w:tc>
          <w:tcPr>
            <w:tcW w:w="5180" w:type="dxa"/>
            <w:vAlign w:val="bottom"/>
          </w:tcPr>
          <w:p>
            <w:pPr>
              <w:spacing w:after="0"/>
              <w:rPr>
                <w:sz w:val="18"/>
                <w:szCs w:val="18"/>
                <w:color w:val="auto"/>
              </w:rPr>
            </w:pPr>
          </w:p>
        </w:tc>
      </w:tr>
      <w:tr>
        <w:trPr>
          <w:trHeight w:val="216"/>
        </w:trPr>
        <w:tc>
          <w:tcPr>
            <w:tcW w:w="260" w:type="dxa"/>
            <w:vAlign w:val="bottom"/>
          </w:tcPr>
          <w:p>
            <w:pPr>
              <w:spacing w:after="0"/>
              <w:rPr>
                <w:sz w:val="18"/>
                <w:szCs w:val="18"/>
                <w:color w:val="auto"/>
              </w:rPr>
            </w:pPr>
          </w:p>
        </w:tc>
        <w:tc>
          <w:tcPr>
            <w:tcW w:w="5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deposit of Class A Shares or Class C Shares, upon a change in the</w:t>
            </w:r>
          </w:p>
        </w:tc>
        <w:tc>
          <w:tcPr>
            <w:tcW w:w="220" w:type="dxa"/>
            <w:vAlign w:val="bottom"/>
          </w:tcPr>
          <w:p>
            <w:pPr>
              <w:spacing w:after="0"/>
              <w:rPr>
                <w:sz w:val="18"/>
                <w:szCs w:val="18"/>
                <w:color w:val="auto"/>
              </w:rPr>
            </w:pPr>
          </w:p>
        </w:tc>
        <w:tc>
          <w:tcPr>
            <w:tcW w:w="5180" w:type="dxa"/>
            <w:vAlign w:val="bottom"/>
          </w:tcPr>
          <w:p>
            <w:pPr>
              <w:spacing w:after="0"/>
              <w:rPr>
                <w:sz w:val="18"/>
                <w:szCs w:val="18"/>
                <w:color w:val="auto"/>
              </w:rPr>
            </w:pPr>
          </w:p>
        </w:tc>
      </w:tr>
      <w:tr>
        <w:trPr>
          <w:trHeight w:val="216"/>
        </w:trPr>
        <w:tc>
          <w:tcPr>
            <w:tcW w:w="260" w:type="dxa"/>
            <w:vAlign w:val="bottom"/>
          </w:tcPr>
          <w:p>
            <w:pPr>
              <w:spacing w:after="0"/>
              <w:rPr>
                <w:sz w:val="18"/>
                <w:szCs w:val="18"/>
                <w:color w:val="auto"/>
              </w:rPr>
            </w:pPr>
          </w:p>
        </w:tc>
        <w:tc>
          <w:tcPr>
            <w:tcW w:w="536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9"/>
              </w:rPr>
              <w:t>ADS(s)-to-Share ratio or conversion of Class C Shares/ Class C ADSs or</w:t>
            </w:r>
          </w:p>
        </w:tc>
        <w:tc>
          <w:tcPr>
            <w:tcW w:w="220" w:type="dxa"/>
            <w:vAlign w:val="bottom"/>
          </w:tcPr>
          <w:p>
            <w:pPr>
              <w:spacing w:after="0"/>
              <w:rPr>
                <w:sz w:val="18"/>
                <w:szCs w:val="18"/>
                <w:color w:val="auto"/>
              </w:rPr>
            </w:pPr>
          </w:p>
        </w:tc>
        <w:tc>
          <w:tcPr>
            <w:tcW w:w="5180" w:type="dxa"/>
            <w:vAlign w:val="bottom"/>
          </w:tcPr>
          <w:p>
            <w:pPr>
              <w:spacing w:after="0"/>
              <w:rPr>
                <w:sz w:val="18"/>
                <w:szCs w:val="18"/>
                <w:color w:val="auto"/>
              </w:rPr>
            </w:pPr>
          </w:p>
        </w:tc>
      </w:tr>
      <w:tr>
        <w:trPr>
          <w:trHeight w:val="216"/>
        </w:trPr>
        <w:tc>
          <w:tcPr>
            <w:tcW w:w="260" w:type="dxa"/>
            <w:vAlign w:val="bottom"/>
          </w:tcPr>
          <w:p>
            <w:pPr>
              <w:spacing w:after="0"/>
              <w:rPr>
                <w:sz w:val="18"/>
                <w:szCs w:val="18"/>
                <w:color w:val="auto"/>
              </w:rPr>
            </w:pPr>
          </w:p>
        </w:tc>
        <w:tc>
          <w:tcPr>
            <w:tcW w:w="5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for any other reason), excluding ADS issuances as a result of</w:t>
            </w:r>
          </w:p>
        </w:tc>
        <w:tc>
          <w:tcPr>
            <w:tcW w:w="220" w:type="dxa"/>
            <w:vAlign w:val="bottom"/>
          </w:tcPr>
          <w:p>
            <w:pPr>
              <w:spacing w:after="0"/>
              <w:rPr>
                <w:sz w:val="18"/>
                <w:szCs w:val="18"/>
                <w:color w:val="auto"/>
              </w:rPr>
            </w:pPr>
          </w:p>
        </w:tc>
        <w:tc>
          <w:tcPr>
            <w:tcW w:w="5180" w:type="dxa"/>
            <w:vAlign w:val="bottom"/>
          </w:tcPr>
          <w:p>
            <w:pPr>
              <w:spacing w:after="0"/>
              <w:rPr>
                <w:sz w:val="18"/>
                <w:szCs w:val="18"/>
                <w:color w:val="auto"/>
              </w:rPr>
            </w:pPr>
          </w:p>
        </w:tc>
      </w:tr>
      <w:tr>
        <w:trPr>
          <w:trHeight w:val="234"/>
        </w:trPr>
        <w:tc>
          <w:tcPr>
            <w:tcW w:w="260" w:type="dxa"/>
            <w:vAlign w:val="bottom"/>
          </w:tcPr>
          <w:p>
            <w:pPr>
              <w:spacing w:after="0"/>
              <w:rPr>
                <w:sz w:val="20"/>
                <w:szCs w:val="20"/>
                <w:color w:val="auto"/>
              </w:rPr>
            </w:pPr>
          </w:p>
        </w:tc>
        <w:tc>
          <w:tcPr>
            <w:tcW w:w="5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distributions of Class A Shares or Class C Shares</w:t>
            </w:r>
          </w:p>
        </w:tc>
        <w:tc>
          <w:tcPr>
            <w:tcW w:w="220" w:type="dxa"/>
            <w:vAlign w:val="bottom"/>
          </w:tcPr>
          <w:p>
            <w:pPr>
              <w:spacing w:after="0"/>
              <w:rPr>
                <w:sz w:val="20"/>
                <w:szCs w:val="20"/>
                <w:color w:val="auto"/>
              </w:rPr>
            </w:pPr>
          </w:p>
        </w:tc>
        <w:tc>
          <w:tcPr>
            <w:tcW w:w="5180" w:type="dxa"/>
            <w:vAlign w:val="bottom"/>
          </w:tcPr>
          <w:p>
            <w:pPr>
              <w:spacing w:after="0"/>
              <w:rPr>
                <w:sz w:val="20"/>
                <w:szCs w:val="20"/>
                <w:color w:val="auto"/>
              </w:rPr>
            </w:pPr>
          </w:p>
        </w:tc>
      </w:tr>
      <w:tr>
        <w:trPr>
          <w:trHeight w:val="306"/>
        </w:trPr>
        <w:tc>
          <w:tcPr>
            <w:tcW w:w="260" w:type="dxa"/>
            <w:vAlign w:val="bottom"/>
          </w:tcPr>
          <w:p>
            <w:pPr>
              <w:ind w:left="80"/>
              <w:spacing w:after="0"/>
              <w:rPr>
                <w:sz w:val="20"/>
                <w:szCs w:val="20"/>
                <w:color w:val="auto"/>
              </w:rPr>
            </w:pPr>
            <w:r>
              <w:rPr>
                <w:rFonts w:ascii="Times New Roman" w:cs="Times New Roman" w:eastAsia="Times New Roman" w:hAnsi="Times New Roman"/>
                <w:sz w:val="16"/>
                <w:szCs w:val="16"/>
                <w:color w:val="auto"/>
                <w:w w:val="73"/>
              </w:rPr>
              <w:t>• </w:t>
            </w:r>
          </w:p>
        </w:tc>
        <w:tc>
          <w:tcPr>
            <w:tcW w:w="5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 Cancellation of ADSs (e.g., a cancellation of ADSs for delivery of</w:t>
            </w:r>
          </w:p>
        </w:tc>
        <w:tc>
          <w:tcPr>
            <w:tcW w:w="54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Up to US$0.05 per ADS cancelled</w:t>
            </w:r>
          </w:p>
        </w:tc>
      </w:tr>
      <w:tr>
        <w:trPr>
          <w:trHeight w:val="216"/>
        </w:trPr>
        <w:tc>
          <w:tcPr>
            <w:tcW w:w="260" w:type="dxa"/>
            <w:vAlign w:val="bottom"/>
          </w:tcPr>
          <w:p>
            <w:pPr>
              <w:spacing w:after="0"/>
              <w:rPr>
                <w:sz w:val="18"/>
                <w:szCs w:val="18"/>
                <w:color w:val="auto"/>
              </w:rPr>
            </w:pPr>
          </w:p>
        </w:tc>
        <w:tc>
          <w:tcPr>
            <w:tcW w:w="5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deposited property, upon a change in the ADS(s)-to-Share ratio, or for</w:t>
            </w:r>
          </w:p>
        </w:tc>
        <w:tc>
          <w:tcPr>
            <w:tcW w:w="220" w:type="dxa"/>
            <w:vAlign w:val="bottom"/>
          </w:tcPr>
          <w:p>
            <w:pPr>
              <w:spacing w:after="0"/>
              <w:rPr>
                <w:sz w:val="18"/>
                <w:szCs w:val="18"/>
                <w:color w:val="auto"/>
              </w:rPr>
            </w:pPr>
          </w:p>
        </w:tc>
        <w:tc>
          <w:tcPr>
            <w:tcW w:w="5180" w:type="dxa"/>
            <w:vAlign w:val="bottom"/>
          </w:tcPr>
          <w:p>
            <w:pPr>
              <w:spacing w:after="0"/>
              <w:rPr>
                <w:sz w:val="18"/>
                <w:szCs w:val="18"/>
                <w:color w:val="auto"/>
              </w:rPr>
            </w:pPr>
          </w:p>
        </w:tc>
      </w:tr>
      <w:tr>
        <w:trPr>
          <w:trHeight w:val="234"/>
        </w:trPr>
        <w:tc>
          <w:tcPr>
            <w:tcW w:w="260" w:type="dxa"/>
            <w:vAlign w:val="bottom"/>
          </w:tcPr>
          <w:p>
            <w:pPr>
              <w:spacing w:after="0"/>
              <w:rPr>
                <w:sz w:val="20"/>
                <w:szCs w:val="20"/>
                <w:color w:val="auto"/>
              </w:rPr>
            </w:pPr>
          </w:p>
        </w:tc>
        <w:tc>
          <w:tcPr>
            <w:tcW w:w="5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any other reason)</w:t>
            </w:r>
          </w:p>
        </w:tc>
        <w:tc>
          <w:tcPr>
            <w:tcW w:w="220" w:type="dxa"/>
            <w:vAlign w:val="bottom"/>
          </w:tcPr>
          <w:p>
            <w:pPr>
              <w:spacing w:after="0"/>
              <w:rPr>
                <w:sz w:val="20"/>
                <w:szCs w:val="20"/>
                <w:color w:val="auto"/>
              </w:rPr>
            </w:pPr>
          </w:p>
        </w:tc>
        <w:tc>
          <w:tcPr>
            <w:tcW w:w="5180" w:type="dxa"/>
            <w:vAlign w:val="bottom"/>
          </w:tcPr>
          <w:p>
            <w:pPr>
              <w:spacing w:after="0"/>
              <w:rPr>
                <w:sz w:val="20"/>
                <w:szCs w:val="20"/>
                <w:color w:val="auto"/>
              </w:rPr>
            </w:pPr>
          </w:p>
        </w:tc>
      </w:tr>
      <w:tr>
        <w:trPr>
          <w:trHeight w:val="306"/>
        </w:trPr>
        <w:tc>
          <w:tcPr>
            <w:tcW w:w="260" w:type="dxa"/>
            <w:vAlign w:val="bottom"/>
          </w:tcPr>
          <w:p>
            <w:pPr>
              <w:ind w:left="80"/>
              <w:spacing w:after="0"/>
              <w:rPr>
                <w:sz w:val="20"/>
                <w:szCs w:val="20"/>
                <w:color w:val="auto"/>
              </w:rPr>
            </w:pPr>
            <w:r>
              <w:rPr>
                <w:rFonts w:ascii="Times New Roman" w:cs="Times New Roman" w:eastAsia="Times New Roman" w:hAnsi="Times New Roman"/>
                <w:sz w:val="16"/>
                <w:szCs w:val="16"/>
                <w:color w:val="auto"/>
                <w:w w:val="73"/>
              </w:rPr>
              <w:t>• </w:t>
            </w:r>
          </w:p>
        </w:tc>
        <w:tc>
          <w:tcPr>
            <w:tcW w:w="5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 Distribution of cash dividends or other cash distributions (e.g., upon a</w:t>
            </w:r>
          </w:p>
        </w:tc>
        <w:tc>
          <w:tcPr>
            <w:tcW w:w="54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Up to US$0.05 per ADS held</w:t>
            </w:r>
          </w:p>
        </w:tc>
      </w:tr>
      <w:tr>
        <w:trPr>
          <w:trHeight w:val="234"/>
        </w:trPr>
        <w:tc>
          <w:tcPr>
            <w:tcW w:w="260" w:type="dxa"/>
            <w:vAlign w:val="bottom"/>
          </w:tcPr>
          <w:p>
            <w:pPr>
              <w:spacing w:after="0"/>
              <w:rPr>
                <w:sz w:val="20"/>
                <w:szCs w:val="20"/>
                <w:color w:val="auto"/>
              </w:rPr>
            </w:pPr>
          </w:p>
        </w:tc>
        <w:tc>
          <w:tcPr>
            <w:tcW w:w="5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sale of rights and other entitlements)</w:t>
            </w:r>
          </w:p>
        </w:tc>
        <w:tc>
          <w:tcPr>
            <w:tcW w:w="220" w:type="dxa"/>
            <w:vAlign w:val="bottom"/>
          </w:tcPr>
          <w:p>
            <w:pPr>
              <w:spacing w:after="0"/>
              <w:rPr>
                <w:sz w:val="20"/>
                <w:szCs w:val="20"/>
                <w:color w:val="auto"/>
              </w:rPr>
            </w:pPr>
          </w:p>
        </w:tc>
        <w:tc>
          <w:tcPr>
            <w:tcW w:w="5180" w:type="dxa"/>
            <w:vAlign w:val="bottom"/>
          </w:tcPr>
          <w:p>
            <w:pPr>
              <w:spacing w:after="0"/>
              <w:rPr>
                <w:sz w:val="20"/>
                <w:szCs w:val="20"/>
                <w:color w:val="auto"/>
              </w:rPr>
            </w:pPr>
          </w:p>
        </w:tc>
      </w:tr>
      <w:tr>
        <w:trPr>
          <w:trHeight w:val="306"/>
        </w:trPr>
        <w:tc>
          <w:tcPr>
            <w:tcW w:w="260" w:type="dxa"/>
            <w:vAlign w:val="bottom"/>
          </w:tcPr>
          <w:p>
            <w:pPr>
              <w:ind w:left="80"/>
              <w:spacing w:after="0"/>
              <w:rPr>
                <w:sz w:val="20"/>
                <w:szCs w:val="20"/>
                <w:color w:val="auto"/>
              </w:rPr>
            </w:pPr>
            <w:r>
              <w:rPr>
                <w:rFonts w:ascii="Times New Roman" w:cs="Times New Roman" w:eastAsia="Times New Roman" w:hAnsi="Times New Roman"/>
                <w:sz w:val="16"/>
                <w:szCs w:val="16"/>
                <w:color w:val="auto"/>
                <w:w w:val="73"/>
              </w:rPr>
              <w:t>• </w:t>
            </w:r>
          </w:p>
        </w:tc>
        <w:tc>
          <w:tcPr>
            <w:tcW w:w="5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 Distribution of ADSs pursuant to (i) stock dividends or other free stock</w:t>
            </w:r>
          </w:p>
        </w:tc>
        <w:tc>
          <w:tcPr>
            <w:tcW w:w="54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Up to US$0.05 per ADS held</w:t>
            </w:r>
          </w:p>
        </w:tc>
      </w:tr>
      <w:tr>
        <w:trPr>
          <w:trHeight w:val="234"/>
        </w:trPr>
        <w:tc>
          <w:tcPr>
            <w:tcW w:w="260" w:type="dxa"/>
            <w:vAlign w:val="bottom"/>
          </w:tcPr>
          <w:p>
            <w:pPr>
              <w:spacing w:after="0"/>
              <w:rPr>
                <w:sz w:val="20"/>
                <w:szCs w:val="20"/>
                <w:color w:val="auto"/>
              </w:rPr>
            </w:pPr>
          </w:p>
        </w:tc>
        <w:tc>
          <w:tcPr>
            <w:tcW w:w="5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distributions, or (ii) exercise of rights to purchase additional ADSs</w:t>
            </w:r>
          </w:p>
        </w:tc>
        <w:tc>
          <w:tcPr>
            <w:tcW w:w="220" w:type="dxa"/>
            <w:vAlign w:val="bottom"/>
          </w:tcPr>
          <w:p>
            <w:pPr>
              <w:spacing w:after="0"/>
              <w:rPr>
                <w:sz w:val="20"/>
                <w:szCs w:val="20"/>
                <w:color w:val="auto"/>
              </w:rPr>
            </w:pPr>
          </w:p>
        </w:tc>
        <w:tc>
          <w:tcPr>
            <w:tcW w:w="5180" w:type="dxa"/>
            <w:vAlign w:val="bottom"/>
          </w:tcPr>
          <w:p>
            <w:pPr>
              <w:spacing w:after="0"/>
              <w:rPr>
                <w:sz w:val="20"/>
                <w:szCs w:val="20"/>
                <w:color w:val="auto"/>
              </w:rPr>
            </w:pPr>
          </w:p>
        </w:tc>
      </w:tr>
      <w:tr>
        <w:trPr>
          <w:trHeight w:val="306"/>
        </w:trPr>
        <w:tc>
          <w:tcPr>
            <w:tcW w:w="260" w:type="dxa"/>
            <w:vAlign w:val="bottom"/>
          </w:tcPr>
          <w:p>
            <w:pPr>
              <w:ind w:left="80"/>
              <w:spacing w:after="0"/>
              <w:rPr>
                <w:sz w:val="20"/>
                <w:szCs w:val="20"/>
                <w:color w:val="auto"/>
              </w:rPr>
            </w:pPr>
            <w:r>
              <w:rPr>
                <w:rFonts w:ascii="Times New Roman" w:cs="Times New Roman" w:eastAsia="Times New Roman" w:hAnsi="Times New Roman"/>
                <w:sz w:val="16"/>
                <w:szCs w:val="16"/>
                <w:color w:val="auto"/>
                <w:w w:val="73"/>
              </w:rPr>
              <w:t>• </w:t>
            </w:r>
          </w:p>
        </w:tc>
        <w:tc>
          <w:tcPr>
            <w:tcW w:w="5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 Distribution of securities other than ADSs or rights to purchase</w:t>
            </w:r>
          </w:p>
        </w:tc>
        <w:tc>
          <w:tcPr>
            <w:tcW w:w="54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Up to US$0.05 per ADS held</w:t>
            </w:r>
          </w:p>
        </w:tc>
      </w:tr>
      <w:tr>
        <w:trPr>
          <w:trHeight w:val="234"/>
        </w:trPr>
        <w:tc>
          <w:tcPr>
            <w:tcW w:w="260" w:type="dxa"/>
            <w:vAlign w:val="bottom"/>
          </w:tcPr>
          <w:p>
            <w:pPr>
              <w:spacing w:after="0"/>
              <w:rPr>
                <w:sz w:val="20"/>
                <w:szCs w:val="20"/>
                <w:color w:val="auto"/>
              </w:rPr>
            </w:pPr>
          </w:p>
        </w:tc>
        <w:tc>
          <w:tcPr>
            <w:tcW w:w="5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additional ADSs (e.g., upon a spin-off)</w:t>
            </w:r>
          </w:p>
        </w:tc>
        <w:tc>
          <w:tcPr>
            <w:tcW w:w="220" w:type="dxa"/>
            <w:vAlign w:val="bottom"/>
          </w:tcPr>
          <w:p>
            <w:pPr>
              <w:spacing w:after="0"/>
              <w:rPr>
                <w:sz w:val="20"/>
                <w:szCs w:val="20"/>
                <w:color w:val="auto"/>
              </w:rPr>
            </w:pPr>
          </w:p>
        </w:tc>
        <w:tc>
          <w:tcPr>
            <w:tcW w:w="5180" w:type="dxa"/>
            <w:vAlign w:val="bottom"/>
          </w:tcPr>
          <w:p>
            <w:pPr>
              <w:spacing w:after="0"/>
              <w:rPr>
                <w:sz w:val="20"/>
                <w:szCs w:val="20"/>
                <w:color w:val="auto"/>
              </w:rPr>
            </w:pPr>
          </w:p>
        </w:tc>
      </w:tr>
      <w:tr>
        <w:trPr>
          <w:trHeight w:val="306"/>
        </w:trPr>
        <w:tc>
          <w:tcPr>
            <w:tcW w:w="260" w:type="dxa"/>
            <w:vAlign w:val="bottom"/>
          </w:tcPr>
          <w:p>
            <w:pPr>
              <w:ind w:left="80"/>
              <w:spacing w:after="0"/>
              <w:rPr>
                <w:sz w:val="20"/>
                <w:szCs w:val="20"/>
                <w:color w:val="auto"/>
              </w:rPr>
            </w:pPr>
            <w:r>
              <w:rPr>
                <w:rFonts w:ascii="Times New Roman" w:cs="Times New Roman" w:eastAsia="Times New Roman" w:hAnsi="Times New Roman"/>
                <w:sz w:val="16"/>
                <w:szCs w:val="16"/>
                <w:color w:val="auto"/>
                <w:w w:val="73"/>
              </w:rPr>
              <w:t>• </w:t>
            </w:r>
          </w:p>
        </w:tc>
        <w:tc>
          <w:tcPr>
            <w:tcW w:w="5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 ADS Services</w:t>
            </w:r>
          </w:p>
        </w:tc>
        <w:tc>
          <w:tcPr>
            <w:tcW w:w="54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Up to US$0.05 per ADS held on the applicable record date(s)</w:t>
            </w:r>
          </w:p>
        </w:tc>
      </w:tr>
      <w:tr>
        <w:trPr>
          <w:trHeight w:val="234"/>
        </w:trPr>
        <w:tc>
          <w:tcPr>
            <w:tcW w:w="260" w:type="dxa"/>
            <w:vAlign w:val="bottom"/>
          </w:tcPr>
          <w:p>
            <w:pPr>
              <w:spacing w:after="0"/>
              <w:rPr>
                <w:sz w:val="20"/>
                <w:szCs w:val="20"/>
                <w:color w:val="auto"/>
              </w:rPr>
            </w:pPr>
          </w:p>
        </w:tc>
        <w:tc>
          <w:tcPr>
            <w:tcW w:w="5360" w:type="dxa"/>
            <w:vAlign w:val="bottom"/>
          </w:tcPr>
          <w:p>
            <w:pPr>
              <w:spacing w:after="0"/>
              <w:rPr>
                <w:sz w:val="20"/>
                <w:szCs w:val="20"/>
                <w:color w:val="auto"/>
              </w:rPr>
            </w:pPr>
          </w:p>
        </w:tc>
        <w:tc>
          <w:tcPr>
            <w:tcW w:w="54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established by the depositary</w:t>
            </w:r>
          </w:p>
        </w:tc>
      </w:tr>
      <w:tr>
        <w:trPr>
          <w:trHeight w:val="306"/>
        </w:trPr>
        <w:tc>
          <w:tcPr>
            <w:tcW w:w="260" w:type="dxa"/>
            <w:vAlign w:val="bottom"/>
          </w:tcPr>
          <w:p>
            <w:pPr>
              <w:ind w:left="80"/>
              <w:spacing w:after="0"/>
              <w:rPr>
                <w:sz w:val="20"/>
                <w:szCs w:val="20"/>
                <w:color w:val="auto"/>
              </w:rPr>
            </w:pPr>
            <w:r>
              <w:rPr>
                <w:rFonts w:ascii="Times New Roman" w:cs="Times New Roman" w:eastAsia="Times New Roman" w:hAnsi="Times New Roman"/>
                <w:sz w:val="16"/>
                <w:szCs w:val="16"/>
                <w:color w:val="auto"/>
                <w:w w:val="73"/>
              </w:rPr>
              <w:t>• </w:t>
            </w:r>
          </w:p>
        </w:tc>
        <w:tc>
          <w:tcPr>
            <w:tcW w:w="5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 Registration of ADS transfers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xml:space="preserve"> upon a registration of the transfer of</w:t>
            </w:r>
          </w:p>
        </w:tc>
        <w:tc>
          <w:tcPr>
            <w:tcW w:w="54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Up to US$0.05 per ADS (or fraction thereof) transferred</w:t>
            </w:r>
          </w:p>
        </w:tc>
      </w:tr>
      <w:tr>
        <w:trPr>
          <w:trHeight w:val="214"/>
        </w:trPr>
        <w:tc>
          <w:tcPr>
            <w:tcW w:w="260" w:type="dxa"/>
            <w:vAlign w:val="bottom"/>
          </w:tcPr>
          <w:p>
            <w:pPr>
              <w:spacing w:after="0"/>
              <w:rPr>
                <w:sz w:val="18"/>
                <w:szCs w:val="18"/>
                <w:color w:val="auto"/>
              </w:rPr>
            </w:pPr>
          </w:p>
        </w:tc>
        <w:tc>
          <w:tcPr>
            <w:tcW w:w="5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registered ownership of ADSs, upon a transfer of ADSs into DTC</w:t>
            </w:r>
          </w:p>
        </w:tc>
        <w:tc>
          <w:tcPr>
            <w:tcW w:w="220" w:type="dxa"/>
            <w:vAlign w:val="bottom"/>
          </w:tcPr>
          <w:p>
            <w:pPr>
              <w:spacing w:after="0"/>
              <w:rPr>
                <w:sz w:val="18"/>
                <w:szCs w:val="18"/>
                <w:color w:val="auto"/>
              </w:rPr>
            </w:pPr>
          </w:p>
        </w:tc>
        <w:tc>
          <w:tcPr>
            <w:tcW w:w="5180" w:type="dxa"/>
            <w:vAlign w:val="bottom"/>
          </w:tcPr>
          <w:p>
            <w:pPr>
              <w:spacing w:after="0"/>
              <w:rPr>
                <w:sz w:val="18"/>
                <w:szCs w:val="18"/>
                <w:color w:val="auto"/>
              </w:rPr>
            </w:pPr>
          </w:p>
        </w:tc>
      </w:tr>
      <w:tr>
        <w:trPr>
          <w:trHeight w:val="236"/>
        </w:trPr>
        <w:tc>
          <w:tcPr>
            <w:tcW w:w="260" w:type="dxa"/>
            <w:vAlign w:val="bottom"/>
          </w:tcPr>
          <w:p>
            <w:pPr>
              <w:spacing w:after="0"/>
              <w:rPr>
                <w:sz w:val="20"/>
                <w:szCs w:val="20"/>
                <w:color w:val="auto"/>
              </w:rPr>
            </w:pPr>
          </w:p>
        </w:tc>
        <w:tc>
          <w:tcPr>
            <w:tcW w:w="5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xml:space="preserve">and </w:t>
            </w:r>
            <w:r>
              <w:rPr>
                <w:rFonts w:ascii="Times New Roman" w:cs="Times New Roman" w:eastAsia="Times New Roman" w:hAnsi="Times New Roman"/>
                <w:sz w:val="18"/>
                <w:szCs w:val="18"/>
                <w:i w:val="1"/>
                <w:iCs w:val="1"/>
                <w:color w:val="auto"/>
              </w:rPr>
              <w:t>vice versa</w:t>
            </w:r>
            <w:r>
              <w:rPr>
                <w:rFonts w:ascii="Times New Roman" w:cs="Times New Roman" w:eastAsia="Times New Roman" w:hAnsi="Times New Roman"/>
                <w:sz w:val="18"/>
                <w:szCs w:val="18"/>
                <w:color w:val="auto"/>
              </w:rPr>
              <w:t>, or for any other reason)</w:t>
            </w:r>
          </w:p>
        </w:tc>
        <w:tc>
          <w:tcPr>
            <w:tcW w:w="220" w:type="dxa"/>
            <w:vAlign w:val="bottom"/>
          </w:tcPr>
          <w:p>
            <w:pPr>
              <w:spacing w:after="0"/>
              <w:rPr>
                <w:sz w:val="20"/>
                <w:szCs w:val="20"/>
                <w:color w:val="auto"/>
              </w:rPr>
            </w:pPr>
          </w:p>
        </w:tc>
        <w:tc>
          <w:tcPr>
            <w:tcW w:w="5180" w:type="dxa"/>
            <w:vAlign w:val="bottom"/>
          </w:tcPr>
          <w:p>
            <w:pPr>
              <w:spacing w:after="0"/>
              <w:rPr>
                <w:sz w:val="20"/>
                <w:szCs w:val="20"/>
                <w:color w:val="auto"/>
              </w:rPr>
            </w:pPr>
          </w:p>
        </w:tc>
      </w:tr>
      <w:tr>
        <w:trPr>
          <w:trHeight w:val="306"/>
        </w:trPr>
        <w:tc>
          <w:tcPr>
            <w:tcW w:w="260" w:type="dxa"/>
            <w:vAlign w:val="bottom"/>
          </w:tcPr>
          <w:p>
            <w:pPr>
              <w:ind w:left="80"/>
              <w:spacing w:after="0"/>
              <w:rPr>
                <w:sz w:val="20"/>
                <w:szCs w:val="20"/>
                <w:color w:val="auto"/>
              </w:rPr>
            </w:pPr>
            <w:r>
              <w:rPr>
                <w:rFonts w:ascii="Times New Roman" w:cs="Times New Roman" w:eastAsia="Times New Roman" w:hAnsi="Times New Roman"/>
                <w:sz w:val="16"/>
                <w:szCs w:val="16"/>
                <w:color w:val="auto"/>
                <w:w w:val="73"/>
              </w:rPr>
              <w:t>• </w:t>
            </w:r>
          </w:p>
        </w:tc>
        <w:tc>
          <w:tcPr>
            <w:tcW w:w="5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 Conversion of ADSs of one series for ADSs of another series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xml:space="preserve"> upon</w:t>
            </w:r>
          </w:p>
        </w:tc>
        <w:tc>
          <w:tcPr>
            <w:tcW w:w="54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Up to US$0.05 per ADS (or fraction thereof) converted</w:t>
            </w:r>
          </w:p>
        </w:tc>
      </w:tr>
      <w:tr>
        <w:trPr>
          <w:trHeight w:val="216"/>
        </w:trPr>
        <w:tc>
          <w:tcPr>
            <w:tcW w:w="260" w:type="dxa"/>
            <w:vAlign w:val="bottom"/>
          </w:tcPr>
          <w:p>
            <w:pPr>
              <w:spacing w:after="0"/>
              <w:rPr>
                <w:sz w:val="18"/>
                <w:szCs w:val="18"/>
                <w:color w:val="auto"/>
              </w:rPr>
            </w:pPr>
          </w:p>
        </w:tc>
        <w:tc>
          <w:tcPr>
            <w:tcW w:w="536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9"/>
              </w:rPr>
              <w:t>conversion of Partial Entitlement ADSs for Full Entitlement ADSs, upon</w:t>
            </w:r>
          </w:p>
        </w:tc>
        <w:tc>
          <w:tcPr>
            <w:tcW w:w="220" w:type="dxa"/>
            <w:vAlign w:val="bottom"/>
          </w:tcPr>
          <w:p>
            <w:pPr>
              <w:spacing w:after="0"/>
              <w:rPr>
                <w:sz w:val="18"/>
                <w:szCs w:val="18"/>
                <w:color w:val="auto"/>
              </w:rPr>
            </w:pPr>
          </w:p>
        </w:tc>
        <w:tc>
          <w:tcPr>
            <w:tcW w:w="5180" w:type="dxa"/>
            <w:vAlign w:val="bottom"/>
          </w:tcPr>
          <w:p>
            <w:pPr>
              <w:spacing w:after="0"/>
              <w:rPr>
                <w:sz w:val="18"/>
                <w:szCs w:val="18"/>
                <w:color w:val="auto"/>
              </w:rPr>
            </w:pPr>
          </w:p>
        </w:tc>
      </w:tr>
      <w:tr>
        <w:trPr>
          <w:trHeight w:val="216"/>
        </w:trPr>
        <w:tc>
          <w:tcPr>
            <w:tcW w:w="260" w:type="dxa"/>
            <w:vAlign w:val="bottom"/>
          </w:tcPr>
          <w:p>
            <w:pPr>
              <w:spacing w:after="0"/>
              <w:rPr>
                <w:sz w:val="18"/>
                <w:szCs w:val="18"/>
                <w:color w:val="auto"/>
              </w:rPr>
            </w:pPr>
          </w:p>
        </w:tc>
        <w:tc>
          <w:tcPr>
            <w:tcW w:w="5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conversion of Class C ADSs into Class A ADSs, or upon conversion of</w:t>
            </w:r>
          </w:p>
        </w:tc>
        <w:tc>
          <w:tcPr>
            <w:tcW w:w="220" w:type="dxa"/>
            <w:vAlign w:val="bottom"/>
          </w:tcPr>
          <w:p>
            <w:pPr>
              <w:spacing w:after="0"/>
              <w:rPr>
                <w:sz w:val="18"/>
                <w:szCs w:val="18"/>
                <w:color w:val="auto"/>
              </w:rPr>
            </w:pPr>
          </w:p>
        </w:tc>
        <w:tc>
          <w:tcPr>
            <w:tcW w:w="5180" w:type="dxa"/>
            <w:vAlign w:val="bottom"/>
          </w:tcPr>
          <w:p>
            <w:pPr>
              <w:spacing w:after="0"/>
              <w:rPr>
                <w:sz w:val="18"/>
                <w:szCs w:val="18"/>
                <w:color w:val="auto"/>
              </w:rPr>
            </w:pPr>
          </w:p>
        </w:tc>
      </w:tr>
      <w:tr>
        <w:trPr>
          <w:trHeight w:val="214"/>
        </w:trPr>
        <w:tc>
          <w:tcPr>
            <w:tcW w:w="260" w:type="dxa"/>
            <w:vAlign w:val="bottom"/>
          </w:tcPr>
          <w:p>
            <w:pPr>
              <w:spacing w:after="0"/>
              <w:rPr>
                <w:sz w:val="18"/>
                <w:szCs w:val="18"/>
                <w:color w:val="auto"/>
              </w:rPr>
            </w:pPr>
          </w:p>
        </w:tc>
        <w:tc>
          <w:tcPr>
            <w:tcW w:w="5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Restricted ADSs (each as defined in the applicable deposit agreement)</w:t>
            </w:r>
          </w:p>
        </w:tc>
        <w:tc>
          <w:tcPr>
            <w:tcW w:w="220" w:type="dxa"/>
            <w:vAlign w:val="bottom"/>
          </w:tcPr>
          <w:p>
            <w:pPr>
              <w:spacing w:after="0"/>
              <w:rPr>
                <w:sz w:val="18"/>
                <w:szCs w:val="18"/>
                <w:color w:val="auto"/>
              </w:rPr>
            </w:pPr>
          </w:p>
        </w:tc>
        <w:tc>
          <w:tcPr>
            <w:tcW w:w="5180" w:type="dxa"/>
            <w:vAlign w:val="bottom"/>
          </w:tcPr>
          <w:p>
            <w:pPr>
              <w:spacing w:after="0"/>
              <w:rPr>
                <w:sz w:val="18"/>
                <w:szCs w:val="18"/>
                <w:color w:val="auto"/>
              </w:rPr>
            </w:pPr>
          </w:p>
        </w:tc>
      </w:tr>
      <w:tr>
        <w:trPr>
          <w:trHeight w:val="236"/>
        </w:trPr>
        <w:tc>
          <w:tcPr>
            <w:tcW w:w="260" w:type="dxa"/>
            <w:vAlign w:val="bottom"/>
          </w:tcPr>
          <w:p>
            <w:pPr>
              <w:spacing w:after="0"/>
              <w:rPr>
                <w:sz w:val="20"/>
                <w:szCs w:val="20"/>
                <w:color w:val="auto"/>
              </w:rPr>
            </w:pPr>
          </w:p>
        </w:tc>
        <w:tc>
          <w:tcPr>
            <w:tcW w:w="5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xml:space="preserve">into freely transferable ADSs, and </w:t>
            </w:r>
            <w:r>
              <w:rPr>
                <w:rFonts w:ascii="Times New Roman" w:cs="Times New Roman" w:eastAsia="Times New Roman" w:hAnsi="Times New Roman"/>
                <w:sz w:val="18"/>
                <w:szCs w:val="18"/>
                <w:i w:val="1"/>
                <w:iCs w:val="1"/>
                <w:color w:val="auto"/>
              </w:rPr>
              <w:t>vice versa</w:t>
            </w: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5180" w:type="dxa"/>
            <w:vAlign w:val="bottom"/>
          </w:tcPr>
          <w:p>
            <w:pPr>
              <w:spacing w:after="0"/>
              <w:rPr>
                <w:sz w:val="20"/>
                <w:szCs w:val="20"/>
                <w:color w:val="auto"/>
              </w:rPr>
            </w:pPr>
          </w:p>
        </w:tc>
      </w:tr>
    </w:tbl>
    <w:p>
      <w:pPr>
        <w:spacing w:after="0" w:line="1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an ADS holder, you will also be responsible to pay certain charges such as:</w:t>
      </w:r>
    </w:p>
    <w:p>
      <w:pPr>
        <w:spacing w:after="0" w:line="131" w:lineRule="exact"/>
        <w:rPr>
          <w:sz w:val="20"/>
          <w:szCs w:val="20"/>
          <w:color w:val="auto"/>
        </w:rPr>
      </w:pPr>
    </w:p>
    <w:p>
      <w:pPr>
        <w:jc w:val="center"/>
        <w:ind w:left="5480" w:right="640" w:hanging="4824"/>
        <w:spacing w:after="0" w:line="454" w:lineRule="auto"/>
        <w:tabs>
          <w:tab w:leader="none" w:pos="1079"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taxes (including applicable interest and penalties) and other governmental charges (including any applicable stamp duty or SDRT); 189</w:t>
      </w:r>
    </w:p>
    <w:p>
      <w:pPr>
        <w:sectPr>
          <w:pgSz w:w="11900" w:h="16838" w:orient="portrait"/>
          <w:cols w:equalWidth="0" w:num="1">
            <w:col w:w="11140"/>
          </w:cols>
          <w:pgMar w:left="320" w:top="455" w:right="439" w:bottom="1440" w:gutter="0" w:footer="0" w:header="0"/>
        </w:sectPr>
      </w:pPr>
    </w:p>
    <w:bookmarkStart w:id="204" w:name="page205"/>
    <w:bookmarkEnd w:id="20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080" w:right="40" w:hanging="424"/>
        <w:spacing w:after="0" w:line="266" w:lineRule="auto"/>
        <w:tabs>
          <w:tab w:leader="none" w:pos="108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fees as may from time to time be in effect for the registration of Class A Shares or Class C Shares on the share register and applicable to transfers of Class A Shares or Class C Shares to or from the name of the custodian, the depositary or any nominees upon the making of deposits and withdrawals, respectively;</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cable, telex and facsimile transmission and delivery expenses;</w:t>
      </w:r>
    </w:p>
    <w:p>
      <w:pPr>
        <w:spacing w:after="0" w:line="130"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fees, expenses, spreads, taxes and other charges of the depositary and/or service providers (which may be a division, branch or affiliate of the depositary) in the conversion of foreign currency;</w:t>
      </w:r>
    </w:p>
    <w:p>
      <w:pPr>
        <w:spacing w:after="0" w:line="67" w:lineRule="exact"/>
        <w:rPr>
          <w:rFonts w:ascii="Times New Roman" w:cs="Times New Roman" w:eastAsia="Times New Roman" w:hAnsi="Times New Roman"/>
          <w:sz w:val="18"/>
          <w:szCs w:val="18"/>
          <w:color w:val="auto"/>
        </w:rPr>
      </w:pPr>
    </w:p>
    <w:p>
      <w:pPr>
        <w:ind w:left="1080" w:right="300" w:hanging="424"/>
        <w:spacing w:after="0" w:line="282" w:lineRule="auto"/>
        <w:tabs>
          <w:tab w:leader="none" w:pos="108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reasonable and customary out-of-pocket expenses incurred by the depositary in connection with compliance with exchange control regulations and other regulatory requirements applicable to Class A Shares or Class C Shares, ADSs and ADRs;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fees, charges, costs and expenses incurred by the depositary, the custodian, or any nominee in connection with the ADR program; and</w:t>
      </w:r>
    </w:p>
    <w:p>
      <w:pPr>
        <w:spacing w:after="0" w:line="130" w:lineRule="exact"/>
        <w:rPr>
          <w:rFonts w:ascii="Times New Roman" w:cs="Times New Roman" w:eastAsia="Times New Roman" w:hAnsi="Times New Roman"/>
          <w:sz w:val="18"/>
          <w:szCs w:val="18"/>
          <w:color w:val="auto"/>
        </w:rPr>
      </w:pPr>
    </w:p>
    <w:p>
      <w:pPr>
        <w:ind w:left="1080" w:right="660" w:hanging="424"/>
        <w:spacing w:after="0" w:line="282" w:lineRule="auto"/>
        <w:tabs>
          <w:tab w:leader="none" w:pos="108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payable to the depositary by any party to the applicable deposit agreement pursuant to any ancillary agreement to the applicable deposit agreement in respect of the ADR program, the ADSs, and the ADRs.</w:t>
      </w:r>
    </w:p>
    <w:p>
      <w:pPr>
        <w:spacing w:after="0" w:line="162"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ADS fees and charges for (i) the issuance of ADSs, and (ii) the cancellation of ADSs are charged to the person for whom the ADSs are issued (in the case of ADS issuances) and to the person for whom ADSs are cancelled (in the case of ADS cancellations). In the case of ADSs issued by the depositary into DTC, the ADS issuance and cancellation fees and charges may be deducted from distributions made through DTC, and may be charged to the DTC participant(s) receiving the ADSs being issued or the DTC participant(s) holding the ADSs being cancelled, as the case may be, on behalf of the beneficial owner(s) and will be charged by the DTC participant(s) to the account of the applicable beneficial owner(s) in accordance with the procedures and practices of the DTC participants as in effect at the time. ADS fees and charges in respect of distributions and the ADS service fee are charged to the holders as of the applicable ADS record date. In the case of distributions of cash, the amount of the applicable ADS fees and charges is deducted from the funds being distributed. In the case of (i) distributions other than cash and (ii) the ADS service fee, holders as of the ADS record date will be invoiced for the amount of the ADS fees and charges and such ADS fees and charges may be deducted from distributions made to holders of ADSs. For ADSs held through DTC, the ADS fees and charges for distributions other than cash and the ADS service fee may be deducted from distributions made through DTC, and may be charged to the DTC participants in accordance with the procedures and practices prescribed by DTC and the DTC participants in turn charge the amount of such ADS fees and charges to the beneficial owners for whom they hold ADSs. In the case of</w:t>
      </w:r>
    </w:p>
    <w:p>
      <w:pPr>
        <w:spacing w:after="0" w:line="2" w:lineRule="exact"/>
        <w:rPr>
          <w:sz w:val="20"/>
          <w:szCs w:val="20"/>
          <w:color w:val="auto"/>
        </w:rPr>
      </w:pPr>
    </w:p>
    <w:p>
      <w:pPr>
        <w:jc w:val="both"/>
        <w:ind w:left="120" w:right="140" w:hanging="4"/>
        <w:spacing w:after="0" w:line="255" w:lineRule="auto"/>
        <w:tabs>
          <w:tab w:leader="none" w:pos="335"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of ADS transfers, the ADS transfer fee will be payable by the ADS holder whose ADSs are being transferred or by the person to whom the ADSs are transferred, and (ii) conversion of ADSs of one series for ADSs of another series, the ADS conversion fee will be payable by the holder whose ADSs are converted or by the person to whom the converted ADSs are delivered.</w:t>
      </w:r>
    </w:p>
    <w:p>
      <w:pPr>
        <w:spacing w:after="0" w:line="186"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In the event of refusal to pay the depositary fees, the depositary may, under the terms of the deposit agreement, refuse the requested service until payment is received or may set off the amount of the depositary fees from any distribution to be made to the ADS holder. Note that the fees and charges you may be required to pay may vary over time and may be changed by the Company and by the depositary. You will receive prior notice of such changes. The depositary may reimburse the Company for certain expenses incurred by the Company in respect of the ADR program, by making available a portion of the ADS fees charged in respect of the ADR program or otherwise, upon such terms and conditions as the Company and the depositary agree from time to time.</w:t>
      </w:r>
    </w:p>
    <w:p>
      <w:pPr>
        <w:spacing w:after="0" w:line="1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190</w:t>
      </w:r>
    </w:p>
    <w:p>
      <w:pPr>
        <w:sectPr>
          <w:pgSz w:w="11900" w:h="16838" w:orient="portrait"/>
          <w:cols w:equalWidth="0" w:num="1">
            <w:col w:w="11080"/>
          </w:cols>
          <w:pgMar w:left="320" w:top="455" w:right="499" w:bottom="1440" w:gutter="0" w:footer="0" w:header="0"/>
        </w:sectPr>
      </w:pPr>
    </w:p>
    <w:bookmarkStart w:id="205" w:name="page206"/>
    <w:bookmarkEnd w:id="20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Amendments and Termination</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Company may agree with the depositary to modify the deposit agreement at any time without your consent. The Company undertake to give holders of the applicable ADSs 30 days’ prior notice of any modifications that would materially prejudice any of their substantial rights under the deposit agreement. The Company will not consider to be materially prejudicial to your substantial rights any modifications or supplements that are reasonably necessary for the ADSs to be registered under the Securities Act or to be eligible for book-entry settlement, in each case without imposing or increasing the fees and charges you are required to pay. In addition, the Company may not be able to provide you with prior notice of any modifications or supplements that are required to accommodate compliance with applicable provisions of law.</w:t>
      </w:r>
    </w:p>
    <w:p>
      <w:pPr>
        <w:spacing w:after="0" w:line="187" w:lineRule="exact"/>
        <w:rPr>
          <w:sz w:val="20"/>
          <w:szCs w:val="20"/>
          <w:color w:val="auto"/>
        </w:rPr>
      </w:pPr>
    </w:p>
    <w:p>
      <w:pPr>
        <w:jc w:val="both"/>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You will be bound by the modifications to the deposit agreement for your ADSs if you continue to hold your ADSs after the modifications to the deposit agreement become effective. The deposit agreement cannot be amended to prevent you from withdrawing the Class A Shares or Class C Shares represented by your ADSs (except as permitted by law).</w:t>
      </w:r>
    </w:p>
    <w:p>
      <w:pPr>
        <w:spacing w:after="0" w:line="176"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The Company has the right to direct the depositary to terminate the deposit agreement. Similarly, the depositary may in certain circumstances on its own initiative terminate the deposit agreement. In either case, the depositary must give notice to the holders of ADSs issued under that deposit agreement at least 30 days before termination. Until termination, your rights under the deposit agreement will be unaffected.</w:t>
      </w:r>
    </w:p>
    <w:p>
      <w:pPr>
        <w:spacing w:after="0" w:line="176" w:lineRule="exact"/>
        <w:rPr>
          <w:sz w:val="20"/>
          <w:szCs w:val="20"/>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After termination, the depositary will continue to collect distributions received (but will not distribute any such property until you request the cancellation of your ADSs) and may sell the securities held on deposit under the terminated deposit agreement. After the sale, the depositary will hold the proceeds from such sale and any other funds then held for the applicable holders of ADSs in a non-interest bearing account. At that point, the depositary will have no further obligations to holders other than to account for the funds then held for the applicable holders of ADSs still outstanding (after deduction of applicable fees, taxes and expenses).</w:t>
      </w:r>
    </w:p>
    <w:p>
      <w:pPr>
        <w:spacing w:after="0" w:line="183" w:lineRule="exact"/>
        <w:rPr>
          <w:sz w:val="20"/>
          <w:szCs w:val="20"/>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In connection with any termination of the deposit agreement, the depositary may make available to owners of ADSs a means to withdraw the Class A Shares or Class C Shares represented by ADSs and to direct the depositary of such Class A Shares or Class C Shares into an unsponsored American depositary share program established by the depositary. The ability to receive unsponsored American depositary shares upon termination of the deposit agreement would be subject to satisfaction of certain U.S. regulatory requirements applicable to the creation of unsponsored American depositary shares and the payment of applicable depositary fees.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Books of Depositary</w:t>
      </w:r>
    </w:p>
    <w:p>
      <w:pPr>
        <w:spacing w:after="0" w:line="121" w:lineRule="exact"/>
        <w:rPr>
          <w:sz w:val="20"/>
          <w:szCs w:val="20"/>
          <w:color w:val="auto"/>
        </w:rPr>
      </w:pPr>
    </w:p>
    <w:p>
      <w:pPr>
        <w:ind w:left="120" w:right="20" w:firstLine="440"/>
        <w:spacing w:after="0" w:line="312" w:lineRule="auto"/>
        <w:rPr>
          <w:sz w:val="20"/>
          <w:szCs w:val="20"/>
          <w:color w:val="auto"/>
        </w:rPr>
      </w:pPr>
      <w:r>
        <w:rPr>
          <w:rFonts w:ascii="Times New Roman" w:cs="Times New Roman" w:eastAsia="Times New Roman" w:hAnsi="Times New Roman"/>
          <w:sz w:val="17"/>
          <w:szCs w:val="17"/>
          <w:color w:val="auto"/>
        </w:rPr>
        <w:t>The depositary will maintain ADS holder records at its depositary office. You may inspect such records at such office during regular business hours but solely for the purpose of communicating with other holders in the interest of business matters relating to the ADSs and the deposit agreement.</w:t>
      </w:r>
    </w:p>
    <w:p>
      <w:pPr>
        <w:spacing w:after="0" w:line="14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depositary will maintain in New York facilities to record and process the issuance, cancellation, combination, split-up and transfer of ADSs.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These facilities may be closed from time to time, to the extent not prohibited by law.</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Transmission of Notices, Reports and Proxy Soliciting Material</w:t>
      </w:r>
    </w:p>
    <w:p>
      <w:pPr>
        <w:spacing w:after="0" w:line="121"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depositary will make available for your inspection at its office all communications that it receives from the Company as a holder of deposited securities that the Company make generally available to holders of deposited securities. Subject to the terms of the deposit agreement, the depositary will send you copies of those communications or otherwise make those communications available to you if the Company asks it to do so.</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191</w:t>
      </w:r>
    </w:p>
    <w:p>
      <w:pPr>
        <w:sectPr>
          <w:pgSz w:w="11900" w:h="16838" w:orient="portrait"/>
          <w:cols w:equalWidth="0" w:num="1">
            <w:col w:w="11080"/>
          </w:cols>
          <w:pgMar w:left="320" w:top="455" w:right="499" w:bottom="1440" w:gutter="0" w:footer="0" w:header="0"/>
        </w:sectPr>
      </w:pPr>
    </w:p>
    <w:bookmarkStart w:id="206" w:name="page207"/>
    <w:bookmarkEnd w:id="20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Limitations on Obligations and Liabilities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deposit agreement limits the Company’s obligations and the depositary’s obligations to you. Please note the following:</w:t>
      </w:r>
    </w:p>
    <w:p>
      <w:pPr>
        <w:spacing w:after="0" w:line="131" w:lineRule="exact"/>
        <w:rPr>
          <w:sz w:val="20"/>
          <w:szCs w:val="20"/>
          <w:color w:val="auto"/>
        </w:rPr>
      </w:pPr>
    </w:p>
    <w:p>
      <w:pPr>
        <w:ind w:left="1080" w:right="180" w:hanging="424"/>
        <w:spacing w:after="0" w:line="282" w:lineRule="auto"/>
        <w:tabs>
          <w:tab w:leader="none" w:pos="108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the depositary are obligated only to take the actions specifically stated in the deposit agreement without negligence or bad faith.</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depositary disclaims any liability for any failure to carry out voting instructions, for any manner in which a vote is cast or for the effect of any vote, provided it acts in good faith and in accordance with the terms of the deposit agreement.</w:t>
      </w:r>
    </w:p>
    <w:p>
      <w:pPr>
        <w:spacing w:after="0" w:line="67" w:lineRule="exact"/>
        <w:rPr>
          <w:rFonts w:ascii="Times New Roman" w:cs="Times New Roman" w:eastAsia="Times New Roman" w:hAnsi="Times New Roman"/>
          <w:sz w:val="18"/>
          <w:szCs w:val="18"/>
          <w:color w:val="auto"/>
        </w:rPr>
      </w:pPr>
    </w:p>
    <w:p>
      <w:pPr>
        <w:ind w:left="1080" w:right="60" w:hanging="424"/>
        <w:spacing w:after="0" w:line="256" w:lineRule="auto"/>
        <w:tabs>
          <w:tab w:leader="none" w:pos="108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depositary disclaims any liability for any failure to accurately determine the lawfulness or practicality of any action, for the content of any document forwarded to you on the Company’s behalf or for the accuracy of any translation of such a document, for the investment risks associated with investing in Class A Shares or Class C Shares, for the validity or worth of the Class A Shares or Class C Shares, for any tax consequences that result from the ownership of ADSs or other deposited property, for the credit-worthiness of any third party, for allowing any rights to lapse under the terms of the deposit agreement, for the timeliness of any of the Company’s notices or for the Company’s failure to give notice or for any act or omission of or information provided by DTC or any DTC participant.</w:t>
      </w:r>
    </w:p>
    <w:p>
      <w:pPr>
        <w:spacing w:after="0" w:line="92"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depositary shall not be liable for acts or omissions of any successor depositary in connection with any matter arising wholly after the resignation or removal of the depositary.</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the depositary will not be obligated to perform any act that is inconsistent with the terms of the deposit agreement.</w:t>
      </w:r>
    </w:p>
    <w:p>
      <w:pPr>
        <w:spacing w:after="0" w:line="130" w:lineRule="exact"/>
        <w:rPr>
          <w:rFonts w:ascii="Times New Roman" w:cs="Times New Roman" w:eastAsia="Times New Roman" w:hAnsi="Times New Roman"/>
          <w:sz w:val="18"/>
          <w:szCs w:val="18"/>
          <w:color w:val="auto"/>
        </w:rPr>
      </w:pPr>
    </w:p>
    <w:p>
      <w:pPr>
        <w:ind w:left="1080" w:right="20" w:hanging="424"/>
        <w:spacing w:after="0" w:line="258" w:lineRule="auto"/>
        <w:tabs>
          <w:tab w:leader="none" w:pos="108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the depositary disclaim any liability if the Company or the depositary are prevented or forbidden from or subject to any civil or criminal penalty or restraint on account of, or delayed in, doing or performing any act or thing required by the terms of the deposit agreement, by reason of any provision, present or future of any law or regulation, including regulations of any stock exchange or by reason of present or future provision of any provision of the Company’s articles of association, or any provision of or governing the securities on deposit, or by reason of any act of God or war or other circumstances beyond the Company’s control.</w:t>
      </w:r>
    </w:p>
    <w:p>
      <w:pPr>
        <w:spacing w:after="0" w:line="88"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the depositary disclaim any liability by reason of any exercise of, or failure to exercise, any discretion provided for in the deposit agreement or in the Company’s articles of association or in any provisions of or governing the securities on deposit.</w:t>
      </w:r>
    </w:p>
    <w:p>
      <w:pPr>
        <w:spacing w:after="0" w:line="67" w:lineRule="exact"/>
        <w:rPr>
          <w:rFonts w:ascii="Times New Roman" w:cs="Times New Roman" w:eastAsia="Times New Roman" w:hAnsi="Times New Roman"/>
          <w:sz w:val="18"/>
          <w:szCs w:val="18"/>
          <w:color w:val="auto"/>
        </w:rPr>
      </w:pPr>
    </w:p>
    <w:p>
      <w:pPr>
        <w:jc w:val="both"/>
        <w:ind w:left="1080" w:right="100" w:hanging="424"/>
        <w:spacing w:after="0" w:line="266" w:lineRule="auto"/>
        <w:tabs>
          <w:tab w:leader="none" w:pos="108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the depositary further disclaim any liability for any action or inaction in reliance on the advice or information received from legal counsel, accountants, any person presenting securities for deposit, any holder of ADSs or authorized representatives thereof, or any other person believed by either of the Company in good faith to be competent to give such advice or information.</w:t>
      </w:r>
    </w:p>
    <w:p>
      <w:pPr>
        <w:spacing w:after="0" w:line="81" w:lineRule="exact"/>
        <w:rPr>
          <w:rFonts w:ascii="Times New Roman" w:cs="Times New Roman" w:eastAsia="Times New Roman" w:hAnsi="Times New Roman"/>
          <w:sz w:val="18"/>
          <w:szCs w:val="18"/>
          <w:color w:val="auto"/>
        </w:rPr>
      </w:pPr>
    </w:p>
    <w:p>
      <w:pPr>
        <w:ind w:left="1080" w:right="220" w:hanging="424"/>
        <w:spacing w:after="0" w:line="266" w:lineRule="auto"/>
        <w:tabs>
          <w:tab w:leader="none" w:pos="108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the depositary also disclaim liability for the inability by a holder or beneficial holder to benefit from any distribution, offering, right or other benefit that is made available to holders of Class A Shares or Class C Shares but is not, under the terms of the deposit agreement, made available to you.</w:t>
      </w:r>
    </w:p>
    <w:p>
      <w:pPr>
        <w:spacing w:after="0" w:line="81"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the depositary may rely without any liability upon any written notice, request or other document believed to be genuine and to have been signed or presented by the proper parties.</w:t>
      </w:r>
    </w:p>
    <w:p>
      <w:pPr>
        <w:spacing w:after="0" w:line="67" w:lineRule="exact"/>
        <w:rPr>
          <w:rFonts w:ascii="Times New Roman" w:cs="Times New Roman" w:eastAsia="Times New Roman" w:hAnsi="Times New Roman"/>
          <w:sz w:val="18"/>
          <w:szCs w:val="18"/>
          <w:color w:val="auto"/>
        </w:rPr>
      </w:pPr>
    </w:p>
    <w:p>
      <w:pPr>
        <w:ind w:left="1080" w:right="500" w:hanging="424"/>
        <w:spacing w:after="0" w:line="282" w:lineRule="auto"/>
        <w:tabs>
          <w:tab w:leader="none" w:pos="108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the depositary also disclaim liability for any consequential or punitive damages for any breach of the terms of the deposit agreement.</w:t>
      </w:r>
    </w:p>
    <w:p>
      <w:pPr>
        <w:spacing w:after="0" w:line="67"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the depositary disclaim liability arising out of losses, liabilities, taxes, charges or expenses resulting from the manner in which a holder or beneficial owner of ADSs holds ADSs, including resulting from holding ADSs through a brokerage account.</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192</w:t>
      </w:r>
    </w:p>
    <w:p>
      <w:pPr>
        <w:sectPr>
          <w:pgSz w:w="11900" w:h="16838" w:orient="portrait"/>
          <w:cols w:equalWidth="0" w:num="1">
            <w:col w:w="11120"/>
          </w:cols>
          <w:pgMar w:left="320" w:top="455" w:right="459" w:bottom="1440" w:gutter="0" w:footer="0" w:header="0"/>
        </w:sectPr>
      </w:pPr>
    </w:p>
    <w:bookmarkStart w:id="207" w:name="page208"/>
    <w:bookmarkEnd w:id="20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disclaimer of any Securities Act liability is intended by any provision of the deposit agreement.</w:t>
      </w:r>
    </w:p>
    <w:p>
      <w:pPr>
        <w:spacing w:after="0" w:line="130"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in the deposit agreement gives rise to a partnership or joint venture, or establishes a fiduciary relationship, among the Company, the depositary and you as ADS holder.</w:t>
      </w:r>
    </w:p>
    <w:p>
      <w:pPr>
        <w:spacing w:after="0" w:line="67" w:lineRule="exact"/>
        <w:rPr>
          <w:rFonts w:ascii="Times New Roman" w:cs="Times New Roman" w:eastAsia="Times New Roman" w:hAnsi="Times New Roman"/>
          <w:sz w:val="18"/>
          <w:szCs w:val="18"/>
          <w:color w:val="auto"/>
        </w:rPr>
      </w:pPr>
    </w:p>
    <w:p>
      <w:pPr>
        <w:ind w:left="1080" w:right="60" w:hanging="424"/>
        <w:spacing w:after="0" w:line="261" w:lineRule="auto"/>
        <w:tabs>
          <w:tab w:leader="none" w:pos="108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in the deposit agreement precludes Citibank (or its affiliates) from engaging in transactions in which parties adverse to the Company or the ADS owners have interests, and nothing in the deposit agreement obligates Citibank to disclose those transactions, or any information obtained in the course of those transactions, to the Company or to the ADS owners, or to account for any payment received as part of those transactions.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Taxes</w:t>
      </w:r>
    </w:p>
    <w:p>
      <w:pPr>
        <w:spacing w:after="0" w:line="121"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You will be responsible for the taxes and other governmental charges payable on the ADSs and the securities represented by the ADSs. The Company, the depositary and the custodian may deduct from any distribution the taxes and governmental charges payable by holders and may sell any and all property on deposit to pay the taxes and governmental charges payable by holders. You will be liable for any deficiency if the sale proceeds do not cover the taxes that are due.</w:t>
      </w:r>
    </w:p>
    <w:p>
      <w:pPr>
        <w:spacing w:after="0" w:line="180"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depositary may refuse to issue ADSs, to deliver, transfer, split and combine ADRs or to release securities on deposit until all taxes and charges are paid by the applicable holder. The depositary and the custodian may take reasonable administrative actions to obtain tax refunds and reduced tax withholding for any distributions on your behalf. However, you may be required to provide to the depositary and to the custodian proof of taxpayer status and residence and such other information as the depositary and the custodian may require to fulfill legal obligations. You are required to indemnify the Company, the depositary and the custodian for any claims with respect to taxes based on any tax benefit obtained for you.</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Conversion</w:t>
      </w:r>
    </w:p>
    <w:p>
      <w:pPr>
        <w:spacing w:after="0" w:line="121"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The depositary will arrange for the conversion of all foreign currency received into U.S. dollars if such conversion is practical, and it will distribute the U.S. dollars in accordance with the terms of the deposit agreement. You may have to pay fees and expenses incurred in converting foreign currency, such as fees and expenses incurred in complying with currency exchange controls and other governmental requirements.</w:t>
      </w:r>
    </w:p>
    <w:p>
      <w:pPr>
        <w:spacing w:after="0" w:line="176"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If the conversion of foreign currency is not practical or lawful, or if any required approvals are denied or not obtainable at a reasonable cost or within a reasonable period, the depositary may take the following actions in its discretion:</w:t>
      </w:r>
    </w:p>
    <w:p>
      <w:pPr>
        <w:spacing w:after="0" w:line="67" w:lineRule="exact"/>
        <w:rPr>
          <w:sz w:val="20"/>
          <w:szCs w:val="20"/>
          <w:color w:val="auto"/>
        </w:rPr>
      </w:pPr>
    </w:p>
    <w:p>
      <w:pPr>
        <w:ind w:left="1080" w:right="500" w:hanging="424"/>
        <w:spacing w:after="0" w:line="282" w:lineRule="auto"/>
        <w:tabs>
          <w:tab w:leader="none" w:pos="108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Convert the foreign currency to the extent practical and lawful and distribute the U.S. dollars to the applicable holders for whom the conversion and distribution is lawful and practical.</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Distribute the foreign currency to the applicable holders for whom the distribution is lawful and practical.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 the foreign currency (without liability for interest) for the applicable holders.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Governing Law/Waiver of Jury Trial</w:t>
      </w:r>
    </w:p>
    <w:p>
      <w:pPr>
        <w:spacing w:after="0" w:line="121" w:lineRule="exact"/>
        <w:rPr>
          <w:sz w:val="20"/>
          <w:szCs w:val="20"/>
          <w:color w:val="auto"/>
        </w:rPr>
      </w:pPr>
    </w:p>
    <w:p>
      <w:pPr>
        <w:ind w:left="120" w:right="20" w:firstLine="440"/>
        <w:spacing w:after="0" w:line="312" w:lineRule="auto"/>
        <w:rPr>
          <w:sz w:val="20"/>
          <w:szCs w:val="20"/>
          <w:color w:val="auto"/>
        </w:rPr>
      </w:pPr>
      <w:r>
        <w:rPr>
          <w:rFonts w:ascii="Times New Roman" w:cs="Times New Roman" w:eastAsia="Times New Roman" w:hAnsi="Times New Roman"/>
          <w:sz w:val="17"/>
          <w:szCs w:val="17"/>
          <w:color w:val="auto"/>
        </w:rPr>
        <w:t>The deposit agreement, the ADRs and the ADSs will be interpreted in accordance with the laws of the State of New York. The rights of holders of Class A Shares or Class C Shares (including Class A Shares or Class C Shares represented by ADSs) are governed by the laws of England and Wales.</w:t>
      </w:r>
    </w:p>
    <w:p>
      <w:pPr>
        <w:spacing w:after="0" w:line="140"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As an owner of ADSs, you irrevocably agree that any legal action arising out of the Deposit Agreement, the ADSs or the ADRs, involving the Company or the depositary, may only be instituted in a state or federal court in the city of New York.</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193</w:t>
      </w:r>
    </w:p>
    <w:p>
      <w:pPr>
        <w:sectPr>
          <w:pgSz w:w="11900" w:h="16838" w:orient="portrait"/>
          <w:cols w:equalWidth="0" w:num="1">
            <w:col w:w="11100"/>
          </w:cols>
          <w:pgMar w:left="320" w:top="455" w:right="479" w:bottom="1440" w:gutter="0" w:footer="0" w:header="0"/>
        </w:sectPr>
      </w:pPr>
    </w:p>
    <w:bookmarkStart w:id="208" w:name="page209"/>
    <w:bookmarkEnd w:id="20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AS A PARTY TO THE DEPOSIT AGREEMENT, YOU IRREVOCABLY WAIVE, TO THE FULLEST EXTENT PERMITTED BY APPLICABLE LAW, YOUR RIGHT TO TRIAL BY JURY IN ANY LEGAL PROCEEDING ARISING OUT OF THE DEPOSIT AGREEMENT OR THE ADRs AGAINST THE COMPANY AND/ OR THE DEPOSITARY.</w:t>
      </w:r>
    </w:p>
    <w:p>
      <w:pPr>
        <w:spacing w:after="0" w:line="176"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 xml:space="preserve">The deposit agreement provides that, to the extent permitted by law, ADS holders waive the right to a jury trial of any claim they may have against the Company or the depositary arising out of or relating to the Class A Shares or Class C Shares, the ADSs or the deposit agreement, including any claim under U.S. federal securities laws. </w:t>
      </w:r>
      <w:r>
        <w:rPr>
          <w:rFonts w:ascii="Times New Roman" w:cs="Times New Roman" w:eastAsia="Times New Roman" w:hAnsi="Times New Roman"/>
          <w:sz w:val="18"/>
          <w:szCs w:val="18"/>
          <w:i w:val="1"/>
          <w:iCs w:val="1"/>
          <w:color w:val="auto"/>
        </w:rPr>
        <w:t>If the Company or the depositary opposed a jury trial demand based on the waiver, the court would determine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whether the waiver was enforceable in the facts and circumstances of that case in accordance with applicable case law. However, you will not be deemed, by agreeing to the terms of the deposit agreement, to have waived the Company’s or the depositary’s compliance with U.S. federal securities laws and the rules and regulations promulgated thereunder.</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Restricted ADSs</w:t>
      </w:r>
    </w:p>
    <w:p>
      <w:pPr>
        <w:spacing w:after="0" w:line="121" w:lineRule="exact"/>
        <w:rPr>
          <w:sz w:val="20"/>
          <w:szCs w:val="20"/>
          <w:color w:val="auto"/>
        </w:rPr>
      </w:pPr>
    </w:p>
    <w:p>
      <w:pPr>
        <w:ind w:left="120" w:right="140" w:firstLine="440"/>
        <w:spacing w:after="0" w:line="256" w:lineRule="auto"/>
        <w:rPr>
          <w:sz w:val="20"/>
          <w:szCs w:val="20"/>
          <w:color w:val="auto"/>
        </w:rPr>
      </w:pPr>
      <w:r>
        <w:rPr>
          <w:rFonts w:ascii="Times New Roman" w:cs="Times New Roman" w:eastAsia="Times New Roman" w:hAnsi="Times New Roman"/>
          <w:sz w:val="18"/>
          <w:szCs w:val="18"/>
          <w:color w:val="auto"/>
        </w:rPr>
        <w:t>In order to enable the deposit of Class A Shares or Class C Shares, the transfer of which is restricted due to contractual or regulatory limitations, commonly referred to as “Restricted Shares,” the Company and the depositary have agreed, by means of letter agreements, to create restricted series of American depositary shares referred to as “Restricted ADSs” or “RADSs,” in accordance with the terms of the deposit agreements. The RADS letter agreements supplement the deposit agreements. Forms of the RADS letter agreements are on file with the SEC under cover of the applicable Registration Statements on Form F-6. You may obtain a copy of the RADS letter agreements from the SEC’s Public Reference Room at 100 F Street, N.E., Washington, D.C. 20549 and from the depositary.</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Restricted ADSs differ from the freely transferable ADSs in certain respects. These differences include the following:</w:t>
      </w:r>
    </w:p>
    <w:p>
      <w:pPr>
        <w:spacing w:after="0" w:line="131" w:lineRule="exact"/>
        <w:rPr>
          <w:sz w:val="20"/>
          <w:szCs w:val="20"/>
          <w:color w:val="auto"/>
        </w:rPr>
      </w:pPr>
    </w:p>
    <w:p>
      <w:pPr>
        <w:ind w:left="1080" w:hanging="424"/>
        <w:spacing w:after="0"/>
        <w:tabs>
          <w:tab w:leader="none" w:pos="108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Listing</w:t>
      </w:r>
      <w:r>
        <w:rPr>
          <w:rFonts w:ascii="Times New Roman" w:cs="Times New Roman" w:eastAsia="Times New Roman" w:hAnsi="Times New Roman"/>
          <w:sz w:val="18"/>
          <w:szCs w:val="18"/>
          <w:color w:val="auto"/>
        </w:rPr>
        <w:t>: The Restricted ADSs are not listed on any securities exchange or trading system in the United States.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CUSIP Number</w:t>
      </w:r>
      <w:r>
        <w:rPr>
          <w:rFonts w:ascii="Times New Roman" w:cs="Times New Roman" w:eastAsia="Times New Roman" w:hAnsi="Times New Roman"/>
          <w:sz w:val="18"/>
          <w:szCs w:val="18"/>
          <w:color w:val="auto"/>
        </w:rPr>
        <w:t>: The CUSIP number for the Restricted ADSs is different from the CUSIP number for the freely transferable ADSs.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 Restrictions</w:t>
      </w:r>
      <w:r>
        <w:rPr>
          <w:rFonts w:ascii="Times New Roman" w:cs="Times New Roman" w:eastAsia="Times New Roman" w:hAnsi="Times New Roman"/>
          <w:sz w:val="18"/>
          <w:szCs w:val="18"/>
          <w:color w:val="auto"/>
        </w:rPr>
        <w:t>: The Restricted ADSs may, after issuance, be sold or otherwise transferred only on the terms described below.</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Legend</w:t>
      </w:r>
      <w:r>
        <w:rPr>
          <w:rFonts w:ascii="Times New Roman" w:cs="Times New Roman" w:eastAsia="Times New Roman" w:hAnsi="Times New Roman"/>
          <w:sz w:val="18"/>
          <w:szCs w:val="18"/>
          <w:color w:val="auto"/>
        </w:rPr>
        <w:t>: The Restricted ADSs will be subject to a transfer legend substantially in the form of all or some of the following:</w:t>
      </w:r>
    </w:p>
    <w:p>
      <w:pPr>
        <w:spacing w:after="0" w:line="225"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RESTRICTED ADSs AND THE RESTRICTED SHARES REPRESENTED THEREBY HAVE NOT BEEN REGISTERED UNDER THE UNITED STATES SECURITIES ACT OF 1933, AS AMENDED (THE “SECURITIES ACT”), OR WITH ANY SECURITIES REGULATORY AUTHORITY OF ANY JURISDICTION. THE RESTRICTED ADSs MAY NOT BE OFFERED, SOLD, PLEDGED OR OTHERWISE TRANSFERRED OR DELIVERED EXCEPT (A) TO A PERSON OTHER THAN A U.S. PERSON (WITHIN THE MEANING GIVEN TO SUCH TERM IN REGULATION S UNDER THE SECURITIES ACT (“REGULATION S”)) IN AN OFFSHORE TRANSACTION MEETING THE REQUIREMENTS OF REGULATION S, (B) PURSUANT TO AN EXEMPTION FROM REGISTRATION UNDER THE SECURITIES ACT PROVIDED BY RULE 144A THEREUNDER, (C) PURSUANT TO ANOTHER EXEMPTION FROM REGISTRATION UNDER THE SECURITIES ACT, OR (D) PURSUANT TO AN EFFECTIVE REGISTRATION STATEMENT UNDER THE SECURITIES ACT COVERING THE APPLICABLE SALE, PLEDGE, TRANSFER AND DELIVERY, AND, IN EACH CASE, IN ACCORDANCE WITH ALL APPLICABLE SECURITIES LAWS OF THE STATES OF THE UNITED STATES AND OTHER JURISDICTIONS. THE COMPANY AND THE DEPOSITARY SHALL BE ENTITLED TO RECEIVE FROM</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194</w:t>
      </w:r>
    </w:p>
    <w:p>
      <w:pPr>
        <w:sectPr>
          <w:pgSz w:w="11900" w:h="16838" w:orient="portrait"/>
          <w:cols w:equalWidth="0" w:num="1">
            <w:col w:w="11120"/>
          </w:cols>
          <w:pgMar w:left="320" w:top="455" w:right="459" w:bottom="1440" w:gutter="0" w:footer="0" w:header="0"/>
        </w:sectPr>
      </w:pPr>
    </w:p>
    <w:bookmarkStart w:id="209" w:name="page210"/>
    <w:bookmarkEnd w:id="20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20"/>
        <w:spacing w:after="0" w:line="289" w:lineRule="auto"/>
        <w:rPr>
          <w:sz w:val="20"/>
          <w:szCs w:val="20"/>
          <w:color w:val="auto"/>
        </w:rPr>
      </w:pPr>
      <w:r>
        <w:rPr>
          <w:rFonts w:ascii="Times New Roman" w:cs="Times New Roman" w:eastAsia="Times New Roman" w:hAnsi="Times New Roman"/>
          <w:sz w:val="17"/>
          <w:szCs w:val="17"/>
          <w:color w:val="auto"/>
        </w:rPr>
        <w:t>THE HOLDER OF THE RESTRICTED ADSs SEEKING TO SELL, PLEDGE OR OTHERWISE TRANSFER OR DELIVER THE RESTRICTED ADSs EVIDENCE SATISFACTORY TO THE DEPOSITARY AND THE COMPANY THAT THE TRANSFER RESTRICTIONS APPLICABLE TO THE RESTRICTED ADSs HAVE BEEN OR ARE BEING SATISFIED (WHICH MAY INCLUDE AN OPINION OF QUALIFIED COUNSEL).</w:t>
      </w:r>
    </w:p>
    <w:p>
      <w:pPr>
        <w:spacing w:after="0" w:line="158" w:lineRule="exact"/>
        <w:rPr>
          <w:sz w:val="20"/>
          <w:szCs w:val="20"/>
          <w:color w:val="auto"/>
        </w:rPr>
      </w:pPr>
    </w:p>
    <w:p>
      <w:pPr>
        <w:ind w:left="120" w:right="180" w:firstLine="440"/>
        <w:spacing w:after="0" w:line="254" w:lineRule="auto"/>
        <w:rPr>
          <w:sz w:val="20"/>
          <w:szCs w:val="20"/>
          <w:color w:val="auto"/>
        </w:rPr>
      </w:pPr>
      <w:r>
        <w:rPr>
          <w:rFonts w:ascii="Times New Roman" w:cs="Times New Roman" w:eastAsia="Times New Roman" w:hAnsi="Times New Roman"/>
          <w:sz w:val="18"/>
          <w:szCs w:val="18"/>
          <w:color w:val="auto"/>
        </w:rPr>
        <w:t>THE RESTRICTED ADSs AND THE RESTRICTED SHARES REPRESENTED THEREBY ARE SUBJECT TO RESTRICTIONS PURSUANT TO THE SPONSOR AND SUPPORTING SPONSOR STOCKHOLDERS LOCK-UP AGREEMENT, DATED SEPTEMBER 27, 2021, AMONG POLESTAR AUTOMOTIVE HOLDING UK PLC (THE “COMPANY”), GORES GUGGENHEIM SPONSOR LLC AND THE OTHER PARTIES THERETO (AS AMENDED, THE “SPONSOR LOCK UP AGREEMENT”), OR THE PARENT LOCK-UP AGREEMENTS, DATED SEPTEMBER 27, 2021, AMONG THE COMPANY AND THE OTHER PARTIES THERETO (AS AMENDED, THE “SPONSOR LOCK UP AGREEMENTS,” AND TOGETHER WITH THE SPONSOR LOCK UP AGREEMENT, THE “LOCK UP AGREEMENTS”), AS APPLICABLE, MAY ONLY BE OFFERED, SOLD, TRANSFERRED, PLEDGED OR OTHERWISE DISPOSED DURING THE TERM OF THE LOCK-UP PURSUANT TO THE TERMS SET FORTH IN THE LOCK UP AGREEMENTS, AS APPLICABLE.”</w:t>
      </w:r>
    </w:p>
    <w:p>
      <w:pPr>
        <w:spacing w:after="0" w:line="192"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The ADSs issued upon conversion of convertible RADSs may be issued in the form of RADSs unless the conversion (x) is registered under the Securities Act and the ADSs are held by a person who is not an affiliate of Polestar and (y) is exempt from registration under the Securities Act and the ADSs are held by a person who is not an affiliate of Polestar.</w:t>
      </w:r>
    </w:p>
    <w:p>
      <w:pPr>
        <w:spacing w:after="0" w:line="81" w:lineRule="exact"/>
        <w:rPr>
          <w:sz w:val="20"/>
          <w:szCs w:val="20"/>
          <w:color w:val="auto"/>
        </w:rPr>
      </w:pPr>
    </w:p>
    <w:p>
      <w:pPr>
        <w:ind w:left="1080" w:right="180" w:hanging="424"/>
        <w:spacing w:after="0" w:line="282" w:lineRule="auto"/>
        <w:tabs>
          <w:tab w:leader="none" w:pos="108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Segregation of Shares</w:t>
      </w:r>
      <w:r>
        <w:rPr>
          <w:rFonts w:ascii="Times New Roman" w:cs="Times New Roman" w:eastAsia="Times New Roman" w:hAnsi="Times New Roman"/>
          <w:sz w:val="18"/>
          <w:szCs w:val="18"/>
          <w:color w:val="auto"/>
        </w:rPr>
        <w:t>: Restricted Shares deposited with the custodian with respect to Restricted ADSs shall be held separate and distinct from the deposited securities held under the applicable deposit agreement.</w:t>
      </w:r>
    </w:p>
    <w:p>
      <w:pPr>
        <w:spacing w:after="0" w:line="67" w:lineRule="exact"/>
        <w:rPr>
          <w:rFonts w:ascii="Times New Roman" w:cs="Times New Roman" w:eastAsia="Times New Roman" w:hAnsi="Times New Roman"/>
          <w:sz w:val="18"/>
          <w:szCs w:val="18"/>
          <w:color w:val="auto"/>
        </w:rPr>
      </w:pPr>
    </w:p>
    <w:p>
      <w:pPr>
        <w:ind w:left="1080" w:hanging="424"/>
        <w:spacing w:after="0" w:line="261" w:lineRule="auto"/>
        <w:tabs>
          <w:tab w:leader="none" w:pos="108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Lack of Fungibility</w:t>
      </w:r>
      <w:r>
        <w:rPr>
          <w:rFonts w:ascii="Times New Roman" w:cs="Times New Roman" w:eastAsia="Times New Roman" w:hAnsi="Times New Roman"/>
          <w:sz w:val="18"/>
          <w:szCs w:val="18"/>
          <w:color w:val="auto"/>
        </w:rPr>
        <w:t>: The Restricted ADSs are not currently fungible with the freely transferable ADSs issued and outstanding under the applicable deposit agreement. The Restricted ADSs will not be fungible with the freely transferable ADSs outstanding under the applicable deposit agreement as long as the Restricted ADSs and the Restricted Shares represented thereby are “restricted securities” under the Securities Act or are otherwise subject to restrictions on transfer.</w:t>
      </w:r>
    </w:p>
    <w:p>
      <w:pPr>
        <w:spacing w:after="0" w:line="85" w:lineRule="exact"/>
        <w:rPr>
          <w:rFonts w:ascii="Times New Roman" w:cs="Times New Roman" w:eastAsia="Times New Roman" w:hAnsi="Times New Roman"/>
          <w:sz w:val="18"/>
          <w:szCs w:val="18"/>
          <w:color w:val="auto"/>
        </w:rPr>
      </w:pPr>
    </w:p>
    <w:p>
      <w:pPr>
        <w:ind w:left="1080" w:right="40" w:hanging="424"/>
        <w:spacing w:after="0" w:line="255" w:lineRule="auto"/>
        <w:tabs>
          <w:tab w:leader="none" w:pos="108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Withdrawal</w:t>
      </w:r>
      <w:r>
        <w:rPr>
          <w:rFonts w:ascii="Times New Roman" w:cs="Times New Roman" w:eastAsia="Times New Roman" w:hAnsi="Times New Roman"/>
          <w:sz w:val="18"/>
          <w:szCs w:val="18"/>
          <w:color w:val="auto"/>
        </w:rPr>
        <w:t xml:space="preserve">: The holders of Restricted ADSs will be able to request the withdrawal of the Restricted Shares represented by their Restricted ADSs only upon delivery to the depositary of (i) the applicable RADSs, all documentation contemplated in the applicable deposit agreement and the applicable RADS letter agreement and payment of all applicable fees and expenses of the depositary, and (ii) a certification to the effect,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that either (x) the holder will be the owner of the Restricted Shares being withdrawn and undertakes not to deposit the Restricted Shares under the applicable deposit agreement and to transfer such Restricted Shares only in a transaction meeting the requirements of the legend set forth above or (y) the holder has sold the Restricted Shares in a transaction meeting the requirements of Regulation S under the Securities Act and will make delivery of the Restricted Shares outside the U.S.</w:t>
      </w:r>
    </w:p>
    <w:p>
      <w:pPr>
        <w:spacing w:after="0" w:line="94"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Book-Entry Settlement</w:t>
      </w:r>
      <w:r>
        <w:rPr>
          <w:rFonts w:ascii="Times New Roman" w:cs="Times New Roman" w:eastAsia="Times New Roman" w:hAnsi="Times New Roman"/>
          <w:sz w:val="18"/>
          <w:szCs w:val="18"/>
          <w:color w:val="auto"/>
        </w:rPr>
        <w:t>: The Restricted ADSs are not expected to be eligible for inclusion in any book-entry settlement system, including, without limitation, the book-entry settlement system maintained by DTC.</w:t>
      </w:r>
    </w:p>
    <w:p>
      <w:pPr>
        <w:spacing w:after="0" w:line="67" w:lineRule="exact"/>
        <w:rPr>
          <w:rFonts w:ascii="Times New Roman" w:cs="Times New Roman" w:eastAsia="Times New Roman" w:hAnsi="Times New Roman"/>
          <w:sz w:val="18"/>
          <w:szCs w:val="18"/>
          <w:color w:val="auto"/>
        </w:rPr>
      </w:pPr>
    </w:p>
    <w:p>
      <w:pPr>
        <w:ind w:left="1080" w:right="220" w:hanging="424"/>
        <w:spacing w:after="0" w:line="266" w:lineRule="auto"/>
        <w:tabs>
          <w:tab w:leader="none" w:pos="108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Conversion of RADSs into ADSs</w:t>
      </w:r>
      <w:r>
        <w:rPr>
          <w:rFonts w:ascii="Times New Roman" w:cs="Times New Roman" w:eastAsia="Times New Roman" w:hAnsi="Times New Roman"/>
          <w:sz w:val="18"/>
          <w:szCs w:val="18"/>
          <w:color w:val="auto"/>
        </w:rPr>
        <w:t>: Once the applicable transfer restrictions expire or if the transaction is covered by an effective resale registration statement, the RADSs may be exchangeable into freely transferable ADSs upon delivery of the RADSs to the depositary for exchange into freely transferable ADSs together with applicable supporting documents, legal opinions and depositary fees and taxes.</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195</w:t>
      </w:r>
    </w:p>
    <w:p>
      <w:pPr>
        <w:sectPr>
          <w:pgSz w:w="11900" w:h="16838" w:orient="portrait"/>
          <w:cols w:equalWidth="0" w:num="1">
            <w:col w:w="11120"/>
          </w:cols>
          <w:pgMar w:left="320" w:top="455" w:right="459" w:bottom="1440" w:gutter="0" w:footer="0" w:header="0"/>
        </w:sectPr>
      </w:pPr>
    </w:p>
    <w:bookmarkStart w:id="210" w:name="page211"/>
    <w:bookmarkEnd w:id="2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Conversion of Class C ADSs</w:t>
      </w:r>
    </w:p>
    <w:p>
      <w:pPr>
        <w:spacing w:after="0" w:line="121"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Holders of Class C ADSs representing the Class C Shares may convert the Class C ADSs into Class A ADSs representing the Class A Shares on any New York and UK business day at any time commencing 30 days after the completion of the Business Combination, subject in each case to the terms and conditions of the applicable the Class C Shares (see “Description of Share Capital and Articles of Association—Class C Shares”) and the deposit agreement. The Class C Shares will only be accepted for conversion in multiples of one.</w:t>
      </w:r>
    </w:p>
    <w:p>
      <w:pPr>
        <w:spacing w:after="0" w:line="180"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Any holder of Class C ADSs wishing to convert the Class C Shares represented by their Class C ADSs into Class A ADSs will need to take the following actions:</w:t>
      </w:r>
    </w:p>
    <w:p>
      <w:pPr>
        <w:spacing w:after="0" w:line="67" w:lineRule="exact"/>
        <w:rPr>
          <w:sz w:val="20"/>
          <w:szCs w:val="20"/>
          <w:color w:val="auto"/>
        </w:rPr>
      </w:pPr>
    </w:p>
    <w:p>
      <w:pPr>
        <w:ind w:left="1080" w:right="160" w:hanging="424"/>
        <w:spacing w:after="0" w:line="266" w:lineRule="auto"/>
        <w:tabs>
          <w:tab w:leader="none" w:pos="108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 the applicable Class C ADSs to the depositary, or one of its agents, together with instructions to cancel such Class C ADSs and to deliver the corresponding Class C Shares for conversion into Class A Shares in the form of Class A ADSs and pay to the applicable conversion agent the applicable ADS fees; and</w:t>
      </w:r>
    </w:p>
    <w:p>
      <w:pPr>
        <w:spacing w:after="0" w:line="81"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 to Citibank, N.A., as conversion agent and the depositary, a duly completed ADS / Class C Share conversion form together with the applicable conversion price (in U.S. Dollars) and applicable taxes.</w:t>
      </w:r>
    </w:p>
    <w:p>
      <w:pPr>
        <w:spacing w:after="0" w:line="162"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Holders of Class C ADSs who duly convert the Class C Shares represented by their Class C ADSs will receive the Class A Shares represented by Class A ADSs, subject in each case to the terms of the Class C Shares in the Polestar Articles and the applicable deposit agreement.</w:t>
      </w:r>
    </w:p>
    <w:p>
      <w:pPr>
        <w:spacing w:after="0" w:line="162" w:lineRule="exact"/>
        <w:rPr>
          <w:sz w:val="20"/>
          <w:szCs w:val="20"/>
          <w:color w:val="auto"/>
        </w:rPr>
      </w:pPr>
    </w:p>
    <w:p>
      <w:pPr>
        <w:ind w:left="120" w:firstLine="440"/>
        <w:spacing w:after="0" w:line="276" w:lineRule="auto"/>
        <w:rPr>
          <w:sz w:val="20"/>
          <w:szCs w:val="20"/>
          <w:color w:val="auto"/>
        </w:rPr>
      </w:pPr>
      <w:r>
        <w:rPr>
          <w:rFonts w:ascii="Times New Roman" w:cs="Times New Roman" w:eastAsia="Times New Roman" w:hAnsi="Times New Roman"/>
          <w:sz w:val="17"/>
          <w:szCs w:val="17"/>
          <w:color w:val="auto"/>
        </w:rPr>
        <w:t>A holder who converts the Class C Shares represented by their Class C ADSs will become the owner of the Class A Shares only upon receipt by as the applicable conversion agent, of (i) the requisite Class C Shares (upon cancellation of Class C ADSs), (ii) the duly completed conversion form, and</w:t>
      </w:r>
    </w:p>
    <w:p>
      <w:pPr>
        <w:spacing w:after="0" w:line="1" w:lineRule="exact"/>
        <w:rPr>
          <w:sz w:val="20"/>
          <w:szCs w:val="20"/>
          <w:color w:val="auto"/>
        </w:rPr>
      </w:pPr>
    </w:p>
    <w:p>
      <w:pPr>
        <w:ind w:left="120" w:right="340" w:hanging="4"/>
        <w:spacing w:after="0" w:line="260" w:lineRule="auto"/>
        <w:tabs>
          <w:tab w:leader="none" w:pos="435"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applicable conversion price and taxes. The form conversion instructions to be delivered to the applicable conversion agent, may be obtained from the depositary.</w:t>
      </w:r>
    </w:p>
    <w:p>
      <w:pPr>
        <w:spacing w:after="0" w:line="181" w:lineRule="exact"/>
        <w:rPr>
          <w:sz w:val="20"/>
          <w:szCs w:val="20"/>
          <w:color w:val="auto"/>
        </w:rPr>
      </w:pPr>
    </w:p>
    <w:p>
      <w:pPr>
        <w:jc w:val="both"/>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If the Company suspends the right to convert the Class C Shares at any time, the Company will give notice thereof to the depositary setting forth the term and reason for such suspension. Upon receipt of such notice, the depositary shall give notice thereof to the holders of Class C ADSs and shall refuse during the period of such suspension to accept instructions to cancel Class C ADSs for the purpose of converting Class C Shares.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Mandatory Conversion of Class C Shares</w:t>
      </w:r>
    </w:p>
    <w:p>
      <w:pPr>
        <w:spacing w:after="0" w:line="121"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Whenever the Company decides to exercise its right to convert the Class C Shares in connection with a mandatory conversion, the Company will notify the depositary. If it is reasonably practicable and if the Company provides all of the documentation contemplated in the deposit agreement, the depositary will mail notice of the mandatory conversion to the holders of Class C Shares.</w:t>
      </w:r>
    </w:p>
    <w:p>
      <w:pPr>
        <w:spacing w:after="0" w:line="176" w:lineRule="exact"/>
        <w:rPr>
          <w:sz w:val="20"/>
          <w:szCs w:val="20"/>
          <w:color w:val="auto"/>
        </w:rPr>
      </w:pPr>
    </w:p>
    <w:p>
      <w:pPr>
        <w:ind w:left="120" w:right="240" w:firstLine="440"/>
        <w:spacing w:after="0" w:line="256" w:lineRule="auto"/>
        <w:rPr>
          <w:sz w:val="20"/>
          <w:szCs w:val="20"/>
          <w:color w:val="auto"/>
        </w:rPr>
      </w:pPr>
      <w:r>
        <w:rPr>
          <w:rFonts w:ascii="Times New Roman" w:cs="Times New Roman" w:eastAsia="Times New Roman" w:hAnsi="Times New Roman"/>
          <w:sz w:val="18"/>
          <w:szCs w:val="18"/>
          <w:color w:val="auto"/>
        </w:rPr>
        <w:t>The custodian will be instructed to surrender the Class C Shares that are being mandatorily converted against payment of the applicable mandatory conversion price. The depositary will convert the redemption funds received into U.S. dollars upon the terms of the deposit agreement and will establish procedures to enable holders to receive the net proceeds from the mandatory conversion upon surrender of their Class C ADSs to the depositary. You may have to pay fees, expenses, taxes and other governmental charges upon the mandatory conversion of your Class C Shares. If less than all Class C ADSs are being mandatorily converted, the Class C ADSs to be retired will be selected by lot or on a pro rata basis, as the depositary may determine.</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196</w:t>
      </w:r>
    </w:p>
    <w:p>
      <w:pPr>
        <w:sectPr>
          <w:pgSz w:w="11900" w:h="16838" w:orient="portrait"/>
          <w:cols w:equalWidth="0" w:num="1">
            <w:col w:w="11120"/>
          </w:cols>
          <w:pgMar w:left="320" w:top="455" w:right="459" w:bottom="1440" w:gutter="0" w:footer="0" w:header="0"/>
        </w:sectPr>
      </w:pPr>
    </w:p>
    <w:bookmarkStart w:id="211" w:name="page212"/>
    <w:bookmarkEnd w:id="2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SECURITIES ELIGIBLE FOR FUTURE SALE</w:t>
      </w:r>
    </w:p>
    <w:p>
      <w:pPr>
        <w:spacing w:after="0" w:line="229" w:lineRule="exact"/>
        <w:rPr>
          <w:sz w:val="20"/>
          <w:szCs w:val="20"/>
          <w:color w:val="auto"/>
        </w:rPr>
      </w:pPr>
    </w:p>
    <w:p>
      <w:pPr>
        <w:jc w:val="both"/>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As of the date of this prospectus, the following securities were issued and outstanding: 467,144,972 Class A ADSs, 1,642,233,575 Class B ADSs, 15,999,965 Class C-1 ADSs and 9,000,000 Class C-2 ADSs. The Class C ADSs entitle the holder to purchase one Class A ADS per Class C ADS at an exercise price of $11.50 per Class A ADS.</w:t>
      </w:r>
    </w:p>
    <w:p>
      <w:pPr>
        <w:spacing w:after="0" w:line="176" w:lineRule="exact"/>
        <w:rPr>
          <w:sz w:val="20"/>
          <w:szCs w:val="20"/>
          <w:color w:val="auto"/>
        </w:rPr>
      </w:pPr>
    </w:p>
    <w:p>
      <w:pPr>
        <w:ind w:left="120" w:right="180" w:firstLine="440"/>
        <w:spacing w:after="0" w:line="258" w:lineRule="auto"/>
        <w:rPr>
          <w:sz w:val="20"/>
          <w:szCs w:val="20"/>
          <w:color w:val="auto"/>
        </w:rPr>
      </w:pPr>
      <w:r>
        <w:rPr>
          <w:rFonts w:ascii="Times New Roman" w:cs="Times New Roman" w:eastAsia="Times New Roman" w:hAnsi="Times New Roman"/>
          <w:sz w:val="18"/>
          <w:szCs w:val="18"/>
          <w:color w:val="auto"/>
        </w:rPr>
        <w:t>The Class A ADSs and Class C-1 ADSs issued to the shareholders and warrantholders of GGI in connection with the Business Combination are freely transferable without further registration under the Securities Act unless held by the Sponsor, affiliates of GGI or the Company, or by any person who was an affiliate of a party to the Business Combination at the time such transaction was submitted for vote or consent and who acquired such securities in connection with such transaction. Sales of substantial amounts of the Class A ADSs and Class C-1 ADSs in the public market could adversely affect prevailing market prices of the Class A ADSs and Class C-1 ADSs.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Lock-up Agreements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Parent Lock-Up Agreement</w:t>
      </w:r>
    </w:p>
    <w:p>
      <w:pPr>
        <w:spacing w:after="0" w:line="119"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On September 27, 2021, Parent, the Company and the Parent Shareholders entered into the Parent Lock-Up Agreement, a form of which is included as an exhibit to the registration statement of which this prospectus forms a part. Pursuant to the Parent Lock-Up Agreement, each Parent Shareholder has, subject to certain exceptions, among other things, agreed not to transfer any equity security of the Company issued to them pursuant to the Business Combination Agreement or other transaction documents contemplated by the Business Combination Agreement during the period commencing the date of Closing and ending 180 days following the Closing Date, in each case subject to the terms and conditions set forth therein.</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Sponsor and Supporting Sponsor Lock-Up Agreement</w:t>
      </w:r>
    </w:p>
    <w:p>
      <w:pPr>
        <w:spacing w:after="0" w:line="11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On September 27, 2021, concurrently with the execution of the Business Combination Agreement, GGI, Parent, the Company, the GGI Initial Stockholders entered into the Sponsor and Supporting Sponsor Stockholder Lock-Up Agreement, pursuant to which each GGI Initial Stockholder, among other things, agreed to (i) vote their GGI Class F Common Stock in favor of the proposal to approve the Business Combination and any other proposals at the special meeting of the stockholders of GGI, and against any alternative business combination, (ii) waive all adjustments to the conversion ratio set forth in the Current GGI Certificate with respect to the GGI Class F Common Stock, (iii) be bound by certain transfer restrictions with respect to their GGI Common Stock, GGI Public Warrants and GGI Private Placement Warrants and (iv) not to transfer any Class A ADSs issued pursuant to the Business Combination Agreement in respect of shares of GGI Class F Common Stock during the period beginning on the date of Closing and ending 180 days following the Closing Date, in each case subject to the terms and conditions set forth therein. In addition, the GGI Sponsor agreed to the forfeiture of up to 1,501,651 shares of GGI Class F Common Stock, which was increased to 1,533,873 shares of GGI Class F Common Stock in connection with the Sponsor and Supporting Sponsor Stockholders Lock-Up Agreement Amendment No. 1, and further increased to 1,540,835 shares of GGI Class F Common Stock in connection with the Sponsor and Supporting Sponsor Stockholders Lock-Up Agreement Amendment No. 2.</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Registration Rights</w:t>
      </w:r>
    </w:p>
    <w:p>
      <w:pPr>
        <w:spacing w:after="0" w:line="121" w:lineRule="exact"/>
        <w:rPr>
          <w:sz w:val="20"/>
          <w:szCs w:val="20"/>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On September 27, 2021, the Company, Parent, the Parent Shareholders, the GGI Sponsor and the independent directors of GGI entered into a Registration Rights Agreement, which was amended by the Registration Rights Agreement Amendment No. 1 to provide for certain administrative changes to reflect the Amendment No. 1 to the Business Combination Agreement and the December PIPE Subscription Agreements and further amended by the Registration Rights Agreement Amendment No. 2 to provide for certain administrative changes to reflect the Amendment No. 2 to the Business Combination Agreement and the March</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197</w:t>
      </w:r>
    </w:p>
    <w:p>
      <w:pPr>
        <w:sectPr>
          <w:pgSz w:w="11900" w:h="16838" w:orient="portrait"/>
          <w:cols w:equalWidth="0" w:num="1">
            <w:col w:w="11120"/>
          </w:cols>
          <w:pgMar w:left="320" w:top="455" w:right="459" w:bottom="1440" w:gutter="0" w:footer="0" w:header="0"/>
        </w:sectPr>
      </w:pPr>
    </w:p>
    <w:bookmarkStart w:id="212" w:name="page213"/>
    <w:bookmarkEnd w:id="2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54" w:lineRule="auto"/>
        <w:rPr>
          <w:sz w:val="20"/>
          <w:szCs w:val="20"/>
          <w:color w:val="auto"/>
        </w:rPr>
      </w:pPr>
      <w:r>
        <w:rPr>
          <w:rFonts w:ascii="Times New Roman" w:cs="Times New Roman" w:eastAsia="Times New Roman" w:hAnsi="Times New Roman"/>
          <w:sz w:val="18"/>
          <w:szCs w:val="18"/>
          <w:color w:val="auto"/>
        </w:rPr>
        <w:t>PIPE Subscription Agreements, which provides customary demand and piggyback registration rights. Pursuant to the Registration Rights Agreement, the Company agreed that, as soon as practicable, and in any event within 30 days after the Closing, the Company will file with the SEC a shelf registration statement. In addition, the Company will use its reasonable best efforts to have the registration statement declared effective as soon as practicable after the filing thereof, but no later than the 60th day (or the 90th day if the registration statement is reviewed by, and received comments from, the SEC) following the filing deadline, in each case subject to the terms and conditions set forth therein. On December 17, 2021, the parties to the Registration Rights Agreement entered into the Registration Rights Agreement Amendment to provide for certain administrative changes to reflect the Amendment No. 1 to the Business Combination Agreement and the December PIPE Subscription. We are registering the offer and sale of the securities covered by this prospectus to satisfy these registration rights.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Rule 144</w:t>
      </w:r>
    </w:p>
    <w:p>
      <w:pPr>
        <w:spacing w:after="0" w:line="121"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Pursuant to Rule 144 under the Securities Act (“Rule 144”), a person who has beneficially owned restricted Class A ADSs or Class C ADSs for at least six months would be entitled to sell their securities; provided that (i) such person is not deemed to have been one of our affiliates at the time of, or at any time during the three months preceding, a sale and (ii) the Company is subject to the Exchange Act periodic reporting requirements for at least three months before the sale and have filed all required reports under Section 13 or 15(d) of the Exchange Act during the 12 months (or such shorter period as it was required to file reports) preceding the sale.</w:t>
      </w:r>
    </w:p>
    <w:p>
      <w:pPr>
        <w:spacing w:after="0" w:line="183"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Persons who have beneficially owned restricted Class A ADSs or Class C ADSs for at least six months but who are our affiliates at the time of, or at any time during the three months preceding, a sale, would be subject to additional restrictions, by which such person would be entitled to sell within any three-month period only a number of securities that does not exceed the greater of:</w:t>
      </w:r>
    </w:p>
    <w:p>
      <w:pPr>
        <w:spacing w:after="0" w:line="81" w:lineRule="exact"/>
        <w:rPr>
          <w:sz w:val="20"/>
          <w:szCs w:val="20"/>
          <w:color w:val="auto"/>
        </w:rPr>
      </w:pPr>
    </w:p>
    <w:p>
      <w:pPr>
        <w:ind w:left="1080" w:hanging="424"/>
        <w:spacing w:after="0"/>
        <w:tabs>
          <w:tab w:leader="none" w:pos="108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percent (1%) of the total number of Class A ADSs then issued and outstanding; or</w:t>
      </w:r>
    </w:p>
    <w:p>
      <w:pPr>
        <w:spacing w:after="0" w:line="130" w:lineRule="exact"/>
        <w:rPr>
          <w:rFonts w:ascii="Times New Roman" w:cs="Times New Roman" w:eastAsia="Times New Roman" w:hAnsi="Times New Roman"/>
          <w:sz w:val="18"/>
          <w:szCs w:val="18"/>
          <w:color w:val="auto"/>
        </w:rPr>
      </w:pPr>
    </w:p>
    <w:p>
      <w:pPr>
        <w:ind w:left="1080" w:right="380" w:hanging="424"/>
        <w:spacing w:after="0" w:line="282" w:lineRule="auto"/>
        <w:tabs>
          <w:tab w:leader="none" w:pos="108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weekly reported trading volume of the applicable ADSs during the four calendar weeks preceding the filing of a notice on Form 144 with respect to the sale.</w:t>
      </w:r>
    </w:p>
    <w:p>
      <w:pPr>
        <w:spacing w:after="0" w:line="162" w:lineRule="exact"/>
        <w:rPr>
          <w:sz w:val="20"/>
          <w:szCs w:val="20"/>
          <w:color w:val="auto"/>
        </w:rPr>
      </w:pPr>
    </w:p>
    <w:p>
      <w:pPr>
        <w:ind w:left="120" w:right="440" w:firstLine="440"/>
        <w:spacing w:after="0" w:line="282" w:lineRule="auto"/>
        <w:rPr>
          <w:sz w:val="20"/>
          <w:szCs w:val="20"/>
          <w:color w:val="auto"/>
        </w:rPr>
      </w:pPr>
      <w:r>
        <w:rPr>
          <w:rFonts w:ascii="Times New Roman" w:cs="Times New Roman" w:eastAsia="Times New Roman" w:hAnsi="Times New Roman"/>
          <w:sz w:val="18"/>
          <w:szCs w:val="18"/>
          <w:color w:val="auto"/>
        </w:rPr>
        <w:t>Sales by our affiliates under Rule 144 are also limited by manner of sale provisions and notice requirements and to the availability of current public information about the Company.</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Restrictions on the Use of Rule 144 by Shell Companies or Former Shell Companies</w:t>
      </w:r>
    </w:p>
    <w:p>
      <w:pPr>
        <w:spacing w:after="0" w:line="121"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Rule 144 is not available for the resale of securities initially issued by shell companies (other than business combination related shell companies) or issuers that have been at any time previously a shell company. However, Rule 144 also includes an important exception to this prohibition if the following conditions are met:</w:t>
      </w:r>
    </w:p>
    <w:p>
      <w:pPr>
        <w:spacing w:after="0" w:line="81" w:lineRule="exact"/>
        <w:rPr>
          <w:sz w:val="20"/>
          <w:szCs w:val="20"/>
          <w:color w:val="auto"/>
        </w:rPr>
      </w:pPr>
    </w:p>
    <w:p>
      <w:pPr>
        <w:ind w:left="1080" w:hanging="424"/>
        <w:spacing w:after="0"/>
        <w:tabs>
          <w:tab w:leader="none" w:pos="108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of the securities that was formerly a shell company has ceased to be a shell company;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of the securities is subject to the reporting requirements of Section 13 or 15(d) of the Exchange Act;</w:t>
      </w:r>
    </w:p>
    <w:p>
      <w:pPr>
        <w:spacing w:after="0" w:line="130" w:lineRule="exact"/>
        <w:rPr>
          <w:rFonts w:ascii="Times New Roman" w:cs="Times New Roman" w:eastAsia="Times New Roman" w:hAnsi="Times New Roman"/>
          <w:sz w:val="18"/>
          <w:szCs w:val="18"/>
          <w:color w:val="auto"/>
        </w:rPr>
      </w:pPr>
    </w:p>
    <w:p>
      <w:pPr>
        <w:ind w:left="1080" w:right="480" w:hanging="424"/>
        <w:spacing w:after="0" w:line="282" w:lineRule="auto"/>
        <w:tabs>
          <w:tab w:leader="none" w:pos="108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of the securities has filed all Exchange Act reports and material required to be filed, as applicable, during the preceding 12 months (or such shorter period that the issuer was required to file such reports and materials); and</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one year has elapsed from the time that the issuer filed Form 20-F type information with the SEC, which we filed on June 29, 2022, reflecting its status as an entity that is not a shell company.</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Regulation S</w:t>
      </w:r>
    </w:p>
    <w:p>
      <w:pPr>
        <w:spacing w:after="0" w:line="121"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Regulation S under the Securities Act provides an exemption from registration requirements in the United States for offers and sales of securities that occur outside the United States. Rule 903 of Regulation 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198</w:t>
      </w:r>
    </w:p>
    <w:p>
      <w:pPr>
        <w:sectPr>
          <w:pgSz w:w="11900" w:h="16838" w:orient="portrait"/>
          <w:cols w:equalWidth="0" w:num="1">
            <w:col w:w="11120"/>
          </w:cols>
          <w:pgMar w:left="320" w:top="455" w:right="459" w:bottom="1440" w:gutter="0" w:footer="0" w:header="0"/>
        </w:sectPr>
      </w:pPr>
    </w:p>
    <w:bookmarkStart w:id="213" w:name="page214"/>
    <w:bookmarkEnd w:id="2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provides the conditions to the exemption for a sale by an issuer, a distributor, their respective affiliates or anyone acting on their behalf, while Rule 904 of Regulation S provides the conditions to the exemption for a resale by persons other than those covered by Rule 903. In each case, any sale must be completed in an offshore transaction, as that term is defined in Regulation S, and no directed selling efforts, as that term is defined in Regulation S, may be made in the United States.</w:t>
      </w:r>
    </w:p>
    <w:p>
      <w:pPr>
        <w:spacing w:after="0" w:line="180"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We are a foreign issuer as defined in Regulation S. As a foreign issuer, securities that we sell outside the United States pursuant to Regulation S are not considered to be restricted securities under the Securities Act, and, subject to the offering restrictions imposed by Rule 903, are freely tradable without registration or restrictions under the Securities Act, unless the securities are held by our affiliates. Generally, subject to certain limitations, holders of our restricted shares who are not affiliates of our company or who are affiliates of our company by virtue of their status as an officer or director may, under Regulation S, resell their restricted shares in an “offshore transaction” if none of the seller, its affiliate nor any person acting on their behalf engages in directed selling efforts in the United States and, in the case of a sale of our restricted shares by an officer or director who is an affiliate of ours solely by virtue of holding such position, no selling commission, fee or other remuneration is paid in connection with the offer or sale other than the usual and customary broker’s commission that would be received by a person executing such transaction as agent. Additional restrictions are applicable to a holder of our restricted shares who will be an affiliate of our company other than by virtue of his or her status as an officer or director of our company.</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Rule 701</w:t>
      </w:r>
    </w:p>
    <w:p>
      <w:pPr>
        <w:spacing w:after="0" w:line="121"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In general, under Rule 701 of the Securities Act as currently in effect, to the extent we adhere to the requirements of Rule 701 in issuing such securities, each of our employees, consultants or advisors who purchases equity shares from us in connection with a compensatory stock plan or other written agreement executed prior to the consummation of the Business Combination is eligible to resell those equity shares in reliance on Rule 144, but without compliance with some of the restrictions, including the holding period, contained in Rule 144. However, the Rule 701 shares would remain subject to lock-up arrangements and would only become eligible for sale when the lock-up period expires.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Earn Out</w:t>
      </w:r>
    </w:p>
    <w:p>
      <w:pPr>
        <w:spacing w:after="0" w:line="121" w:lineRule="exact"/>
        <w:rPr>
          <w:sz w:val="20"/>
          <w:szCs w:val="20"/>
          <w:color w:val="auto"/>
        </w:rPr>
      </w:pPr>
    </w:p>
    <w:p>
      <w:pPr>
        <w:ind w:left="120" w:right="200" w:firstLine="440"/>
        <w:spacing w:after="0" w:line="261" w:lineRule="auto"/>
        <w:rPr>
          <w:sz w:val="20"/>
          <w:szCs w:val="20"/>
          <w:color w:val="auto"/>
        </w:rPr>
      </w:pPr>
      <w:r>
        <w:rPr>
          <w:rFonts w:ascii="Times New Roman" w:cs="Times New Roman" w:eastAsia="Times New Roman" w:hAnsi="Times New Roman"/>
          <w:sz w:val="18"/>
          <w:szCs w:val="18"/>
          <w:color w:val="auto"/>
        </w:rPr>
        <w:t>As described in the Business Combination Agreement, Parent (or in the event that Parent has been dissolved or liquidated, the Parent Shareholders) will be entitled to receive Earn Out Shares if the daily volume weighted average price (based on such trading day) of one Class A Share (the “Volume Weighted Average ADS Price”) exceeds certain thresholds for a period of at least 20 days out of 30 consecutive trading days, as may be adjusted, at any time during the five-year period beginning on the 180th day following the Closing.</w:t>
      </w:r>
    </w:p>
    <w:p>
      <w:pPr>
        <w:spacing w:after="0" w:line="180"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Earn Out Shares will be issued by the Company to Parent (or in the event that Parent has been dissolved or liquidated, the Parent Shareholders) as follows, in each case in accordance with their pro rata share and promptly upon, but no earlier than the second business day after the occurrence of the applicable triggering event: (i) if the Volume Weighted Average ADS Price equals or is greater than $13.00 per share, 20% of the Earn Out Class A Shares and 20% of the Earn Out Class B Shares (the “Tier 1 Earn Out Shares”); (ii) if the Volume Weighted Average ADS Price equals or is greater than $15.50 per share, 20% of the Earn Out Class A Shares and 20% of the Earn Out Class B Shares (the “Tier 2 Earn Out Shares”), plus the Tier 1 Earn Out Shares (if not previously issued); (iii) if the Volume Weighted Average ADS Price equals or is greater than $18.00 per share, 20% of the Earn Out Class A Shares and 20% of the Earn Out Class B Shares (the “Tier 3 Earn Out Shares”), plus the Tier 1 Earn Out Shares and the Tier 2 Earn Out Shares (if not previously issued); (iv) if the Volume Weighted Average ADS Price equals or is greater than $20.50 per share, 20% of the Earn Out Class A Shares and 20% of the Earn Out Class B Shares (the “Tier 4 Earn Out Shares”), plus the Tier 1 Earn Out Shares, the Tier 2 Earn Out Shares and the Tier 3 Earn Out Shares (if not previously issued); and (v) if the Volume Weighted Average ADS Price equals or is greater than $23.00 per share, 20% of the Earn Out Class A Shares and 20% of</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199</w:t>
      </w:r>
    </w:p>
    <w:p>
      <w:pPr>
        <w:sectPr>
          <w:pgSz w:w="11900" w:h="16838" w:orient="portrait"/>
          <w:cols w:equalWidth="0" w:num="1">
            <w:col w:w="11120"/>
          </w:cols>
          <w:pgMar w:left="320" w:top="455" w:right="459" w:bottom="1440" w:gutter="0" w:footer="0" w:header="0"/>
        </w:sectPr>
      </w:pPr>
    </w:p>
    <w:bookmarkStart w:id="214" w:name="page215"/>
    <w:bookmarkEnd w:id="2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the Earn Out Class B Shares, plus the Tier 1 Earn Out Shares, the Tier 2 Earn Out Shares, the Tier 3 Earn Out Shares and the Tier 4 Earn Out Shares (if not previously issued). If any of the Volume Weighted Average ADS Price thresholds described in the foregoing clauses (i) through (v) are not achieved within the five-year period beginning on the 180th day following the Closing, ListCo will not be required to issue the Earn Out Shares in respect of such Volume Weighted Average ADS Price threshold. Parent (or in the event that Parent has been dissolved or liquidated, the Parent Shareholders) will be entitled to Earn Out Shares in the event an acceleration event (as described in the Business Combination Agreement) occurs.</w:t>
      </w:r>
    </w:p>
    <w:p>
      <w:pPr>
        <w:spacing w:after="0" w:line="11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200</w:t>
      </w:r>
    </w:p>
    <w:p>
      <w:pPr>
        <w:sectPr>
          <w:pgSz w:w="11900" w:h="16838" w:orient="portrait"/>
          <w:cols w:equalWidth="0" w:num="1">
            <w:col w:w="11100"/>
          </w:cols>
          <w:pgMar w:left="320" w:top="455" w:right="479" w:bottom="1440" w:gutter="0" w:footer="0" w:header="0"/>
        </w:sectPr>
      </w:pPr>
    </w:p>
    <w:bookmarkStart w:id="215" w:name="page216"/>
    <w:bookmarkEnd w:id="2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TAXATION</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Material U.S. Federal Income Tax Considerations</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This section describes the material U.S. federal income tax considerations to U.S. Holders of the ownership and disposition of AD securities. This discussion applies only to AD securities held as capital assets for U.S. federal income tax purposes (generally, property held for investment) and does not discuss all aspects of U.S. federal income taxation that might be relevant to U.S. Holders in light of their particular circumstances or status, including the Medicare contribution tax on net investment income, or U.S. Holders who are subject to special rules, including:</w:t>
      </w:r>
    </w:p>
    <w:p>
      <w:pPr>
        <w:spacing w:after="0" w:line="85" w:lineRule="exact"/>
        <w:rPr>
          <w:sz w:val="20"/>
          <w:szCs w:val="20"/>
          <w:color w:val="auto"/>
        </w:rPr>
      </w:pPr>
    </w:p>
    <w:p>
      <w:pPr>
        <w:ind w:left="1080" w:hanging="424"/>
        <w:spacing w:after="0"/>
        <w:tabs>
          <w:tab w:leader="none" w:pos="108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brokers or dealers;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traders in securities that elect to use a mark-to-market method of accounting for their securities holdings;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S-corporations;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governments or agencies or instrumentalities thereof;</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subject to the base erosion and anti-abuse tax;</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mutual funds;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pension funds;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trusts and estates;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investors subject to the alternative minimum tax provisions of the Code;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accrual method taxpayers that file applicable financial statements as described in Section 451(b) of the U.S. Tax Code;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investors subject to the U.S. “anti-inversion” rules;</w:t>
      </w:r>
    </w:p>
    <w:p>
      <w:pPr>
        <w:spacing w:after="0" w:line="130"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organizations (including private foundations), qualified retirement plans, individual retirement accounts or other tax deferred accounts;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banks or other financial institutions, underwriters, insurance companies, real estate investment trusts or regulated investment companies;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expatriates or former long-term residents of the United States;</w:t>
      </w:r>
    </w:p>
    <w:p>
      <w:pPr>
        <w:spacing w:after="0" w:line="130"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own (directly, indirectly, or by attribution) 5% or more (by vote or value) of any class of AD securities or of the Company in the aggregate;</w:t>
      </w:r>
    </w:p>
    <w:p>
      <w:pPr>
        <w:spacing w:after="0" w:line="67"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holding AD securities as part of a straddle, hedging or conversion transaction, constructive sale, or other arrangement involving more than one position;</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Holders (as defined below) whose functional currency is not the U.S. dollar;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persons who purchased Subscription Shares as part of the Subscription Investments or the Volvo Cars Preference Subscription Investment;</w:t>
      </w:r>
    </w:p>
    <w:p>
      <w:pPr>
        <w:spacing w:after="0" w:line="142" w:lineRule="exact"/>
        <w:rPr>
          <w:rFonts w:ascii="Times New Roman" w:cs="Times New Roman" w:eastAsia="Times New Roman" w:hAnsi="Times New Roman"/>
          <w:sz w:val="17"/>
          <w:szCs w:val="17"/>
          <w:color w:val="auto"/>
        </w:rPr>
      </w:pPr>
    </w:p>
    <w:p>
      <w:pPr>
        <w:ind w:left="1080" w:hanging="424"/>
        <w:spacing w:after="0"/>
        <w:tabs>
          <w:tab w:leader="none" w:pos="108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GGI Sponsor and the initial independent directors of GGI;</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received AD securities as compensation for services;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controlled foreign corporations or passive foreign investment companies.</w:t>
      </w:r>
    </w:p>
    <w:p>
      <w:pPr>
        <w:spacing w:after="0" w:line="225" w:lineRule="exact"/>
        <w:rPr>
          <w:sz w:val="20"/>
          <w:szCs w:val="20"/>
          <w:color w:val="auto"/>
        </w:rPr>
      </w:pPr>
    </w:p>
    <w:p>
      <w:pPr>
        <w:jc w:val="both"/>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If a partnership (including any entity or arrangement treated as a partnership for U.S. federal income tax purposes) holds AD securities, the tax treatment of a partner in such partnership will depend upon the status and activities of the partner and the activities of the partnership. Partners should consult their tax advisors regarding the U.S. federal income tax treatment of the ownership and disposition of AD securities.</w:t>
      </w:r>
    </w:p>
    <w:p>
      <w:pPr>
        <w:spacing w:after="0" w:line="10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201</w:t>
      </w:r>
    </w:p>
    <w:p>
      <w:pPr>
        <w:sectPr>
          <w:pgSz w:w="11900" w:h="16838" w:orient="portrait"/>
          <w:cols w:equalWidth="0" w:num="1">
            <w:col w:w="11060"/>
          </w:cols>
          <w:pgMar w:left="320" w:top="455" w:right="519" w:bottom="1440" w:gutter="0" w:footer="0" w:header="0"/>
        </w:sectPr>
      </w:pPr>
    </w:p>
    <w:bookmarkStart w:id="216" w:name="page217"/>
    <w:bookmarkEnd w:id="2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This discussion is based on the Code, its legislative history, existing and proposed Treasury regulations promulgated under the Code (the “Treasury Regulations”), published guidance by the IRS and court decisions, all as of the date hereof, and does not take into account proposed changes in such tax laws. These laws are subject to change, possibly on a retroactive basis. This discussion is necessarily general and does not address all aspects of U.S. federal income taxation, including the effect of any U.S. federal alternative minimum tax, or U.S. federal estate and gift tax, or any state, local or non-U.S. tax laws to a holder of AD securities. The Company has not sought and does not intend to seek any rulings from the IRS regarding the AD securities. There is no assurance that the IRS will not take positions concerning certain tax consequences of the ownership and disposition of AD securities that are different from those discussed below, or that any such different positions would not be sustained by a court.</w:t>
      </w:r>
    </w:p>
    <w:p>
      <w:pPr>
        <w:spacing w:after="0" w:line="189"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ALL HOLDERS OF AD SECURITIES ARE URGED TO CONSULT THEIR TAX ADVISORS REGARDING THE TAX CONSIDERATIONS RELATING TO THE OWNERSHIP AND DISPOSITION OF AD SECURITIES, INCLUDING THE EFFECTS OF U.S. FEDERAL, STATE, AND LOCAL AND NON-U.S. TAX LAWS.</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U.S. Federal Income Tax Treatment of the Company</w:t>
      </w:r>
    </w:p>
    <w:p>
      <w:pPr>
        <w:spacing w:after="0" w:line="119" w:lineRule="exact"/>
        <w:rPr>
          <w:sz w:val="20"/>
          <w:szCs w:val="20"/>
          <w:color w:val="auto"/>
        </w:rPr>
      </w:pPr>
    </w:p>
    <w:p>
      <w:pPr>
        <w:ind w:left="120" w:right="240" w:firstLine="440"/>
        <w:spacing w:after="0" w:line="256" w:lineRule="auto"/>
        <w:rPr>
          <w:sz w:val="20"/>
          <w:szCs w:val="20"/>
          <w:color w:val="auto"/>
        </w:rPr>
      </w:pPr>
      <w:r>
        <w:rPr>
          <w:rFonts w:ascii="Times New Roman" w:cs="Times New Roman" w:eastAsia="Times New Roman" w:hAnsi="Times New Roman"/>
          <w:sz w:val="18"/>
          <w:szCs w:val="18"/>
          <w:color w:val="auto"/>
        </w:rPr>
        <w:t>A corporation generally is considered to be a tax resident for U.S. federal income tax purposes in the jurisdiction of its organization or incorporation. Accordingly, under the generally applicable U.S. federal income tax rules, the Company, which is incorporated under the laws of the United Kingdom, would be classified as a non-U.S. corporation (and, therefore, not a U.S. tax resident) for U.S. federal income tax purposes. Section 7874 of the Code provides an exception to this general rule (more fully discussed below), under which a non-U.S. incorporated entity may, in certain circumstances, be treated as a U.S. corporation for U.S. federal income tax purposes. These rules are complex and there is limited guidance regarding their application.</w:t>
      </w:r>
    </w:p>
    <w:p>
      <w:pPr>
        <w:spacing w:after="0" w:line="185" w:lineRule="exact"/>
        <w:rPr>
          <w:sz w:val="20"/>
          <w:szCs w:val="20"/>
          <w:color w:val="auto"/>
        </w:rPr>
      </w:pPr>
    </w:p>
    <w:p>
      <w:pPr>
        <w:ind w:left="120" w:right="100" w:firstLine="440"/>
        <w:spacing w:after="0" w:line="253" w:lineRule="auto"/>
        <w:rPr>
          <w:sz w:val="20"/>
          <w:szCs w:val="20"/>
          <w:color w:val="auto"/>
        </w:rPr>
      </w:pPr>
      <w:r>
        <w:rPr>
          <w:rFonts w:ascii="Times New Roman" w:cs="Times New Roman" w:eastAsia="Times New Roman" w:hAnsi="Times New Roman"/>
          <w:sz w:val="18"/>
          <w:szCs w:val="18"/>
          <w:color w:val="auto"/>
        </w:rPr>
        <w:t>Under Section 7874 of the Code, a corporation created or organized outside the United States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a non-U.S. corporation) will nevertheless be treated as a U.S. corporation for U.S. federal income tax purposes (and, therefore, as a U.S. tax resident subject to U.S. federal income tax on its worldwide income) if each of the following three conditions are met: (i) the non-U.S. corporation, directly or indirectly, acquires substantially all of the properties held directly or indirectly by one or more U.S. corporations (including through the acquisition of all of the outstanding shares of a U.S. corporation); (ii) the non-U.S. corporation’s “expanded affiliated group” does not have “substantial business activities” in the non-U.S. corporation’s country of organization or incorporation and tax residence relative to the expanded affiliated group’s worldwide activities (this test is referred to as the “substantial business activities test”); and (iii) after the acquisition, the percentage of the shares of the non-U.S. acquiring corporation held by former shareholders of the acquired U.S. corporation(s) by reason of holding shares in the U.S. acquired corporation(s) (taking into account the receipt of the non-U.S. corporation’s shares in exchange for each U.S. corporation’s shares) as determined for purposes of Section 7874 of the Code (the</w:t>
      </w:r>
    </w:p>
    <w:p>
      <w:pPr>
        <w:spacing w:after="0" w:line="1" w:lineRule="exact"/>
        <w:rPr>
          <w:sz w:val="20"/>
          <w:szCs w:val="20"/>
          <w:color w:val="auto"/>
        </w:rPr>
      </w:pPr>
    </w:p>
    <w:p>
      <w:pPr>
        <w:ind w:left="120" w:right="600"/>
        <w:spacing w:after="0" w:line="260" w:lineRule="auto"/>
        <w:rPr>
          <w:sz w:val="20"/>
          <w:szCs w:val="20"/>
          <w:color w:val="auto"/>
        </w:rPr>
      </w:pPr>
      <w:r>
        <w:rPr>
          <w:rFonts w:ascii="Times New Roman" w:cs="Times New Roman" w:eastAsia="Times New Roman" w:hAnsi="Times New Roman"/>
          <w:sz w:val="18"/>
          <w:szCs w:val="18"/>
          <w:color w:val="auto"/>
        </w:rPr>
        <w:t>“Section 7874 ownership percentage”) is at least 80% (by either vote or value) (this test is referred to as the “80% ownership test” and the three-prong test described in clauses (i)–(iii) above is referred to as the “Section 7874(b) expatriation test”).</w:t>
      </w:r>
    </w:p>
    <w:p>
      <w:pPr>
        <w:spacing w:after="0" w:line="18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Further, Section 7874 of the Code can limit the ability of U.S. corporations and their U.S. affiliates acquired by “surrogate foreign corporations” to utilize certain U.S. tax attributes (including net operating losses and certain tax credits) to offset U.S. taxable income resulting from certain transactions. These limitations will potentially apply if the Section 7874(b) expatriation test would be satisfied if the 80% ownership test were applied by substituting “60%” for “80%,” in which case the taxable income of the U.S. corporations (and any U.S. person considered to be related to the U.S. corporations pursuant to applicable rules) for any given year, within a period beginning on the first date the U.S. corporations’ properties were acquired directly or indirectly by the non-U.S. acquiring corporation and ending 10 years after the last date the U.S. corporations’ properties were acquired, will be no less than that person’s “inversion gain” for that taxable year. A person’s inversion gain includes gain from the transfer of shares or any other property (other than property held for sale to customers)</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202</w:t>
      </w:r>
    </w:p>
    <w:p>
      <w:pPr>
        <w:sectPr>
          <w:pgSz w:w="11900" w:h="16838" w:orient="portrait"/>
          <w:cols w:equalWidth="0" w:num="1">
            <w:col w:w="11120"/>
          </w:cols>
          <w:pgMar w:left="320" w:top="455" w:right="459" w:bottom="1440" w:gutter="0" w:footer="0" w:header="0"/>
        </w:sectPr>
      </w:pPr>
    </w:p>
    <w:bookmarkStart w:id="217" w:name="page218"/>
    <w:bookmarkEnd w:id="2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00"/>
        <w:spacing w:after="0" w:line="256" w:lineRule="auto"/>
        <w:rPr>
          <w:sz w:val="20"/>
          <w:szCs w:val="20"/>
          <w:color w:val="auto"/>
        </w:rPr>
      </w:pPr>
      <w:r>
        <w:rPr>
          <w:rFonts w:ascii="Times New Roman" w:cs="Times New Roman" w:eastAsia="Times New Roman" w:hAnsi="Times New Roman"/>
          <w:sz w:val="18"/>
          <w:szCs w:val="18"/>
          <w:color w:val="auto"/>
        </w:rPr>
        <w:t>and income from the license of any property that is either transferred or licensed as part of the acquisition or after the acquisition to a non-U.S. related person. In general, the effect of this provision is to deny the use of net operating losses, foreign tax credits or other tax attributes to offset the inversion gain. In addition, dividends paid by the Company would not qualify for “qualified dividend income” treatment. Further, there are additional requirements imposed on a U.S. corporation that has failed the substantial business activities test and met the 60% ownership test, including that such U.S. corporation must include, as base erosion payments that may be subject to a minimum tax, any amounts treated as reductions in gross income paid to a related non-U.S. person within the meaning of Section 59A of the Code.</w:t>
      </w:r>
    </w:p>
    <w:p>
      <w:pPr>
        <w:spacing w:after="0" w:line="187"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Based upon the terms of the Business Combination and Pre-Closing Reorganization, the rules for determining share ownership under Section 7874 of the Code and the Treasury Regulations promulgated thereunder, and certain factual assumptions, we do not expect that the Section 7874 ownership percentage will be less than 60% after the Business Combination. Accordingly, the Company is not expected to be treated as a U.S. corporation for U.S. federal income tax purposes, dividends paid by the Company maybe “qualified dividends” (subject to the discussion below regarding the passive foreign investment company rules and other applicable requirements under Section 1 of the Code) and the U.S. subsidiaries of the Company are not expected to be subject to the limitations and other rules described above under Section 7874 of the Code. However, whether the 80% ownership test (or 60% ownership test) has been satisfied will be finally determined after completion of the Business Combination, by which time there could be adverse changes to the relevant facts and circumstances or adverse rule changes. In addition, the rules for determining ownership under Section 7874 of the Code are complex and unclear.</w:t>
      </w:r>
    </w:p>
    <w:p>
      <w:pPr>
        <w:spacing w:after="0" w:line="188"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If the Company were to be treated as a U.S. corporation for U.S. federal income tax purposes, it could be subject to substantial liability for additional U.S. income taxes. However, if the Company were to be treated as a U.S. corporation for U.S. federal income tax purposes, dividend payments would generally constitute “qualified dividends” and be subject to tax at the rates accorded to long-term capital gains. Furthermore, if the IRS were to successfully assert that the 60% ownership test has been met, the ability of the U.S. subsidiaries of the Company to utilize certain U.S. tax attributes against income or gain recognized pursuant to certain transactions may be limited.</w:t>
      </w:r>
    </w:p>
    <w:p>
      <w:pPr>
        <w:spacing w:after="0" w:line="183"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The remainder of this discussion assumes that the Company will not be treated as a U.S. corporation for U.S. federal income tax purposes, that dividends of the Company could be eligible to be treated as “qualified dividends” (if all other requirements are satisfied), and that the U.S. subsidiaries of the Company will not be subject to the limitations and other rules under Section 7874 of the Code.</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American Depositary Shares</w:t>
      </w:r>
    </w:p>
    <w:p>
      <w:pPr>
        <w:spacing w:after="0" w:line="119"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Each AD security represents the right to receive, and to exercise the beneficial ownership interests in, one Class A Share, one Class C-1 Share or Class C-2 Share (as applicable) on deposit with the depositary and/or custodian. An AD security also represents the right to receive, and to exercise the beneficial interests in, any other property received by the depositary or the custodian on behalf of the owner of the AD security but that has not been distributed to the owners of AD securities because of legal restrictions or practical considerations.</w:t>
      </w:r>
    </w:p>
    <w:p>
      <w:pPr>
        <w:spacing w:after="0" w:line="180"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The remainder of this discussion assumes that, for U.S. federal income tax purposes, ownership of AD securities will be treated as ownership of the underlying Class A Shares or Class C Shares (as applicable).</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U.S. Holders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For purposes of this discussion, a U.S. Holder means a beneficial owner of AD securities that is, for U.S. federal income tax purposes:</w:t>
      </w:r>
    </w:p>
    <w:p>
      <w:pPr>
        <w:spacing w:after="0" w:line="131" w:lineRule="exact"/>
        <w:rPr>
          <w:sz w:val="20"/>
          <w:szCs w:val="20"/>
          <w:color w:val="auto"/>
        </w:rPr>
      </w:pPr>
    </w:p>
    <w:p>
      <w:pPr>
        <w:ind w:left="5480" w:right="5360" w:hanging="4824"/>
        <w:spacing w:after="0" w:line="454" w:lineRule="auto"/>
        <w:tabs>
          <w:tab w:leader="none" w:pos="1079"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citizen or resident of the United States; 203</w:t>
      </w:r>
    </w:p>
    <w:p>
      <w:pPr>
        <w:sectPr>
          <w:pgSz w:w="11900" w:h="16838" w:orient="portrait"/>
          <w:cols w:equalWidth="0" w:num="1">
            <w:col w:w="11120"/>
          </w:cols>
          <w:pgMar w:left="320" w:top="455" w:right="459" w:bottom="1440" w:gutter="0" w:footer="0" w:header="0"/>
        </w:sectPr>
      </w:pPr>
    </w:p>
    <w:bookmarkStart w:id="218" w:name="page219"/>
    <w:bookmarkEnd w:id="2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line="282" w:lineRule="auto"/>
        <w:tabs>
          <w:tab w:leader="none" w:pos="108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taxable as a corporation for U.S. federal income tax purposes) created or organized in or under the laws of the United States, any state thereof or the District of Columbia;</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whose income is subject to U.S. federal income tax regardless of its source; or</w:t>
      </w:r>
    </w:p>
    <w:p>
      <w:pPr>
        <w:spacing w:after="0" w:line="130"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if (1) a U.S. court can exercise primary supervision over the trust’s administration and one or more U.S. persons are authorized to control all substantial decisions of the trust; or (2) the trust has a valid election in effect under applicable Treasury Regulations to be treated as a U.S. person.</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Consequences to Holders of Class A ADSs</w:t>
      </w:r>
    </w:p>
    <w:p>
      <w:pPr>
        <w:spacing w:after="0" w:line="129" w:lineRule="exact"/>
        <w:rPr>
          <w:sz w:val="20"/>
          <w:szCs w:val="20"/>
          <w:color w:val="auto"/>
        </w:rPr>
      </w:pPr>
    </w:p>
    <w:p>
      <w:pPr>
        <w:ind w:left="1080" w:hanging="532"/>
        <w:spacing w:after="0"/>
        <w:tabs>
          <w:tab w:leader="none" w:pos="1080" w:val="left"/>
        </w:tabs>
        <w:numPr>
          <w:ilvl w:val="0"/>
          <w:numId w:val="1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Distributions on Class A ADSs</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Subject to the discussion below under “—Passive Foreign Investment Company Rules,” the gross amount of any distribution on Class A ADSs generally will be taxable to a U.S. Holder as ordinary dividend income on the date such distribution is actually or constructively received, but only to the extent that the distribution is paid out of the Company’s current or accumulated earnings and profits (as determined under U.S. federal income tax principles). Because the Company does not maintain, nor is it required to maintain, calculations of its earnings and profits under U.S. federal income tax principles, it is currently expected that any distributions generally will be reported to U.S. Holders as dividends. Any such dividends generally will not be eligible for the dividends received deduction allowed to corporations in respect of dividends received from other U.S. corporations.</w:t>
      </w:r>
    </w:p>
    <w:p>
      <w:pPr>
        <w:spacing w:after="0" w:line="187"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With respect to non-corporate U.S. Holders, dividends will be taxed at the lower applicable long-term capital gains rate if Class A ADSs are readily tradable on an established securities market in the United States (which they will be if the Class A ADSs are traded on the Nasdaq) and certain other requirements are met, including that the Company is not classified as a passive foreign investment company during the taxable year in which the dividend is paid or the preceding taxable year and certain holding period requirements are met. There can be no assurance that Class A ADSs will be considered readily tradable on an established securities market in future years. U.S. Holders should consult their own tax advisors regarding the potential availability of the lower rate for any dividends paid with respect to Class A ADSs.</w:t>
      </w:r>
    </w:p>
    <w:p>
      <w:pPr>
        <w:spacing w:after="0" w:line="332" w:lineRule="exact"/>
        <w:rPr>
          <w:sz w:val="20"/>
          <w:szCs w:val="20"/>
          <w:color w:val="auto"/>
        </w:rPr>
      </w:pPr>
    </w:p>
    <w:p>
      <w:pPr>
        <w:ind w:left="1080" w:hanging="532"/>
        <w:spacing w:after="0"/>
        <w:tabs>
          <w:tab w:leader="none" w:pos="1080" w:val="left"/>
        </w:tabs>
        <w:numPr>
          <w:ilvl w:val="0"/>
          <w:numId w:val="1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Sale, Exchange, Redemption or Other Taxable Disposition of Class A ADSs</w:t>
      </w:r>
    </w:p>
    <w:p>
      <w:pPr>
        <w:spacing w:after="0" w:line="121" w:lineRule="exact"/>
        <w:rPr>
          <w:sz w:val="20"/>
          <w:szCs w:val="20"/>
          <w:color w:val="auto"/>
        </w:rPr>
      </w:pPr>
    </w:p>
    <w:p>
      <w:pPr>
        <w:ind w:left="120" w:firstLine="440"/>
        <w:spacing w:after="0" w:line="276" w:lineRule="auto"/>
        <w:rPr>
          <w:sz w:val="20"/>
          <w:szCs w:val="20"/>
          <w:color w:val="auto"/>
        </w:rPr>
      </w:pPr>
      <w:r>
        <w:rPr>
          <w:rFonts w:ascii="Times New Roman" w:cs="Times New Roman" w:eastAsia="Times New Roman" w:hAnsi="Times New Roman"/>
          <w:sz w:val="17"/>
          <w:szCs w:val="17"/>
          <w:color w:val="auto"/>
        </w:rPr>
        <w:t>Subject to the discussion below under “—Passive Foreign Investment Company Rules,” a U.S. Holder generally will recognize gain or loss on any sale, exchange or other taxable disposition of Class A ADSs in an amount equal to the difference between (i) the amount realized on the disposition and</w:t>
      </w:r>
    </w:p>
    <w:p>
      <w:pPr>
        <w:spacing w:after="0" w:line="1" w:lineRule="exact"/>
        <w:rPr>
          <w:sz w:val="20"/>
          <w:szCs w:val="20"/>
          <w:color w:val="auto"/>
        </w:rPr>
      </w:pPr>
    </w:p>
    <w:p>
      <w:pPr>
        <w:ind w:left="120" w:right="40" w:hanging="4"/>
        <w:spacing w:after="0" w:line="253" w:lineRule="auto"/>
        <w:tabs>
          <w:tab w:leader="none" w:pos="385"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U.S. Holder’s adjusted tax basis in such securities. Any gain or loss recognized by a U.S. Holder on a taxable disposition of Class A ADSs generally will be capital gain or loss and will be long-term capital gain or loss if such U.S. Holder’s holding period in such Class A ADS exceeds one year at the time of the disposition. Preferential tax rates may apply to long-term capital gains of non-corporate U.S. Holders (including individuals). The deductibility of capital losses is subject to limitations. Any gain or loss recognized by a U.S. Holder on the sale or exchange of Class A ADSs generally will be treated as U.S. source gain or loss for foreign tax credit purposes.</w:t>
      </w:r>
    </w:p>
    <w:p>
      <w:pPr>
        <w:spacing w:after="0" w:line="187"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If the Company redeems Class A ADSs, the treatment of such redemption for U.S. federal income tax purposes will depend on whether the redemption qualifies as a sale of such Class A ADSs pursuant to Section 302 of the Code or whether the U.S. Holder will be treated as receiving a corporate distribution. Whether that redemption qualifies for sale treatment will depend largely on the total number of shares of the Company’s stock treated as held by the U.S. Holder (including any stock constructively owned by the U.S. Holder as a result of, among other things, owning multiple classes of AD securities) relative to all of shares of the Company’s stock both before and after the redemption. A redemption of stock generally will be treated as a sale of the stock (rather than as a corporate distribution) if the redemption is “substantially disproportionate” with respect to the U.S. Holder, results in a “complete termination” of the U.S. Holder’s interest in the Company or is “not essentially equivalent to a dividend” with respect to the U.S. Holder. These tests are explained more fully below.</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204</w:t>
      </w:r>
    </w:p>
    <w:p>
      <w:pPr>
        <w:sectPr>
          <w:pgSz w:w="11900" w:h="16838" w:orient="portrait"/>
          <w:cols w:equalWidth="0" w:num="1">
            <w:col w:w="11120"/>
          </w:cols>
          <w:pgMar w:left="320" w:top="455" w:right="459" w:bottom="1440" w:gutter="0" w:footer="0" w:header="0"/>
        </w:sectPr>
      </w:pPr>
    </w:p>
    <w:bookmarkStart w:id="219" w:name="page220"/>
    <w:bookmarkEnd w:id="2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In determining whether any of the foregoing tests are satisfied, a U.S. Holder takes into account not only Class A ADSs actually owned by the U.S. Holder, but also shares of stock of the Company that are actually or constructively owned by such U.S. Holder. A U.S. Holder may constructively own, in addition to AD securities owned directly, AD securities owned by certain related individuals and entities in which the U.S. Holder has an interest or that have an interest in such U.S. Holder, as well as any AD securities the U.S. Holder has a right to acquire by exercise of an option. In order to meet the substantially disproportionate test, the percentage of the Company’s outstanding voting stock actually and constructively owned by the U.S. Holder immediately following the redemption of such Class A ADSs must, among other requirements, be less than 80% of the percentage of the Company’s outstanding voting AD securities actually and constructively owned by the U.S. Holder immediately before the redemption. There will be a complete termination of a U.S. Holder’s interest if either all the AD securities actually and constructively owned by the U.S. Holder are redeemed or AD securities actually owned by the U.S. Holder are redeemed and the U.S. Holder is eligible to waive, and effectively waives in accordance with specific rules, the attribution of stock owned by certain family members and the U.S. Holder does not constructively own any other shares of stock of the Company. The redemption of Class A ADSs will not be essentially equivalent to a dividend if the redemption from a U.S. Holder’s results in a “meaningful reduction” of the U.S. Holder’s proportionate interest in the Company. Whether the redemption will result in a meaningful reduction in a U.S. Holder’s proportionate interest in the Company will depend on the particular facts and circumstances. However, the IRS has indicated in a published ruling that even a small reduction in the proportionate interest of a small minority stockholder in a publicly-held corporation who exercises no control over corporate affairs may constitute such a “meaningful reduction.”</w:t>
      </w:r>
    </w:p>
    <w:p>
      <w:pPr>
        <w:spacing w:after="0" w:line="196" w:lineRule="exact"/>
        <w:rPr>
          <w:sz w:val="20"/>
          <w:szCs w:val="20"/>
          <w:color w:val="auto"/>
        </w:rPr>
      </w:pPr>
    </w:p>
    <w:p>
      <w:pPr>
        <w:ind w:left="120" w:right="440" w:firstLine="440"/>
        <w:spacing w:after="0" w:line="282" w:lineRule="auto"/>
        <w:rPr>
          <w:sz w:val="20"/>
          <w:szCs w:val="20"/>
          <w:color w:val="auto"/>
        </w:rPr>
      </w:pPr>
      <w:r>
        <w:rPr>
          <w:rFonts w:ascii="Times New Roman" w:cs="Times New Roman" w:eastAsia="Times New Roman" w:hAnsi="Times New Roman"/>
          <w:sz w:val="18"/>
          <w:szCs w:val="18"/>
          <w:color w:val="auto"/>
        </w:rPr>
        <w:t>If the redemption qualifies as a sale of stock by the U.S. Holder under Section 302 of the Code, the U.S. Holder generally will be required to recognize gain or loss with the consequences described in the first paragraph under this heading.</w:t>
      </w:r>
    </w:p>
    <w:p>
      <w:pPr>
        <w:spacing w:after="0" w:line="162"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If the redemption does not qualify as a sale of stock under Section 302 of the Code, then the U.S. Holder will be treated as receiving a distribution as described above in “—Distributions on Class A ADSs.”</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Consequences to Holders of Class C ADSs</w:t>
      </w:r>
    </w:p>
    <w:p>
      <w:pPr>
        <w:spacing w:after="0" w:line="119" w:lineRule="exact"/>
        <w:rPr>
          <w:sz w:val="20"/>
          <w:szCs w:val="20"/>
          <w:color w:val="auto"/>
        </w:rPr>
      </w:pPr>
    </w:p>
    <w:p>
      <w:pPr>
        <w:ind w:left="120" w:right="200" w:firstLine="440"/>
        <w:spacing w:after="0" w:line="258" w:lineRule="auto"/>
        <w:rPr>
          <w:sz w:val="20"/>
          <w:szCs w:val="20"/>
          <w:color w:val="auto"/>
        </w:rPr>
      </w:pPr>
      <w:r>
        <w:rPr>
          <w:rFonts w:ascii="Times New Roman" w:cs="Times New Roman" w:eastAsia="Times New Roman" w:hAnsi="Times New Roman"/>
          <w:sz w:val="18"/>
          <w:szCs w:val="18"/>
          <w:color w:val="auto"/>
        </w:rPr>
        <w:t>The U.S. federal income tax treatment of the Class C ADSs is uncertain because there is no authority addressing instruments with the terms like the Class C ADS. We intend to treat the Class C ADSs as stock of the Company for U.S. federal income tax purposes, however, it is possible that the Class C ADSs could be treated as warrants exercisable for stock of the Company. The Company intends to treat the Class C ADSs as stock of the Company rather than as warrants. However, holders of Class C ADSs are urged to consult their tax advisors regarding the U.S. federal income tax considerations relating to the ownership, conversion, or disposition of Class C ADSs.</w:t>
      </w:r>
    </w:p>
    <w:p>
      <w:pPr>
        <w:spacing w:after="0" w:line="328" w:lineRule="exact"/>
        <w:rPr>
          <w:sz w:val="20"/>
          <w:szCs w:val="20"/>
          <w:color w:val="auto"/>
        </w:rPr>
      </w:pPr>
    </w:p>
    <w:p>
      <w:pPr>
        <w:ind w:left="1080" w:hanging="532"/>
        <w:spacing w:after="0"/>
        <w:tabs>
          <w:tab w:leader="none" w:pos="1080" w:val="left"/>
        </w:tabs>
        <w:numPr>
          <w:ilvl w:val="0"/>
          <w:numId w:val="1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Class C ADSs Treated as Stock</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discussion assumes that the Class C ADSs are treated as stock for applicable U.S. federal income tax purposes.</w:t>
      </w:r>
    </w:p>
    <w:p>
      <w:pPr>
        <w:spacing w:after="0" w:line="374" w:lineRule="exact"/>
        <w:rPr>
          <w:sz w:val="20"/>
          <w:szCs w:val="20"/>
          <w:color w:val="auto"/>
        </w:rPr>
      </w:pPr>
    </w:p>
    <w:p>
      <w:pPr>
        <w:ind w:left="1540" w:hanging="439"/>
        <w:spacing w:after="0"/>
        <w:tabs>
          <w:tab w:leader="none" w:pos="154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Sale, Exchange, Redemption or Other Taxable Disposition of Class C ADSs</w:t>
      </w:r>
    </w:p>
    <w:p>
      <w:pPr>
        <w:spacing w:after="0" w:line="117"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If the Class C ADSs are treated as stock for U.S. federal income tax purposes, then the consequences of a sale, exchange, redemption or other taxable disposition of a Class C ADSs are the same as described above under the heading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Sale, Exchange, Redemption or Other Taxable Disposition of Class A ADSs.”</w:t>
      </w:r>
    </w:p>
    <w:p>
      <w:pPr>
        <w:spacing w:after="0" w:line="324" w:lineRule="exact"/>
        <w:rPr>
          <w:sz w:val="20"/>
          <w:szCs w:val="20"/>
          <w:color w:val="auto"/>
        </w:rPr>
      </w:pPr>
    </w:p>
    <w:p>
      <w:pPr>
        <w:ind w:left="1540" w:hanging="439"/>
        <w:spacing w:after="0"/>
        <w:tabs>
          <w:tab w:leader="none" w:pos="154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Conversion of a Class C ADS</w:t>
      </w:r>
    </w:p>
    <w:p>
      <w:pPr>
        <w:spacing w:after="0" w:line="117"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The treatment of a conversion of Class C ADSs to Class A ADSs is unclear. Subject to the PFIC rules and the discussion of cashless conversion discussed below, U.S. Holder may be treated as in part exchanging the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205</w:t>
      </w:r>
    </w:p>
    <w:p>
      <w:pPr>
        <w:sectPr>
          <w:pgSz w:w="11900" w:h="16838" w:orient="portrait"/>
          <w:cols w:equalWidth="0" w:num="1">
            <w:col w:w="11120"/>
          </w:cols>
          <w:pgMar w:left="320" w:top="455" w:right="459" w:bottom="1440" w:gutter="0" w:footer="0" w:header="0"/>
        </w:sectPr>
      </w:pPr>
    </w:p>
    <w:bookmarkStart w:id="220" w:name="page221"/>
    <w:bookmarkEnd w:id="2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54" w:lineRule="auto"/>
        <w:rPr>
          <w:sz w:val="20"/>
          <w:szCs w:val="20"/>
          <w:color w:val="auto"/>
        </w:rPr>
      </w:pPr>
      <w:r>
        <w:rPr>
          <w:rFonts w:ascii="Times New Roman" w:cs="Times New Roman" w:eastAsia="Times New Roman" w:hAnsi="Times New Roman"/>
          <w:sz w:val="18"/>
          <w:szCs w:val="18"/>
          <w:color w:val="auto"/>
        </w:rPr>
        <w:t>converted Class C ADSs for Class A ADSs, and in part “exercising” such Class C ADSs. In this case, a U.S. Holder generally will not recognize gain or loss upon the conversion of a Class C ADS to a Class A ADS and would generally bifurcate its holding period in the Class A ADSs received upon conversion of the Class C ADSs, with a portion of the holding period of the Class A ADSs including the holding period of the Class C ADSs converted thereto, and a portion of the holding period of the Class A ADSs beginning on the date following the conversion. The ratio of such portions should be equal to the ratio of the fair market value of the converted Class C ADSs to the amount of the conversion price. A U.S. Holder’s tax basis in a Class A ADS received upon conversion of a Class C ADS generally should be an amount equal to the sum of (i) the U.S. Holder’s tax basis in the Class C ADS exchanged therefor and (ii) the conversion price. In the event that a Class C ADS is not converted to a Class A ADS prior to the applicable expiration date (a “conversion expiration”), a U.S. Holder may be able to recognize a capital loss equal to such U.S. Holder’s tax basis in such Class C ADS.</w:t>
      </w:r>
    </w:p>
    <w:p>
      <w:pPr>
        <w:spacing w:after="0" w:line="192"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Additionally, under the terms of the Class C ADSs, there are certain circumstances in which there may be a cashless conversion of the Class C ADSs. The tax consequences of such cashless conversion of a Class C ADS are not clear under current U.S. federal income tax law. A cashless conversion may be tax-deferred, either because the conversion is treated as a recapitalization for U.S. federal income tax purposes or because the conversion is not a realization event. In either tax-deferred situation, a U.S. Holder’s basis in the Class A ADSs received would equal the U.S. Holder’s basis in the Class C ADSs converted therefor. If the cashless conversion were treated as a recapitalization, the holding period of the Class A ADSs would include the holding period of the Class C ADSs converted therefor. If the cashless conversion were treated as not being a realization event, it is unclear whether a U.S. Holder’s holding period for the Class A ADSs would be treated as commencing on the date of conversion of the Class C ADSs or the day following the date of conversion of the Class C ADSs. Further, under certain conditions, the Company has the right to redeem Class C ADSs for cash or for Class A ADSs. If the Class C ADSs are redeemed for Class A ADSs, the tax consequences of such redemption generally will be similar to those of a cashless conversion as discussed above.</w:t>
      </w:r>
    </w:p>
    <w:p>
      <w:pPr>
        <w:spacing w:after="0" w:line="194" w:lineRule="exact"/>
        <w:rPr>
          <w:sz w:val="20"/>
          <w:szCs w:val="20"/>
          <w:color w:val="auto"/>
        </w:rPr>
      </w:pPr>
    </w:p>
    <w:p>
      <w:pPr>
        <w:jc w:val="both"/>
        <w:ind w:left="120" w:right="40" w:firstLine="440"/>
        <w:spacing w:after="0" w:line="272" w:lineRule="auto"/>
        <w:rPr>
          <w:sz w:val="20"/>
          <w:szCs w:val="20"/>
          <w:color w:val="auto"/>
        </w:rPr>
      </w:pPr>
      <w:r>
        <w:rPr>
          <w:rFonts w:ascii="Times New Roman" w:cs="Times New Roman" w:eastAsia="Times New Roman" w:hAnsi="Times New Roman"/>
          <w:sz w:val="17"/>
          <w:szCs w:val="17"/>
          <w:color w:val="auto"/>
        </w:rPr>
        <w:t>Due to the uncertain nature of the U.S. federal income tax treatment of the Class C ADSs, there is no assurance that a conversion of Class C ADSs or redemption of Class C ADSs for Class A ADSs would be treated as described above, and it is possible the IRS or a court of law could take a position that such a conversion or redemption for Class A ADSs should be treated as part of a taxable exchange in which gain or loss would be recognized.</w:t>
      </w:r>
    </w:p>
    <w:p>
      <w:pPr>
        <w:spacing w:after="0" w:line="2" w:lineRule="exact"/>
        <w:rPr>
          <w:sz w:val="20"/>
          <w:szCs w:val="20"/>
          <w:color w:val="auto"/>
        </w:rPr>
      </w:pPr>
    </w:p>
    <w:p>
      <w:pPr>
        <w:ind w:left="120" w:right="380"/>
        <w:spacing w:after="0" w:line="260" w:lineRule="auto"/>
        <w:rPr>
          <w:sz w:val="20"/>
          <w:szCs w:val="20"/>
          <w:color w:val="auto"/>
        </w:rPr>
      </w:pPr>
      <w:r>
        <w:rPr>
          <w:rFonts w:ascii="Times New Roman" w:cs="Times New Roman" w:eastAsia="Times New Roman" w:hAnsi="Times New Roman"/>
          <w:sz w:val="18"/>
          <w:szCs w:val="18"/>
          <w:color w:val="auto"/>
        </w:rPr>
        <w:t>Accordingly, U.S. Holders are urged to consult their tax advisors regarding the tax consequences of a conversion of Class C ADSs or redemption of Class C ADSs for Class A ADSs.</w:t>
      </w:r>
    </w:p>
    <w:p>
      <w:pPr>
        <w:spacing w:after="0" w:line="326" w:lineRule="exact"/>
        <w:rPr>
          <w:sz w:val="20"/>
          <w:szCs w:val="20"/>
          <w:color w:val="auto"/>
        </w:rPr>
      </w:pPr>
    </w:p>
    <w:p>
      <w:pPr>
        <w:ind w:left="1080" w:hanging="532"/>
        <w:spacing w:after="0"/>
        <w:tabs>
          <w:tab w:leader="none" w:pos="1080" w:val="left"/>
        </w:tabs>
        <w:numPr>
          <w:ilvl w:val="0"/>
          <w:numId w:val="1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Class C ADS Treated as Warrants</w:t>
      </w:r>
    </w:p>
    <w:p>
      <w:pPr>
        <w:spacing w:after="0" w:line="121" w:lineRule="exact"/>
        <w:rPr>
          <w:sz w:val="20"/>
          <w:szCs w:val="20"/>
          <w:color w:val="auto"/>
        </w:rPr>
      </w:pPr>
    </w:p>
    <w:p>
      <w:pPr>
        <w:ind w:left="120" w:right="720" w:firstLine="440"/>
        <w:spacing w:after="0" w:line="282" w:lineRule="auto"/>
        <w:rPr>
          <w:sz w:val="20"/>
          <w:szCs w:val="20"/>
          <w:color w:val="auto"/>
        </w:rPr>
      </w:pPr>
      <w:r>
        <w:rPr>
          <w:rFonts w:ascii="Times New Roman" w:cs="Times New Roman" w:eastAsia="Times New Roman" w:hAnsi="Times New Roman"/>
          <w:sz w:val="18"/>
          <w:szCs w:val="18"/>
          <w:color w:val="auto"/>
        </w:rPr>
        <w:t>The following section assumes that the Class C ADSs are treated as warrants exercisable for Class A common stock, notwithstanding the Company’s position that the Class C ADSs are treated as stock.</w:t>
      </w:r>
    </w:p>
    <w:p>
      <w:pPr>
        <w:spacing w:after="0" w:line="310" w:lineRule="exact"/>
        <w:rPr>
          <w:sz w:val="20"/>
          <w:szCs w:val="20"/>
          <w:color w:val="auto"/>
        </w:rPr>
      </w:pPr>
    </w:p>
    <w:p>
      <w:pPr>
        <w:ind w:left="1540" w:hanging="439"/>
        <w:spacing w:after="0"/>
        <w:tabs>
          <w:tab w:leader="none" w:pos="154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Sale, Exchange, Redemption or Other Taxable Disposition of Class C ADSs</w:t>
      </w:r>
    </w:p>
    <w:p>
      <w:pPr>
        <w:spacing w:after="0" w:line="117" w:lineRule="exact"/>
        <w:rPr>
          <w:sz w:val="20"/>
          <w:szCs w:val="20"/>
          <w:color w:val="auto"/>
        </w:rPr>
      </w:pPr>
    </w:p>
    <w:p>
      <w:pPr>
        <w:jc w:val="both"/>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If the Class C ADSs are treated as warrants for U.S. federal income tax purposes, then the consequences of a sale, exchange, redemption or other taxable disposition of a Class C ADSs are the same as described above under the heading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Sale, Exchange, Redemption or Other Taxable Disposition of Class A ADSs.”</w:t>
      </w:r>
    </w:p>
    <w:p>
      <w:pPr>
        <w:spacing w:after="0" w:line="324" w:lineRule="exact"/>
        <w:rPr>
          <w:sz w:val="20"/>
          <w:szCs w:val="20"/>
          <w:color w:val="auto"/>
        </w:rPr>
      </w:pPr>
    </w:p>
    <w:p>
      <w:pPr>
        <w:ind w:left="1540" w:hanging="439"/>
        <w:spacing w:after="0"/>
        <w:tabs>
          <w:tab w:leader="none" w:pos="154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Conversion of a Class C ADS</w:t>
      </w:r>
    </w:p>
    <w:p>
      <w:pPr>
        <w:spacing w:after="0" w:line="117"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If Class C ADSs are treated as warrants exercisable for Class A ADSs for U.S. federal income tax purposes, subject to the PFIC rules discussed below, and except as discussed below with respect to a cashless conversion, a U.S. Holder generally will not recognize gain or loss upon the conversion of a Class C ADS to Class A ADSs. A U.S. Holder’s tax basis in Class A ADSs received upon conversion of Class C ADSs generally should be an amount equal to the sum of (i) the U.S. holder’s tax basis in the Class C ADSs exchanged therefor and (ii) the conversion price. The U.S. Holder’s holding period for Class A ADSs received upon conversion of Class C</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206</w:t>
      </w:r>
    </w:p>
    <w:p>
      <w:pPr>
        <w:sectPr>
          <w:pgSz w:w="11900" w:h="16838" w:orient="portrait"/>
          <w:cols w:equalWidth="0" w:num="1">
            <w:col w:w="11140"/>
          </w:cols>
          <w:pgMar w:left="320" w:top="455" w:right="439" w:bottom="1440" w:gutter="0" w:footer="0" w:header="0"/>
        </w:sectPr>
      </w:pPr>
    </w:p>
    <w:bookmarkStart w:id="221" w:name="page222"/>
    <w:bookmarkEnd w:id="2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60"/>
        <w:spacing w:after="0" w:line="266" w:lineRule="auto"/>
        <w:rPr>
          <w:sz w:val="20"/>
          <w:szCs w:val="20"/>
          <w:color w:val="auto"/>
        </w:rPr>
      </w:pPr>
      <w:r>
        <w:rPr>
          <w:rFonts w:ascii="Times New Roman" w:cs="Times New Roman" w:eastAsia="Times New Roman" w:hAnsi="Times New Roman"/>
          <w:sz w:val="18"/>
          <w:szCs w:val="18"/>
          <w:color w:val="auto"/>
        </w:rPr>
        <w:t>ADSs will begin on the date following the date of conversion (or possibly the date of conversion) of the Class C ADSs and will not include the period during which the U.S. Holder held the Class C ADSs. If a Class C ADS is not converted to a Class A ADS prior to the applicable expiration date (a “conversion expiration”), a U.S. Holder generally will recognize a capital loss equal to such U.S. Holder’s tax basis in the Class C ADS.</w:t>
      </w:r>
    </w:p>
    <w:p>
      <w:pPr>
        <w:spacing w:after="0" w:line="176"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If the Class C ADSs are treated as warrants for U.S. federal income tax purposes, the tax consequences of a cashless conversion of a Class C ADS are not clear under current U.S. federal income tax law. If the cashless conversion is treated as tax-deferred, the consequences are as described in the section above titled “</w:t>
      </w:r>
      <w:r>
        <w:rPr>
          <w:rFonts w:ascii="Times New Roman" w:cs="Times New Roman" w:eastAsia="Times New Roman" w:hAnsi="Times New Roman"/>
          <w:sz w:val="18"/>
          <w:szCs w:val="18"/>
          <w:i w:val="1"/>
          <w:iCs w:val="1"/>
          <w:color w:val="auto"/>
        </w:rPr>
        <w:t>—Class C ADSs Treated as Stock</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120" w:firstLine="440"/>
        <w:spacing w:after="0" w:line="272" w:lineRule="auto"/>
        <w:rPr>
          <w:sz w:val="20"/>
          <w:szCs w:val="20"/>
          <w:color w:val="auto"/>
        </w:rPr>
      </w:pPr>
      <w:r>
        <w:rPr>
          <w:rFonts w:ascii="Times New Roman" w:cs="Times New Roman" w:eastAsia="Times New Roman" w:hAnsi="Times New Roman"/>
          <w:sz w:val="17"/>
          <w:szCs w:val="17"/>
          <w:color w:val="auto"/>
        </w:rPr>
        <w:t>It is also possible that a cashless exercise of Class C ADS could be treated in part as a taxable exchange in which gain or loss would be recognized. In such event, a U.S. Holder would recognize gain or loss with respect to the portion of the exercised Class C ADSs treated as surrendered to pay the exercise price of the Class A ADSs (the “</w:t>
      </w:r>
      <w:r>
        <w:rPr>
          <w:rFonts w:ascii="Times New Roman" w:cs="Times New Roman" w:eastAsia="Times New Roman" w:hAnsi="Times New Roman"/>
          <w:sz w:val="17"/>
          <w:szCs w:val="17"/>
          <w:i w:val="1"/>
          <w:iCs w:val="1"/>
          <w:color w:val="auto"/>
        </w:rPr>
        <w:t>surrendered Class C ADSs</w:t>
      </w:r>
      <w:r>
        <w:rPr>
          <w:rFonts w:ascii="Times New Roman" w:cs="Times New Roman" w:eastAsia="Times New Roman" w:hAnsi="Times New Roman"/>
          <w:sz w:val="17"/>
          <w:szCs w:val="17"/>
          <w:color w:val="auto"/>
        </w:rPr>
        <w:t>”). The U.S. Holder would recognize capital gain or loss with respect to the surrendered Class C ADSs in an amount generally equal to the difference between (i) the fair market value of the Class C ADSs deemed surrendered and (ii) the U.S. Holder’s tax basis in the surrendered Class C ADSs. In this case, a U.S. Holder’s tax basis in the Class A ADSs received would equal the U.S. Holder’s tax basis in the Class C ADSs converted (meaning, the Class C ADSs disposed of by the U.S. Holder in the cashless conversion, other than the surrendered Class C ADSs) and the exercise price of such Class C ADSs. It is unclear whether a U.S. Holder’s holding period for the Class A ADSs would commence on the date of the conversion of the Class C ADSs or the day following the date of exercise of the Class C ADSs.</w:t>
      </w:r>
    </w:p>
    <w:p>
      <w:pPr>
        <w:spacing w:after="0" w:line="172"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Further, under certain conditions, the Company has the right to redeem Class C ADSs for cash or for Class A ADSs, as discussed in the sections titled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Redemption of Class C Shares for cash,” and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Redemption of Class C Shares for Class A ADSs,” respectively. If the Class C ADSs are redeemed for cash, the tax consequences generally will be as described in the section titled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Sale, Exchange, Redemption or Other Taxable Disposition of Class A ADSs.”</w:t>
      </w:r>
    </w:p>
    <w:p>
      <w:pPr>
        <w:spacing w:after="0" w:line="180"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If the Class C ADSs are redeemed for Class A ADSs, the tax consequences of such redemption generally will be similar to those of a cashless conversion as discussed above. Due to the absence of authority on the U.S. federal income tax treatment of a cashless exercise of warrants, there can be no assurance which, if any, of the alternative tax consequences and holding periods described above would be approved by the IRS or a court of law. Accordingly, U.S. Holders are urged to consult their tax advisors regarding the tax consequences of the cashless conversion of Class C ADSs.</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Possible Constructive Distributions</w:t>
      </w:r>
    </w:p>
    <w:p>
      <w:pPr>
        <w:spacing w:after="0" w:line="11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terms of each Class C ADS provide for an adjustment to the number of Class A ADSs for which an Class C ADS may be exercised or converted, or to the exercise or conversion price of a Class C ADS in certain events, as discussed in the section entitled “Description of Company Share Capital and Articles of Association—Class C Shares.” An adjustment which has the effect of preventing dilution generally is not taxable. A U.S. Holder of a Class C ADS would, however, be treated as receiving a constructive distribution from the Company if, for example, the adjustment increases such U.S. Holder’s proportionate interest in the Company’s assets or earnings and profits (e.g., through an increase in the number of the Class A ADSs that would be obtained upon exercise or conversion) as a result of a distribution of cash to the holders of Class A ADSs which is taxable to the U.S. Holders of such Class A ADSs as described under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Distributions on Class A ADs” above. Such constructive distributions would be subject to tax as described under that section in the same manner as if the U.S. holder received a cash distribution from the Company equal to the fair market value of such increased interest.</w:t>
      </w:r>
    </w:p>
    <w:p>
      <w:pPr>
        <w:spacing w:after="0" w:line="2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Passive Foreign Investment Company Rules</w:t>
      </w:r>
    </w:p>
    <w:p>
      <w:pPr>
        <w:spacing w:after="0" w:line="119"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The treatment of U.S. Holders of the AD securities could be materially different from that described above if the Company is treated as a passive foreign investment company, or PFIC, for U.S. federal income tax purposes. A</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207</w:t>
      </w:r>
    </w:p>
    <w:p>
      <w:pPr>
        <w:sectPr>
          <w:pgSz w:w="11900" w:h="16838" w:orient="portrait"/>
          <w:cols w:equalWidth="0" w:num="1">
            <w:col w:w="11080"/>
          </w:cols>
          <w:pgMar w:left="320" w:top="455" w:right="499" w:bottom="1440" w:gutter="0" w:footer="0" w:header="0"/>
        </w:sectPr>
      </w:pPr>
    </w:p>
    <w:bookmarkStart w:id="222" w:name="page223"/>
    <w:bookmarkEnd w:id="2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40"/>
        <w:spacing w:after="0" w:line="253" w:lineRule="auto"/>
        <w:rPr>
          <w:sz w:val="20"/>
          <w:szCs w:val="20"/>
          <w:color w:val="auto"/>
        </w:rPr>
      </w:pPr>
      <w:r>
        <w:rPr>
          <w:rFonts w:ascii="Times New Roman" w:cs="Times New Roman" w:eastAsia="Times New Roman" w:hAnsi="Times New Roman"/>
          <w:sz w:val="18"/>
          <w:szCs w:val="18"/>
          <w:color w:val="auto"/>
        </w:rPr>
        <w:t>PFIC is any non-U.S. corporation with respect to which either: (i) 75% or more of the gross income for a taxable year constitutes passive income for purposes of the PFIC rules, or (ii) 50% or more of such non-U.S. corporation’s assets in any taxable year (generally based on the quarterly average of the value of its assets during such year) is attributable to assets, including cash, that produce passive income or are held for the production of passive income. Passive income generally includes dividends, interest, royalties and certain rents. The determination of whether a non-U.S. corporation is a PFIC is based upon the composition of such non-U.S. corporation’s income and assets (including, among others, its proportionate share of the income and assets of any other corporation in which it owns, directly or indirectly, 25% or more (by value) of the stock), and the nature of</w:t>
      </w:r>
    </w:p>
    <w:p>
      <w:pPr>
        <w:spacing w:after="0" w:line="5"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such non-U.S. corporation’s activities. A separate determination must be made after the close of each taxable year as to whether a non-U.S. corporation was a PFIC for that year. Once a non-U.S. corporation qualifies as a PFIC it is, with respect to a shareholder during the time it qualifies as a PFIC, and subject to certain exceptions, always treated as a PFIC with respect to such shareholder, regardless of whether it satisfied either of the qualification tests in subsequent years.</w:t>
      </w:r>
    </w:p>
    <w:p>
      <w:pPr>
        <w:spacing w:after="0" w:line="189"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Based on the projected composition of the Company’s income and assets (including the income and assets of each subsidiary for which the Company owns, directly or indirectly, 25% or more (by value) of its stock), the Company does not expect to be classified as a PFIC for its current taxable year or, to the best of its current estimates, for subsequent taxable years. However, the application of the PFIC rules is subject to uncertainty as the composition of the Company’s income and assets may change in the future and, therefore, no assurances can be provided that the Company will not be a PFIC for the current taxable year or in a future year.</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If the Company is or becomes a PFIC during any year in which a U.S. Holder holds AD securities and such U.S. Holder does not make</w:t>
      </w:r>
    </w:p>
    <w:p>
      <w:pPr>
        <w:spacing w:after="0" w:line="27"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a mark-to-market election, as described below, the U.S. Holder will be subject to special tax rules with respect to (i) any gain realized on a sale or other disposition (including a pledge) of its AD securities, and (ii) any “excess distributions” it receives on its Class A ADSs (generally, any distributions in excess of 125% of the average of the annual distributions on Class A ADSs during the preceding three years or the U.S. Holder’s holding period, whichever is shorter). Generally, under this excess distribution regime:</w:t>
      </w:r>
    </w:p>
    <w:p>
      <w:pPr>
        <w:spacing w:after="0" w:line="94" w:lineRule="exact"/>
        <w:rPr>
          <w:sz w:val="20"/>
          <w:szCs w:val="20"/>
          <w:color w:val="auto"/>
        </w:rPr>
      </w:pPr>
    </w:p>
    <w:p>
      <w:pPr>
        <w:ind w:left="1080" w:hanging="424"/>
        <w:spacing w:after="0"/>
        <w:tabs>
          <w:tab w:leader="none" w:pos="108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gain or excess distribution will be allocated ratably over the period during which the U.S. Holder held its AD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allocated to the current taxable year will be treated as ordinary income; and</w:t>
      </w:r>
    </w:p>
    <w:p>
      <w:pPr>
        <w:spacing w:after="0" w:line="130" w:lineRule="exact"/>
        <w:rPr>
          <w:rFonts w:ascii="Times New Roman" w:cs="Times New Roman" w:eastAsia="Times New Roman" w:hAnsi="Times New Roman"/>
          <w:sz w:val="18"/>
          <w:szCs w:val="18"/>
          <w:color w:val="auto"/>
        </w:rPr>
      </w:pPr>
    </w:p>
    <w:p>
      <w:pPr>
        <w:ind w:left="1080" w:right="400" w:hanging="424"/>
        <w:spacing w:after="0" w:line="282" w:lineRule="auto"/>
        <w:tabs>
          <w:tab w:leader="none" w:pos="108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allocated to prior taxable years will be subject to the highest tax rate in effect for that taxable year and the interest charge generally applicable to underpayments of tax will be imposed on the resulting tax attributable to each such year.</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lieu of being subject to the special tax rules discussed above with regard to its Class A ADSs, a U.S. Holder may make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 mark-to-market election with respect to its AD securities and with respect to its Class C ADSs if treated as stock. A U.S. Holder may make</w:t>
      </w:r>
    </w:p>
    <w:p>
      <w:pPr>
        <w:spacing w:after="0" w:line="9"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a mark-to-market election if such shares are treated as “marketable stock.” A mark-to-market election is not available with respect to the Class C ADSs if they are treated as warrants. The AD securities generally will be treated as marketable stock if they are regularly traded on a national securities exchange that is registered with the SEC, including Nasdaq, or on a qualified non-U.S. exchange or other market (within the meaning of the applicable Treasury regulations). Although the AD securities are expected to be listed on Nasdaq, no assurance can be given that the AD securities will be “regularly traded” for purposes of the mark-to-market election. The Company currently does not intend to provide information necessary for U.S. Holders to make a “qualified electing fund” election which, if available, would result in tax treatment different from the general tax treatment for PFICs described above.</w:t>
      </w:r>
    </w:p>
    <w:p>
      <w:pPr>
        <w:spacing w:after="0" w:line="188" w:lineRule="exact"/>
        <w:rPr>
          <w:sz w:val="20"/>
          <w:szCs w:val="20"/>
          <w:color w:val="auto"/>
        </w:rPr>
      </w:pPr>
    </w:p>
    <w:p>
      <w:pPr>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If the Company is classified as a PFIC for any taxable year, a U.S. Holder of AD securities will be required to file an annual report on IRS Form 8621. Failure to file IRS Form 8621 for each applicable taxable year may result in substantial penalties and result in the U.S. Holder’s taxable years being open to audit by the IRS until such Forms are properly filed.</w:t>
      </w:r>
    </w:p>
    <w:p>
      <w:pPr>
        <w:spacing w:after="0" w:line="176"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U.S. Holders are urged to consult their tax advisors concerning the U.S. federal income tax consequences of holding AD securities in the event that the Company is considered a PFIC in any taxable year.</w:t>
      </w:r>
    </w:p>
    <w:p>
      <w:pPr>
        <w:spacing w:after="0" w:line="9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208</w:t>
      </w:r>
    </w:p>
    <w:p>
      <w:pPr>
        <w:sectPr>
          <w:pgSz w:w="11900" w:h="16838" w:orient="portrait"/>
          <w:cols w:equalWidth="0" w:num="1">
            <w:col w:w="11040"/>
          </w:cols>
          <w:pgMar w:left="320" w:top="455" w:right="539" w:bottom="1440" w:gutter="0" w:footer="0" w:header="0"/>
        </w:sectPr>
      </w:pPr>
    </w:p>
    <w:bookmarkStart w:id="223" w:name="page224"/>
    <w:bookmarkEnd w:id="2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Additional Reporting Requirements</w:t>
      </w:r>
    </w:p>
    <w:p>
      <w:pPr>
        <w:spacing w:after="0" w:line="119" w:lineRule="exact"/>
        <w:rPr>
          <w:sz w:val="20"/>
          <w:szCs w:val="20"/>
          <w:color w:val="auto"/>
        </w:rPr>
      </w:pPr>
    </w:p>
    <w:p>
      <w:pPr>
        <w:ind w:left="120" w:right="240" w:firstLine="440"/>
        <w:spacing w:after="0" w:line="255" w:lineRule="auto"/>
        <w:rPr>
          <w:sz w:val="20"/>
          <w:szCs w:val="20"/>
          <w:color w:val="auto"/>
        </w:rPr>
      </w:pPr>
      <w:r>
        <w:rPr>
          <w:rFonts w:ascii="Times New Roman" w:cs="Times New Roman" w:eastAsia="Times New Roman" w:hAnsi="Times New Roman"/>
          <w:sz w:val="18"/>
          <w:szCs w:val="18"/>
          <w:color w:val="auto"/>
        </w:rPr>
        <w:t>U.S. Holders who are individuals and certain entities will be required to report information with respect to such U.S. Holder’s investment in “specified foreign financial assets” on IRS Form 8938 (Statement of Specified Foreign Financial Assets), subject to certain exceptions (including an exception for AD securities held in accounts maintained at certain financial institutions). An interest in AD securities constitutes a specified foreign financial asset for these purposes. Persons who are required to report specified foreign financial assets and fail to do so may be subject to substantial penalties and the period of limitations on assessment and collection of U.S. federal income taxes will be extended in the event of a failure to comply. U.S. Holders are urged to consult their tax advisors regarding the foreign financial asset and other reporting obligations and their application to the ownership and disposition of AD securities.</w:t>
      </w:r>
    </w:p>
    <w:p>
      <w:pPr>
        <w:spacing w:after="0" w:line="29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Information Reporting and Backup Withholding</w:t>
      </w:r>
    </w:p>
    <w:p>
      <w:pPr>
        <w:spacing w:after="0" w:line="119" w:lineRule="exact"/>
        <w:rPr>
          <w:sz w:val="20"/>
          <w:szCs w:val="20"/>
          <w:color w:val="auto"/>
        </w:rPr>
      </w:pPr>
    </w:p>
    <w:p>
      <w:pPr>
        <w:ind w:left="120" w:right="80" w:firstLine="440"/>
        <w:spacing w:after="0" w:line="276" w:lineRule="auto"/>
        <w:rPr>
          <w:sz w:val="20"/>
          <w:szCs w:val="20"/>
          <w:color w:val="auto"/>
        </w:rPr>
      </w:pPr>
      <w:r>
        <w:rPr>
          <w:rFonts w:ascii="Times New Roman" w:cs="Times New Roman" w:eastAsia="Times New Roman" w:hAnsi="Times New Roman"/>
          <w:sz w:val="17"/>
          <w:szCs w:val="17"/>
          <w:color w:val="auto"/>
        </w:rPr>
        <w:t>Payments of dividends and sales proceeds that are made within the United States or through certain U.S.-related financial intermediaries are subject to information reporting, and may be subject to backup withholding. Backup withholding generally will not apply, however, to a U.S. Holder if</w:t>
      </w:r>
    </w:p>
    <w:p>
      <w:pPr>
        <w:spacing w:after="0" w:line="1" w:lineRule="exact"/>
        <w:rPr>
          <w:sz w:val="20"/>
          <w:szCs w:val="20"/>
          <w:color w:val="auto"/>
        </w:rPr>
      </w:pPr>
    </w:p>
    <w:p>
      <w:pPr>
        <w:ind w:left="120" w:right="420" w:hanging="4"/>
        <w:spacing w:after="0" w:line="260" w:lineRule="auto"/>
        <w:tabs>
          <w:tab w:leader="none" w:pos="335"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Holder is a corporation or other exempt recipient or (ii) in the case of backup withholding, the U.S. Holder provides a correct taxpayer identification number and certifies that it is not subject to backup withholding.</w:t>
      </w:r>
    </w:p>
    <w:p>
      <w:pPr>
        <w:spacing w:after="0" w:line="181"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Backup withholding is not an additional tax. The amount of any backup withholding from a payment to a U.S. Holder will be allowed as a credit against such U.S. Holder’s U.S. federal income tax liability and a holder may obtain a refund of any excess amounts withheld under the backup withholding rules by timely filing the appropriate claim for a refund with the IRS and furnishing any required information.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Material United Kingdom Tax Considerations</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following is intended as a general guide to current United Kingdom tax law and HMRC published practice applying as at the date of this prospectus (both of which are subject to change at any time, possibly with retrospective effect) relating to (i) the United Kingdom withholding tax implications of dividends paid by the Company in respect of Class A Shares and Class C Shares and (ii) the United Kingdom stamp duty and SDRT implications of transfers of, and agreements to transfer, AD securities. It does not constitute legal or tax advice and does not purport to be an analysis of any other United Kingdom tax considerations relating to the acquisition, holding or disposing of AD securities or any other shares or securities that may be issued by the Company from time to time.</w:t>
      </w:r>
    </w:p>
    <w:p>
      <w:pPr>
        <w:spacing w:after="0" w:line="187"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THESE PARAGRAPHS ARE A SUMMARY OF MATERIAL UNITED KINGDOM TAX CONSIDERATIONS AND ARE INTENDED AS A GENERAL GUIDE ONLY. IT IS RECOMMENDED THAT ALL HOLDERS OF AD SECURITIES OBTAIN ADVICE AS TO THE CONSEQUENCES OF THE ACQUISITION, OWNERSHIP AND DISPOSAL OF THE AD SECURITIES IN THEIR OWN SPECIFIC CIRCUMSTANCES FROM THEIR OWN TAX ADVISORS.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Dividend Withholding Tax</w:t>
      </w:r>
    </w:p>
    <w:p>
      <w:pPr>
        <w:spacing w:after="0" w:line="121"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Dividends paid by the Company in respect of Class A Shares and Class C Shares should not be subject to any withholding or deduction for or on account of United Kingdom income tax.</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Stamp Duty and Stamp Duty Reserve Tax—Transfers of AD securities</w:t>
      </w:r>
    </w:p>
    <w:p>
      <w:pPr>
        <w:spacing w:after="0" w:line="119" w:lineRule="exact"/>
        <w:rPr>
          <w:sz w:val="20"/>
          <w:szCs w:val="20"/>
          <w:color w:val="auto"/>
        </w:rPr>
      </w:pPr>
    </w:p>
    <w:p>
      <w:pPr>
        <w:jc w:val="both"/>
        <w:ind w:left="120" w:right="2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The statement in this section assumes that the AD securities are held at all relevant times through the clearance service facilities of DTC and that all transfers of the AD securities take place in paperless form without the creation of any written instrument of transfer. This section does not consider the implications of transfers of, or agreements to transfer, any Company securities held in certificated form.</w:t>
      </w:r>
    </w:p>
    <w:p>
      <w:pPr>
        <w:spacing w:after="0" w:line="10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209</w:t>
      </w:r>
    </w:p>
    <w:p>
      <w:pPr>
        <w:sectPr>
          <w:pgSz w:w="11900" w:h="16838" w:orient="portrait"/>
          <w:cols w:equalWidth="0" w:num="1">
            <w:col w:w="11060"/>
          </w:cols>
          <w:pgMar w:left="320" w:top="455" w:right="519" w:bottom="1440" w:gutter="0" w:footer="0" w:header="0"/>
        </w:sectPr>
      </w:pPr>
    </w:p>
    <w:bookmarkStart w:id="224" w:name="page225"/>
    <w:bookmarkEnd w:id="2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No SDRT should be required to be paid on a paperless transfer of AD securities through the clearance service facilities of DTC, provided that DTC has not made an election under section 97A of the United Kingdom Finance Act 1986, and such AD securities are held through DTC at the time of any agreement for their transfer.</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210</w:t>
      </w:r>
    </w:p>
    <w:p>
      <w:pPr>
        <w:sectPr>
          <w:pgSz w:w="11900" w:h="16838" w:orient="portrait"/>
          <w:cols w:equalWidth="0" w:num="1">
            <w:col w:w="11080"/>
          </w:cols>
          <w:pgMar w:left="320" w:top="455" w:right="499" w:bottom="1440" w:gutter="0" w:footer="0" w:header="0"/>
        </w:sectPr>
      </w:pPr>
    </w:p>
    <w:bookmarkStart w:id="225" w:name="page226"/>
    <w:bookmarkEnd w:id="2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This prospectus relates to the offer and sale from time to time by the Selling Securityholders of up to (a) 2,228,977,574 Class A ADSs and (b) 9,000,000 Class C-2 ADSs. The Class A ADSs described in clause (a) of the prior sentence include (i) 294,877,349 Class A ADSs issued to Parent as merger consideration in connection with the Business Combination at an equity consideration value of $10.00 per share, (ii) up to 24,078,638 Class A ADSs which are issuable to Parent and, after the liquidation of Parent and the distribution of the securities held by Parent to its shareholders, the Parent Shareholders as earn out consideration (valued as $10.00 per Class A ADS at the time of the Business Combination) upon the achievement of certain price thresholds for the Class A ADSs, as further described in this prospectus, (iii) up to 1,776,332,546 Class A ADSs issuable upon conversion of Class B ADSs, including up to 134,098,971 Class B ADSs which are issuable to Parent and, after the liquidation of Parent and the distribution of the securities held by Parent to its shareholders, Parent Shareholders as earn out consideration (valued as $10.00 per Class B ADS at the time of the Business Combination) upon the achievement of certain price thresholds for the Class A ADSs, as further described in this prospectus, (iv) 18,459,165 Class A ADSs issued to the GGI Sponsor in connection with the Business Combination in exchange for the 18,459,165 shares of GGI Class F Common Stock that the GGI Sponsor initially purchased at $0.001 per share of GGI Class F Common Stock and that the GGI Sponsor retained after forfeiture of 1,540,835 shares of GGI Class F Common Stock; (v) 26,540,835 Class A ADSs issued to GGI Sponsor, the PIPE Investors and Snita pursuant to the Sponsor Subscription Agreement, the PIPE Subscription Agreements and the Volvo Cars PIPE Subscription Agreement, respectively, at an average cash price of $9.42 per Class A ADS, (vi) 58,882,610 Class A ADSs issued to Snita upon conversion of the Volvo Cars Preference Subscription Shares at the time of the Business Combination at a $10.00 conversion price, (vii) 4,306,466 Class A ADSs that were issued to Parent Convertible Note Holders upon conversion of the Parent Convertible Notes at the time of the Business Combination at a conversion price of $8.18, (viii) up to 500,000 Class A ADSs issuable to a service provider in exchange for the performance of marketing consulting services valued at up to $5,000,000, and (ix) up to 24,999,965 Class A ADSs issuable upon conversion of the Class C ADSs, including up to 9,000,000 Class A ADSs issuable upon conversion of the Class C-2 ADSs held by the GGI Sponsor. The prospectus also covers any additional securities that may become issuable by reason of share splits, share dividends or similar transactions.</w:t>
      </w:r>
    </w:p>
    <w:p>
      <w:pPr>
        <w:spacing w:after="0" w:line="189"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We will not receive any proceeds from any sale by the Selling Securityholders of the Class A ADSs or the Class C-2 ADSs being registered hereunder. We will bear all costs, expenses and fees in connection with the registration of the resale of the securities offered by this prospectus, whereas the Selling Securityholders will bear incremental selling expenses, including commissions, brokerage fees and other similar selling expenses.</w:t>
      </w:r>
    </w:p>
    <w:p>
      <w:pPr>
        <w:spacing w:after="0" w:line="176"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Selling Securityholders may offer and sell, from time to time, some or all of the securities covered by this prospectus. As used herein, “Selling Securityholders” means the persons referenced or listed in the tables in the section “Selling Securityholders”, and the donees, pledgees, transferees or other successors-in-interest (as a gift, pledge, partnership distribution or other non-sale related transfer) selling securities received after the date of this prospectus from the Selling Securityholders that may be identified in a supplement to this prospectus or, if required, a post-effective amendment to the registration statement of which this prospectus is a part. We have registered the offer and sale of the securities covered by this prospectus so that those securities may be freely sold to the public by the Selling Securityholders. Registration of the resale of the securities covered by this prospectus does not mean, however, that those securities necessarily will be offered or resold by the Selling Securityholders.</w:t>
      </w:r>
    </w:p>
    <w:p>
      <w:pPr>
        <w:spacing w:after="0" w:line="189"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Sales of the securities offered hereby may be effected by the Selling Securityholders from time to time in one or more types of transactions (which may include block transactions) on Nasdaq (or any other national securities exchange or quotation service on which the securities may be listed or quoted at the time of sale) at prevailing market prices, as well as any of the following methods:</w:t>
      </w:r>
    </w:p>
    <w:p>
      <w:pPr>
        <w:spacing w:after="0" w:line="81" w:lineRule="exact"/>
        <w:rPr>
          <w:sz w:val="20"/>
          <w:szCs w:val="20"/>
          <w:color w:val="auto"/>
        </w:rPr>
      </w:pPr>
    </w:p>
    <w:p>
      <w:pPr>
        <w:ind w:left="5500" w:right="3660" w:hanging="4844"/>
        <w:spacing w:after="0" w:line="454" w:lineRule="auto"/>
        <w:tabs>
          <w:tab w:leader="none" w:pos="1096"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over-the-counter distribution in accordance with the rules of the applicable exchange; 211</w:t>
      </w:r>
    </w:p>
    <w:p>
      <w:pPr>
        <w:sectPr>
          <w:pgSz w:w="11900" w:h="16838" w:orient="portrait"/>
          <w:cols w:equalWidth="0" w:num="1">
            <w:col w:w="11120"/>
          </w:cols>
          <w:pgMar w:left="320" w:top="455" w:right="459" w:bottom="1440" w:gutter="0" w:footer="0" w:header="0"/>
        </w:sectPr>
      </w:pPr>
    </w:p>
    <w:bookmarkStart w:id="226" w:name="page227"/>
    <w:bookmarkEnd w:id="2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080" w:hanging="424"/>
        <w:spacing w:after="0" w:line="266" w:lineRule="auto"/>
        <w:tabs>
          <w:tab w:leader="none" w:pos="108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trading plans entered into by a Selling Securityholder pursuant to Rule 10b5-1 under the Exchange Act that are in place at the time of an offering pursuant to this prospectus and any applicable prospectus supplement hereto that provide for periodic sales of their securities on the basis of parameters described in such trading plans;</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one or more underwritten offerings on a firm commitment or best efforts basis;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agreements with broker-dealers to sell a specified number of the securities at a stipulated price per share and/or warrant;</w:t>
      </w:r>
    </w:p>
    <w:p>
      <w:pPr>
        <w:spacing w:after="0" w:line="130" w:lineRule="exact"/>
        <w:rPr>
          <w:rFonts w:ascii="Times New Roman" w:cs="Times New Roman" w:eastAsia="Times New Roman" w:hAnsi="Times New Roman"/>
          <w:sz w:val="18"/>
          <w:szCs w:val="18"/>
          <w:color w:val="auto"/>
        </w:rPr>
      </w:pPr>
    </w:p>
    <w:p>
      <w:pPr>
        <w:ind w:left="1080" w:right="80" w:hanging="424"/>
        <w:spacing w:after="0" w:line="266" w:lineRule="auto"/>
        <w:tabs>
          <w:tab w:leader="none" w:pos="108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“at the market” offerings, as defined in Rule 415 under the Securities Act, at negotiated prices, at prices prevailing at the time of sale or at prices related to such prevailing market prices, including sales made directly on a national securities exchange or sales made through a market maker other than on an exchange or other similar offerings through sales agents;</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directly to purchasers, including through a specific bidding, auction or other process or in privately negotiated transactions;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writing or settlement of options or other hedging transactions, whether through an options exchange or otherwise;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 exchange distribution in accordance with the rules of the applicable exchange;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distribution by any Selling Securityholder to its employees, partners (including limited partners), members or stockholders;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whereby broker-dealers may agree with the Selling Securityholders to sell a specified number of such shares at a stipulated price per share;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settlement of short sales entered into after the date of this prospectus;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delayed delivery requirements;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pledge to secured debts and other obligations;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 combination of any of the above methods of sale;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method permitted pursuant to applicable law.</w:t>
      </w:r>
    </w:p>
    <w:p>
      <w:pPr>
        <w:spacing w:after="0" w:line="225"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Such transactions may or may not involve brokers or dealers. In effecting sales, brokers or dealers engaged by the Selling Securityholder may arrange for other brokers or dealers to participate. Broker-dealer transactions may include purchases of the securities by a broker-dealer as principal and resales of the securities by the broker-dealer for its account pursuant to this prospectus, ordinary brokerage transactions, transactions in which the broker-dealer solicits purchasers, or block trades in which the broker-dealer so engaged will attempt to sell the securities as agent but may position and resell a portion of the block as principal to facilitate the transaction. Such broker-dealers may receive compensation in the form of discounts, concessions or commissions from the Selling Securityholders and/or the purchasers of the securities offered hereby for whom such broker-dealers may act as agents or to whom they sell as principal, or both (which compensation as to a particular broker-dealer might be in excess of customary commissions). Any broker-dealers participating in the distribution of the securities covered by this prospectus may be deemed to be “underwriters” within the meaning of the Securities Act, and any commissions received by any of those broker-dealers may be deemed to be underwriting commissions under the Securities Act (it being understood that the Selling Securityholders shall not be deemed to be underwriters solely as a result of their participation in this offering). The Selling Securityholders have advised us that they have not entered into any agreements, understandings or arrangements with any broker-dealers regarding the sale of the securities covered by this prospectus.</w:t>
      </w:r>
    </w:p>
    <w:p>
      <w:pPr>
        <w:spacing w:after="0" w:line="190" w:lineRule="exact"/>
        <w:rPr>
          <w:sz w:val="20"/>
          <w:szCs w:val="20"/>
          <w:color w:val="auto"/>
        </w:rPr>
      </w:pPr>
    </w:p>
    <w:p>
      <w:pPr>
        <w:ind w:left="120" w:right="500" w:firstLine="440"/>
        <w:spacing w:after="0" w:line="266" w:lineRule="auto"/>
        <w:rPr>
          <w:sz w:val="20"/>
          <w:szCs w:val="20"/>
          <w:color w:val="auto"/>
        </w:rPr>
      </w:pPr>
      <w:r>
        <w:rPr>
          <w:rFonts w:ascii="Times New Roman" w:cs="Times New Roman" w:eastAsia="Times New Roman" w:hAnsi="Times New Roman"/>
          <w:sz w:val="18"/>
          <w:szCs w:val="18"/>
          <w:color w:val="auto"/>
        </w:rPr>
        <w:t>Pursuant to Rule 145 of the Securities Act, public sales of the securities offered hereby by any party to the transactions contemplated by the Business Combination Agreement, other than the Company, or by any person who is an affiliate of a party to such transactions at the time such transactions were submitted for vote or consent,</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212</w:t>
      </w:r>
    </w:p>
    <w:p>
      <w:pPr>
        <w:sectPr>
          <w:pgSz w:w="11900" w:h="16838" w:orient="portrait"/>
          <w:cols w:equalWidth="0" w:num="1">
            <w:col w:w="11100"/>
          </w:cols>
          <w:pgMar w:left="320" w:top="455" w:right="479" w:bottom="1440" w:gutter="0" w:footer="0" w:header="0"/>
        </w:sectPr>
      </w:pPr>
    </w:p>
    <w:bookmarkStart w:id="227" w:name="page228"/>
    <w:bookmarkEnd w:id="2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and who acquired such securities in connection with such transactions, will be deemed to have been made pursuant to a distribution and therefore made by an “underwriter” within the meaning of the Securities Act.</w:t>
      </w:r>
    </w:p>
    <w:p>
      <w:pPr>
        <w:spacing w:after="0" w:line="162"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There can be no assurance that the Selling Securityholders will sell all or any of the securities offered by this prospectus. In addition, the Selling Securityholders may also sell securities under Rule 144 under the Securities Act, if available, or in other transactions exempt from registration, rather than under this prospectus. Rule 144 is not available for the resale of securities initially issued by shell companies or issuers that have been at any time previously a shell company. However, Rule 144 also includes an important exception to this prohibition if the following conditions are met: (i) the issuer of the securities that was formerly a shell company has ceased to be a shell company; (ii) the issuer of the securities is subject to the reporting requirements of Section 13 or 15(d) of the Exchange Act; (iii) the issuer of the securities has filed all Exchange Act reports and materials required to be filed, as applicable, during the preceding 12 months (or such shorter period that the issuer was required to file such reports and materials), other than current reports; and (iv) at least one year has elapsed from the time that the issuer filed current Form 20-F type information with the SEC reflecting its status as an entity that is not a shell company (which we filed on June 29, 2022).</w:t>
      </w:r>
    </w:p>
    <w:p>
      <w:pPr>
        <w:spacing w:after="0" w:line="188"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The Selling Securityholders have the sole and absolute discretion not to accept any purchase offer or make any sale of securities if they deem the purchase price to be unsatisfactory at any particular time.</w:t>
      </w:r>
    </w:p>
    <w:p>
      <w:pPr>
        <w:spacing w:after="0" w:line="162"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A Selling Securityholder that is an entity may elect to make a pro rata in-kind distribution of securities to its members, partners or shareholders pursuant to the registration statement of which this prospectus is a part by delivering a prospectus with a plan of distribution.</w:t>
      </w:r>
    </w:p>
    <w:p>
      <w:pPr>
        <w:spacing w:after="0" w:line="162" w:lineRule="exact"/>
        <w:rPr>
          <w:sz w:val="20"/>
          <w:szCs w:val="20"/>
          <w:color w:val="auto"/>
        </w:rPr>
      </w:pPr>
    </w:p>
    <w:p>
      <w:pPr>
        <w:ind w:left="120" w:right="260" w:firstLine="440"/>
        <w:spacing w:after="0" w:line="256" w:lineRule="auto"/>
        <w:rPr>
          <w:sz w:val="20"/>
          <w:szCs w:val="20"/>
          <w:color w:val="auto"/>
        </w:rPr>
      </w:pPr>
      <w:r>
        <w:rPr>
          <w:rFonts w:ascii="Times New Roman" w:cs="Times New Roman" w:eastAsia="Times New Roman" w:hAnsi="Times New Roman"/>
          <w:sz w:val="18"/>
          <w:szCs w:val="18"/>
          <w:color w:val="auto"/>
        </w:rPr>
        <w:t>The Selling Securityholders also may transfer the securities in other circumstances, in which case the donees, pledgees, transferees or other successors-in-interest (as a gift, pledge, partnership distribution or other non-sale related transfer) that may be identified in a supplement to this prospectus or, if required, a post-effective amendment to the registration statement of which this prospectus is a part, will be the selling beneficial owners for purposes of this prospectus. Upon being notified by a Selling Securityholder that such a donee, pledgee, transferee or successor intends to sell our securities, we will, to the extent required, promptly file a supplement to this prospectus or a post-effective amendment to the registration statement of which this prospectus is a part to name specifically such person as a Selling Securityholder.</w:t>
      </w:r>
    </w:p>
    <w:p>
      <w:pPr>
        <w:spacing w:after="0" w:line="187" w:lineRule="exact"/>
        <w:rPr>
          <w:sz w:val="20"/>
          <w:szCs w:val="20"/>
          <w:color w:val="auto"/>
        </w:rPr>
      </w:pPr>
    </w:p>
    <w:p>
      <w:pPr>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Upon our being notified by any Selling Securityholder that any material arrangement has been entered into with a broker-dealer for the sale of securities offered hereby through a block trade, special offering, exchange distribution or secondary distribution or a purchase by a broker or dealer, a supplement to this prospectus will be filed, if required, pursuant to Rule 424(b) under the Securities Act, disclosing:</w:t>
      </w:r>
    </w:p>
    <w:p>
      <w:pPr>
        <w:spacing w:after="0" w:line="81" w:lineRule="exact"/>
        <w:rPr>
          <w:sz w:val="20"/>
          <w:szCs w:val="20"/>
          <w:color w:val="auto"/>
        </w:rPr>
      </w:pPr>
    </w:p>
    <w:p>
      <w:pPr>
        <w:ind w:left="1080" w:hanging="424"/>
        <w:spacing w:after="0"/>
        <w:tabs>
          <w:tab w:leader="none" w:pos="108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of the participating broker-dealer(s);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specific securities involved;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initial price at which such securities are to be sold;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commissions paid or discounts or concessions allowed to such broker-dealer(s), where applicable;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facts material to the transaction.</w:t>
      </w:r>
    </w:p>
    <w:p>
      <w:pPr>
        <w:spacing w:after="0" w:line="225"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The Selling Securityholders may enter into hedging transactions with broker-dealers or other financial institutions. In connection with such transactions, broker-dealers or other financial institutions may engage in short sales of the securities offered hereby or of securities convertible into or exchangeable for such securities in the course of hedging positions they assume with the Selling Securityholders. The Selling Securityholders may also enter into options or other transactions with broker-dealers or other financial institutions which require the delivery to such broker-dealers or other financial institutions of the securities offered by this prospectus, which securities such broker-dealer or other financial institution may resell pursuant to this prospectus (as amended or supplemented to reflect such transaction).</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213</w:t>
      </w:r>
    </w:p>
    <w:p>
      <w:pPr>
        <w:sectPr>
          <w:pgSz w:w="11900" w:h="16838" w:orient="portrait"/>
          <w:cols w:equalWidth="0" w:num="1">
            <w:col w:w="11120"/>
          </w:cols>
          <w:pgMar w:left="320" w:top="455" w:right="459" w:bottom="1440" w:gutter="0" w:footer="0" w:header="0"/>
        </w:sectPr>
      </w:pPr>
    </w:p>
    <w:bookmarkStart w:id="228" w:name="page229"/>
    <w:bookmarkEnd w:id="2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To the extent required, we will use our best efforts to file one or more supplements to this prospectus to describe any material information with respect to the plan of distribution not previously disclosed in this prospectus or any material change to such information.</w:t>
      </w:r>
    </w:p>
    <w:p>
      <w:pPr>
        <w:spacing w:after="0" w:line="162"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In compliance with the guidelines of the FINRA, the aggregate maximum discount, commission, fees or other items constituting underwriting compensation to be received by any FINRA member or independent broker-dealer will not exceed 8% of the gross proceeds of any offering pursuant to this prospectus and any applicable prospectus supplement.</w:t>
      </w:r>
    </w:p>
    <w:p>
      <w:pPr>
        <w:spacing w:after="0" w:line="176"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We have agreed to indemnify the Selling Securityholders against certain liabilities, including liabilities under the Securities Act. The Selling Securityholders have agreed to indemnify us in certain circumstances against certain liabilities, including certain liabilities under the Securities Act. The Selling Securityholders may indemnify any broker or underwriter that participates in transactions involving the sale of the securities against certain liabilities, including liabilities arising under the Securities Act.</w:t>
      </w:r>
    </w:p>
    <w:p>
      <w:pPr>
        <w:spacing w:after="0" w:line="180"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Certain parties are subject to lock-up restrictions pursuant to certain lock-up agreements that were entered into concurrently with the execution and delivery of the Business Combination Agreement. On September 27, 2021, Parent, the Company and the Parent Shareholders entered into the Parent Lock-Up Agreement, a form of which is included as an exhibit to the registration statement of which this prospectus forms a part. Pursuant to the Parent Lock-Up Agreement, each Parent Shareholder has, subject to certain exceptions, among other things, agreed not to transfer any equity security of the Company issued to them pursuant to the Business Combination Agreement or other transaction documents contemplated by the Business Combination Agreement during the period commencing the date of Closing and ending 180 days following the Closing Date, in each case subject to the terms and conditions set forth therein. On September 27, 2021, concurrently with the execution of the Business Combination Agreement, GGI, Parent, the Company, the GGI Initial Stockholders entered into the Sponsor and Supporting Sponsor Stockholder Lock-Up Agreement, pursuant to which each GGI Initial Stockholder, among other things, agreed to (i) vote their GGI Class F Common Stock in favor of the proposal to approve the Business Combination and any other proposals at the special meeting of the stockholders of GGI, and against any alternative business combination, (ii) waive all adjustments to the conversion ratio set forth in the Current GGI Certificate with respect to the GGI Class F Common Stock, (iii) be bound by certain transfer restrictions with respect to their GGI Common Stock, GGI Public Warrants and GGI Private Placement Warrants and (iv) not to transfer any Class A ADSs issued pursuant to the Business Combination Agreement in respect of shares of GGI Class F Common Stock during the period beginning on the date of Closing and ending 180 days following the Closing Date, in each case subject to the terms and conditions set forth therein. In addition, the GGI Sponsor agreed to the forfeiture of up to 1,501,651 shares of GGI Class F Common Stock, which was increased to 1,533,873 shares of GGI Class F Common Stock in connection with the Sponsor and Supporting Sponsor Stockholders Lock-Up Agreement Amendment No. 1, and further increased to 1,540,835 shares of GGI Class F Common Stock in connection with the Sponsor and Supporting Sponsor Stockholders Lock-Up Agreement Amendment No. 2.</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the European Economic Area</w:t>
      </w:r>
    </w:p>
    <w:p>
      <w:pPr>
        <w:spacing w:after="0" w:line="121" w:lineRule="exact"/>
        <w:rPr>
          <w:sz w:val="20"/>
          <w:szCs w:val="20"/>
          <w:color w:val="auto"/>
        </w:rPr>
      </w:pPr>
    </w:p>
    <w:p>
      <w:pPr>
        <w:jc w:val="both"/>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In relation to each Member State of the European Economic Area (each, a “Relevant State”), no securities of the Company have been offered or will be offered pursuant to the offering to the public in that Relevant State, except that offers of securities may be made to the public in that Relevant State at any time under the following exemptions under the Prospectus Regulation (Regulation (EU) 2017/1129):</w:t>
      </w:r>
    </w:p>
    <w:p>
      <w:pPr>
        <w:spacing w:after="0" w:line="81" w:lineRule="exact"/>
        <w:rPr>
          <w:sz w:val="20"/>
          <w:szCs w:val="20"/>
          <w:color w:val="auto"/>
        </w:rPr>
      </w:pPr>
    </w:p>
    <w:p>
      <w:pPr>
        <w:ind w:left="1080" w:hanging="424"/>
        <w:spacing w:after="0"/>
        <w:tabs>
          <w:tab w:leader="none" w:pos="108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legal entity which is a qualified investor as defined in the Prospectus Regulation;</w:t>
      </w:r>
    </w:p>
    <w:p>
      <w:pPr>
        <w:spacing w:after="0" w:line="130"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fewer than 150 natural or legal persons (other than qualified investors as defined in the Prospectus Regulation), subject to obtaining the prior consent of any underwriters for any such offer; or</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circumstances falling within Article 1(4) of the Prospectus Regulation,</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214</w:t>
      </w:r>
    </w:p>
    <w:p>
      <w:pPr>
        <w:sectPr>
          <w:pgSz w:w="11900" w:h="16838" w:orient="portrait"/>
          <w:cols w:equalWidth="0" w:num="1">
            <w:col w:w="11120"/>
          </w:cols>
          <w:pgMar w:left="320" w:top="455" w:right="459" w:bottom="1440" w:gutter="0" w:footer="0" w:header="0"/>
        </w:sectPr>
      </w:pPr>
    </w:p>
    <w:bookmarkStart w:id="229" w:name="page230"/>
    <w:bookmarkEnd w:id="2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provided that no such offer of securities shall require us or the representatives to publish a prospectus pursuant to Article 3 of the Prospectus Regulation or supplement a prospectus pursuant to Article 23 of the Prospectus Regulation.</w:t>
      </w:r>
    </w:p>
    <w:p>
      <w:pPr>
        <w:spacing w:after="0" w:line="162"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Each person in a Relevant State who initially acquires any security or to whom any offer is made will be deemed to have represented, acknowledged and agreed that it is a “qualified investor” within the meaning of Article 2(e) of the Prospectus Regulation. In the case of any securities being offered to a financial intermediary as that term is used in Article 5(1) of the Prospectus Regulation, each such financial intermediary will be deemed to have represented, acknowledged and agreed that the securities acquired by it in the offer have not been acquired on a non-discretionary basis on behalf of, nor have they been acquired with a view to their offer or resale to, persons in circumstances which may give rise to an offer of any securities to the public other than their offer or resale in a Relevant State to qualified investors as so defined or in circumstances in which the prior consent of the representatives has been obtained to each such proposed offer or resale.</w:t>
      </w:r>
    </w:p>
    <w:p>
      <w:pPr>
        <w:spacing w:after="0" w:line="189"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We, the representatives and each of our and the representatives’ affiliates will rely upon the truth and accuracy of the foregoing representations, acknowledgements and agreements.</w:t>
      </w:r>
    </w:p>
    <w:p>
      <w:pPr>
        <w:spacing w:after="0" w:line="162"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This prospectus has been prepared on the basis that any offer of securities in any Relevant State will be made pursuant to an exemption under the Prospectus Regulation from the requirement to publish a prospectus for offers of securities. Accordingly, any person making or intending to make an offer in that Relevant State of securities which are the subject of the offering contemplated in this prospectus may only do so in circumstances in which no obligation arises for the Company or any underwriters to publish a prospectus pursuant to Article 3 of the Prospectus Regulation in relation to such offer. Neither we nor any underwriters have authorized, nor do they authorize, the making of any offer of securities in circumstances in which an obligation arises for the Company or any underwriters to publish a prospectus for such offer.</w:t>
      </w:r>
    </w:p>
    <w:p>
      <w:pPr>
        <w:spacing w:after="0" w:line="187"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For the purpose of the above provisions, the expression “an offer to the public” in relation to any securities in any Relevant State means the communication in any form and by any means of sufficient information on the terms of the offer and the securities to be offered so as to enable investors to decide to purchase or subscribe for any securities.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MiFID II Product Governance</w:t>
      </w:r>
    </w:p>
    <w:p>
      <w:pPr>
        <w:spacing w:after="0" w:line="121" w:lineRule="exact"/>
        <w:rPr>
          <w:sz w:val="20"/>
          <w:szCs w:val="20"/>
          <w:color w:val="auto"/>
        </w:rPr>
      </w:pPr>
    </w:p>
    <w:p>
      <w:pPr>
        <w:ind w:left="120" w:right="100" w:firstLine="440"/>
        <w:spacing w:after="0" w:line="289" w:lineRule="auto"/>
        <w:rPr>
          <w:sz w:val="20"/>
          <w:szCs w:val="20"/>
          <w:color w:val="auto"/>
        </w:rPr>
      </w:pPr>
      <w:r>
        <w:rPr>
          <w:rFonts w:ascii="Times New Roman" w:cs="Times New Roman" w:eastAsia="Times New Roman" w:hAnsi="Times New Roman"/>
          <w:sz w:val="17"/>
          <w:szCs w:val="17"/>
          <w:color w:val="auto"/>
        </w:rPr>
        <w:t>Any person offering, selling or recommending the securities (a “distributor”) should take into consideration the manufacturers’ target market assessment; however, a distributor subject to MiFID II (Directive 2014/65/EU) is responsible for undertaking its own target market assessment in respect of the securities (by either adopting or refining the manufacturers’ target market assessment) and determining appropriate distribution channels.</w:t>
      </w:r>
    </w:p>
    <w:p>
      <w:pPr>
        <w:spacing w:after="0" w:line="2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the United Kingdom</w:t>
      </w:r>
    </w:p>
    <w:p>
      <w:pPr>
        <w:spacing w:after="0" w:line="121" w:lineRule="exact"/>
        <w:rPr>
          <w:sz w:val="20"/>
          <w:szCs w:val="20"/>
          <w:color w:val="auto"/>
        </w:rPr>
      </w:pPr>
    </w:p>
    <w:p>
      <w:pPr>
        <w:jc w:val="both"/>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No Class A Shares or Class C Shares or ADSs have been offered or will be offered, pursuant to any offering contemplated hereby, to the public in the United Kingdom prior to the publication of a prospectus in relation to such Class A Shares or Class C Shares or ADSs which has been approved by the Financial Conduct Authority, except that the Class A Shares or Class C Shares may be offered to the public in the United Kingdom at any time:</w:t>
      </w:r>
    </w:p>
    <w:p>
      <w:pPr>
        <w:spacing w:after="0" w:line="81" w:lineRule="exact"/>
        <w:rPr>
          <w:sz w:val="20"/>
          <w:szCs w:val="20"/>
          <w:color w:val="auto"/>
        </w:rPr>
      </w:pPr>
    </w:p>
    <w:p>
      <w:pPr>
        <w:ind w:left="1080" w:hanging="532"/>
        <w:spacing w:after="0"/>
        <w:tabs>
          <w:tab w:leader="none" w:pos="108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legal entity which is a qualified investor as defined under Article 2 of the UK Prospectus Regulation;</w:t>
      </w:r>
    </w:p>
    <w:p>
      <w:pPr>
        <w:spacing w:after="0" w:line="130" w:lineRule="exact"/>
        <w:rPr>
          <w:rFonts w:ascii="Times New Roman" w:cs="Times New Roman" w:eastAsia="Times New Roman" w:hAnsi="Times New Roman"/>
          <w:sz w:val="18"/>
          <w:szCs w:val="18"/>
          <w:color w:val="auto"/>
        </w:rPr>
      </w:pPr>
    </w:p>
    <w:p>
      <w:pPr>
        <w:ind w:left="1080" w:right="360" w:hanging="532"/>
        <w:spacing w:after="0" w:line="282" w:lineRule="auto"/>
        <w:tabs>
          <w:tab w:leader="none" w:pos="108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fewer than 150 natural or legal persons (other than qualified investors as defined under Article 2 of the UK Prospectus Regulation), subject to obtaining the prior consent of any underwriters for any such offer; or</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215</w:t>
      </w:r>
    </w:p>
    <w:p>
      <w:pPr>
        <w:sectPr>
          <w:pgSz w:w="11900" w:h="16838" w:orient="portrait"/>
          <w:cols w:equalWidth="0" w:num="1">
            <w:col w:w="11100"/>
          </w:cols>
          <w:pgMar w:left="320" w:top="455" w:right="479" w:bottom="1440" w:gutter="0" w:footer="0" w:header="0"/>
        </w:sectPr>
      </w:pPr>
    </w:p>
    <w:bookmarkStart w:id="230" w:name="page231"/>
    <w:bookmarkEnd w:id="2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right="60" w:hanging="532"/>
        <w:spacing w:after="0" w:line="266" w:lineRule="auto"/>
        <w:tabs>
          <w:tab w:leader="none" w:pos="108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circumstances falling within Section 86 of the FSMA, provided that no such offer of the Class A Shares or Class C Shares or ADSs shall require the Company or any underwriter to publish a prospectus pursuant to Section 85 of the FSMA or supplement a prospectus pursuant to Article 23 of the UK Prospectus Regulation.</w:t>
      </w:r>
    </w:p>
    <w:p>
      <w:pPr>
        <w:spacing w:after="0" w:line="176"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For the purposes of this provision, the expression an “offer to the public” in relation to the Class A Shares or Class C Shares and ADSs in the United Kingdom means the communication in any form and by any means of sufficient information on the terms of the offer and any Class A Shares or Class C Shares to be offered so as to enable an investor to decide to purchase or subscribe for any Class A Shares or Class C Shares or ADSs and the expression “UK Prospectus Regulation” means Regulation (EU) 2017/1129 as it forms part of domestic law by virtue of the European Union (Withdrawal) Act 2018.</w:t>
      </w:r>
    </w:p>
    <w:p>
      <w:pPr>
        <w:spacing w:after="0" w:line="116"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216</w:t>
      </w:r>
    </w:p>
    <w:p>
      <w:pPr>
        <w:sectPr>
          <w:pgSz w:w="11900" w:h="16838" w:orient="portrait"/>
          <w:cols w:equalWidth="0" w:num="1">
            <w:col w:w="11020"/>
          </w:cols>
          <w:pgMar w:left="320" w:top="455" w:right="559" w:bottom="1440" w:gutter="0" w:footer="0" w:header="0"/>
        </w:sectPr>
      </w:pPr>
    </w:p>
    <w:bookmarkStart w:id="231" w:name="page232"/>
    <w:bookmarkEnd w:id="2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8"/>
          <w:szCs w:val="18"/>
          <w:b w:val="1"/>
          <w:bCs w:val="1"/>
          <w:color w:val="auto"/>
        </w:rPr>
        <w:t>EXPENSES RELATED TO THE OFFERING</w:t>
      </w:r>
    </w:p>
    <w:p>
      <w:pPr>
        <w:spacing w:after="0" w:line="229" w:lineRule="exact"/>
        <w:rPr>
          <w:sz w:val="20"/>
          <w:szCs w:val="20"/>
          <w:color w:val="auto"/>
        </w:rPr>
      </w:pPr>
    </w:p>
    <w:p>
      <w:pPr>
        <w:ind w:left="120" w:right="640" w:firstLine="440"/>
        <w:spacing w:after="0" w:line="282" w:lineRule="auto"/>
        <w:rPr>
          <w:sz w:val="20"/>
          <w:szCs w:val="20"/>
          <w:color w:val="auto"/>
        </w:rPr>
      </w:pPr>
      <w:r>
        <w:rPr>
          <w:rFonts w:ascii="Times New Roman" w:cs="Times New Roman" w:eastAsia="Times New Roman" w:hAnsi="Times New Roman"/>
          <w:sz w:val="18"/>
          <w:szCs w:val="18"/>
          <w:color w:val="auto"/>
        </w:rPr>
        <w:t>We estimate the following expenses in connection with the offer and sale of our Class A ADSs and Class C-2 ADSs by the Selling Securityholders. With the exception of the SEC Registration Fee, all amounts are estimates.</w:t>
      </w:r>
    </w:p>
    <w:p>
      <w:pPr>
        <w:spacing w:after="0" w:line="207" w:lineRule="exact"/>
        <w:rPr>
          <w:sz w:val="20"/>
          <w:szCs w:val="20"/>
          <w:color w:val="auto"/>
        </w:rPr>
      </w:pPr>
    </w:p>
    <w:tbl>
      <w:tblPr>
        <w:tblLayout w:type="fixed"/>
        <w:tblInd w:w="1880" w:type="dxa"/>
        <w:tblCellMar>
          <w:top w:w="0" w:type="dxa"/>
          <w:left w:w="0" w:type="dxa"/>
          <w:bottom w:w="0" w:type="dxa"/>
          <w:right w:w="0" w:type="dxa"/>
        </w:tblCellMar>
      </w:tblPr>
      <w:tr>
        <w:trPr>
          <w:trHeight w:val="216"/>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 registration fee</w:t>
            </w:r>
          </w:p>
        </w:tc>
        <w:tc>
          <w:tcPr>
            <w:tcW w:w="96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98"/>
              </w:rPr>
              <w:t>$2,074,885</w:t>
            </w:r>
          </w:p>
        </w:tc>
      </w:tr>
      <w:tr>
        <w:trPr>
          <w:trHeight w:val="216"/>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FINRA filing fee</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Legal fees and expenses</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Accountants’ fees and expenses</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Printing expenses.</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60,000†</w:t>
            </w:r>
          </w:p>
        </w:tc>
      </w:tr>
      <w:tr>
        <w:trPr>
          <w:trHeight w:val="216"/>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Transfer agent fees and expenses</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Miscellaneous costs</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20" w:type="dxa"/>
            <w:vAlign w:val="bottom"/>
            <w:tcBorders>
              <w:top w:val="single" w:sz="8" w:color="auto"/>
            </w:tcBorders>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64" w:lineRule="exact"/>
        <w:rPr>
          <w:sz w:val="20"/>
          <w:szCs w:val="20"/>
          <w:color w:val="auto"/>
        </w:rPr>
      </w:pPr>
    </w:p>
    <w:p>
      <w:pPr>
        <w:ind w:left="340" w:hanging="224"/>
        <w:spacing w:after="0"/>
        <w:tabs>
          <w:tab w:leader="none" w:pos="34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fees are calculated based on the securities offered and the number of issuances and accordingly cannot be defined at this time.</w:t>
      </w:r>
    </w:p>
    <w:p>
      <w:pPr>
        <w:spacing w:after="0" w:line="130" w:lineRule="exact"/>
        <w:rPr>
          <w:rFonts w:ascii="Times New Roman" w:cs="Times New Roman" w:eastAsia="Times New Roman" w:hAnsi="Times New Roman"/>
          <w:sz w:val="18"/>
          <w:szCs w:val="18"/>
          <w:color w:val="auto"/>
        </w:rPr>
      </w:pPr>
    </w:p>
    <w:p>
      <w:pPr>
        <w:ind w:left="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Estimated solely for purposes of this section. Actual expenses may vary.</w:t>
      </w:r>
    </w:p>
    <w:p>
      <w:pPr>
        <w:spacing w:after="0" w:line="225"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We will bear all costs, expenses and fees in connection with the registration of the securities offered by this prospectus, whereas the Selling Securityholders will bear all incremental selling expenses, including commissions, brokerage fees and other similar selling expenses.</w:t>
      </w:r>
    </w:p>
    <w:p>
      <w:pPr>
        <w:spacing w:after="0" w:line="94"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217</w:t>
      </w:r>
    </w:p>
    <w:p>
      <w:pPr>
        <w:sectPr>
          <w:pgSz w:w="11900" w:h="16838" w:orient="portrait"/>
          <w:cols w:equalWidth="0" w:num="1">
            <w:col w:w="10580"/>
          </w:cols>
          <w:pgMar w:left="320" w:top="455" w:right="999" w:bottom="1440" w:gutter="0" w:footer="0" w:header="0"/>
        </w:sectPr>
      </w:pPr>
    </w:p>
    <w:bookmarkStart w:id="232" w:name="page233"/>
    <w:bookmarkEnd w:id="2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validity of Class A Shares and Class C Shares shall be passed on by Kirkland &amp; Ellis International LLP, as our counsel with respect to certain legal matters as to English law.</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218</w:t>
      </w:r>
    </w:p>
    <w:p>
      <w:pPr>
        <w:sectPr>
          <w:pgSz w:w="11900" w:h="16838" w:orient="portrait"/>
          <w:cols w:equalWidth="0" w:num="1">
            <w:col w:w="11060"/>
          </w:cols>
          <w:pgMar w:left="320" w:top="455" w:right="519" w:bottom="1440" w:gutter="0" w:footer="0" w:header="0"/>
        </w:sectPr>
      </w:pPr>
    </w:p>
    <w:bookmarkStart w:id="233" w:name="page234"/>
    <w:bookmarkEnd w:id="2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jc w:val="both"/>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The financial statements of Polestar Automotive Holding Limited as of December 31, 2021 and 2020, and for each of the three years in the period ended December 31, 2021, included in this prospectus have been audited by Deloitte AB, independent registered public accounting firm. Such financial statements are included in reliance upon the report of such firm given upon their authority as experts in accounting and auditing.</w:t>
      </w:r>
    </w:p>
    <w:p>
      <w:pPr>
        <w:spacing w:after="0" w:line="176"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financial statements of Polestar Automotive Holding UK PLC (formerly known as Polestar Automotive Holding UK Limited) as of September 15, 2021 and December 31, 2021 and for the period September 15, 2021 to December 31, 2021 included in this prospectus have been audited by Deloitte AB, independent registered public accounting firm. Such financial statements are included in reliance upon the report of such firm given upon their authority as experts in accounting and auditing.</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219</w:t>
      </w:r>
    </w:p>
    <w:p>
      <w:pPr>
        <w:sectPr>
          <w:pgSz w:w="11900" w:h="16838" w:orient="portrait"/>
          <w:cols w:equalWidth="0" w:num="1">
            <w:col w:w="11100"/>
          </w:cols>
          <w:pgMar w:left="320" w:top="455" w:right="479" w:bottom="1440" w:gutter="0" w:footer="0" w:header="0"/>
        </w:sectPr>
      </w:pPr>
    </w:p>
    <w:bookmarkStart w:id="234" w:name="page235"/>
    <w:bookmarkEnd w:id="2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WHERE YOU CAN FIND ADDITIONAL INFORMATION</w:t>
      </w:r>
    </w:p>
    <w:p>
      <w:pPr>
        <w:spacing w:after="0" w:line="22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We have filed with the SEC a registration statement (including amendments and exhibits to the registration statement) on Form F-1 under the Securities Act. For purposes of this section, the term registration statement means the original registration statement and any and all amendments including the schedules and exhibits to the original registration statement or any amendment. This prospectus, which is part of the registration statement, does not contain all of the information set forth in the registration statement and the exhibits and schedules to the registration statement. For further information, we refer you to the registration statement and the exhibits and schedules filed as part of the registration statement. If a document has been filed as an exhibit to the registration statement, we refer you to the copy of the document that has been filed. Each statement in this prospectus relating to a document filed as an exhibit is qualified in all respects by the filed exhibit.</w:t>
      </w:r>
    </w:p>
    <w:p>
      <w:pPr>
        <w:spacing w:after="0" w:line="189" w:lineRule="exact"/>
        <w:rPr>
          <w:sz w:val="20"/>
          <w:szCs w:val="20"/>
          <w:color w:val="auto"/>
        </w:rPr>
      </w:pPr>
    </w:p>
    <w:p>
      <w:pPr>
        <w:ind w:left="120" w:right="100" w:firstLine="440"/>
        <w:spacing w:after="0" w:line="254" w:lineRule="auto"/>
        <w:rPr>
          <w:sz w:val="20"/>
          <w:szCs w:val="20"/>
          <w:color w:val="auto"/>
        </w:rPr>
      </w:pPr>
      <w:r>
        <w:rPr>
          <w:rFonts w:ascii="Times New Roman" w:cs="Times New Roman" w:eastAsia="Times New Roman" w:hAnsi="Times New Roman"/>
          <w:sz w:val="18"/>
          <w:szCs w:val="18"/>
          <w:color w:val="auto"/>
        </w:rPr>
        <w:t>We are subject to certain of the informational filing requirements of the Exchange Act. As a foreign private issuer, we are not subject to all of the disclosure requirements applicable to public companies organized within the United States. For example, we are exempt from certain rules under the Exchange Act that regulate disclosure obligations and procedural requirements related to the solicitation of proxies, consents or authorizations applicable to a security registered under the Exchange Act, including the U.S. proxy rules under Section 14 of the Exchange Act. In addition, our officers and directors are exempt from the reporting and “short-swing” profit recovery provisions of Section 16 of the Exchange Act and related rules with respect to their purchases and sales of our securities. Moreover, while we expect to submit interim consolidated financial data to the SEC under cover of the SEC’s Form 6-K, we are not be required to file periodic reports and financial statements with the SEC as frequently or as promptly as U.S. public companies and are not be required to file quarterly reports on Form 10-Q or current reports on Form 8-K under the Exchange Act. The SEC maintains a website at http://www.sec.gov that contains reports and other information that we file with or furnish electronically with the SEC.</w:t>
      </w:r>
    </w:p>
    <w:p>
      <w:pPr>
        <w:spacing w:after="0" w:line="188"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The mailing address of Polestar’s principal executive office is Assar Gabrielssons Väg 9, 405 31 Göteborg, Sweden and its telephone number is +1 (949) 735-1834. Polestar’s agent for U.S. federal securities law purposes is Polestar Automotive USA Inc., 777 MacArthur Blvd, Mahwah, NJ 07430. Polestar also maintains a website at https://www.polestar.com/us/. In this prospectus, the website addresses of the SEC and Polestar are provided solely for information and are not intended to be active links. Polestar is not incorporating the contents of the websites of the SEC and Polestar or any other entity into this prospectus.</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220</w:t>
      </w:r>
    </w:p>
    <w:p>
      <w:pPr>
        <w:sectPr>
          <w:pgSz w:w="11900" w:h="16838" w:orient="portrait"/>
          <w:cols w:equalWidth="0" w:num="1">
            <w:col w:w="11100"/>
          </w:cols>
          <w:pgMar w:left="320" w:top="455" w:right="479" w:bottom="1440" w:gutter="0" w:footer="0" w:header="0"/>
        </w:sectPr>
      </w:pPr>
    </w:p>
    <w:bookmarkStart w:id="235" w:name="page236"/>
    <w:bookmarkEnd w:id="235"/>
    <w:tbl>
      <w:tblPr>
        <w:tblLayout w:type="fixed"/>
        <w:tblInd w:w="0" w:type="dxa"/>
        <w:tblCellMar>
          <w:top w:w="0" w:type="dxa"/>
          <w:left w:w="0" w:type="dxa"/>
          <w:bottom w:w="0" w:type="dxa"/>
          <w:right w:w="0" w:type="dxa"/>
        </w:tblCellMar>
      </w:tblPr>
      <w:tr>
        <w:trPr>
          <w:trHeight w:val="207"/>
        </w:trPr>
        <w:tc>
          <w:tcPr>
            <w:tcW w:w="9340" w:type="dxa"/>
            <w:vAlign w:val="bottom"/>
            <w:gridSpan w:val="13"/>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1740" w:type="dxa"/>
            <w:vAlign w:val="bottom"/>
          </w:tcPr>
          <w:p>
            <w:pPr>
              <w:spacing w:after="0"/>
              <w:rPr>
                <w:sz w:val="17"/>
                <w:szCs w:val="17"/>
                <w:color w:val="auto"/>
              </w:rPr>
            </w:pPr>
          </w:p>
        </w:tc>
      </w:tr>
      <w:tr>
        <w:trPr>
          <w:trHeight w:val="534"/>
        </w:trPr>
        <w:tc>
          <w:tcPr>
            <w:tcW w:w="120" w:type="dxa"/>
            <w:vAlign w:val="bottom"/>
            <w:tcBorders>
              <w:top w:val="single" w:sz="8" w:color="0000EE"/>
            </w:tcBorders>
          </w:tcPr>
          <w:p>
            <w:pPr>
              <w:spacing w:after="0"/>
              <w:rPr>
                <w:sz w:val="24"/>
                <w:szCs w:val="24"/>
                <w:color w:val="auto"/>
              </w:rPr>
            </w:pPr>
          </w:p>
        </w:tc>
        <w:tc>
          <w:tcPr>
            <w:tcW w:w="1240" w:type="dxa"/>
            <w:vAlign w:val="bottom"/>
            <w:tcBorders>
              <w:top w:val="single" w:sz="8" w:color="0000EE"/>
            </w:tcBorders>
          </w:tcPr>
          <w:p>
            <w:pPr>
              <w:spacing w:after="0"/>
              <w:rPr>
                <w:sz w:val="24"/>
                <w:szCs w:val="24"/>
                <w:color w:val="auto"/>
              </w:rPr>
            </w:pPr>
          </w:p>
        </w:tc>
        <w:tc>
          <w:tcPr>
            <w:tcW w:w="19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520" w:type="dxa"/>
            <w:vAlign w:val="bottom"/>
            <w:gridSpan w:val="9"/>
          </w:tcPr>
          <w:p>
            <w:pPr>
              <w:jc w:val="center"/>
              <w:ind w:right="1920"/>
              <w:spacing w:after="0"/>
              <w:rPr>
                <w:sz w:val="20"/>
                <w:szCs w:val="20"/>
                <w:color w:val="auto"/>
              </w:rPr>
            </w:pPr>
            <w:r>
              <w:rPr>
                <w:rFonts w:ascii="Times New Roman" w:cs="Times New Roman" w:eastAsia="Times New Roman" w:hAnsi="Times New Roman"/>
                <w:sz w:val="18"/>
                <w:szCs w:val="18"/>
                <w:b w:val="1"/>
                <w:bCs w:val="1"/>
                <w:color w:val="auto"/>
                <w:w w:val="99"/>
              </w:rPr>
              <w:t>INDEX TO FINANCIAL STATEMENTS</w:t>
            </w:r>
          </w:p>
        </w:tc>
        <w:tc>
          <w:tcPr>
            <w:tcW w:w="1740" w:type="dxa"/>
            <w:vAlign w:val="bottom"/>
          </w:tcPr>
          <w:p>
            <w:pPr>
              <w:spacing w:after="0"/>
              <w:rPr>
                <w:sz w:val="24"/>
                <w:szCs w:val="24"/>
                <w:color w:val="auto"/>
              </w:rPr>
            </w:pPr>
          </w:p>
        </w:tc>
      </w:tr>
      <w:tr>
        <w:trPr>
          <w:trHeight w:val="418"/>
        </w:trPr>
        <w:tc>
          <w:tcPr>
            <w:tcW w:w="120" w:type="dxa"/>
            <w:vAlign w:val="bottom"/>
          </w:tcPr>
          <w:p>
            <w:pPr>
              <w:spacing w:after="0"/>
              <w:rPr>
                <w:sz w:val="24"/>
                <w:szCs w:val="24"/>
                <w:color w:val="auto"/>
              </w:rPr>
            </w:pPr>
          </w:p>
        </w:tc>
        <w:tc>
          <w:tcPr>
            <w:tcW w:w="9220" w:type="dxa"/>
            <w:vAlign w:val="bottom"/>
            <w:gridSpan w:val="12"/>
          </w:tcPr>
          <w:p>
            <w:pPr>
              <w:spacing w:after="0"/>
              <w:rPr>
                <w:sz w:val="20"/>
                <w:szCs w:val="20"/>
                <w:color w:val="auto"/>
              </w:rPr>
            </w:pPr>
            <w:r>
              <w:rPr>
                <w:rFonts w:ascii="Times New Roman" w:cs="Times New Roman" w:eastAsia="Times New Roman" w:hAnsi="Times New Roman"/>
                <w:sz w:val="18"/>
                <w:szCs w:val="18"/>
                <w:b w:val="1"/>
                <w:bCs w:val="1"/>
                <w:color w:val="auto"/>
              </w:rPr>
              <w:t>Polestar Automotive Holding Limited</w:t>
            </w:r>
          </w:p>
        </w:tc>
        <w:tc>
          <w:tcPr>
            <w:tcW w:w="1740" w:type="dxa"/>
            <w:vAlign w:val="bottom"/>
          </w:tcPr>
          <w:p>
            <w:pPr>
              <w:spacing w:after="0"/>
              <w:rPr>
                <w:sz w:val="24"/>
                <w:szCs w:val="24"/>
                <w:color w:val="auto"/>
              </w:rPr>
            </w:pPr>
          </w:p>
        </w:tc>
      </w:tr>
      <w:tr>
        <w:trPr>
          <w:trHeight w:val="324"/>
        </w:trPr>
        <w:tc>
          <w:tcPr>
            <w:tcW w:w="120" w:type="dxa"/>
            <w:vAlign w:val="bottom"/>
          </w:tcPr>
          <w:p>
            <w:pPr>
              <w:spacing w:after="0"/>
              <w:rPr>
                <w:sz w:val="24"/>
                <w:szCs w:val="24"/>
                <w:color w:val="auto"/>
              </w:rPr>
            </w:pPr>
          </w:p>
        </w:tc>
        <w:tc>
          <w:tcPr>
            <w:tcW w:w="9220" w:type="dxa"/>
            <w:vAlign w:val="bottom"/>
            <w:gridSpan w:val="12"/>
          </w:tcPr>
          <w:p>
            <w:pPr>
              <w:spacing w:after="0"/>
              <w:rPr>
                <w:sz w:val="20"/>
                <w:szCs w:val="20"/>
                <w:color w:val="auto"/>
              </w:rPr>
            </w:pPr>
            <w:r>
              <w:rPr>
                <w:rFonts w:ascii="Times New Roman" w:cs="Times New Roman" w:eastAsia="Times New Roman" w:hAnsi="Times New Roman"/>
                <w:sz w:val="18"/>
                <w:szCs w:val="18"/>
                <w:b w:val="1"/>
                <w:bCs w:val="1"/>
                <w:i w:val="1"/>
                <w:iCs w:val="1"/>
                <w:color w:val="auto"/>
              </w:rPr>
              <w:t>Consolidated Financial Statements—For the years ended December 31, 2021, 2020 and 2019</w:t>
            </w:r>
          </w:p>
        </w:tc>
        <w:tc>
          <w:tcPr>
            <w:tcW w:w="1740" w:type="dxa"/>
            <w:vAlign w:val="bottom"/>
          </w:tcPr>
          <w:p>
            <w:pPr>
              <w:spacing w:after="0"/>
              <w:rPr>
                <w:sz w:val="24"/>
                <w:szCs w:val="24"/>
                <w:color w:val="auto"/>
              </w:rPr>
            </w:pPr>
          </w:p>
        </w:tc>
      </w:tr>
      <w:tr>
        <w:trPr>
          <w:trHeight w:val="297"/>
        </w:trPr>
        <w:tc>
          <w:tcPr>
            <w:tcW w:w="120" w:type="dxa"/>
            <w:vAlign w:val="bottom"/>
          </w:tcPr>
          <w:p>
            <w:pPr>
              <w:spacing w:after="0"/>
              <w:rPr>
                <w:sz w:val="24"/>
                <w:szCs w:val="24"/>
                <w:color w:val="auto"/>
              </w:rPr>
            </w:pPr>
          </w:p>
        </w:tc>
        <w:tc>
          <w:tcPr>
            <w:tcW w:w="422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9"/>
              </w:rPr>
              <w:t>Report of Independent Registered Public Accounting Firm</w:t>
            </w:r>
          </w:p>
        </w:tc>
        <w:tc>
          <w:tcPr>
            <w:tcW w:w="5000" w:type="dxa"/>
            <w:vAlign w:val="bottom"/>
            <w:gridSpan w:val="8"/>
          </w:tcPr>
          <w:p>
            <w:pPr>
              <w:spacing w:after="0"/>
              <w:rPr>
                <w:sz w:val="24"/>
                <w:szCs w:val="24"/>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F-4</w:t>
            </w:r>
          </w:p>
        </w:tc>
      </w:tr>
      <w:tr>
        <w:trPr>
          <w:trHeight w:val="196"/>
        </w:trPr>
        <w:tc>
          <w:tcPr>
            <w:tcW w:w="120" w:type="dxa"/>
            <w:vAlign w:val="bottom"/>
          </w:tcPr>
          <w:p>
            <w:pPr>
              <w:spacing w:after="0"/>
              <w:rPr>
                <w:sz w:val="17"/>
                <w:szCs w:val="17"/>
                <w:color w:val="auto"/>
              </w:rPr>
            </w:pPr>
          </w:p>
        </w:tc>
        <w:tc>
          <w:tcPr>
            <w:tcW w:w="650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Consolidated Statements of Loss for the Years Ended December 31, 2021, 2020 and 2019</w:t>
            </w:r>
          </w:p>
        </w:tc>
        <w:tc>
          <w:tcPr>
            <w:tcW w:w="2720" w:type="dxa"/>
            <w:vAlign w:val="bottom"/>
            <w:gridSpan w:val="6"/>
          </w:tcPr>
          <w:p>
            <w:pPr>
              <w:spacing w:after="0"/>
              <w:rPr>
                <w:sz w:val="17"/>
                <w:szCs w:val="17"/>
                <w:color w:val="auto"/>
              </w:rPr>
            </w:pPr>
          </w:p>
        </w:tc>
        <w:tc>
          <w:tcPr>
            <w:tcW w:w="17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F-6</w:t>
            </w:r>
          </w:p>
        </w:tc>
      </w:tr>
      <w:tr>
        <w:trPr>
          <w:trHeight w:val="196"/>
        </w:trPr>
        <w:tc>
          <w:tcPr>
            <w:tcW w:w="120" w:type="dxa"/>
            <w:vAlign w:val="bottom"/>
          </w:tcPr>
          <w:p>
            <w:pPr>
              <w:spacing w:after="0"/>
              <w:rPr>
                <w:sz w:val="17"/>
                <w:szCs w:val="17"/>
                <w:color w:val="auto"/>
              </w:rPr>
            </w:pPr>
          </w:p>
        </w:tc>
        <w:tc>
          <w:tcPr>
            <w:tcW w:w="922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EE"/>
              </w:rPr>
              <w:t>Consolidated Statements of Comprehensive Loss for the Years Ended December 31, 2021, 2020 and 2019</w:t>
            </w:r>
          </w:p>
        </w:tc>
        <w:tc>
          <w:tcPr>
            <w:tcW w:w="17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F-7</w:t>
            </w:r>
          </w:p>
        </w:tc>
      </w:tr>
      <w:tr>
        <w:trPr>
          <w:trHeight w:val="196"/>
        </w:trPr>
        <w:tc>
          <w:tcPr>
            <w:tcW w:w="120" w:type="dxa"/>
            <w:vAlign w:val="bottom"/>
          </w:tcPr>
          <w:p>
            <w:pPr>
              <w:spacing w:after="0"/>
              <w:rPr>
                <w:sz w:val="17"/>
                <w:szCs w:val="17"/>
                <w:color w:val="auto"/>
              </w:rPr>
            </w:pPr>
          </w:p>
        </w:tc>
        <w:tc>
          <w:tcPr>
            <w:tcW w:w="7620" w:type="dxa"/>
            <w:vAlign w:val="bottom"/>
            <w:tcBorders>
              <w:top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Consolidated Statements of Financial Position as of December 31, 2021 and 2020</w:t>
            </w:r>
          </w:p>
        </w:tc>
        <w:tc>
          <w:tcPr>
            <w:tcW w:w="1600" w:type="dxa"/>
            <w:vAlign w:val="bottom"/>
          </w:tcPr>
          <w:p>
            <w:pPr>
              <w:spacing w:after="0"/>
              <w:rPr>
                <w:sz w:val="17"/>
                <w:szCs w:val="17"/>
                <w:color w:val="auto"/>
              </w:rPr>
            </w:pPr>
          </w:p>
        </w:tc>
        <w:tc>
          <w:tcPr>
            <w:tcW w:w="17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F-8</w:t>
            </w:r>
          </w:p>
        </w:tc>
      </w:tr>
      <w:tr>
        <w:trPr>
          <w:trHeight w:val="20"/>
        </w:trPr>
        <w:tc>
          <w:tcPr>
            <w:tcW w:w="120" w:type="dxa"/>
            <w:vAlign w:val="bottom"/>
          </w:tcPr>
          <w:p>
            <w:pPr>
              <w:spacing w:after="0" w:line="20" w:lineRule="exact"/>
              <w:rPr>
                <w:sz w:val="1"/>
                <w:szCs w:val="1"/>
                <w:color w:val="auto"/>
              </w:rPr>
            </w:pPr>
          </w:p>
        </w:tc>
        <w:tc>
          <w:tcPr>
            <w:tcW w:w="314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220" w:type="dxa"/>
            <w:vAlign w:val="bottom"/>
            <w:gridSpan w:val="2"/>
            <w:shd w:val="clear" w:color="auto" w:fill="0000EE"/>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700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Consolidated Statements of Cash Flows for the Years Ended December 31, 2021, 2020 and 2019</w:t>
            </w:r>
          </w:p>
        </w:tc>
        <w:tc>
          <w:tcPr>
            <w:tcW w:w="2220" w:type="dxa"/>
            <w:vAlign w:val="bottom"/>
            <w:gridSpan w:val="4"/>
          </w:tcPr>
          <w:p>
            <w:pPr>
              <w:spacing w:after="0"/>
              <w:rPr>
                <w:sz w:val="17"/>
                <w:szCs w:val="17"/>
                <w:color w:val="auto"/>
              </w:rPr>
            </w:pPr>
          </w:p>
        </w:tc>
        <w:tc>
          <w:tcPr>
            <w:tcW w:w="17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F-9</w:t>
            </w:r>
          </w:p>
        </w:tc>
      </w:tr>
      <w:tr>
        <w:trPr>
          <w:trHeight w:val="196"/>
        </w:trPr>
        <w:tc>
          <w:tcPr>
            <w:tcW w:w="120" w:type="dxa"/>
            <w:vAlign w:val="bottom"/>
          </w:tcPr>
          <w:p>
            <w:pPr>
              <w:spacing w:after="0"/>
              <w:rPr>
                <w:sz w:val="17"/>
                <w:szCs w:val="17"/>
                <w:color w:val="auto"/>
              </w:rPr>
            </w:pPr>
          </w:p>
        </w:tc>
        <w:tc>
          <w:tcPr>
            <w:tcW w:w="922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EE"/>
              </w:rPr>
              <w:t>Consolidated Statement of Changes in Equity for the Years Ended December 31, 2021, 2020 and 2019</w:t>
            </w:r>
          </w:p>
        </w:tc>
        <w:tc>
          <w:tcPr>
            <w:tcW w:w="17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F-10</w:t>
            </w:r>
          </w:p>
        </w:tc>
      </w:tr>
      <w:tr>
        <w:trPr>
          <w:trHeight w:val="196"/>
        </w:trPr>
        <w:tc>
          <w:tcPr>
            <w:tcW w:w="120" w:type="dxa"/>
            <w:vAlign w:val="bottom"/>
          </w:tcPr>
          <w:p>
            <w:pPr>
              <w:spacing w:after="0"/>
              <w:rPr>
                <w:sz w:val="17"/>
                <w:szCs w:val="17"/>
                <w:color w:val="auto"/>
              </w:rPr>
            </w:pPr>
          </w:p>
        </w:tc>
        <w:tc>
          <w:tcPr>
            <w:tcW w:w="7360" w:type="dxa"/>
            <w:vAlign w:val="bottom"/>
            <w:tcBorders>
              <w:top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Notes to Consolidated Financial Statements</w:t>
            </w:r>
          </w:p>
        </w:tc>
        <w:tc>
          <w:tcPr>
            <w:tcW w:w="1860" w:type="dxa"/>
            <w:vAlign w:val="bottom"/>
            <w:gridSpan w:val="3"/>
          </w:tcPr>
          <w:p>
            <w:pPr>
              <w:spacing w:after="0"/>
              <w:rPr>
                <w:sz w:val="17"/>
                <w:szCs w:val="17"/>
                <w:color w:val="auto"/>
              </w:rPr>
            </w:pPr>
          </w:p>
        </w:tc>
        <w:tc>
          <w:tcPr>
            <w:tcW w:w="17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F-11</w:t>
            </w:r>
          </w:p>
        </w:tc>
      </w:tr>
      <w:tr>
        <w:trPr>
          <w:trHeight w:val="20"/>
        </w:trPr>
        <w:tc>
          <w:tcPr>
            <w:tcW w:w="120" w:type="dxa"/>
            <w:vAlign w:val="bottom"/>
          </w:tcPr>
          <w:p>
            <w:pPr>
              <w:spacing w:after="0" w:line="20" w:lineRule="exact"/>
              <w:rPr>
                <w:sz w:val="1"/>
                <w:szCs w:val="1"/>
                <w:color w:val="auto"/>
              </w:rPr>
            </w:pPr>
          </w:p>
        </w:tc>
        <w:tc>
          <w:tcPr>
            <w:tcW w:w="3140" w:type="dxa"/>
            <w:vAlign w:val="bottom"/>
            <w:gridSpan w:val="2"/>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40" w:type="dxa"/>
            <w:vAlign w:val="bottom"/>
            <w:gridSpan w:val="4"/>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561"/>
        </w:trPr>
        <w:tc>
          <w:tcPr>
            <w:tcW w:w="120" w:type="dxa"/>
            <w:vAlign w:val="bottom"/>
          </w:tcPr>
          <w:p>
            <w:pPr>
              <w:spacing w:after="0"/>
              <w:rPr>
                <w:sz w:val="24"/>
                <w:szCs w:val="24"/>
                <w:color w:val="auto"/>
              </w:rPr>
            </w:pPr>
          </w:p>
        </w:tc>
        <w:tc>
          <w:tcPr>
            <w:tcW w:w="9220" w:type="dxa"/>
            <w:vAlign w:val="bottom"/>
            <w:gridSpan w:val="12"/>
          </w:tcPr>
          <w:p>
            <w:pPr>
              <w:spacing w:after="0"/>
              <w:rPr>
                <w:sz w:val="20"/>
                <w:szCs w:val="20"/>
                <w:color w:val="auto"/>
              </w:rPr>
            </w:pPr>
            <w:r>
              <w:rPr>
                <w:rFonts w:ascii="Times New Roman" w:cs="Times New Roman" w:eastAsia="Times New Roman" w:hAnsi="Times New Roman"/>
                <w:sz w:val="18"/>
                <w:szCs w:val="18"/>
                <w:b w:val="1"/>
                <w:bCs w:val="1"/>
                <w:color w:val="auto"/>
              </w:rPr>
              <w:t>Polestar Automotive Holding UK PLC (formerly known as Polestar Automotive Holding UK Limited)</w:t>
            </w:r>
          </w:p>
        </w:tc>
        <w:tc>
          <w:tcPr>
            <w:tcW w:w="1740" w:type="dxa"/>
            <w:vAlign w:val="bottom"/>
          </w:tcPr>
          <w:p>
            <w:pPr>
              <w:spacing w:after="0"/>
              <w:rPr>
                <w:sz w:val="24"/>
                <w:szCs w:val="24"/>
                <w:color w:val="auto"/>
              </w:rPr>
            </w:pPr>
          </w:p>
        </w:tc>
      </w:tr>
      <w:tr>
        <w:trPr>
          <w:trHeight w:val="324"/>
        </w:trPr>
        <w:tc>
          <w:tcPr>
            <w:tcW w:w="120" w:type="dxa"/>
            <w:vAlign w:val="bottom"/>
          </w:tcPr>
          <w:p>
            <w:pPr>
              <w:spacing w:after="0"/>
              <w:rPr>
                <w:sz w:val="24"/>
                <w:szCs w:val="24"/>
                <w:color w:val="auto"/>
              </w:rPr>
            </w:pPr>
          </w:p>
        </w:tc>
        <w:tc>
          <w:tcPr>
            <w:tcW w:w="9220" w:type="dxa"/>
            <w:vAlign w:val="bottom"/>
            <w:gridSpan w:val="12"/>
          </w:tcPr>
          <w:p>
            <w:pPr>
              <w:spacing w:after="0"/>
              <w:rPr>
                <w:sz w:val="20"/>
                <w:szCs w:val="20"/>
                <w:color w:val="auto"/>
              </w:rPr>
            </w:pPr>
            <w:r>
              <w:rPr>
                <w:rFonts w:ascii="Times New Roman" w:cs="Times New Roman" w:eastAsia="Times New Roman" w:hAnsi="Times New Roman"/>
                <w:sz w:val="18"/>
                <w:szCs w:val="18"/>
                <w:b w:val="1"/>
                <w:bCs w:val="1"/>
                <w:i w:val="1"/>
                <w:iCs w:val="1"/>
                <w:color w:val="auto"/>
              </w:rPr>
              <w:t>Consolidated Financial Statements—For the period September 15, 2021 to December 31, 2021</w:t>
            </w:r>
          </w:p>
        </w:tc>
        <w:tc>
          <w:tcPr>
            <w:tcW w:w="1740" w:type="dxa"/>
            <w:vAlign w:val="bottom"/>
          </w:tcPr>
          <w:p>
            <w:pPr>
              <w:spacing w:after="0"/>
              <w:rPr>
                <w:sz w:val="24"/>
                <w:szCs w:val="24"/>
                <w:color w:val="auto"/>
              </w:rPr>
            </w:pPr>
          </w:p>
        </w:tc>
      </w:tr>
      <w:tr>
        <w:trPr>
          <w:trHeight w:val="297"/>
        </w:trPr>
        <w:tc>
          <w:tcPr>
            <w:tcW w:w="120" w:type="dxa"/>
            <w:vAlign w:val="bottom"/>
          </w:tcPr>
          <w:p>
            <w:pPr>
              <w:spacing w:after="0"/>
              <w:rPr>
                <w:sz w:val="24"/>
                <w:szCs w:val="24"/>
                <w:color w:val="auto"/>
              </w:rPr>
            </w:pPr>
          </w:p>
        </w:tc>
        <w:tc>
          <w:tcPr>
            <w:tcW w:w="9220" w:type="dxa"/>
            <w:vAlign w:val="bottom"/>
            <w:gridSpan w:val="12"/>
          </w:tcPr>
          <w:p>
            <w:pPr>
              <w:spacing w:after="0"/>
              <w:rPr>
                <w:sz w:val="20"/>
                <w:szCs w:val="20"/>
                <w:color w:val="auto"/>
              </w:rPr>
            </w:pPr>
            <w:r>
              <w:rPr>
                <w:rFonts w:ascii="Times New Roman" w:cs="Times New Roman" w:eastAsia="Times New Roman" w:hAnsi="Times New Roman"/>
                <w:sz w:val="18"/>
                <w:szCs w:val="18"/>
                <w:color w:val="0000EE"/>
              </w:rPr>
              <w:t>Report of Independent Registered Accounting Firm</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F-62</w:t>
            </w:r>
          </w:p>
        </w:tc>
      </w:tr>
      <w:tr>
        <w:trPr>
          <w:trHeight w:val="20"/>
        </w:trPr>
        <w:tc>
          <w:tcPr>
            <w:tcW w:w="120" w:type="dxa"/>
            <w:vAlign w:val="bottom"/>
          </w:tcPr>
          <w:p>
            <w:pPr>
              <w:spacing w:after="0" w:line="20" w:lineRule="exact"/>
              <w:rPr>
                <w:sz w:val="1"/>
                <w:szCs w:val="1"/>
                <w:color w:val="auto"/>
              </w:rPr>
            </w:pPr>
          </w:p>
        </w:tc>
        <w:tc>
          <w:tcPr>
            <w:tcW w:w="314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240" w:type="dxa"/>
            <w:vAlign w:val="bottom"/>
            <w:gridSpan w:val="4"/>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922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EE"/>
              </w:rPr>
              <w:t>Consolidated Statement of Financial Position as of September 15, 2021 and December 31, 2021</w:t>
            </w:r>
          </w:p>
        </w:tc>
        <w:tc>
          <w:tcPr>
            <w:tcW w:w="17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F-63</w:t>
            </w:r>
          </w:p>
        </w:tc>
      </w:tr>
      <w:tr>
        <w:trPr>
          <w:trHeight w:val="20"/>
        </w:trPr>
        <w:tc>
          <w:tcPr>
            <w:tcW w:w="120" w:type="dxa"/>
            <w:vAlign w:val="bottom"/>
          </w:tcPr>
          <w:p>
            <w:pPr>
              <w:spacing w:after="0" w:line="20" w:lineRule="exact"/>
              <w:rPr>
                <w:sz w:val="1"/>
                <w:szCs w:val="1"/>
                <w:color w:val="auto"/>
              </w:rPr>
            </w:pPr>
          </w:p>
        </w:tc>
        <w:tc>
          <w:tcPr>
            <w:tcW w:w="3140" w:type="dxa"/>
            <w:vAlign w:val="bottom"/>
            <w:gridSpan w:val="2"/>
            <w:shd w:val="clear" w:color="auto" w:fill="0000EE"/>
          </w:tcPr>
          <w:p>
            <w:pPr>
              <w:spacing w:after="0" w:line="20" w:lineRule="exact"/>
              <w:rPr>
                <w:sz w:val="1"/>
                <w:szCs w:val="1"/>
                <w:color w:val="auto"/>
              </w:rPr>
            </w:pPr>
          </w:p>
        </w:tc>
        <w:tc>
          <w:tcPr>
            <w:tcW w:w="3800" w:type="dxa"/>
            <w:vAlign w:val="bottom"/>
            <w:gridSpan w:val="5"/>
            <w:shd w:val="clear" w:color="auto" w:fill="0000EE"/>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7440" w:type="dxa"/>
            <w:vAlign w:val="bottom"/>
            <w:tcBorders>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9"/>
              </w:rPr>
              <w:t>Consolidated Statement of Changes in Equity for the period September 15, 2021 to December 31, 2021</w:t>
            </w:r>
          </w:p>
        </w:tc>
        <w:tc>
          <w:tcPr>
            <w:tcW w:w="1780" w:type="dxa"/>
            <w:vAlign w:val="bottom"/>
            <w:gridSpan w:val="2"/>
          </w:tcPr>
          <w:p>
            <w:pPr>
              <w:spacing w:after="0"/>
              <w:rPr>
                <w:sz w:val="17"/>
                <w:szCs w:val="17"/>
                <w:color w:val="auto"/>
              </w:rPr>
            </w:pPr>
          </w:p>
        </w:tc>
        <w:tc>
          <w:tcPr>
            <w:tcW w:w="17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F-64</w:t>
            </w:r>
          </w:p>
        </w:tc>
      </w:tr>
      <w:tr>
        <w:trPr>
          <w:trHeight w:val="196"/>
        </w:trPr>
        <w:tc>
          <w:tcPr>
            <w:tcW w:w="120" w:type="dxa"/>
            <w:vAlign w:val="bottom"/>
          </w:tcPr>
          <w:p>
            <w:pPr>
              <w:spacing w:after="0"/>
              <w:rPr>
                <w:sz w:val="17"/>
                <w:szCs w:val="17"/>
                <w:color w:val="auto"/>
              </w:rPr>
            </w:pPr>
          </w:p>
        </w:tc>
        <w:tc>
          <w:tcPr>
            <w:tcW w:w="922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EE"/>
              </w:rPr>
              <w:t>Notes to Consolidated Financial Statements</w:t>
            </w:r>
          </w:p>
        </w:tc>
        <w:tc>
          <w:tcPr>
            <w:tcW w:w="17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F-65</w:t>
            </w:r>
          </w:p>
        </w:tc>
      </w:tr>
      <w:tr>
        <w:trPr>
          <w:trHeight w:val="385"/>
        </w:trPr>
        <w:tc>
          <w:tcPr>
            <w:tcW w:w="120" w:type="dxa"/>
            <w:vAlign w:val="bottom"/>
          </w:tcPr>
          <w:p>
            <w:pPr>
              <w:spacing w:after="0"/>
              <w:rPr>
                <w:sz w:val="24"/>
                <w:szCs w:val="24"/>
                <w:color w:val="auto"/>
              </w:rPr>
            </w:pPr>
          </w:p>
        </w:tc>
        <w:tc>
          <w:tcPr>
            <w:tcW w:w="1240" w:type="dxa"/>
            <w:vAlign w:val="bottom"/>
            <w:tcBorders>
              <w:top w:val="single" w:sz="8" w:color="0000EE"/>
            </w:tcBorders>
          </w:tcPr>
          <w:p>
            <w:pPr>
              <w:spacing w:after="0"/>
              <w:rPr>
                <w:sz w:val="24"/>
                <w:szCs w:val="24"/>
                <w:color w:val="auto"/>
              </w:rPr>
            </w:pPr>
          </w:p>
        </w:tc>
        <w:tc>
          <w:tcPr>
            <w:tcW w:w="1900" w:type="dxa"/>
            <w:vAlign w:val="bottom"/>
            <w:tcBorders>
              <w:top w:val="single" w:sz="8" w:color="0000EE"/>
            </w:tcBorders>
          </w:tcPr>
          <w:p>
            <w:pPr>
              <w:spacing w:after="0"/>
              <w:rPr>
                <w:sz w:val="24"/>
                <w:szCs w:val="24"/>
                <w:color w:val="auto"/>
              </w:rPr>
            </w:pPr>
          </w:p>
        </w:tc>
        <w:tc>
          <w:tcPr>
            <w:tcW w:w="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000" w:type="dxa"/>
            <w:vAlign w:val="bottom"/>
            <w:gridSpan w:val="8"/>
          </w:tcPr>
          <w:p>
            <w:pPr>
              <w:jc w:val="center"/>
              <w:ind w:right="2440"/>
              <w:spacing w:after="0"/>
              <w:rPr>
                <w:sz w:val="20"/>
                <w:szCs w:val="20"/>
                <w:color w:val="auto"/>
              </w:rPr>
            </w:pPr>
            <w:r>
              <w:rPr>
                <w:rFonts w:ascii="Times New Roman" w:cs="Times New Roman" w:eastAsia="Times New Roman" w:hAnsi="Times New Roman"/>
                <w:sz w:val="18"/>
                <w:szCs w:val="18"/>
                <w:color w:val="auto"/>
                <w:w w:val="95"/>
              </w:rPr>
              <w:t>F-1</w:t>
            </w:r>
          </w:p>
        </w:tc>
        <w:tc>
          <w:tcPr>
            <w:tcW w:w="174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080"/>
          </w:cols>
          <w:pgMar w:left="320" w:top="446"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236" w:name="page237"/>
    <w:bookmarkEnd w:id="2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Unaudited Condensed Consolidated Financial Statement —For the six months ended June 30, 2022 and 2021</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946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color w:val="0000EE"/>
                <w:w w:val="99"/>
              </w:rPr>
              <w:t>Unaudited Condensed Consolidated Statement of Loss and Comprehensive Loss for the Six Months Ended June 30, 2022 and 2021</w:t>
            </w:r>
          </w:p>
        </w:tc>
        <w:tc>
          <w:tcPr>
            <w:tcW w:w="1100" w:type="dxa"/>
            <w:vAlign w:val="bottom"/>
            <w:vMerge w:val="restart"/>
          </w:tcPr>
          <w:p>
            <w:pPr>
              <w:spacing w:after="0"/>
              <w:rPr>
                <w:sz w:val="15"/>
                <w:szCs w:val="15"/>
                <w:color w:val="auto"/>
              </w:rPr>
            </w:pPr>
          </w:p>
        </w:tc>
        <w:tc>
          <w:tcPr>
            <w:tcW w:w="4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Pages</w:t>
            </w:r>
          </w:p>
        </w:tc>
        <w:tc>
          <w:tcPr>
            <w:tcW w:w="0" w:type="dxa"/>
            <w:vAlign w:val="bottom"/>
          </w:tcPr>
          <w:p>
            <w:pPr>
              <w:spacing w:after="0"/>
              <w:rPr>
                <w:sz w:val="1"/>
                <w:szCs w:val="1"/>
                <w:color w:val="auto"/>
              </w:rPr>
            </w:pPr>
          </w:p>
        </w:tc>
      </w:tr>
      <w:tr>
        <w:trPr>
          <w:trHeight w:val="174"/>
        </w:trPr>
        <w:tc>
          <w:tcPr>
            <w:tcW w:w="9460" w:type="dxa"/>
            <w:vAlign w:val="bottom"/>
            <w:tcBorders>
              <w:bottom w:val="single" w:sz="8" w:color="0000EE"/>
            </w:tcBorders>
            <w:gridSpan w:val="4"/>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400" w:type="dxa"/>
            <w:vAlign w:val="bottom"/>
            <w:tcBorders>
              <w:top w:val="single" w:sz="8" w:color="auto"/>
            </w:tcBorders>
          </w:tcPr>
          <w:p>
            <w:pPr>
              <w:ind w:left="60"/>
              <w:spacing w:after="0" w:line="169" w:lineRule="exact"/>
              <w:rPr>
                <w:sz w:val="20"/>
                <w:szCs w:val="20"/>
                <w:color w:val="auto"/>
              </w:rPr>
            </w:pPr>
            <w:r>
              <w:rPr>
                <w:rFonts w:ascii="Times New Roman" w:cs="Times New Roman" w:eastAsia="Times New Roman" w:hAnsi="Times New Roman"/>
                <w:sz w:val="18"/>
                <w:szCs w:val="18"/>
                <w:color w:val="auto"/>
                <w:w w:val="93"/>
              </w:rPr>
              <w:t>F-67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810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9"/>
              </w:rPr>
              <w:t>Unaudited Condensed Consolidated Statement of Financial Position as of June 30, 2022 and December 31, 2021</w:t>
            </w:r>
          </w:p>
        </w:tc>
        <w:tc>
          <w:tcPr>
            <w:tcW w:w="2460" w:type="dxa"/>
            <w:vAlign w:val="bottom"/>
            <w:gridSpan w:val="2"/>
          </w:tcPr>
          <w:p>
            <w:pPr>
              <w:spacing w:after="0"/>
              <w:rPr>
                <w:sz w:val="17"/>
                <w:szCs w:val="17"/>
                <w:color w:val="auto"/>
              </w:rPr>
            </w:pPr>
          </w:p>
        </w:tc>
        <w:tc>
          <w:tcPr>
            <w:tcW w:w="420" w:type="dxa"/>
            <w:vAlign w:val="bottom"/>
            <w:gridSpan w:val="2"/>
          </w:tcPr>
          <w:p>
            <w:pPr>
              <w:ind w:left="60"/>
              <w:spacing w:after="0" w:line="196" w:lineRule="exact"/>
              <w:rPr>
                <w:sz w:val="20"/>
                <w:szCs w:val="20"/>
                <w:color w:val="auto"/>
              </w:rPr>
            </w:pPr>
            <w:r>
              <w:rPr>
                <w:rFonts w:ascii="Times New Roman" w:cs="Times New Roman" w:eastAsia="Times New Roman" w:hAnsi="Times New Roman"/>
                <w:sz w:val="18"/>
                <w:szCs w:val="18"/>
                <w:color w:val="auto"/>
                <w:w w:val="99"/>
              </w:rPr>
              <w:t>F-68</w:t>
            </w:r>
          </w:p>
        </w:tc>
        <w:tc>
          <w:tcPr>
            <w:tcW w:w="0" w:type="dxa"/>
            <w:vAlign w:val="bottom"/>
          </w:tcPr>
          <w:p>
            <w:pPr>
              <w:spacing w:after="0"/>
              <w:rPr>
                <w:sz w:val="1"/>
                <w:szCs w:val="1"/>
                <w:color w:val="auto"/>
              </w:rPr>
            </w:pPr>
          </w:p>
        </w:tc>
      </w:tr>
      <w:tr>
        <w:trPr>
          <w:trHeight w:val="196"/>
        </w:trPr>
        <w:tc>
          <w:tcPr>
            <w:tcW w:w="810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9"/>
              </w:rPr>
              <w:t>Unaudited Condensed Consolidated Statement of Cash Flows for the Six Months Ended June 30, 2022 and 2021</w:t>
            </w:r>
          </w:p>
        </w:tc>
        <w:tc>
          <w:tcPr>
            <w:tcW w:w="2460" w:type="dxa"/>
            <w:vAlign w:val="bottom"/>
            <w:gridSpan w:val="2"/>
          </w:tcPr>
          <w:p>
            <w:pPr>
              <w:spacing w:after="0"/>
              <w:rPr>
                <w:sz w:val="17"/>
                <w:szCs w:val="17"/>
                <w:color w:val="auto"/>
              </w:rPr>
            </w:pPr>
          </w:p>
        </w:tc>
        <w:tc>
          <w:tcPr>
            <w:tcW w:w="420" w:type="dxa"/>
            <w:vAlign w:val="bottom"/>
            <w:gridSpan w:val="2"/>
          </w:tcPr>
          <w:p>
            <w:pPr>
              <w:ind w:left="60"/>
              <w:spacing w:after="0" w:line="196" w:lineRule="exact"/>
              <w:rPr>
                <w:sz w:val="20"/>
                <w:szCs w:val="20"/>
                <w:color w:val="auto"/>
              </w:rPr>
            </w:pPr>
            <w:r>
              <w:rPr>
                <w:rFonts w:ascii="Times New Roman" w:cs="Times New Roman" w:eastAsia="Times New Roman" w:hAnsi="Times New Roman"/>
                <w:sz w:val="18"/>
                <w:szCs w:val="18"/>
                <w:color w:val="auto"/>
                <w:w w:val="99"/>
              </w:rPr>
              <w:t>F-70</w:t>
            </w:r>
          </w:p>
        </w:tc>
        <w:tc>
          <w:tcPr>
            <w:tcW w:w="0" w:type="dxa"/>
            <w:vAlign w:val="bottom"/>
          </w:tcPr>
          <w:p>
            <w:pPr>
              <w:spacing w:after="0"/>
              <w:rPr>
                <w:sz w:val="1"/>
                <w:szCs w:val="1"/>
                <w:color w:val="auto"/>
              </w:rPr>
            </w:pPr>
          </w:p>
        </w:tc>
      </w:tr>
      <w:tr>
        <w:trPr>
          <w:trHeight w:val="196"/>
        </w:trPr>
        <w:tc>
          <w:tcPr>
            <w:tcW w:w="788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9"/>
              </w:rPr>
              <w:t>Unaudited Condensed Consolidated Statement of Changes in Equity for the Six Months Ended June 30, 2022</w:t>
            </w:r>
          </w:p>
        </w:tc>
        <w:tc>
          <w:tcPr>
            <w:tcW w:w="2680" w:type="dxa"/>
            <w:vAlign w:val="bottom"/>
            <w:gridSpan w:val="3"/>
          </w:tcPr>
          <w:p>
            <w:pPr>
              <w:spacing w:after="0"/>
              <w:rPr>
                <w:sz w:val="17"/>
                <w:szCs w:val="17"/>
                <w:color w:val="auto"/>
              </w:rPr>
            </w:pPr>
          </w:p>
        </w:tc>
        <w:tc>
          <w:tcPr>
            <w:tcW w:w="420" w:type="dxa"/>
            <w:vAlign w:val="bottom"/>
            <w:gridSpan w:val="2"/>
          </w:tcPr>
          <w:p>
            <w:pPr>
              <w:ind w:left="60"/>
              <w:spacing w:after="0" w:line="196" w:lineRule="exact"/>
              <w:rPr>
                <w:sz w:val="20"/>
                <w:szCs w:val="20"/>
                <w:color w:val="auto"/>
              </w:rPr>
            </w:pPr>
            <w:r>
              <w:rPr>
                <w:rFonts w:ascii="Times New Roman" w:cs="Times New Roman" w:eastAsia="Times New Roman" w:hAnsi="Times New Roman"/>
                <w:sz w:val="18"/>
                <w:szCs w:val="18"/>
                <w:color w:val="auto"/>
                <w:w w:val="99"/>
              </w:rPr>
              <w:t>F-71</w:t>
            </w:r>
          </w:p>
        </w:tc>
        <w:tc>
          <w:tcPr>
            <w:tcW w:w="0" w:type="dxa"/>
            <w:vAlign w:val="bottom"/>
          </w:tcPr>
          <w:p>
            <w:pPr>
              <w:spacing w:after="0"/>
              <w:rPr>
                <w:sz w:val="1"/>
                <w:szCs w:val="1"/>
                <w:color w:val="auto"/>
              </w:rPr>
            </w:pPr>
          </w:p>
        </w:tc>
      </w:tr>
      <w:tr>
        <w:trPr>
          <w:trHeight w:val="196"/>
        </w:trPr>
        <w:tc>
          <w:tcPr>
            <w:tcW w:w="1056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Notes to Unaudited Condensed Consolidated Financial Statements</w:t>
            </w:r>
          </w:p>
        </w:tc>
        <w:tc>
          <w:tcPr>
            <w:tcW w:w="420" w:type="dxa"/>
            <w:vAlign w:val="bottom"/>
            <w:gridSpan w:val="2"/>
          </w:tcPr>
          <w:p>
            <w:pPr>
              <w:ind w:left="60"/>
              <w:spacing w:after="0" w:line="196" w:lineRule="exact"/>
              <w:rPr>
                <w:sz w:val="20"/>
                <w:szCs w:val="20"/>
                <w:color w:val="auto"/>
              </w:rPr>
            </w:pPr>
            <w:r>
              <w:rPr>
                <w:rFonts w:ascii="Times New Roman" w:cs="Times New Roman" w:eastAsia="Times New Roman" w:hAnsi="Times New Roman"/>
                <w:sz w:val="18"/>
                <w:szCs w:val="18"/>
                <w:color w:val="auto"/>
                <w:w w:val="99"/>
              </w:rPr>
              <w:t>F-72</w:t>
            </w:r>
          </w:p>
        </w:tc>
        <w:tc>
          <w:tcPr>
            <w:tcW w:w="0" w:type="dxa"/>
            <w:vAlign w:val="bottom"/>
          </w:tcPr>
          <w:p>
            <w:pPr>
              <w:spacing w:after="0"/>
              <w:rPr>
                <w:sz w:val="1"/>
                <w:szCs w:val="1"/>
                <w:color w:val="auto"/>
              </w:rPr>
            </w:pPr>
          </w:p>
        </w:tc>
      </w:tr>
      <w:tr>
        <w:trPr>
          <w:trHeight w:val="385"/>
        </w:trPr>
        <w:tc>
          <w:tcPr>
            <w:tcW w:w="4780" w:type="dxa"/>
            <w:vAlign w:val="bottom"/>
            <w:tcBorders>
              <w:top w:val="single" w:sz="8" w:color="0000EE"/>
            </w:tcBorders>
          </w:tcPr>
          <w:p>
            <w:pPr>
              <w:spacing w:after="0"/>
              <w:rPr>
                <w:sz w:val="24"/>
                <w:szCs w:val="24"/>
                <w:color w:val="auto"/>
              </w:rPr>
            </w:pPr>
          </w:p>
        </w:tc>
        <w:tc>
          <w:tcPr>
            <w:tcW w:w="5780" w:type="dxa"/>
            <w:vAlign w:val="bottom"/>
            <w:gridSpan w:val="4"/>
          </w:tcPr>
          <w:p>
            <w:pPr>
              <w:ind w:left="600"/>
              <w:spacing w:after="0"/>
              <w:rPr>
                <w:sz w:val="20"/>
                <w:szCs w:val="20"/>
                <w:color w:val="auto"/>
              </w:rPr>
            </w:pPr>
            <w:r>
              <w:rPr>
                <w:rFonts w:ascii="Times New Roman" w:cs="Times New Roman" w:eastAsia="Times New Roman" w:hAnsi="Times New Roman"/>
                <w:sz w:val="18"/>
                <w:szCs w:val="18"/>
                <w:color w:val="auto"/>
              </w:rPr>
              <w:t>F-2</w:t>
            </w: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55" w:right="499" w:bottom="1440" w:gutter="0" w:footer="0" w:header="0"/>
        </w:sectPr>
      </w:pPr>
    </w:p>
    <w:bookmarkStart w:id="237" w:name="page238"/>
    <w:bookmarkEnd w:id="2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The Polestar Group</w:t>
      </w:r>
    </w:p>
    <w:p>
      <w:pPr>
        <w:spacing w:after="0" w:line="3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Consolidated Financial Statements for the Years Ended December 31, 2021, 2020 and 2019</w:t>
      </w:r>
    </w:p>
    <w:p>
      <w:pPr>
        <w:spacing w:after="0" w:line="151"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F-3</w:t>
      </w:r>
    </w:p>
    <w:p>
      <w:pPr>
        <w:sectPr>
          <w:pgSz w:w="11900" w:h="16838" w:orient="portrait"/>
          <w:cols w:equalWidth="0" w:num="1">
            <w:col w:w="10139"/>
          </w:cols>
          <w:pgMar w:left="320" w:top="455" w:right="1440" w:bottom="1440" w:gutter="0" w:footer="0" w:header="0"/>
        </w:sectPr>
      </w:pPr>
    </w:p>
    <w:bookmarkStart w:id="238" w:name="page239"/>
    <w:bookmarkEnd w:id="2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To the shareholders and the Board of Directors of Polestar Automotive Holding Limited</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21"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financial position of Polestar Automotive Holding Limited (the “Company”) as of December 31, 2021 and 2020, the related consolidated statements of loss and comprehensive loss, changes in equity, and cash flows, for each of the three years in the period ended December 31, 2021, and the related notes (collectively referred to as the “financial statements”). In our opinion, the financial statements present fairly, in all material respects, the financial position of the Company as of December 31, 2021 and 2020, and the results of its operations and its cash flows for each of the three years in the period ended December 31, 2021, in conformity with International Financial Reporting Standards (IFRS) as issued by the International Accounting Standards Board.</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Going Concern</w:t>
      </w:r>
    </w:p>
    <w:p>
      <w:pPr>
        <w:spacing w:after="0" w:line="121"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The accompanying financial statements for the years ended December 31, 2021, 2020 and 2019, have been prepared assuming that the Company will continue as a going concern. As discussed in Note 1 to the financial statements, the Company’s recurring losses from operations raise substantial doubt about its ability to continue as a going concern. Management’s plans concerning these matters are also described in Note 1. The financial statements do not include any adjustments that might result from the outcome of this uncertainty.</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21"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ind w:left="120" w:right="460"/>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3"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121" w:lineRule="exact"/>
        <w:rPr>
          <w:sz w:val="20"/>
          <w:szCs w:val="20"/>
          <w:color w:val="auto"/>
        </w:rPr>
      </w:pPr>
    </w:p>
    <w:p>
      <w:pPr>
        <w:ind w:left="120" w:right="320"/>
        <w:spacing w:after="0" w:line="276" w:lineRule="auto"/>
        <w:rPr>
          <w:sz w:val="20"/>
          <w:szCs w:val="20"/>
          <w:color w:val="auto"/>
        </w:rPr>
      </w:pPr>
      <w:r>
        <w:rPr>
          <w:rFonts w:ascii="Times New Roman" w:cs="Times New Roman" w:eastAsia="Times New Roman" w:hAnsi="Times New Roman"/>
          <w:sz w:val="17"/>
          <w:szCs w:val="17"/>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w:t>
      </w:r>
    </w:p>
    <w:p>
      <w:pPr>
        <w:spacing w:after="0" w:line="1" w:lineRule="exact"/>
        <w:rPr>
          <w:sz w:val="20"/>
          <w:szCs w:val="20"/>
          <w:color w:val="auto"/>
        </w:rPr>
      </w:pPr>
    </w:p>
    <w:p>
      <w:pPr>
        <w:ind w:left="120" w:right="40" w:hanging="4"/>
        <w:spacing w:after="0" w:line="255" w:lineRule="auto"/>
        <w:tabs>
          <w:tab w:leader="none" w:pos="375"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11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F-4</w:t>
      </w:r>
    </w:p>
    <w:p>
      <w:pPr>
        <w:sectPr>
          <w:pgSz w:w="11900" w:h="16838" w:orient="portrait"/>
          <w:cols w:equalWidth="0" w:num="1">
            <w:col w:w="11100"/>
          </w:cols>
          <w:pgMar w:left="320" w:top="455" w:right="479" w:bottom="1440" w:gutter="0" w:footer="0" w:header="0"/>
        </w:sectPr>
      </w:pPr>
    </w:p>
    <w:bookmarkStart w:id="239" w:name="page240"/>
    <w:bookmarkEnd w:id="2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Revenue — Refer to Notes 1 and 4 to the financial statements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Critical Audit Matter Description</w:t>
      </w:r>
    </w:p>
    <w:p>
      <w:pPr>
        <w:spacing w:after="0" w:line="119"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The Company’s revenue primarily consists of revenue from the sales of vehicles, which are sold to individuals (end customers), fleet customers, financial service providers, and dealers based on contractual agreements. The Company recognizes revenue at the point in time when the customer obtains control of the vehicle, and thus has the ability to direct the use of, and obtain the benefits from, the vehicle. During the year ended December 31, 2021, the Company recognized approximately $1,290 million of revenue related to sales of vehicles.</w:t>
      </w:r>
    </w:p>
    <w:p>
      <w:pPr>
        <w:spacing w:after="0" w:line="180"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We identified revenue recognition related to the sales of vehicles as a critical audit matter because of the nature of the various agreements and the complexity of certain terms in these contracts, such as the existence of repurchase commitments. This required both extensive audit effort due to the variation in terms between, and complexity of some of the contracts, as well as a high degree of auditor judgment in determining the audit procedures as well as the nature and extent of audit evidence required to determine that revenue recognition was appropriate.</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As disclosed by management, the Company identified a material weakness in its internal controls over revenue recognition, which impacted this matter.</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How the Critical Audit Matter Was Addressed in the Audit</w:t>
      </w:r>
    </w:p>
    <w:p>
      <w:pPr>
        <w:spacing w:after="0" w:line="119"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Addressing the matter involved performing procedures and evaluating audit evidence in connection with forming our overall opinion on the consolidated financial statements. These procedures also included evaluating the nature and extent of audit procedures performed. Our audit procedures related to revenue recognized for the sale of vehicles included, but were not limited to:</w:t>
      </w:r>
    </w:p>
    <w:p>
      <w:pPr>
        <w:spacing w:after="0" w:line="203" w:lineRule="exact"/>
        <w:rPr>
          <w:sz w:val="20"/>
          <w:szCs w:val="20"/>
          <w:color w:val="auto"/>
        </w:rPr>
      </w:pPr>
    </w:p>
    <w:p>
      <w:pPr>
        <w:ind w:left="540" w:right="400" w:hanging="316"/>
        <w:spacing w:after="0" w:line="282" w:lineRule="auto"/>
        <w:tabs>
          <w:tab w:leader="none" w:pos="540" w:val="left"/>
        </w:tabs>
        <w:numPr>
          <w:ilvl w:val="1"/>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We obtained an understanding of management’s process for identifying and reviewing contracts with customers and determining the revenue recognition treatment in accordance with IFRS 15,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w:t>
      </w:r>
    </w:p>
    <w:p>
      <w:pPr>
        <w:spacing w:after="0" w:line="188" w:lineRule="exact"/>
        <w:rPr>
          <w:rFonts w:ascii="Times New Roman" w:cs="Times New Roman" w:eastAsia="Times New Roman" w:hAnsi="Times New Roman"/>
          <w:sz w:val="18"/>
          <w:szCs w:val="18"/>
          <w:color w:val="auto"/>
        </w:rPr>
      </w:pPr>
    </w:p>
    <w:p>
      <w:pPr>
        <w:ind w:left="540" w:right="380" w:hanging="316"/>
        <w:spacing w:after="0" w:line="266" w:lineRule="auto"/>
        <w:tabs>
          <w:tab w:leader="none" w:pos="540" w:val="left"/>
        </w:tabs>
        <w:numPr>
          <w:ilvl w:val="1"/>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 selection of agreements with customers, we obtained the contract and reviewed the contract for those terms that could impact the appropriateness of revenue recognition. For those contracts identified with complex terms, we evaluated whether the Company appropriately accounted for those contracts in accordance with IFRS 15.</w:t>
      </w:r>
    </w:p>
    <w:p>
      <w:pPr>
        <w:spacing w:after="0" w:line="202" w:lineRule="exact"/>
        <w:rPr>
          <w:rFonts w:ascii="Times New Roman" w:cs="Times New Roman" w:eastAsia="Times New Roman" w:hAnsi="Times New Roman"/>
          <w:sz w:val="18"/>
          <w:szCs w:val="18"/>
          <w:color w:val="auto"/>
        </w:rPr>
      </w:pPr>
    </w:p>
    <w:p>
      <w:pPr>
        <w:jc w:val="both"/>
        <w:ind w:left="540" w:right="40" w:hanging="316"/>
        <w:spacing w:after="0" w:line="266" w:lineRule="auto"/>
        <w:tabs>
          <w:tab w:leader="none" w:pos="540" w:val="left"/>
        </w:tabs>
        <w:numPr>
          <w:ilvl w:val="1"/>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performed detail transaction testing for a sample of revenue, by obtaining and inspecting sales orders or contracts with the customer and other related source documents, including delivery documents, invoices and cash receipts, as applicable, to determine that control has transferred to the customer</w:t>
      </w:r>
    </w:p>
    <w:p>
      <w:pPr>
        <w:spacing w:after="0" w:line="81" w:lineRule="exact"/>
        <w:rPr>
          <w:rFonts w:ascii="Times New Roman" w:cs="Times New Roman" w:eastAsia="Times New Roman" w:hAnsi="Times New Roman"/>
          <w:sz w:val="18"/>
          <w:szCs w:val="18"/>
          <w:color w:val="auto"/>
        </w:rPr>
      </w:pPr>
    </w:p>
    <w:p>
      <w:pPr>
        <w:ind w:left="540" w:right="420" w:hanging="424"/>
        <w:spacing w:after="0" w:line="282" w:lineRule="auto"/>
        <w:tabs>
          <w:tab w:leader="none" w:pos="54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also considered audit evidence obtained throughout our audit as to whether there is any wider information relevant to the point in time at which the Company recognizes revenue</w:t>
      </w:r>
      <w:r>
        <w:rPr>
          <w:rFonts w:ascii="Times New Roman" w:cs="Times New Roman" w:eastAsia="Times New Roman" w:hAnsi="Times New Roman"/>
          <w:sz w:val="18"/>
          <w:szCs w:val="18"/>
          <w:i w:val="1"/>
          <w:iCs w:val="1"/>
          <w:color w:val="auto"/>
        </w:rPr>
        <w:t>.</w:t>
      </w:r>
    </w:p>
    <w:p>
      <w:pPr>
        <w:spacing w:after="0" w:line="27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 Deloitte AB</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Gothenburg, Sweden</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April 21, 2022</w:t>
      </w:r>
    </w:p>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have served as the Company’s auditor since 2021.</w:t>
      </w:r>
    </w:p>
    <w:p>
      <w:pPr>
        <w:spacing w:after="0" w:line="15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F-5</w:t>
      </w:r>
    </w:p>
    <w:p>
      <w:pPr>
        <w:sectPr>
          <w:pgSz w:w="11900" w:h="16838" w:orient="portrait"/>
          <w:cols w:equalWidth="0" w:num="1">
            <w:col w:w="11080"/>
          </w:cols>
          <w:pgMar w:left="320" w:top="455" w:right="499" w:bottom="1440" w:gutter="0" w:footer="0" w:header="0"/>
        </w:sectPr>
      </w:pPr>
    </w:p>
    <w:bookmarkStart w:id="240" w:name="page241"/>
    <w:bookmarkEnd w:id="2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Polestar Automotive Holding Limited</w:t>
      </w:r>
    </w:p>
    <w:p>
      <w:pPr>
        <w:spacing w:after="0" w:line="2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Consolidated Statement of Loss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(in thousands of U.S. dollars except per share data and unless otherwise stated)</w:t>
      </w:r>
    </w:p>
    <w:p>
      <w:pPr>
        <w:spacing w:after="0" w:line="241"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7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960" w:type="dxa"/>
            <w:vAlign w:val="bottom"/>
            <w:gridSpan w:val="6"/>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r>
      <w:tr>
        <w:trPr>
          <w:trHeight w:val="142"/>
        </w:trPr>
        <w:tc>
          <w:tcPr>
            <w:tcW w:w="7580" w:type="dxa"/>
            <w:vAlign w:val="bottom"/>
            <w:tcBorders>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9"/>
              </w:rPr>
              <w:t>Note</w:t>
            </w:r>
          </w:p>
        </w:tc>
        <w:tc>
          <w:tcPr>
            <w:tcW w:w="160" w:type="dxa"/>
            <w:vAlign w:val="bottom"/>
            <w:tcBorders>
              <w:bottom w:val="single" w:sz="8" w:color="CCEEFF"/>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12"/>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Borders>
              <w:top w:val="single" w:sz="8" w:color="auto"/>
              <w:bottom w:val="single" w:sz="8" w:color="CCEEFF"/>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220" w:type="dxa"/>
            <w:vAlign w:val="bottom"/>
            <w:tcBorders>
              <w:top w:val="single" w:sz="8" w:color="auto"/>
              <w:bottom w:val="single" w:sz="8" w:color="CCEEFF"/>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CEEFF"/>
            </w:tcBorders>
          </w:tcPr>
          <w:p>
            <w:pPr>
              <w:spacing w:after="0"/>
              <w:rPr>
                <w:sz w:val="12"/>
                <w:szCs w:val="12"/>
                <w:color w:val="auto"/>
              </w:rPr>
            </w:pPr>
          </w:p>
        </w:tc>
      </w:tr>
      <w:tr>
        <w:trPr>
          <w:trHeight w:val="210"/>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1,337,181</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610,245</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92,415</w:t>
            </w:r>
          </w:p>
        </w:tc>
        <w:tc>
          <w:tcPr>
            <w:tcW w:w="120" w:type="dxa"/>
            <w:vAlign w:val="bottom"/>
            <w:shd w:val="clear" w:color="auto" w:fill="CCEEFF"/>
          </w:tcPr>
          <w:p>
            <w:pPr>
              <w:spacing w:after="0"/>
              <w:rPr>
                <w:sz w:val="18"/>
                <w:szCs w:val="18"/>
                <w:color w:val="auto"/>
              </w:rPr>
            </w:pPr>
          </w:p>
        </w:tc>
      </w:tr>
      <w:tr>
        <w:trPr>
          <w:trHeight w:val="216"/>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w:t>
            </w: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(1,336,321)</w:t>
            </w:r>
          </w:p>
        </w:tc>
        <w:tc>
          <w:tcPr>
            <w:tcW w:w="9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(553,724)</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(39,790)</w:t>
            </w:r>
          </w:p>
        </w:tc>
      </w:tr>
      <w:tr>
        <w:trPr>
          <w:trHeight w:val="27"/>
        </w:trPr>
        <w:tc>
          <w:tcPr>
            <w:tcW w:w="7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860</w:t>
            </w:r>
          </w:p>
        </w:tc>
        <w:tc>
          <w:tcPr>
            <w:tcW w:w="9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56,521</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52,625</w:t>
            </w:r>
          </w:p>
        </w:tc>
      </w:tr>
      <w:tr>
        <w:trPr>
          <w:trHeight w:val="223"/>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(714,724)</w:t>
            </w:r>
          </w:p>
        </w:tc>
        <w:tc>
          <w:tcPr>
            <w:tcW w:w="220" w:type="dxa"/>
            <w:vAlign w:val="bottom"/>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(314,926)</w:t>
            </w:r>
          </w:p>
        </w:tc>
        <w:tc>
          <w:tcPr>
            <w:tcW w:w="220" w:type="dxa"/>
            <w:vAlign w:val="bottom"/>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(210,572)</w:t>
            </w:r>
          </w:p>
        </w:tc>
        <w:tc>
          <w:tcPr>
            <w:tcW w:w="120" w:type="dxa"/>
            <w:vAlign w:val="bottom"/>
          </w:tcPr>
          <w:p>
            <w:pPr>
              <w:spacing w:after="0"/>
              <w:rPr>
                <w:sz w:val="19"/>
                <w:szCs w:val="19"/>
                <w:color w:val="auto"/>
              </w:rPr>
            </w:pPr>
          </w:p>
        </w:tc>
      </w:tr>
      <w:tr>
        <w:trPr>
          <w:trHeight w:val="216"/>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w:t>
            </w: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(232,922)</w:t>
            </w:r>
          </w:p>
        </w:tc>
        <w:tc>
          <w:tcPr>
            <w:tcW w:w="9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(183,849)</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(34,386)</w:t>
            </w:r>
          </w:p>
        </w:tc>
      </w:tr>
      <w:tr>
        <w:trPr>
          <w:trHeight w:val="216"/>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Other operating income and expenses, net</w:t>
            </w: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w:t>
            </w: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(48,053)</w:t>
            </w:r>
          </w:p>
        </w:tc>
        <w:tc>
          <w:tcPr>
            <w:tcW w:w="9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1,766</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1,339</w:t>
            </w:r>
          </w:p>
        </w:tc>
      </w:tr>
      <w:tr>
        <w:trPr>
          <w:trHeight w:val="27"/>
        </w:trPr>
        <w:tc>
          <w:tcPr>
            <w:tcW w:w="7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(994,839)</w:t>
            </w:r>
          </w:p>
        </w:tc>
        <w:tc>
          <w:tcPr>
            <w:tcW w:w="9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(440,488)</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(190,994)</w:t>
            </w:r>
          </w:p>
        </w:tc>
      </w:tr>
      <w:tr>
        <w:trPr>
          <w:trHeight w:val="223"/>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Finance income</w:t>
            </w: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32,970</w:t>
            </w:r>
          </w:p>
        </w:tc>
        <w:tc>
          <w:tcPr>
            <w:tcW w:w="220" w:type="dxa"/>
            <w:vAlign w:val="bottom"/>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3,199</w:t>
            </w:r>
          </w:p>
        </w:tc>
        <w:tc>
          <w:tcPr>
            <w:tcW w:w="220" w:type="dxa"/>
            <w:vAlign w:val="bottom"/>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16,226</w:t>
            </w:r>
          </w:p>
        </w:tc>
        <w:tc>
          <w:tcPr>
            <w:tcW w:w="120" w:type="dxa"/>
            <w:vAlign w:val="bottom"/>
          </w:tcPr>
          <w:p>
            <w:pPr>
              <w:spacing w:after="0"/>
              <w:rPr>
                <w:sz w:val="19"/>
                <w:szCs w:val="19"/>
                <w:color w:val="auto"/>
              </w:rPr>
            </w:pPr>
          </w:p>
        </w:tc>
      </w:tr>
      <w:tr>
        <w:trPr>
          <w:trHeight w:val="216"/>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expenses</w:t>
            </w:r>
          </w:p>
        </w:tc>
        <w:tc>
          <w:tcPr>
            <w:tcW w:w="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w:t>
            </w: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(45,249)</w:t>
            </w:r>
          </w:p>
        </w:tc>
        <w:tc>
          <w:tcPr>
            <w:tcW w:w="9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(34,034)</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(21,192)</w:t>
            </w:r>
          </w:p>
        </w:tc>
      </w:tr>
      <w:tr>
        <w:trPr>
          <w:trHeight w:val="230"/>
        </w:trPr>
        <w:tc>
          <w:tcPr>
            <w:tcW w:w="7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before income taxes</w:t>
            </w: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(1,007,118</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(471,323</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(195,960)</w:t>
            </w:r>
          </w:p>
        </w:tc>
        <w:tc>
          <w:tcPr>
            <w:tcW w:w="120" w:type="dxa"/>
            <w:vAlign w:val="bottom"/>
          </w:tcPr>
          <w:p>
            <w:pPr>
              <w:spacing w:after="0"/>
              <w:rPr>
                <w:sz w:val="20"/>
                <w:szCs w:val="20"/>
                <w:color w:val="auto"/>
              </w:rPr>
            </w:pPr>
          </w:p>
        </w:tc>
      </w:tr>
      <w:tr>
        <w:trPr>
          <w:trHeight w:val="216"/>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w:t>
            </w: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(336)</w:t>
            </w:r>
          </w:p>
        </w:tc>
        <w:tc>
          <w:tcPr>
            <w:tcW w:w="9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(13,535)</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(2,015)</w:t>
            </w:r>
          </w:p>
        </w:tc>
      </w:tr>
      <w:tr>
        <w:trPr>
          <w:trHeight w:val="230"/>
        </w:trPr>
        <w:tc>
          <w:tcPr>
            <w:tcW w:w="7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(1,007,454</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(484,858</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(197,975)</w:t>
            </w:r>
          </w:p>
        </w:tc>
        <w:tc>
          <w:tcPr>
            <w:tcW w:w="120" w:type="dxa"/>
            <w:vAlign w:val="bottom"/>
          </w:tcPr>
          <w:p>
            <w:pPr>
              <w:spacing w:after="0"/>
              <w:rPr>
                <w:sz w:val="20"/>
                <w:szCs w:val="20"/>
                <w:color w:val="auto"/>
              </w:rPr>
            </w:pPr>
          </w:p>
        </w:tc>
      </w:tr>
      <w:tr>
        <w:trPr>
          <w:trHeight w:val="216"/>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 per share (in U.S. dollars)</w:t>
            </w:r>
          </w:p>
        </w:tc>
        <w:tc>
          <w:tcPr>
            <w:tcW w:w="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w:t>
            </w: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(4.39)</w:t>
            </w:r>
          </w:p>
        </w:tc>
        <w:tc>
          <w:tcPr>
            <w:tcW w:w="9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(2.40)</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(0.99)</w:t>
            </w:r>
          </w:p>
        </w:tc>
      </w:tr>
      <w:tr>
        <w:trPr>
          <w:trHeight w:val="216"/>
        </w:trPr>
        <w:tc>
          <w:tcPr>
            <w:tcW w:w="7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(4.39)</w:t>
            </w:r>
          </w:p>
        </w:tc>
        <w:tc>
          <w:tcPr>
            <w:tcW w:w="9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(2.40)</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(0.99)</w:t>
            </w:r>
          </w:p>
        </w:tc>
      </w:tr>
    </w:tbl>
    <w:p>
      <w:pPr>
        <w:spacing w:after="0" w:line="19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F-6</w:t>
      </w:r>
    </w:p>
    <w:p>
      <w:pPr>
        <w:sectPr>
          <w:pgSz w:w="11900" w:h="16838" w:orient="portrait"/>
          <w:cols w:equalWidth="0" w:num="1">
            <w:col w:w="11140"/>
          </w:cols>
          <w:pgMar w:left="320" w:top="455" w:right="439" w:bottom="1440" w:gutter="0" w:footer="0" w:header="0"/>
        </w:sectPr>
      </w:pPr>
    </w:p>
    <w:bookmarkStart w:id="241" w:name="page242"/>
    <w:bookmarkEnd w:id="2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Polestar Automotive Holding Limited</w:t>
      </w:r>
    </w:p>
    <w:p>
      <w:pPr>
        <w:spacing w:after="0" w:line="2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Consolidated Statement of Comprehensive Loss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27" w:lineRule="exact"/>
        <w:rPr>
          <w:sz w:val="20"/>
          <w:szCs w:val="20"/>
          <w:color w:val="auto"/>
        </w:rPr>
      </w:pPr>
    </w:p>
    <w:p>
      <w:pPr>
        <w:ind w:left="828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p>
      <w:pPr>
        <w:spacing w:after="0" w:line="12" w:lineRule="exact"/>
        <w:rPr>
          <w:sz w:val="20"/>
          <w:szCs w:val="20"/>
          <w:color w:val="auto"/>
        </w:rPr>
      </w:pPr>
    </w:p>
    <w:tbl>
      <w:tblPr>
        <w:tblLayout w:type="fixed"/>
        <w:tblInd w:w="120" w:type="dxa"/>
        <w:tblCellMar>
          <w:top w:w="0" w:type="dxa"/>
          <w:left w:w="0" w:type="dxa"/>
          <w:bottom w:w="0" w:type="dxa"/>
          <w:right w:w="0" w:type="dxa"/>
        </w:tblCellMar>
      </w:tblPr>
      <w:tr>
        <w:trPr>
          <w:trHeight w:val="142"/>
        </w:trPr>
        <w:tc>
          <w:tcPr>
            <w:tcW w:w="7460" w:type="dxa"/>
            <w:vAlign w:val="bottom"/>
          </w:tcPr>
          <w:p>
            <w:pPr>
              <w:spacing w:after="0"/>
              <w:rPr>
                <w:sz w:val="12"/>
                <w:szCs w:val="12"/>
                <w:color w:val="auto"/>
              </w:rPr>
            </w:pPr>
          </w:p>
        </w:tc>
        <w:tc>
          <w:tcPr>
            <w:tcW w:w="56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Note</w:t>
            </w:r>
          </w:p>
        </w:tc>
        <w:tc>
          <w:tcPr>
            <w:tcW w:w="840" w:type="dxa"/>
            <w:vAlign w:val="bottom"/>
            <w:tcBorders>
              <w:top w:val="single" w:sz="8" w:color="auto"/>
            </w:tcBorders>
          </w:tcPr>
          <w:p>
            <w:pPr>
              <w:jc w:val="right"/>
              <w:ind w:right="194"/>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3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114"/>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3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114"/>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2"/>
                <w:szCs w:val="12"/>
                <w:color w:val="auto"/>
              </w:rPr>
            </w:pPr>
          </w:p>
        </w:tc>
      </w:tr>
      <w:tr>
        <w:trPr>
          <w:trHeight w:val="210"/>
        </w:trPr>
        <w:tc>
          <w:tcPr>
            <w:tcW w:w="74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30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(1,007,454)</w:t>
            </w:r>
          </w:p>
        </w:tc>
        <w:tc>
          <w:tcPr>
            <w:tcW w:w="320" w:type="dxa"/>
            <w:vAlign w:val="bottom"/>
            <w:tcBorders>
              <w:top w:val="single" w:sz="8" w:color="CCEEFF"/>
              <w:left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(484,858)</w:t>
            </w:r>
          </w:p>
        </w:tc>
        <w:tc>
          <w:tcPr>
            <w:tcW w:w="3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(197,975)</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80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Other comprehensive (loss) income:</w:t>
            </w: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0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Items that may be subsequently reclassified to the Consolidated Statement of Loss:</w:t>
            </w:r>
          </w:p>
        </w:tc>
        <w:tc>
          <w:tcPr>
            <w:tcW w:w="840" w:type="dxa"/>
            <w:vAlign w:val="bottom"/>
            <w:shd w:val="clear" w:color="auto" w:fill="CCEEFF"/>
          </w:tcPr>
          <w:p>
            <w:pPr>
              <w:spacing w:after="0"/>
              <w:rPr>
                <w:sz w:val="18"/>
                <w:szCs w:val="18"/>
                <w:color w:val="auto"/>
              </w:rPr>
            </w:pPr>
          </w:p>
        </w:tc>
        <w:tc>
          <w:tcPr>
            <w:tcW w:w="320" w:type="dxa"/>
            <w:vAlign w:val="bottom"/>
            <w:tcBorders>
              <w:left w:val="single" w:sz="8" w:color="CCEEFF"/>
            </w:tcBorders>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02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Exchange rate differences from translation of foreign operations</w:t>
            </w:r>
          </w:p>
        </w:tc>
        <w:tc>
          <w:tcPr>
            <w:tcW w:w="116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(33,149)</w:t>
            </w:r>
          </w:p>
        </w:tc>
        <w:tc>
          <w:tcPr>
            <w:tcW w:w="102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30,266</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(3,244)</w:t>
            </w:r>
          </w:p>
        </w:tc>
      </w:tr>
      <w:tr>
        <w:trPr>
          <w:trHeight w:val="27"/>
        </w:trPr>
        <w:tc>
          <w:tcPr>
            <w:tcW w:w="7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0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other comprehensive (loss) income:</w:t>
            </w:r>
          </w:p>
        </w:tc>
        <w:tc>
          <w:tcPr>
            <w:tcW w:w="116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b w:val="1"/>
                <w:bCs w:val="1"/>
                <w:color w:val="auto"/>
              </w:rPr>
              <w:t>(33,149)</w:t>
            </w:r>
          </w:p>
        </w:tc>
        <w:tc>
          <w:tcPr>
            <w:tcW w:w="102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b w:val="1"/>
                <w:bCs w:val="1"/>
                <w:color w:val="auto"/>
              </w:rPr>
              <w:t>30,266</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(3,244)</w:t>
            </w:r>
          </w:p>
        </w:tc>
      </w:tr>
      <w:tr>
        <w:trPr>
          <w:trHeight w:val="223"/>
        </w:trPr>
        <w:tc>
          <w:tcPr>
            <w:tcW w:w="80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Total comprehensive loss</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(1,040,603</w:t>
            </w:r>
          </w:p>
        </w:tc>
        <w:tc>
          <w:tcPr>
            <w:tcW w:w="320" w:type="dxa"/>
            <w:vAlign w:val="bottom"/>
          </w:tcPr>
          <w:p>
            <w:pPr>
              <w:jc w:val="right"/>
              <w:ind w:right="1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(454,592</w:t>
            </w:r>
          </w:p>
        </w:tc>
        <w:tc>
          <w:tcPr>
            <w:tcW w:w="320" w:type="dxa"/>
            <w:vAlign w:val="bottom"/>
          </w:tcPr>
          <w:p>
            <w:pPr>
              <w:jc w:val="right"/>
              <w:ind w:right="1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(201,219</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0"/>
        </w:trPr>
        <w:tc>
          <w:tcPr>
            <w:tcW w:w="7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20" w:type="dxa"/>
            <w:vAlign w:val="bottom"/>
            <w:tcBorders>
              <w:left w:val="single" w:sz="8" w:color="auto"/>
            </w:tcBorders>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F-7</w:t>
      </w:r>
    </w:p>
    <w:p>
      <w:pPr>
        <w:sectPr>
          <w:pgSz w:w="11900" w:h="16838" w:orient="portrait"/>
          <w:cols w:equalWidth="0" w:num="1">
            <w:col w:w="11140"/>
          </w:cols>
          <w:pgMar w:left="320" w:top="455" w:right="439" w:bottom="1440" w:gutter="0" w:footer="0" w:header="0"/>
        </w:sectPr>
      </w:pPr>
    </w:p>
    <w:bookmarkStart w:id="242" w:name="page243"/>
    <w:bookmarkEnd w:id="2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Polestar Automotive Holding Limited</w:t>
      </w:r>
    </w:p>
    <w:p>
      <w:pPr>
        <w:spacing w:after="0" w:line="2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Consolidated Statement of Financial Position</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8240" w:type="dxa"/>
            <w:vAlign w:val="bottom"/>
          </w:tcPr>
          <w:p>
            <w:pPr>
              <w:spacing w:after="0"/>
              <w:rPr>
                <w:sz w:val="15"/>
                <w:szCs w:val="15"/>
                <w:color w:val="auto"/>
              </w:rPr>
            </w:pPr>
          </w:p>
        </w:tc>
        <w:tc>
          <w:tcPr>
            <w:tcW w:w="2780" w:type="dxa"/>
            <w:vAlign w:val="bottom"/>
            <w:gridSpan w:val="6"/>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As of the year ended December 31,</w:t>
            </w:r>
          </w:p>
        </w:tc>
      </w:tr>
      <w:tr>
        <w:trPr>
          <w:trHeight w:val="142"/>
        </w:trPr>
        <w:tc>
          <w:tcPr>
            <w:tcW w:w="8240" w:type="dxa"/>
            <w:vAlign w:val="bottom"/>
          </w:tcPr>
          <w:p>
            <w:pPr>
              <w:spacing w:after="0"/>
              <w:rPr>
                <w:sz w:val="12"/>
                <w:szCs w:val="12"/>
                <w:color w:val="auto"/>
              </w:rPr>
            </w:pPr>
          </w:p>
        </w:tc>
        <w:tc>
          <w:tcPr>
            <w:tcW w:w="660" w:type="dxa"/>
            <w:vAlign w:val="bottom"/>
            <w:tcBorders>
              <w:top w:val="single" w:sz="8" w:color="auto"/>
            </w:tcBorders>
            <w:gridSpan w:val="2"/>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Note</w:t>
            </w:r>
          </w:p>
        </w:tc>
        <w:tc>
          <w:tcPr>
            <w:tcW w:w="880" w:type="dxa"/>
            <w:vAlign w:val="bottom"/>
            <w:tcBorders>
              <w:top w:val="single" w:sz="8" w:color="auto"/>
            </w:tcBorders>
          </w:tcPr>
          <w:p>
            <w:pPr>
              <w:jc w:val="right"/>
              <w:ind w:right="219"/>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right"/>
              <w:ind w:right="239"/>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Pr>
          <w:p>
            <w:pPr>
              <w:spacing w:after="0"/>
              <w:rPr>
                <w:sz w:val="12"/>
                <w:szCs w:val="12"/>
                <w:color w:val="auto"/>
              </w:rPr>
            </w:pPr>
          </w:p>
        </w:tc>
      </w:tr>
      <w:tr>
        <w:trPr>
          <w:trHeight w:val="183"/>
        </w:trPr>
        <w:tc>
          <w:tcPr>
            <w:tcW w:w="8240" w:type="dxa"/>
            <w:vAlign w:val="bottom"/>
            <w:tcBorders>
              <w:top w:val="single" w:sz="8" w:color="CCEEFF"/>
            </w:tcBorders>
            <w:shd w:val="clear" w:color="auto" w:fill="CCEEFF"/>
          </w:tcPr>
          <w:p>
            <w:pPr>
              <w:spacing w:after="0" w:line="183" w:lineRule="exact"/>
              <w:rPr>
                <w:sz w:val="20"/>
                <w:szCs w:val="20"/>
                <w:color w:val="auto"/>
              </w:rPr>
            </w:pPr>
            <w:r>
              <w:rPr>
                <w:rFonts w:ascii="Times New Roman" w:cs="Times New Roman" w:eastAsia="Times New Roman" w:hAnsi="Times New Roman"/>
                <w:sz w:val="16"/>
                <w:szCs w:val="16"/>
                <w:b w:val="1"/>
                <w:bCs w:val="1"/>
                <w:color w:val="auto"/>
              </w:rPr>
              <w:t>Assets</w:t>
            </w:r>
          </w:p>
        </w:tc>
        <w:tc>
          <w:tcPr>
            <w:tcW w:w="52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r>
      <w:tr>
        <w:trPr>
          <w:trHeight w:val="203"/>
        </w:trPr>
        <w:tc>
          <w:tcPr>
            <w:tcW w:w="8240" w:type="dxa"/>
            <w:vAlign w:val="bottom"/>
          </w:tcPr>
          <w:p>
            <w:pPr>
              <w:spacing w:after="0"/>
              <w:rPr>
                <w:sz w:val="20"/>
                <w:szCs w:val="20"/>
                <w:color w:val="auto"/>
              </w:rPr>
            </w:pPr>
            <w:r>
              <w:rPr>
                <w:rFonts w:ascii="Times New Roman" w:cs="Times New Roman" w:eastAsia="Times New Roman" w:hAnsi="Times New Roman"/>
                <w:sz w:val="16"/>
                <w:szCs w:val="16"/>
                <w:color w:val="auto"/>
              </w:rPr>
              <w:t>Non-current assets</w:t>
            </w: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82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Intangible assets and goodwill</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1,368,356</w:t>
            </w: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1,171,337</w:t>
            </w:r>
          </w:p>
        </w:tc>
        <w:tc>
          <w:tcPr>
            <w:tcW w:w="120" w:type="dxa"/>
            <w:vAlign w:val="bottom"/>
            <w:shd w:val="clear" w:color="auto" w:fill="CCEEFF"/>
          </w:tcPr>
          <w:p>
            <w:pPr>
              <w:spacing w:after="0"/>
              <w:rPr>
                <w:sz w:val="17"/>
                <w:szCs w:val="17"/>
                <w:color w:val="auto"/>
              </w:rPr>
            </w:pPr>
          </w:p>
        </w:tc>
      </w:tr>
      <w:tr>
        <w:trPr>
          <w:trHeight w:val="203"/>
        </w:trPr>
        <w:tc>
          <w:tcPr>
            <w:tcW w:w="82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Property, plant and equipment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9, 13</w:t>
            </w: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208,193</w:t>
            </w:r>
          </w:p>
        </w:tc>
        <w:tc>
          <w:tcPr>
            <w:tcW w:w="2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201,671</w:t>
            </w:r>
          </w:p>
        </w:tc>
        <w:tc>
          <w:tcPr>
            <w:tcW w:w="120" w:type="dxa"/>
            <w:vAlign w:val="bottom"/>
          </w:tcPr>
          <w:p>
            <w:pPr>
              <w:spacing w:after="0"/>
              <w:rPr>
                <w:sz w:val="17"/>
                <w:szCs w:val="17"/>
                <w:color w:val="auto"/>
              </w:rPr>
            </w:pPr>
          </w:p>
        </w:tc>
      </w:tr>
      <w:tr>
        <w:trPr>
          <w:trHeight w:val="203"/>
        </w:trPr>
        <w:tc>
          <w:tcPr>
            <w:tcW w:w="82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Vehicles under operating leases</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120,626</w:t>
            </w:r>
          </w:p>
        </w:tc>
        <w:tc>
          <w:tcPr>
            <w:tcW w:w="2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82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Other non-current assets</w:t>
            </w: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1,682</w:t>
            </w:r>
          </w:p>
        </w:tc>
        <w:tc>
          <w:tcPr>
            <w:tcW w:w="2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1,442</w:t>
            </w:r>
          </w:p>
        </w:tc>
        <w:tc>
          <w:tcPr>
            <w:tcW w:w="120" w:type="dxa"/>
            <w:vAlign w:val="bottom"/>
          </w:tcPr>
          <w:p>
            <w:pPr>
              <w:spacing w:after="0"/>
              <w:rPr>
                <w:sz w:val="17"/>
                <w:szCs w:val="17"/>
                <w:color w:val="auto"/>
              </w:rPr>
            </w:pPr>
          </w:p>
        </w:tc>
      </w:tr>
      <w:tr>
        <w:trPr>
          <w:trHeight w:val="203"/>
        </w:trPr>
        <w:tc>
          <w:tcPr>
            <w:tcW w:w="82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Deferred tax asset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40" w:type="dxa"/>
            <w:vAlign w:val="bottom"/>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3,850</w:t>
            </w:r>
          </w:p>
        </w:tc>
        <w:tc>
          <w:tcPr>
            <w:tcW w:w="220" w:type="dxa"/>
            <w:vAlign w:val="bottom"/>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2,157</w:t>
            </w:r>
          </w:p>
        </w:tc>
        <w:tc>
          <w:tcPr>
            <w:tcW w:w="120" w:type="dxa"/>
            <w:vAlign w:val="bottom"/>
            <w:shd w:val="clear" w:color="auto" w:fill="CCEEFF"/>
          </w:tcPr>
          <w:p>
            <w:pPr>
              <w:spacing w:after="0"/>
              <w:rPr>
                <w:sz w:val="17"/>
                <w:szCs w:val="17"/>
                <w:color w:val="auto"/>
              </w:rPr>
            </w:pPr>
          </w:p>
        </w:tc>
      </w:tr>
      <w:tr>
        <w:trPr>
          <w:trHeight w:val="217"/>
        </w:trPr>
        <w:tc>
          <w:tcPr>
            <w:tcW w:w="82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non-current assets</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1,702,707</w:t>
            </w:r>
          </w:p>
        </w:tc>
        <w:tc>
          <w:tcPr>
            <w:tcW w:w="220" w:type="dxa"/>
            <w:vAlign w:val="bottom"/>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1,376,607</w:t>
            </w:r>
          </w:p>
        </w:tc>
        <w:tc>
          <w:tcPr>
            <w:tcW w:w="120" w:type="dxa"/>
            <w:vAlign w:val="bottom"/>
          </w:tcPr>
          <w:p>
            <w:pPr>
              <w:spacing w:after="0"/>
              <w:rPr>
                <w:sz w:val="18"/>
                <w:szCs w:val="18"/>
                <w:color w:val="auto"/>
              </w:rPr>
            </w:pPr>
          </w:p>
        </w:tc>
      </w:tr>
      <w:tr>
        <w:trPr>
          <w:trHeight w:val="203"/>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Current assets</w:t>
            </w: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82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756,677</w:t>
            </w:r>
          </w:p>
        </w:tc>
        <w:tc>
          <w:tcPr>
            <w:tcW w:w="2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316,424</w:t>
            </w:r>
          </w:p>
        </w:tc>
        <w:tc>
          <w:tcPr>
            <w:tcW w:w="120" w:type="dxa"/>
            <w:vAlign w:val="bottom"/>
          </w:tcPr>
          <w:p>
            <w:pPr>
              <w:spacing w:after="0"/>
              <w:rPr>
                <w:sz w:val="17"/>
                <w:szCs w:val="17"/>
                <w:color w:val="auto"/>
              </w:rPr>
            </w:pPr>
          </w:p>
        </w:tc>
      </w:tr>
      <w:tr>
        <w:trPr>
          <w:trHeight w:val="203"/>
        </w:trPr>
        <w:tc>
          <w:tcPr>
            <w:tcW w:w="82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Marketable securities</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1,258</w:t>
            </w:r>
          </w:p>
        </w:tc>
        <w:tc>
          <w:tcPr>
            <w:tcW w:w="2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82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Restricted cash</w:t>
            </w: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50,206</w:t>
            </w:r>
          </w:p>
        </w:tc>
        <w:tc>
          <w:tcPr>
            <w:tcW w:w="120" w:type="dxa"/>
            <w:vAlign w:val="bottom"/>
          </w:tcPr>
          <w:p>
            <w:pPr>
              <w:spacing w:after="0"/>
              <w:rPr>
                <w:sz w:val="17"/>
                <w:szCs w:val="17"/>
                <w:color w:val="auto"/>
              </w:rPr>
            </w:pPr>
          </w:p>
        </w:tc>
      </w:tr>
      <w:tr>
        <w:trPr>
          <w:trHeight w:val="203"/>
        </w:trPr>
        <w:tc>
          <w:tcPr>
            <w:tcW w:w="82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Trade receivables</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157,753</w:t>
            </w: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99,250</w:t>
            </w:r>
          </w:p>
        </w:tc>
        <w:tc>
          <w:tcPr>
            <w:tcW w:w="120" w:type="dxa"/>
            <w:vAlign w:val="bottom"/>
            <w:shd w:val="clear" w:color="auto" w:fill="CCEEFF"/>
          </w:tcPr>
          <w:p>
            <w:pPr>
              <w:spacing w:after="0"/>
              <w:rPr>
                <w:sz w:val="17"/>
                <w:szCs w:val="17"/>
                <w:color w:val="auto"/>
              </w:rPr>
            </w:pPr>
          </w:p>
        </w:tc>
      </w:tr>
      <w:tr>
        <w:trPr>
          <w:trHeight w:val="203"/>
        </w:trPr>
        <w:tc>
          <w:tcPr>
            <w:tcW w:w="82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Trade receivables - related parties</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15, 23</w:t>
            </w: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14,688</w:t>
            </w:r>
          </w:p>
        </w:tc>
        <w:tc>
          <w:tcPr>
            <w:tcW w:w="2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208,444</w:t>
            </w:r>
          </w:p>
        </w:tc>
        <w:tc>
          <w:tcPr>
            <w:tcW w:w="120" w:type="dxa"/>
            <w:vAlign w:val="bottom"/>
          </w:tcPr>
          <w:p>
            <w:pPr>
              <w:spacing w:after="0"/>
              <w:rPr>
                <w:sz w:val="17"/>
                <w:szCs w:val="17"/>
                <w:color w:val="auto"/>
              </w:rPr>
            </w:pPr>
          </w:p>
        </w:tc>
      </w:tr>
      <w:tr>
        <w:trPr>
          <w:trHeight w:val="203"/>
        </w:trPr>
        <w:tc>
          <w:tcPr>
            <w:tcW w:w="82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Accrued income - related parties</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5,103</w:t>
            </w:r>
          </w:p>
        </w:tc>
        <w:tc>
          <w:tcPr>
            <w:tcW w:w="2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82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Inventories</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545,743</w:t>
            </w:r>
          </w:p>
        </w:tc>
        <w:tc>
          <w:tcPr>
            <w:tcW w:w="2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432,531</w:t>
            </w:r>
          </w:p>
        </w:tc>
        <w:tc>
          <w:tcPr>
            <w:tcW w:w="120" w:type="dxa"/>
            <w:vAlign w:val="bottom"/>
          </w:tcPr>
          <w:p>
            <w:pPr>
              <w:spacing w:after="0"/>
              <w:rPr>
                <w:sz w:val="17"/>
                <w:szCs w:val="17"/>
                <w:color w:val="auto"/>
              </w:rPr>
            </w:pPr>
          </w:p>
        </w:tc>
      </w:tr>
      <w:tr>
        <w:trPr>
          <w:trHeight w:val="203"/>
        </w:trPr>
        <w:tc>
          <w:tcPr>
            <w:tcW w:w="82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Current tax assets</w:t>
            </w: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5,562</w:t>
            </w: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4,771</w:t>
            </w:r>
          </w:p>
        </w:tc>
        <w:tc>
          <w:tcPr>
            <w:tcW w:w="120" w:type="dxa"/>
            <w:vAlign w:val="bottom"/>
            <w:shd w:val="clear" w:color="auto" w:fill="CCEEFF"/>
          </w:tcPr>
          <w:p>
            <w:pPr>
              <w:spacing w:after="0"/>
              <w:rPr>
                <w:sz w:val="17"/>
                <w:szCs w:val="17"/>
                <w:color w:val="auto"/>
              </w:rPr>
            </w:pPr>
          </w:p>
        </w:tc>
      </w:tr>
      <w:tr>
        <w:trPr>
          <w:trHeight w:val="203"/>
        </w:trPr>
        <w:tc>
          <w:tcPr>
            <w:tcW w:w="82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Other current assets</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120,202</w:t>
            </w:r>
          </w:p>
        </w:tc>
        <w:tc>
          <w:tcPr>
            <w:tcW w:w="2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60,331</w:t>
            </w:r>
          </w:p>
        </w:tc>
        <w:tc>
          <w:tcPr>
            <w:tcW w:w="120" w:type="dxa"/>
            <w:vAlign w:val="bottom"/>
          </w:tcPr>
          <w:p>
            <w:pPr>
              <w:spacing w:after="0"/>
              <w:rPr>
                <w:sz w:val="17"/>
                <w:szCs w:val="17"/>
                <w:color w:val="auto"/>
              </w:rPr>
            </w:pPr>
          </w:p>
        </w:tc>
      </w:tr>
      <w:tr>
        <w:trPr>
          <w:trHeight w:val="203"/>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current assets</w:t>
            </w: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1,606,986</w:t>
            </w:r>
          </w:p>
        </w:tc>
        <w:tc>
          <w:tcPr>
            <w:tcW w:w="220" w:type="dxa"/>
            <w:vAlign w:val="bottom"/>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1,171,957</w:t>
            </w:r>
          </w:p>
        </w:tc>
        <w:tc>
          <w:tcPr>
            <w:tcW w:w="120" w:type="dxa"/>
            <w:vAlign w:val="bottom"/>
            <w:shd w:val="clear" w:color="auto" w:fill="CCEEFF"/>
          </w:tcPr>
          <w:p>
            <w:pPr>
              <w:spacing w:after="0"/>
              <w:rPr>
                <w:sz w:val="17"/>
                <w:szCs w:val="17"/>
                <w:color w:val="auto"/>
              </w:rPr>
            </w:pPr>
          </w:p>
        </w:tc>
      </w:tr>
      <w:tr>
        <w:trPr>
          <w:trHeight w:val="216"/>
        </w:trPr>
        <w:tc>
          <w:tcPr>
            <w:tcW w:w="82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3,309,693</w:t>
            </w:r>
          </w:p>
        </w:tc>
        <w:tc>
          <w:tcPr>
            <w:tcW w:w="220" w:type="dxa"/>
            <w:vAlign w:val="bottom"/>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2,548,564</w:t>
            </w:r>
          </w:p>
        </w:tc>
        <w:tc>
          <w:tcPr>
            <w:tcW w:w="120" w:type="dxa"/>
            <w:vAlign w:val="bottom"/>
          </w:tcPr>
          <w:p>
            <w:pPr>
              <w:spacing w:after="0"/>
              <w:rPr>
                <w:sz w:val="18"/>
                <w:szCs w:val="18"/>
                <w:color w:val="auto"/>
              </w:rPr>
            </w:pPr>
          </w:p>
        </w:tc>
      </w:tr>
      <w:tr>
        <w:trPr>
          <w:trHeight w:val="203"/>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8240" w:type="dxa"/>
            <w:vAlign w:val="bottom"/>
          </w:tcPr>
          <w:p>
            <w:pPr>
              <w:spacing w:after="0"/>
              <w:rPr>
                <w:sz w:val="20"/>
                <w:szCs w:val="20"/>
                <w:color w:val="auto"/>
              </w:rPr>
            </w:pPr>
            <w:r>
              <w:rPr>
                <w:rFonts w:ascii="Times New Roman" w:cs="Times New Roman" w:eastAsia="Times New Roman" w:hAnsi="Times New Roman"/>
                <w:sz w:val="16"/>
                <w:szCs w:val="16"/>
                <w:color w:val="auto"/>
              </w:rPr>
              <w:t>Share capital</w:t>
            </w: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(1,865,909)</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(1,318,752)</w:t>
            </w:r>
          </w:p>
        </w:tc>
      </w:tr>
      <w:tr>
        <w:trPr>
          <w:trHeight w:val="203"/>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contributed capital</w:t>
            </w: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(35,231)</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8240" w:type="dxa"/>
            <w:vAlign w:val="bottom"/>
          </w:tcPr>
          <w:p>
            <w:pPr>
              <w:spacing w:after="0"/>
              <w:rPr>
                <w:sz w:val="20"/>
                <w:szCs w:val="20"/>
                <w:color w:val="auto"/>
              </w:rPr>
            </w:pPr>
            <w:r>
              <w:rPr>
                <w:rFonts w:ascii="Times New Roman" w:cs="Times New Roman" w:eastAsia="Times New Roman" w:hAnsi="Times New Roman"/>
                <w:sz w:val="16"/>
                <w:szCs w:val="16"/>
                <w:color w:val="auto"/>
              </w:rPr>
              <w:t>Foreign currency translation reserve</w:t>
            </w: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16,784</w:t>
            </w:r>
          </w:p>
        </w:tc>
        <w:tc>
          <w:tcPr>
            <w:tcW w:w="220" w:type="dxa"/>
            <w:vAlign w:val="bottom"/>
          </w:tcPr>
          <w:p>
            <w:pPr>
              <w:spacing w:after="0"/>
              <w:rPr>
                <w:sz w:val="17"/>
                <w:szCs w:val="17"/>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(16,365)</w:t>
            </w:r>
          </w:p>
        </w:tc>
      </w:tr>
      <w:tr>
        <w:trPr>
          <w:trHeight w:val="203"/>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Accumulated deficit</w:t>
            </w: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1,761,860</w:t>
            </w:r>
          </w:p>
        </w:tc>
        <w:tc>
          <w:tcPr>
            <w:tcW w:w="220" w:type="dxa"/>
            <w:vAlign w:val="bottom"/>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754,406</w:t>
            </w:r>
          </w:p>
        </w:tc>
        <w:tc>
          <w:tcPr>
            <w:tcW w:w="120" w:type="dxa"/>
            <w:vAlign w:val="bottom"/>
            <w:shd w:val="clear" w:color="auto" w:fill="CCEEFF"/>
          </w:tcPr>
          <w:p>
            <w:pPr>
              <w:spacing w:after="0"/>
              <w:rPr>
                <w:sz w:val="17"/>
                <w:szCs w:val="17"/>
                <w:color w:val="auto"/>
              </w:rPr>
            </w:pPr>
          </w:p>
        </w:tc>
      </w:tr>
      <w:tr>
        <w:trPr>
          <w:trHeight w:val="216"/>
        </w:trPr>
        <w:tc>
          <w:tcPr>
            <w:tcW w:w="82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equity</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40" w:type="dxa"/>
            <w:vAlign w:val="bottom"/>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(122,496)</w:t>
            </w:r>
          </w:p>
        </w:tc>
        <w:tc>
          <w:tcPr>
            <w:tcW w:w="220" w:type="dxa"/>
            <w:vAlign w:val="bottom"/>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(580,711)</w:t>
            </w:r>
          </w:p>
        </w:tc>
        <w:tc>
          <w:tcPr>
            <w:tcW w:w="120" w:type="dxa"/>
            <w:vAlign w:val="bottom"/>
          </w:tcPr>
          <w:p>
            <w:pPr>
              <w:spacing w:after="0"/>
              <w:rPr>
                <w:sz w:val="18"/>
                <w:szCs w:val="18"/>
                <w:color w:val="auto"/>
              </w:rPr>
            </w:pPr>
          </w:p>
        </w:tc>
      </w:tr>
      <w:tr>
        <w:trPr>
          <w:trHeight w:val="203"/>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8240" w:type="dxa"/>
            <w:vAlign w:val="bottom"/>
          </w:tcPr>
          <w:p>
            <w:pPr>
              <w:spacing w:after="0"/>
              <w:rPr>
                <w:sz w:val="20"/>
                <w:szCs w:val="20"/>
                <w:color w:val="auto"/>
              </w:rPr>
            </w:pPr>
            <w:r>
              <w:rPr>
                <w:rFonts w:ascii="Times New Roman" w:cs="Times New Roman" w:eastAsia="Times New Roman" w:hAnsi="Times New Roman"/>
                <w:sz w:val="16"/>
                <w:szCs w:val="16"/>
                <w:color w:val="auto"/>
              </w:rPr>
              <w:t>Non-current liabilities</w:t>
            </w: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82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Contract liabilities</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(28,922)</w:t>
            </w: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(12,424)</w:t>
            </w:r>
          </w:p>
        </w:tc>
      </w:tr>
      <w:tr>
        <w:trPr>
          <w:trHeight w:val="203"/>
        </w:trPr>
        <w:tc>
          <w:tcPr>
            <w:tcW w:w="82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Deferred tax liabilities</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40" w:type="dxa"/>
            <w:vAlign w:val="bottom"/>
          </w:tcPr>
          <w:p>
            <w:pPr>
              <w:spacing w:after="0"/>
              <w:rPr>
                <w:sz w:val="17"/>
                <w:szCs w:val="17"/>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(509)</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(6,548)</w:t>
            </w:r>
          </w:p>
        </w:tc>
      </w:tr>
      <w:tr>
        <w:trPr>
          <w:trHeight w:val="203"/>
        </w:trPr>
        <w:tc>
          <w:tcPr>
            <w:tcW w:w="82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Other non-current provisions</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(38,711)</w:t>
            </w: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(18,537)</w:t>
            </w:r>
          </w:p>
        </w:tc>
      </w:tr>
      <w:tr>
        <w:trPr>
          <w:trHeight w:val="203"/>
        </w:trPr>
        <w:tc>
          <w:tcPr>
            <w:tcW w:w="82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40" w:type="dxa"/>
            <w:vAlign w:val="bottom"/>
          </w:tcPr>
          <w:p>
            <w:pPr>
              <w:spacing w:after="0"/>
              <w:rPr>
                <w:sz w:val="17"/>
                <w:szCs w:val="17"/>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(11,764)</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(312)</w:t>
            </w:r>
          </w:p>
        </w:tc>
      </w:tr>
      <w:tr>
        <w:trPr>
          <w:trHeight w:val="203"/>
        </w:trPr>
        <w:tc>
          <w:tcPr>
            <w:tcW w:w="82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Other non-current interest-bearing liabilities</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(66,575)</w:t>
            </w: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(61,840)</w:t>
            </w:r>
          </w:p>
        </w:tc>
      </w:tr>
      <w:tr>
        <w:trPr>
          <w:trHeight w:val="217"/>
        </w:trPr>
        <w:tc>
          <w:tcPr>
            <w:tcW w:w="82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non-current liabilities</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(146,481)</w:t>
            </w:r>
          </w:p>
        </w:tc>
        <w:tc>
          <w:tcPr>
            <w:tcW w:w="220" w:type="dxa"/>
            <w:vAlign w:val="bottom"/>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(99,661)</w:t>
            </w:r>
          </w:p>
        </w:tc>
        <w:tc>
          <w:tcPr>
            <w:tcW w:w="120" w:type="dxa"/>
            <w:vAlign w:val="bottom"/>
          </w:tcPr>
          <w:p>
            <w:pPr>
              <w:spacing w:after="0"/>
              <w:rPr>
                <w:sz w:val="18"/>
                <w:szCs w:val="18"/>
                <w:color w:val="auto"/>
              </w:rPr>
            </w:pPr>
          </w:p>
        </w:tc>
      </w:tr>
      <w:tr>
        <w:trPr>
          <w:trHeight w:val="202"/>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Current liabilities</w:t>
            </w: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82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Trade payables</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40" w:type="dxa"/>
            <w:vAlign w:val="bottom"/>
          </w:tcPr>
          <w:p>
            <w:pPr>
              <w:spacing w:after="0"/>
              <w:rPr>
                <w:sz w:val="17"/>
                <w:szCs w:val="17"/>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(114,296)</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(67,985)</w:t>
            </w:r>
          </w:p>
        </w:tc>
      </w:tr>
      <w:tr>
        <w:trPr>
          <w:trHeight w:val="203"/>
        </w:trPr>
        <w:tc>
          <w:tcPr>
            <w:tcW w:w="82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Trade payables - related parties</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(1,427,678)</w:t>
            </w: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(1,077,423)</w:t>
            </w:r>
          </w:p>
        </w:tc>
      </w:tr>
      <w:tr>
        <w:trPr>
          <w:trHeight w:val="203"/>
        </w:trPr>
        <w:tc>
          <w:tcPr>
            <w:tcW w:w="82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Accrued expenses - related parties</w:t>
            </w: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(315,756)</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(104,997)</w:t>
            </w:r>
          </w:p>
        </w:tc>
      </w:tr>
      <w:tr>
        <w:trPr>
          <w:trHeight w:val="203"/>
        </w:trPr>
        <w:tc>
          <w:tcPr>
            <w:tcW w:w="82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Advance payments from customers</w:t>
            </w: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(36,415)</w:t>
            </w: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(25,586)</w:t>
            </w:r>
          </w:p>
        </w:tc>
      </w:tr>
      <w:tr>
        <w:trPr>
          <w:trHeight w:val="203"/>
        </w:trPr>
        <w:tc>
          <w:tcPr>
            <w:tcW w:w="82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Current provisions</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40" w:type="dxa"/>
            <w:vAlign w:val="bottom"/>
          </w:tcPr>
          <w:p>
            <w:pPr>
              <w:spacing w:after="0"/>
              <w:rPr>
                <w:sz w:val="17"/>
                <w:szCs w:val="17"/>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(44,042)</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(35,579)</w:t>
            </w:r>
          </w:p>
        </w:tc>
      </w:tr>
      <w:tr>
        <w:trPr>
          <w:trHeight w:val="203"/>
        </w:trPr>
        <w:tc>
          <w:tcPr>
            <w:tcW w:w="82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Liabilities to credit institutions</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(642,338)</w:t>
            </w: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(363,490)</w:t>
            </w:r>
          </w:p>
        </w:tc>
      </w:tr>
      <w:tr>
        <w:trPr>
          <w:trHeight w:val="203"/>
        </w:trPr>
        <w:tc>
          <w:tcPr>
            <w:tcW w:w="82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Current tax liabilities</w:t>
            </w: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(13,089)</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(9,671)</w:t>
            </w:r>
          </w:p>
        </w:tc>
      </w:tr>
      <w:tr>
        <w:trPr>
          <w:trHeight w:val="203"/>
        </w:trPr>
        <w:tc>
          <w:tcPr>
            <w:tcW w:w="82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Interest-bearing current liabilities</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9, 23</w:t>
            </w: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(10,283)</w:t>
            </w: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(11,187)</w:t>
            </w:r>
          </w:p>
        </w:tc>
      </w:tr>
      <w:tr>
        <w:trPr>
          <w:trHeight w:val="203"/>
        </w:trPr>
        <w:tc>
          <w:tcPr>
            <w:tcW w:w="82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Interest-bearing current liabilities - related parties</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21, 23</w:t>
            </w:r>
          </w:p>
        </w:tc>
        <w:tc>
          <w:tcPr>
            <w:tcW w:w="140" w:type="dxa"/>
            <w:vAlign w:val="bottom"/>
          </w:tcPr>
          <w:p>
            <w:pPr>
              <w:spacing w:after="0"/>
              <w:rPr>
                <w:sz w:val="17"/>
                <w:szCs w:val="17"/>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(13,789)</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82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Contract liabilities</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(58,368)</w:t>
            </w: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(4,648)</w:t>
            </w:r>
          </w:p>
        </w:tc>
      </w:tr>
      <w:tr>
        <w:trPr>
          <w:trHeight w:val="203"/>
        </w:trPr>
        <w:tc>
          <w:tcPr>
            <w:tcW w:w="82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40" w:type="dxa"/>
            <w:vAlign w:val="bottom"/>
          </w:tcPr>
          <w:p>
            <w:pPr>
              <w:spacing w:after="0"/>
              <w:rPr>
                <w:sz w:val="17"/>
                <w:szCs w:val="17"/>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(364,662)</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(167,626)</w:t>
            </w:r>
          </w:p>
        </w:tc>
      </w:tr>
      <w:tr>
        <w:trPr>
          <w:trHeight w:val="27"/>
        </w:trPr>
        <w:tc>
          <w:tcPr>
            <w:tcW w:w="82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03"/>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current liabilities</w:t>
            </w: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(3,040,716)</w:t>
            </w: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(1,868,192)</w:t>
            </w:r>
          </w:p>
        </w:tc>
      </w:tr>
      <w:tr>
        <w:trPr>
          <w:trHeight w:val="216"/>
        </w:trPr>
        <w:tc>
          <w:tcPr>
            <w:tcW w:w="82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(3,187,197)</w:t>
            </w:r>
          </w:p>
        </w:tc>
        <w:tc>
          <w:tcPr>
            <w:tcW w:w="220" w:type="dxa"/>
            <w:vAlign w:val="bottom"/>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(1,967,853)</w:t>
            </w:r>
          </w:p>
        </w:tc>
        <w:tc>
          <w:tcPr>
            <w:tcW w:w="120" w:type="dxa"/>
            <w:vAlign w:val="bottom"/>
          </w:tcPr>
          <w:p>
            <w:pPr>
              <w:spacing w:after="0"/>
              <w:rPr>
                <w:sz w:val="18"/>
                <w:szCs w:val="18"/>
                <w:color w:val="auto"/>
              </w:rPr>
            </w:pPr>
          </w:p>
        </w:tc>
      </w:tr>
      <w:tr>
        <w:trPr>
          <w:trHeight w:val="203"/>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equity and liabilities</w:t>
            </w: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(3,309,693)</w:t>
            </w: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(2,548,564)</w:t>
            </w:r>
          </w:p>
        </w:tc>
      </w:tr>
      <w:tr>
        <w:trPr>
          <w:trHeight w:val="20"/>
        </w:trPr>
        <w:tc>
          <w:tcPr>
            <w:tcW w:w="8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F-8</w:t>
      </w:r>
    </w:p>
    <w:p>
      <w:pPr>
        <w:sectPr>
          <w:pgSz w:w="11900" w:h="16838" w:orient="portrait"/>
          <w:cols w:equalWidth="0" w:num="1">
            <w:col w:w="11140"/>
          </w:cols>
          <w:pgMar w:left="320" w:top="455" w:right="439" w:bottom="1440" w:gutter="0" w:footer="0" w:header="0"/>
        </w:sectPr>
      </w:pPr>
    </w:p>
    <w:bookmarkStart w:id="243" w:name="page244"/>
    <w:bookmarkEnd w:id="2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Polestar Automotive Holding Limited</w:t>
      </w:r>
    </w:p>
    <w:p>
      <w:pPr>
        <w:spacing w:after="0" w:line="2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Consolidated Statement of Cash Flows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7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960" w:type="dxa"/>
            <w:vAlign w:val="bottom"/>
            <w:gridSpan w:val="6"/>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r>
      <w:tr>
        <w:trPr>
          <w:trHeight w:val="142"/>
        </w:trPr>
        <w:tc>
          <w:tcPr>
            <w:tcW w:w="7580" w:type="dxa"/>
            <w:vAlign w:val="bottom"/>
          </w:tcPr>
          <w:p>
            <w:pPr>
              <w:spacing w:after="0"/>
              <w:rPr>
                <w:sz w:val="12"/>
                <w:szCs w:val="12"/>
                <w:color w:val="auto"/>
              </w:rPr>
            </w:pPr>
          </w:p>
        </w:tc>
        <w:tc>
          <w:tcPr>
            <w:tcW w:w="480" w:type="dxa"/>
            <w:vAlign w:val="bottom"/>
            <w:tcBorders>
              <w:top w:val="single" w:sz="8" w:color="auto"/>
            </w:tcBorders>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Note</w:t>
            </w:r>
          </w:p>
        </w:tc>
        <w:tc>
          <w:tcPr>
            <w:tcW w:w="880" w:type="dxa"/>
            <w:vAlign w:val="bottom"/>
            <w:tcBorders>
              <w:top w:val="single" w:sz="8" w:color="auto"/>
            </w:tcBorders>
          </w:tcPr>
          <w:p>
            <w:pPr>
              <w:jc w:val="right"/>
              <w:ind w:right="211"/>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ind w:right="131"/>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2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ind w:right="171"/>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2"/>
                <w:szCs w:val="12"/>
                <w:color w:val="auto"/>
              </w:rPr>
            </w:pPr>
          </w:p>
        </w:tc>
      </w:tr>
      <w:tr>
        <w:trPr>
          <w:trHeight w:val="196"/>
        </w:trPr>
        <w:tc>
          <w:tcPr>
            <w:tcW w:w="758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r>
      <w:tr>
        <w:trPr>
          <w:trHeight w:val="216"/>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(1,007,454)</w:t>
            </w:r>
          </w:p>
        </w:tc>
        <w:tc>
          <w:tcPr>
            <w:tcW w:w="9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(484,858)</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(197,975)</w:t>
            </w:r>
          </w:p>
        </w:tc>
      </w:tr>
      <w:tr>
        <w:trPr>
          <w:trHeight w:val="216"/>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flows</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 and amortisation</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239,164</w:t>
            </w:r>
          </w:p>
        </w:tc>
        <w:tc>
          <w:tcPr>
            <w:tcW w:w="9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216,077</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32,552</w:t>
            </w:r>
          </w:p>
        </w:tc>
      </w:tr>
      <w:tr>
        <w:trPr>
          <w:trHeight w:val="216"/>
        </w:trPr>
        <w:tc>
          <w:tcPr>
            <w:tcW w:w="7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Additions (reversals) for warranties</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63,114</w:t>
            </w:r>
          </w:p>
        </w:tc>
        <w:tc>
          <w:tcPr>
            <w:tcW w:w="9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58,651</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7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Inventory impairment</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31,984</w:t>
            </w:r>
          </w:p>
        </w:tc>
        <w:tc>
          <w:tcPr>
            <w:tcW w:w="9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35,984</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Finance income</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(32,969)</w:t>
            </w:r>
          </w:p>
        </w:tc>
        <w:tc>
          <w:tcPr>
            <w:tcW w:w="9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(3,199)</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(16,226)</w:t>
            </w:r>
          </w:p>
        </w:tc>
      </w:tr>
      <w:tr>
        <w:trPr>
          <w:trHeight w:val="216"/>
        </w:trPr>
        <w:tc>
          <w:tcPr>
            <w:tcW w:w="7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Finance expense</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45,249</w:t>
            </w:r>
          </w:p>
        </w:tc>
        <w:tc>
          <w:tcPr>
            <w:tcW w:w="9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34,034</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21,192</w:t>
            </w:r>
          </w:p>
        </w:tc>
      </w:tr>
      <w:tr>
        <w:trPr>
          <w:trHeight w:val="216"/>
        </w:trPr>
        <w:tc>
          <w:tcPr>
            <w:tcW w:w="7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 tax expense</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336</w:t>
            </w:r>
          </w:p>
        </w:tc>
        <w:tc>
          <w:tcPr>
            <w:tcW w:w="9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13,535</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2,015</w:t>
            </w:r>
          </w:p>
        </w:tc>
      </w:tr>
      <w:tr>
        <w:trPr>
          <w:trHeight w:val="216"/>
        </w:trPr>
        <w:tc>
          <w:tcPr>
            <w:tcW w:w="7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Losses (gains) on disposals of assets</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16</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non-cash expense and income</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11,560</w:t>
            </w:r>
          </w:p>
        </w:tc>
        <w:tc>
          <w:tcPr>
            <w:tcW w:w="9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14,048</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1,876</w:t>
            </w:r>
          </w:p>
        </w:tc>
      </w:tr>
      <w:tr>
        <w:trPr>
          <w:trHeight w:val="216"/>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Change in operating assets and liabilities</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Inventories</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(169,816)</w:t>
            </w:r>
          </w:p>
        </w:tc>
        <w:tc>
          <w:tcPr>
            <w:tcW w:w="9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(428,067)</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(20,801)</w:t>
            </w:r>
          </w:p>
        </w:tc>
      </w:tr>
      <w:tr>
        <w:trPr>
          <w:trHeight w:val="216"/>
        </w:trPr>
        <w:tc>
          <w:tcPr>
            <w:tcW w:w="7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Vehicles under operating leases</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(120,626)</w:t>
            </w:r>
          </w:p>
        </w:tc>
        <w:tc>
          <w:tcPr>
            <w:tcW w:w="96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Contract liabilities</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70,220</w:t>
            </w:r>
          </w:p>
        </w:tc>
        <w:tc>
          <w:tcPr>
            <w:tcW w:w="9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17,071</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Trade receivables, prepaid expenses and other assets</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48,574</w:t>
            </w:r>
          </w:p>
        </w:tc>
        <w:tc>
          <w:tcPr>
            <w:tcW w:w="9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(268,004)</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(62,316)</w:t>
            </w:r>
          </w:p>
        </w:tc>
      </w:tr>
      <w:tr>
        <w:trPr>
          <w:trHeight w:val="216"/>
        </w:trPr>
        <w:tc>
          <w:tcPr>
            <w:tcW w:w="7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Trade payables, accrued expenses and other liabilities</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519,676</w:t>
            </w:r>
          </w:p>
        </w:tc>
        <w:tc>
          <w:tcPr>
            <w:tcW w:w="9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764,661</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46,471</w:t>
            </w:r>
          </w:p>
        </w:tc>
      </w:tr>
      <w:tr>
        <w:trPr>
          <w:trHeight w:val="216"/>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Interest received</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1,396</w:t>
            </w:r>
          </w:p>
        </w:tc>
        <w:tc>
          <w:tcPr>
            <w:tcW w:w="9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3,199</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13,286</w:t>
            </w:r>
          </w:p>
        </w:tc>
      </w:tr>
      <w:tr>
        <w:trPr>
          <w:trHeight w:val="216"/>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paid</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(12,564)</w:t>
            </w:r>
          </w:p>
        </w:tc>
        <w:tc>
          <w:tcPr>
            <w:tcW w:w="9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(30,198)</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(10,135)</w:t>
            </w:r>
          </w:p>
        </w:tc>
      </w:tr>
      <w:tr>
        <w:trPr>
          <w:trHeight w:val="230"/>
        </w:trPr>
        <w:tc>
          <w:tcPr>
            <w:tcW w:w="7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used for operating activities</w:t>
            </w: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(312,156)</w:t>
            </w:r>
          </w:p>
        </w:tc>
        <w:tc>
          <w:tcPr>
            <w:tcW w:w="220" w:type="dxa"/>
            <w:vAlign w:val="bottom"/>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(57,050)</w:t>
            </w:r>
          </w:p>
        </w:tc>
        <w:tc>
          <w:tcPr>
            <w:tcW w:w="220" w:type="dxa"/>
            <w:vAlign w:val="bottom"/>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(190,059)</w:t>
            </w:r>
          </w:p>
        </w:tc>
        <w:tc>
          <w:tcPr>
            <w:tcW w:w="120" w:type="dxa"/>
            <w:vAlign w:val="bottom"/>
          </w:tcPr>
          <w:p>
            <w:pPr>
              <w:spacing w:after="0"/>
              <w:rPr>
                <w:sz w:val="20"/>
                <w:szCs w:val="20"/>
                <w:color w:val="auto"/>
              </w:rPr>
            </w:pPr>
          </w:p>
        </w:tc>
      </w:tr>
      <w:tr>
        <w:trPr>
          <w:trHeight w:val="216"/>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Additions to property, plant and equipment</w:t>
            </w: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(24,701)</w:t>
            </w:r>
          </w:p>
        </w:tc>
        <w:tc>
          <w:tcPr>
            <w:tcW w:w="9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(49,599)</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(71,784)</w:t>
            </w:r>
          </w:p>
        </w:tc>
      </w:tr>
      <w:tr>
        <w:trPr>
          <w:trHeight w:val="216"/>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Additions to intangible assets</w:t>
            </w:r>
          </w:p>
        </w:tc>
        <w:tc>
          <w:tcPr>
            <w:tcW w:w="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22</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(104,971)</w:t>
            </w:r>
          </w:p>
        </w:tc>
        <w:tc>
          <w:tcPr>
            <w:tcW w:w="9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(194,108)</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(213,664)</w:t>
            </w:r>
          </w:p>
        </w:tc>
      </w:tr>
      <w:tr>
        <w:trPr>
          <w:trHeight w:val="230"/>
        </w:trPr>
        <w:tc>
          <w:tcPr>
            <w:tcW w:w="7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used for investing activities</w:t>
            </w: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(129,672)</w:t>
            </w:r>
          </w:p>
        </w:tc>
        <w:tc>
          <w:tcPr>
            <w:tcW w:w="220" w:type="dxa"/>
            <w:vAlign w:val="bottom"/>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(243,707</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(285,448)</w:t>
            </w:r>
          </w:p>
        </w:tc>
        <w:tc>
          <w:tcPr>
            <w:tcW w:w="120" w:type="dxa"/>
            <w:vAlign w:val="bottom"/>
          </w:tcPr>
          <w:p>
            <w:pPr>
              <w:spacing w:after="0"/>
              <w:rPr>
                <w:sz w:val="20"/>
                <w:szCs w:val="20"/>
                <w:color w:val="auto"/>
              </w:rPr>
            </w:pPr>
          </w:p>
        </w:tc>
      </w:tr>
      <w:tr>
        <w:trPr>
          <w:trHeight w:val="216"/>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Change in restricted deposits</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48,830</w:t>
            </w:r>
          </w:p>
        </w:tc>
        <w:tc>
          <w:tcPr>
            <w:tcW w:w="9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134,681</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205,681</w:t>
            </w:r>
          </w:p>
        </w:tc>
      </w:tr>
      <w:tr>
        <w:trPr>
          <w:trHeight w:val="216"/>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short-term borrowings</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698,882</w:t>
            </w:r>
          </w:p>
        </w:tc>
        <w:tc>
          <w:tcPr>
            <w:tcW w:w="9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569,087</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388,625</w:t>
            </w:r>
          </w:p>
        </w:tc>
      </w:tr>
      <w:tr>
        <w:trPr>
          <w:trHeight w:val="216"/>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Principal repayments of short-term borrowings</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(411,950)</w:t>
            </w:r>
          </w:p>
        </w:tc>
        <w:tc>
          <w:tcPr>
            <w:tcW w:w="9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(780,167)</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(365,840)</w:t>
            </w:r>
          </w:p>
        </w:tc>
      </w:tr>
      <w:tr>
        <w:trPr>
          <w:trHeight w:val="216"/>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Principal repayments of lease liabilities</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(8,578)</w:t>
            </w:r>
          </w:p>
        </w:tc>
        <w:tc>
          <w:tcPr>
            <w:tcW w:w="9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(2,298)</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(939)</w:t>
            </w:r>
          </w:p>
        </w:tc>
      </w:tr>
      <w:tr>
        <w:trPr>
          <w:trHeight w:val="216"/>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the issuance of share capital and other contributed capital</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582,388</w:t>
            </w:r>
          </w:p>
        </w:tc>
        <w:tc>
          <w:tcPr>
            <w:tcW w:w="9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438,340</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247,880</w:t>
            </w:r>
          </w:p>
        </w:tc>
      </w:tr>
      <w:tr>
        <w:trPr>
          <w:trHeight w:val="27"/>
        </w:trPr>
        <w:tc>
          <w:tcPr>
            <w:tcW w:w="7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provided by financing activities</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909,572</w:t>
            </w:r>
          </w:p>
        </w:tc>
        <w:tc>
          <w:tcPr>
            <w:tcW w:w="9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359,643</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475,407</w:t>
            </w:r>
          </w:p>
        </w:tc>
      </w:tr>
      <w:tr>
        <w:trPr>
          <w:trHeight w:val="230"/>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Effect of foreign exchange rate changes on cash and cash equivalents</w:t>
            </w: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(27,491)</w:t>
            </w:r>
          </w:p>
        </w:tc>
        <w:tc>
          <w:tcPr>
            <w:tcW w:w="220" w:type="dxa"/>
            <w:vAlign w:val="bottom"/>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21,340</w:t>
            </w:r>
          </w:p>
        </w:tc>
        <w:tc>
          <w:tcPr>
            <w:tcW w:w="220" w:type="dxa"/>
            <w:vAlign w:val="bottom"/>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(18,760)</w:t>
            </w:r>
          </w:p>
        </w:tc>
        <w:tc>
          <w:tcPr>
            <w:tcW w:w="120" w:type="dxa"/>
            <w:vAlign w:val="bottom"/>
          </w:tcPr>
          <w:p>
            <w:pPr>
              <w:spacing w:after="0"/>
              <w:rPr>
                <w:sz w:val="20"/>
                <w:szCs w:val="20"/>
                <w:color w:val="auto"/>
              </w:rPr>
            </w:pPr>
          </w:p>
        </w:tc>
      </w:tr>
      <w:tr>
        <w:trPr>
          <w:trHeight w:val="216"/>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increase (decrease) in cash and cash equivalents</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440,253</w:t>
            </w:r>
          </w:p>
        </w:tc>
        <w:tc>
          <w:tcPr>
            <w:tcW w:w="9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80,226</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(18,860)</w:t>
            </w:r>
          </w:p>
        </w:tc>
      </w:tr>
      <w:tr>
        <w:trPr>
          <w:trHeight w:val="223"/>
        </w:trPr>
        <w:tc>
          <w:tcPr>
            <w:tcW w:w="7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at the beginning of the period</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316,424</w:t>
            </w:r>
          </w:p>
        </w:tc>
        <w:tc>
          <w:tcPr>
            <w:tcW w:w="22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236,198</w:t>
            </w:r>
          </w:p>
        </w:tc>
        <w:tc>
          <w:tcPr>
            <w:tcW w:w="22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255,058</w:t>
            </w:r>
          </w:p>
        </w:tc>
        <w:tc>
          <w:tcPr>
            <w:tcW w:w="120" w:type="dxa"/>
            <w:vAlign w:val="bottom"/>
          </w:tcPr>
          <w:p>
            <w:pPr>
              <w:spacing w:after="0"/>
              <w:rPr>
                <w:sz w:val="19"/>
                <w:szCs w:val="19"/>
                <w:color w:val="auto"/>
              </w:rPr>
            </w:pPr>
          </w:p>
        </w:tc>
      </w:tr>
      <w:tr>
        <w:trPr>
          <w:trHeight w:val="20"/>
        </w:trPr>
        <w:tc>
          <w:tcPr>
            <w:tcW w:w="7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at the end of the period</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756,677</w:t>
            </w:r>
          </w:p>
        </w:tc>
        <w:tc>
          <w:tcPr>
            <w:tcW w:w="9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316,424</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236,198</w:t>
            </w:r>
          </w:p>
        </w:tc>
      </w:tr>
    </w:tbl>
    <w:p>
      <w:pPr>
        <w:spacing w:after="0" w:line="19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F-9</w:t>
      </w:r>
    </w:p>
    <w:p>
      <w:pPr>
        <w:sectPr>
          <w:pgSz w:w="11900" w:h="16838" w:orient="portrait"/>
          <w:cols w:equalWidth="0" w:num="1">
            <w:col w:w="11140"/>
          </w:cols>
          <w:pgMar w:left="320" w:top="455" w:right="439" w:bottom="1440" w:gutter="0" w:footer="0" w:header="0"/>
        </w:sectPr>
      </w:pPr>
    </w:p>
    <w:bookmarkStart w:id="244" w:name="page245"/>
    <w:bookmarkEnd w:id="2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Polestar Automotive Holding Limited</w:t>
      </w:r>
    </w:p>
    <w:p>
      <w:pPr>
        <w:spacing w:after="0" w:line="2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Consolidated Statement of Changes in Equity</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37"/>
        </w:trPr>
        <w:tc>
          <w:tcPr>
            <w:tcW w:w="52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20" w:type="dxa"/>
            <w:vAlign w:val="bottom"/>
            <w:gridSpan w:val="3"/>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10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90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10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52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20" w:type="dxa"/>
            <w:vAlign w:val="bottom"/>
            <w:gridSpan w:val="3"/>
            <w:vMerge w:val="continue"/>
          </w:tcPr>
          <w:p>
            <w:pPr>
              <w:spacing w:after="0"/>
              <w:rPr>
                <w:sz w:val="10"/>
                <w:szCs w:val="10"/>
                <w:color w:val="auto"/>
              </w:rPr>
            </w:pPr>
          </w:p>
        </w:tc>
        <w:tc>
          <w:tcPr>
            <w:tcW w:w="1020" w:type="dxa"/>
            <w:vAlign w:val="bottom"/>
            <w:gridSpan w:val="2"/>
            <w:vMerge w:val="continue"/>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1040" w:type="dxa"/>
            <w:vAlign w:val="bottom"/>
            <w:gridSpan w:val="2"/>
            <w:vMerge w:val="continue"/>
          </w:tcPr>
          <w:p>
            <w:pPr>
              <w:spacing w:after="0"/>
              <w:rPr>
                <w:sz w:val="10"/>
                <w:szCs w:val="10"/>
                <w:color w:val="auto"/>
              </w:rPr>
            </w:pPr>
          </w:p>
        </w:tc>
        <w:tc>
          <w:tcPr>
            <w:tcW w:w="220" w:type="dxa"/>
            <w:vAlign w:val="bottom"/>
            <w:tcBorders>
              <w:left w:val="single" w:sz="8" w:color="auto"/>
            </w:tcBorders>
          </w:tcPr>
          <w:p>
            <w:pPr>
              <w:spacing w:after="0"/>
              <w:rPr>
                <w:sz w:val="10"/>
                <w:szCs w:val="10"/>
                <w:color w:val="auto"/>
              </w:rPr>
            </w:pPr>
          </w:p>
        </w:tc>
        <w:tc>
          <w:tcPr>
            <w:tcW w:w="9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280" w:type="dxa"/>
            <w:vAlign w:val="bottom"/>
          </w:tcPr>
          <w:p>
            <w:pPr>
              <w:spacing w:after="0"/>
              <w:rPr>
                <w:sz w:val="12"/>
                <w:szCs w:val="12"/>
                <w:color w:val="auto"/>
              </w:rPr>
            </w:pPr>
          </w:p>
        </w:tc>
        <w:tc>
          <w:tcPr>
            <w:tcW w:w="4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w w:val="99"/>
              </w:rPr>
              <w:t>Note</w:t>
            </w:r>
          </w:p>
        </w:tc>
        <w:tc>
          <w:tcPr>
            <w:tcW w:w="1020" w:type="dxa"/>
            <w:vAlign w:val="bottom"/>
            <w:gridSpan w:val="3"/>
            <w:vMerge w:val="continue"/>
          </w:tcPr>
          <w:p>
            <w:pPr>
              <w:spacing w:after="0"/>
              <w:rPr>
                <w:sz w:val="12"/>
                <w:szCs w:val="12"/>
                <w:color w:val="auto"/>
              </w:rPr>
            </w:pPr>
          </w:p>
        </w:tc>
        <w:tc>
          <w:tcPr>
            <w:tcW w:w="10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contributed</w:t>
            </w:r>
          </w:p>
        </w:tc>
        <w:tc>
          <w:tcPr>
            <w:tcW w:w="90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translation</w:t>
            </w:r>
          </w:p>
        </w:tc>
        <w:tc>
          <w:tcPr>
            <w:tcW w:w="1040" w:type="dxa"/>
            <w:vAlign w:val="bottom"/>
            <w:gridSpan w:val="2"/>
            <w:vMerge w:val="continue"/>
          </w:tcPr>
          <w:p>
            <w:pPr>
              <w:spacing w:after="0"/>
              <w:rPr>
                <w:sz w:val="12"/>
                <w:szCs w:val="12"/>
                <w:color w:val="auto"/>
              </w:rPr>
            </w:pPr>
          </w:p>
        </w:tc>
        <w:tc>
          <w:tcPr>
            <w:tcW w:w="220" w:type="dxa"/>
            <w:vAlign w:val="bottom"/>
            <w:tcBorders>
              <w:left w:val="single" w:sz="8" w:color="auto"/>
            </w:tcBorders>
          </w:tcPr>
          <w:p>
            <w:pPr>
              <w:spacing w:after="0"/>
              <w:rPr>
                <w:sz w:val="12"/>
                <w:szCs w:val="12"/>
                <w:color w:val="auto"/>
              </w:rPr>
            </w:pPr>
          </w:p>
        </w:tc>
        <w:tc>
          <w:tcPr>
            <w:tcW w:w="108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5280" w:type="dxa"/>
            <w:vAlign w:val="bottom"/>
          </w:tcPr>
          <w:p>
            <w:pPr>
              <w:spacing w:after="0"/>
              <w:rPr>
                <w:sz w:val="15"/>
                <w:szCs w:val="15"/>
                <w:color w:val="auto"/>
              </w:rPr>
            </w:pPr>
          </w:p>
        </w:tc>
        <w:tc>
          <w:tcPr>
            <w:tcW w:w="460" w:type="dxa"/>
            <w:vAlign w:val="bottom"/>
            <w:gridSpan w:val="2"/>
            <w:vMerge w:val="continue"/>
          </w:tcPr>
          <w:p>
            <w:pPr>
              <w:spacing w:after="0"/>
              <w:rPr>
                <w:sz w:val="15"/>
                <w:szCs w:val="15"/>
                <w:color w:val="auto"/>
              </w:rPr>
            </w:pPr>
          </w:p>
        </w:tc>
        <w:tc>
          <w:tcPr>
            <w:tcW w:w="102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8"/>
              </w:rPr>
              <w:t>capital</w:t>
            </w:r>
          </w:p>
        </w:tc>
        <w:tc>
          <w:tcPr>
            <w:tcW w:w="9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reserve</w:t>
            </w:r>
          </w:p>
        </w:tc>
        <w:tc>
          <w:tcPr>
            <w:tcW w:w="104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20" w:type="dxa"/>
            <w:vAlign w:val="bottom"/>
            <w:tcBorders>
              <w:left w:val="single" w:sz="8" w:color="auto"/>
            </w:tcBorders>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January 1, 2019</w:t>
            </w:r>
          </w:p>
        </w:tc>
        <w:tc>
          <w:tcPr>
            <w:tcW w:w="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6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gridSpan w:val="2"/>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631,352</w:t>
            </w:r>
          </w:p>
        </w:tc>
        <w:tc>
          <w:tcPr>
            <w:tcW w:w="2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(10,657)</w:t>
            </w:r>
          </w:p>
        </w:tc>
        <w:tc>
          <w:tcPr>
            <w:tcW w:w="16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(76,194)</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left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544,501</w:t>
            </w:r>
          </w:p>
        </w:tc>
        <w:tc>
          <w:tcPr>
            <w:tcW w:w="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(197,975)</w:t>
            </w:r>
          </w:p>
        </w:tc>
        <w:tc>
          <w:tcPr>
            <w:tcW w:w="220" w:type="dxa"/>
            <w:vAlign w:val="bottom"/>
            <w:tcBorders>
              <w:left w:val="single" w:sz="8" w:color="auto"/>
            </w:tcBorders>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(197,975)</w:t>
            </w: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(3,244)</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left w:val="single" w:sz="8" w:color="auto"/>
            </w:tcBorders>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(3,244)</w:t>
            </w:r>
          </w:p>
        </w:tc>
        <w:tc>
          <w:tcPr>
            <w:tcW w:w="0" w:type="dxa"/>
            <w:vAlign w:val="bottom"/>
          </w:tcPr>
          <w:p>
            <w:pPr>
              <w:spacing w:after="0"/>
              <w:rPr>
                <w:sz w:val="1"/>
                <w:szCs w:val="1"/>
                <w:color w:val="auto"/>
              </w:rPr>
            </w:pPr>
          </w:p>
        </w:tc>
      </w:tr>
      <w:tr>
        <w:trPr>
          <w:trHeight w:val="230"/>
        </w:trPr>
        <w:tc>
          <w:tcPr>
            <w:tcW w:w="5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comprehensive loss</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Borders>
              <w:top w:val="single" w:sz="8" w:color="auto"/>
              <w:bottom w:val="single" w:sz="8" w:color="auto"/>
            </w:tcBorders>
          </w:tcPr>
          <w:p>
            <w:pPr>
              <w:ind w:left="52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(3,244)</w:t>
            </w:r>
          </w:p>
        </w:tc>
        <w:tc>
          <w:tcPr>
            <w:tcW w:w="160" w:type="dxa"/>
            <w:vAlign w:val="bottom"/>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(197,975)</w:t>
            </w:r>
          </w:p>
        </w:tc>
        <w:tc>
          <w:tcPr>
            <w:tcW w:w="120" w:type="dxa"/>
            <w:vAlign w:val="bottom"/>
          </w:tcPr>
          <w:p>
            <w:pPr>
              <w:spacing w:after="0"/>
              <w:rPr>
                <w:sz w:val="20"/>
                <w:szCs w:val="20"/>
                <w:color w:val="auto"/>
              </w:rPr>
            </w:pPr>
          </w:p>
        </w:tc>
        <w:tc>
          <w:tcPr>
            <w:tcW w:w="220" w:type="dxa"/>
            <w:vAlign w:val="bottom"/>
            <w:tcBorders>
              <w:left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(201,219)</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Shareholders’ contributions</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247,880</w:t>
            </w: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tcBorders>
              <w:left w:val="single" w:sz="8" w:color="auto"/>
            </w:tcBorders>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247,880</w:t>
            </w:r>
          </w:p>
        </w:tc>
        <w:tc>
          <w:tcPr>
            <w:tcW w:w="0" w:type="dxa"/>
            <w:vAlign w:val="bottom"/>
          </w:tcPr>
          <w:p>
            <w:pPr>
              <w:spacing w:after="0"/>
              <w:rPr>
                <w:sz w:val="1"/>
                <w:szCs w:val="1"/>
                <w:color w:val="auto"/>
              </w:rPr>
            </w:pPr>
          </w:p>
        </w:tc>
      </w:tr>
      <w:tr>
        <w:trPr>
          <w:trHeight w:val="230"/>
        </w:trPr>
        <w:tc>
          <w:tcPr>
            <w:tcW w:w="5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2019</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879,232</w:t>
            </w:r>
          </w:p>
        </w:tc>
        <w:tc>
          <w:tcPr>
            <w:tcW w:w="220" w:type="dxa"/>
            <w:vAlign w:val="bottom"/>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(13,901)</w:t>
            </w:r>
          </w:p>
        </w:tc>
        <w:tc>
          <w:tcPr>
            <w:tcW w:w="160" w:type="dxa"/>
            <w:vAlign w:val="bottom"/>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(274,169)</w:t>
            </w:r>
          </w:p>
        </w:tc>
        <w:tc>
          <w:tcPr>
            <w:tcW w:w="120" w:type="dxa"/>
            <w:vAlign w:val="bottom"/>
          </w:tcPr>
          <w:p>
            <w:pPr>
              <w:spacing w:after="0"/>
              <w:rPr>
                <w:sz w:val="20"/>
                <w:szCs w:val="20"/>
                <w:color w:val="auto"/>
              </w:rPr>
            </w:pPr>
          </w:p>
        </w:tc>
        <w:tc>
          <w:tcPr>
            <w:tcW w:w="220" w:type="dxa"/>
            <w:vAlign w:val="bottom"/>
            <w:tcBorders>
              <w:left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591,162</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(484,858)</w:t>
            </w:r>
          </w:p>
        </w:tc>
        <w:tc>
          <w:tcPr>
            <w:tcW w:w="220" w:type="dxa"/>
            <w:vAlign w:val="bottom"/>
            <w:tcBorders>
              <w:left w:val="single" w:sz="8" w:color="auto"/>
            </w:tcBorders>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(484,858)</w:t>
            </w:r>
          </w:p>
        </w:tc>
        <w:tc>
          <w:tcPr>
            <w:tcW w:w="0" w:type="dxa"/>
            <w:vAlign w:val="bottom"/>
          </w:tcPr>
          <w:p>
            <w:pPr>
              <w:spacing w:after="0"/>
              <w:rPr>
                <w:sz w:val="1"/>
                <w:szCs w:val="1"/>
                <w:color w:val="auto"/>
              </w:rPr>
            </w:pPr>
          </w:p>
        </w:tc>
      </w:tr>
      <w:tr>
        <w:trPr>
          <w:trHeight w:val="223"/>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tcPr>
          <w:p>
            <w:pPr>
              <w:spacing w:after="0"/>
              <w:rPr>
                <w:sz w:val="19"/>
                <w:szCs w:val="19"/>
                <w:color w:val="auto"/>
              </w:rPr>
            </w:pPr>
          </w:p>
        </w:tc>
        <w:tc>
          <w:tcPr>
            <w:tcW w:w="80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30,266</w:t>
            </w:r>
          </w:p>
        </w:tc>
        <w:tc>
          <w:tcPr>
            <w:tcW w:w="16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20" w:type="dxa"/>
            <w:vAlign w:val="bottom"/>
            <w:tcBorders>
              <w:left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30,266</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comprehensive loss</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30,266</w:t>
            </w: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(484,858)</w:t>
            </w:r>
          </w:p>
        </w:tc>
        <w:tc>
          <w:tcPr>
            <w:tcW w:w="220" w:type="dxa"/>
            <w:vAlign w:val="bottom"/>
            <w:tcBorders>
              <w:left w:val="single" w:sz="8" w:color="auto"/>
            </w:tcBorders>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(454,592)</w:t>
            </w:r>
          </w:p>
        </w:tc>
        <w:tc>
          <w:tcPr>
            <w:tcW w:w="0" w:type="dxa"/>
            <w:vAlign w:val="bottom"/>
          </w:tcPr>
          <w:p>
            <w:pPr>
              <w:spacing w:after="0"/>
              <w:rPr>
                <w:sz w:val="1"/>
                <w:szCs w:val="1"/>
                <w:color w:val="auto"/>
              </w:rPr>
            </w:pPr>
          </w:p>
        </w:tc>
      </w:tr>
      <w:tr>
        <w:trPr>
          <w:trHeight w:val="223"/>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Changes in the consolidated group</w:t>
            </w: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880,412</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(879,232)</w:t>
            </w:r>
          </w:p>
        </w:tc>
        <w:tc>
          <w:tcPr>
            <w:tcW w:w="220" w:type="dxa"/>
            <w:vAlign w:val="bottom"/>
          </w:tcPr>
          <w:p>
            <w:pPr>
              <w:spacing w:after="0"/>
              <w:rPr>
                <w:sz w:val="19"/>
                <w:szCs w:val="19"/>
                <w:color w:val="auto"/>
              </w:rPr>
            </w:pPr>
          </w:p>
        </w:tc>
        <w:tc>
          <w:tcPr>
            <w:tcW w:w="74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4,621</w:t>
            </w:r>
          </w:p>
        </w:tc>
        <w:tc>
          <w:tcPr>
            <w:tcW w:w="120" w:type="dxa"/>
            <w:vAlign w:val="bottom"/>
          </w:tcPr>
          <w:p>
            <w:pPr>
              <w:spacing w:after="0"/>
              <w:rPr>
                <w:sz w:val="19"/>
                <w:szCs w:val="19"/>
                <w:color w:val="auto"/>
              </w:rPr>
            </w:pPr>
          </w:p>
        </w:tc>
        <w:tc>
          <w:tcPr>
            <w:tcW w:w="220" w:type="dxa"/>
            <w:vAlign w:val="bottom"/>
            <w:tcBorders>
              <w:left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5,801</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new shares</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438,340</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left w:val="single" w:sz="8" w:color="auto"/>
            </w:tcBorders>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438,340</w:t>
            </w:r>
          </w:p>
        </w:tc>
        <w:tc>
          <w:tcPr>
            <w:tcW w:w="0" w:type="dxa"/>
            <w:vAlign w:val="bottom"/>
          </w:tcPr>
          <w:p>
            <w:pPr>
              <w:spacing w:after="0"/>
              <w:rPr>
                <w:sz w:val="1"/>
                <w:szCs w:val="1"/>
                <w:color w:val="auto"/>
              </w:rPr>
            </w:pPr>
          </w:p>
        </w:tc>
      </w:tr>
      <w:tr>
        <w:trPr>
          <w:trHeight w:val="230"/>
        </w:trPr>
        <w:tc>
          <w:tcPr>
            <w:tcW w:w="5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2020</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1,318,752</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Borders>
              <w:top w:val="single" w:sz="8" w:color="auto"/>
              <w:bottom w:val="single" w:sz="8" w:color="auto"/>
            </w:tcBorders>
          </w:tcPr>
          <w:p>
            <w:pPr>
              <w:ind w:left="52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16,365</w:t>
            </w:r>
          </w:p>
        </w:tc>
        <w:tc>
          <w:tcPr>
            <w:tcW w:w="160" w:type="dxa"/>
            <w:vAlign w:val="bottom"/>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(754,406)</w:t>
            </w:r>
          </w:p>
        </w:tc>
        <w:tc>
          <w:tcPr>
            <w:tcW w:w="120" w:type="dxa"/>
            <w:vAlign w:val="bottom"/>
          </w:tcPr>
          <w:p>
            <w:pPr>
              <w:spacing w:after="0"/>
              <w:rPr>
                <w:sz w:val="20"/>
                <w:szCs w:val="20"/>
                <w:color w:val="auto"/>
              </w:rPr>
            </w:pPr>
          </w:p>
        </w:tc>
        <w:tc>
          <w:tcPr>
            <w:tcW w:w="220" w:type="dxa"/>
            <w:vAlign w:val="bottom"/>
            <w:tcBorders>
              <w:left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580,711</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(1,007,454)</w:t>
            </w:r>
          </w:p>
        </w:tc>
        <w:tc>
          <w:tcPr>
            <w:tcW w:w="220" w:type="dxa"/>
            <w:vAlign w:val="bottom"/>
            <w:tcBorders>
              <w:left w:val="single" w:sz="8" w:color="auto"/>
            </w:tcBorders>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(1,007,454)</w:t>
            </w: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tcPr>
          <w:p>
            <w:pPr>
              <w:spacing w:after="0"/>
              <w:rPr>
                <w:sz w:val="18"/>
                <w:szCs w:val="18"/>
                <w:color w:val="auto"/>
              </w:rPr>
            </w:pPr>
          </w:p>
        </w:tc>
        <w:tc>
          <w:tcPr>
            <w:tcW w:w="8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(33,149)</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left w:val="single" w:sz="8" w:color="auto"/>
            </w:tcBorders>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(33,149)</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left w:val="single" w:sz="8" w:color="auto"/>
            </w:tcBorders>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comprehensive loss</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gridSpan w:val="2"/>
            <w:shd w:val="clear" w:color="auto" w:fill="CCEEFF"/>
          </w:tcPr>
          <w:p>
            <w:pPr>
              <w:spacing w:after="0"/>
              <w:rPr>
                <w:sz w:val="18"/>
                <w:szCs w:val="18"/>
                <w:color w:val="auto"/>
              </w:rPr>
            </w:pPr>
          </w:p>
        </w:tc>
        <w:tc>
          <w:tcPr>
            <w:tcW w:w="8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(33,149)</w:t>
            </w: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(1,007,454)</w:t>
            </w:r>
          </w:p>
        </w:tc>
        <w:tc>
          <w:tcPr>
            <w:tcW w:w="220" w:type="dxa"/>
            <w:vAlign w:val="bottom"/>
            <w:tcBorders>
              <w:left w:val="single" w:sz="8" w:color="auto"/>
            </w:tcBorders>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(1,040,603)</w:t>
            </w:r>
          </w:p>
        </w:tc>
        <w:tc>
          <w:tcPr>
            <w:tcW w:w="0" w:type="dxa"/>
            <w:vAlign w:val="bottom"/>
          </w:tcPr>
          <w:p>
            <w:pPr>
              <w:spacing w:after="0"/>
              <w:rPr>
                <w:sz w:val="1"/>
                <w:szCs w:val="1"/>
                <w:color w:val="auto"/>
              </w:rPr>
            </w:pPr>
          </w:p>
        </w:tc>
      </w:tr>
      <w:tr>
        <w:trPr>
          <w:trHeight w:val="223"/>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Shareholders’ contributions</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35,231</w:t>
            </w:r>
          </w:p>
        </w:tc>
        <w:tc>
          <w:tcPr>
            <w:tcW w:w="220" w:type="dxa"/>
            <w:vAlign w:val="bottom"/>
          </w:tcPr>
          <w:p>
            <w:pPr>
              <w:spacing w:after="0"/>
              <w:rPr>
                <w:sz w:val="19"/>
                <w:szCs w:val="19"/>
                <w:color w:val="auto"/>
              </w:rPr>
            </w:pPr>
          </w:p>
        </w:tc>
        <w:tc>
          <w:tcPr>
            <w:tcW w:w="74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20" w:type="dxa"/>
            <w:vAlign w:val="bottom"/>
            <w:tcBorders>
              <w:left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35,231</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new shares</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547,157</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left w:val="single" w:sz="8" w:color="auto"/>
            </w:tcBorders>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547,157</w:t>
            </w:r>
          </w:p>
        </w:tc>
        <w:tc>
          <w:tcPr>
            <w:tcW w:w="0" w:type="dxa"/>
            <w:vAlign w:val="bottom"/>
          </w:tcPr>
          <w:p>
            <w:pPr>
              <w:spacing w:after="0"/>
              <w:rPr>
                <w:sz w:val="1"/>
                <w:szCs w:val="1"/>
                <w:color w:val="auto"/>
              </w:rPr>
            </w:pPr>
          </w:p>
        </w:tc>
      </w:tr>
      <w:tr>
        <w:trPr>
          <w:trHeight w:val="230"/>
        </w:trPr>
        <w:tc>
          <w:tcPr>
            <w:tcW w:w="5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2021</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1,865,909</w:t>
            </w:r>
          </w:p>
        </w:tc>
        <w:tc>
          <w:tcPr>
            <w:tcW w:w="2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35,231</w:t>
            </w:r>
          </w:p>
        </w:tc>
        <w:tc>
          <w:tcPr>
            <w:tcW w:w="220" w:type="dxa"/>
            <w:vAlign w:val="bottom"/>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(16,784)</w:t>
            </w:r>
          </w:p>
        </w:tc>
        <w:tc>
          <w:tcPr>
            <w:tcW w:w="160" w:type="dxa"/>
            <w:vAlign w:val="bottom"/>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(1,761,860)</w:t>
            </w:r>
          </w:p>
        </w:tc>
        <w:tc>
          <w:tcPr>
            <w:tcW w:w="120" w:type="dxa"/>
            <w:vAlign w:val="bottom"/>
          </w:tcPr>
          <w:p>
            <w:pPr>
              <w:spacing w:after="0"/>
              <w:rPr>
                <w:sz w:val="20"/>
                <w:szCs w:val="20"/>
                <w:color w:val="auto"/>
              </w:rPr>
            </w:pPr>
          </w:p>
        </w:tc>
        <w:tc>
          <w:tcPr>
            <w:tcW w:w="220" w:type="dxa"/>
            <w:vAlign w:val="bottom"/>
            <w:tcBorders>
              <w:left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122,496</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F-10</w:t>
      </w:r>
    </w:p>
    <w:p>
      <w:pPr>
        <w:sectPr>
          <w:pgSz w:w="11900" w:h="16838" w:orient="portrait"/>
          <w:cols w:equalWidth="0" w:num="1">
            <w:col w:w="11140"/>
          </w:cols>
          <w:pgMar w:left="320" w:top="455" w:right="439" w:bottom="1440" w:gutter="0" w:footer="0" w:header="0"/>
        </w:sectPr>
      </w:pPr>
    </w:p>
    <w:bookmarkStart w:id="245" w:name="page246"/>
    <w:bookmarkEnd w:id="2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p>
      <w:pPr>
        <w:spacing w:after="0" w:line="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1 - Significant accounting policies and judgements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 information</w:t>
      </w:r>
    </w:p>
    <w:p>
      <w:pPr>
        <w:spacing w:after="0" w:line="121"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Polestar Automotive Holding Limited (the “Parent”), together with its subsidiaries, hereafter referred to as “Polestar,” “Polestar Group” or the “Group,” is a limited company incorporated in Hong Kong. Polestar Group operates principally in the automotive industry, engaging in research and development, manufacturing, branding and marketing, and the commercialisation and selling of vehicles, technology solutions and services related to battery electric vehicles. Polestar Group has a presence in nineteen markets across Europe, North America, and Asia. Polestar Group has its management headquarters located at Assar Gabrielssons väg 9, 41878 Göteborg, Sweden.</w:t>
      </w:r>
    </w:p>
    <w:p>
      <w:pPr>
        <w:spacing w:after="0" w:line="183" w:lineRule="exact"/>
        <w:rPr>
          <w:sz w:val="20"/>
          <w:szCs w:val="20"/>
          <w:color w:val="auto"/>
        </w:rPr>
      </w:pPr>
    </w:p>
    <w:p>
      <w:pPr>
        <w:ind w:left="120" w:right="240"/>
        <w:spacing w:after="0" w:line="266" w:lineRule="auto"/>
        <w:rPr>
          <w:sz w:val="20"/>
          <w:szCs w:val="20"/>
          <w:color w:val="auto"/>
        </w:rPr>
      </w:pPr>
      <w:r>
        <w:rPr>
          <w:rFonts w:ascii="Times New Roman" w:cs="Times New Roman" w:eastAsia="Times New Roman" w:hAnsi="Times New Roman"/>
          <w:sz w:val="18"/>
          <w:szCs w:val="18"/>
          <w:color w:val="auto"/>
        </w:rPr>
        <w:t>In September 2020, a common control transaction restructured Polestar Group such that the parent company changed from Polestar Automotive (Shanghai) Co., Ltd (incorporated in the People’s Republic of China) to Polestar Automotive Holding Limited (incorporated in Hong Kong). Refer to Note 3 – Common control transaction for more details.</w:t>
      </w:r>
    </w:p>
    <w:p>
      <w:pPr>
        <w:spacing w:after="0" w:line="176"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Polestar Group operations remained unchanged through this transaction. However, the jurisdiction changed from China to Hong Kong and the reporting currency changed from the Renminbi (“CNY”), the official currency of the People’s Republic of China, to the United States dollar (“USD”). The reporting currency of Polestar Group is the same as the currency of the registered share capital of the parent company.</w:t>
      </w:r>
    </w:p>
    <w:p>
      <w:pPr>
        <w:spacing w:after="0" w:line="176" w:lineRule="exact"/>
        <w:rPr>
          <w:sz w:val="20"/>
          <w:szCs w:val="20"/>
          <w:color w:val="auto"/>
        </w:rPr>
      </w:pPr>
    </w:p>
    <w:p>
      <w:pPr>
        <w:ind w:left="120" w:right="320"/>
        <w:spacing w:after="0" w:line="261" w:lineRule="auto"/>
        <w:rPr>
          <w:sz w:val="20"/>
          <w:szCs w:val="20"/>
          <w:color w:val="auto"/>
        </w:rPr>
      </w:pPr>
      <w:r>
        <w:rPr>
          <w:rFonts w:ascii="Times New Roman" w:cs="Times New Roman" w:eastAsia="Times New Roman" w:hAnsi="Times New Roman"/>
          <w:sz w:val="18"/>
          <w:szCs w:val="18"/>
          <w:color w:val="auto"/>
        </w:rPr>
        <w:t>On September 27, 2021, Polestar Group entered into a business combination agreement with Gores Guggenheim Inc., a Special Purpose Acquisition Company (“SPAC”). Immediately following the closing of the proposed transaction, the post-combination company intends to change its name to Polestar Automotive Holding UK Limited and expects to begin trading on the National Association of Securities Dealers Automated Quotations (“NASDAQ”) under the ticker symbol “PSNY.”</w:t>
      </w:r>
    </w:p>
    <w:p>
      <w:pPr>
        <w:spacing w:after="0" w:line="180" w:lineRule="exact"/>
        <w:rPr>
          <w:sz w:val="20"/>
          <w:szCs w:val="20"/>
          <w:color w:val="auto"/>
        </w:rPr>
      </w:pPr>
    </w:p>
    <w:p>
      <w:pPr>
        <w:ind w:left="120" w:right="160"/>
        <w:spacing w:after="0" w:line="266" w:lineRule="auto"/>
        <w:rPr>
          <w:sz w:val="20"/>
          <w:szCs w:val="20"/>
          <w:color w:val="auto"/>
        </w:rPr>
      </w:pPr>
      <w:r>
        <w:rPr>
          <w:rFonts w:ascii="Times New Roman" w:cs="Times New Roman" w:eastAsia="Times New Roman" w:hAnsi="Times New Roman"/>
          <w:sz w:val="18"/>
          <w:szCs w:val="18"/>
          <w:color w:val="auto"/>
        </w:rPr>
        <w:t>As of December 31, 2021, PSD Investment Limited, a company controlled by Mr. Li Shufu, a private person, owns 42.7% of the Group. An additional 49.5% is owned by Volvo Cars via its subsidiaries Snita Holding B.V. and PS Investment AB, both limited companies. Other related parties and management own 1.8%, and the remaining 6.0% ownership is held by external investors.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Basis of preparation</w:t>
      </w:r>
    </w:p>
    <w:p>
      <w:pPr>
        <w:spacing w:after="0" w:line="121" w:lineRule="exact"/>
        <w:rPr>
          <w:sz w:val="20"/>
          <w:szCs w:val="20"/>
          <w:color w:val="auto"/>
        </w:rPr>
      </w:pPr>
    </w:p>
    <w:p>
      <w:pPr>
        <w:ind w:left="120" w:right="100"/>
        <w:spacing w:after="0" w:line="256" w:lineRule="auto"/>
        <w:rPr>
          <w:sz w:val="20"/>
          <w:szCs w:val="20"/>
          <w:color w:val="auto"/>
        </w:rPr>
      </w:pPr>
      <w:r>
        <w:rPr>
          <w:rFonts w:ascii="Times New Roman" w:cs="Times New Roman" w:eastAsia="Times New Roman" w:hAnsi="Times New Roman"/>
          <w:sz w:val="18"/>
          <w:szCs w:val="18"/>
          <w:color w:val="auto"/>
        </w:rPr>
        <w:t>The Consolidated Financial Statements in this annual report of Polestar Group are prepared in accordance with the International Financial Reporting Standards (“IFRS”) issued by the International Accounting Standards Board (“IASB”). The financial statements have been prepared on the historical cost basis, except for the revaluation of certain financial instruments that are measured at fair values at the end of each reporting period, as explained in the accounting policies below. For group financial reporting purposes, Polestar Group companies apply the same accounting principles, irrespective of national legislation, as defined in the Group accounting directives. Such accounting principals have been applied consistently for all periods, unless otherwise stated.</w:t>
      </w:r>
    </w:p>
    <w:p>
      <w:pPr>
        <w:spacing w:after="0" w:line="1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This annual report is prepared in the presentation currency USD.</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Going concern</w:t>
      </w:r>
    </w:p>
    <w:p>
      <w:pPr>
        <w:spacing w:after="0" w:line="121" w:lineRule="exact"/>
        <w:rPr>
          <w:sz w:val="20"/>
          <w:szCs w:val="20"/>
          <w:color w:val="auto"/>
        </w:rPr>
      </w:pPr>
    </w:p>
    <w:p>
      <w:pPr>
        <w:ind w:left="120" w:right="440"/>
        <w:spacing w:after="0" w:line="282" w:lineRule="auto"/>
        <w:rPr>
          <w:sz w:val="20"/>
          <w:szCs w:val="20"/>
          <w:color w:val="auto"/>
        </w:rPr>
      </w:pPr>
      <w:r>
        <w:rPr>
          <w:rFonts w:ascii="Times New Roman" w:cs="Times New Roman" w:eastAsia="Times New Roman" w:hAnsi="Times New Roman"/>
          <w:sz w:val="18"/>
          <w:szCs w:val="18"/>
          <w:color w:val="auto"/>
        </w:rPr>
        <w:t>Polestar Group’s financial statements have been prepared on a basis that assumes Polestar Group will continue as a going concern and the ordinary course of business will continue in alignment with Management’s 2022-2025 business plan.</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F-11</w:t>
      </w:r>
    </w:p>
    <w:p>
      <w:pPr>
        <w:sectPr>
          <w:pgSz w:w="11900" w:h="16838" w:orient="portrait"/>
          <w:cols w:equalWidth="0" w:num="1">
            <w:col w:w="11120"/>
          </w:cols>
          <w:pgMar w:left="320" w:top="455" w:right="459" w:bottom="1440" w:gutter="0" w:footer="0" w:header="0"/>
        </w:sectPr>
      </w:pPr>
    </w:p>
    <w:bookmarkStart w:id="246" w:name="page247"/>
    <w:bookmarkEnd w:id="2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p>
      <w:pPr>
        <w:spacing w:after="0" w:line="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34"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Management assessed Polestar Group’s ability to continue as a going concern and evaluated whether there are certain events or conditions, considered in the aggregate, that may cast substantial doubt about Polestar Group’s ability to continue as a going concern. All information available to Management pertaining to the twelve-month period after the issuance date of these consolidated financial statements was used in performing this assessment.</w:t>
      </w:r>
    </w:p>
    <w:p>
      <w:pPr>
        <w:spacing w:after="0" w:line="176" w:lineRule="exact"/>
        <w:rPr>
          <w:sz w:val="20"/>
          <w:szCs w:val="20"/>
          <w:color w:val="auto"/>
        </w:rPr>
      </w:pPr>
    </w:p>
    <w:p>
      <w:pPr>
        <w:ind w:left="120" w:right="40"/>
        <w:spacing w:after="0" w:line="255" w:lineRule="auto"/>
        <w:rPr>
          <w:sz w:val="20"/>
          <w:szCs w:val="20"/>
          <w:color w:val="auto"/>
        </w:rPr>
      </w:pPr>
      <w:r>
        <w:rPr>
          <w:rFonts w:ascii="Times New Roman" w:cs="Times New Roman" w:eastAsia="Times New Roman" w:hAnsi="Times New Roman"/>
          <w:sz w:val="18"/>
          <w:szCs w:val="18"/>
          <w:color w:val="auto"/>
        </w:rPr>
        <w:t>Historically, Polestar Group has financed its operations primarily through short-term working capital loan arrangements with credit institutions (i.e., 12 months or less), contributions from shareholders, and extended trade credit from related parties. Since inception, Polestar Group has generated recurring net losses and negative operating and investing cash flows. Net losses for the years ended December 31, 2021, 2020 and 2019, amounted to $1,007,454, $484,858 and $197,975, respectively. Negative operating and investing cash flows for the years ended December 31, 2021, 2020 and 2019, amounted to $441,828, $300,757 and $475,507. respectively</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Management forecasts that Polestar Group will continue to generate negative operating and investing cash flows in the near future, until sustainable commercial operations are achieved. Securing financing to support operating and development activities represents an ongoing challenge for Polestar Group.</w:t>
      </w:r>
    </w:p>
    <w:p>
      <w:pPr>
        <w:spacing w:after="0" w:line="189"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Management’s 2022-2025 business plan indicates that Polestar Group depends on additional financing that is expected to be funded via a combination of new short-term working capital loan arrangements, long-term loan arrangements, private equity contributions from existing shareholders, and the successful public listing in the United States from a merger with a SPAC that is expected to be completed in the first half of 2022. The timely realisation of these financing endeavors is crucial for Polestar Group’s ability to continue as a going concern. If Polestar is unable to obtain financing from these sources or if such financing is not sufficient to cover forecasted operating and investing cash flow needs, Polestar Group will need to seek additional funding through other means (e.g., issuing new shares of equity or issuing bonds). Management has no certainty that Polestar Group will be successful in securing the funds necessary to continue operating and development activities as planned.</w:t>
      </w:r>
    </w:p>
    <w:p>
      <w:pPr>
        <w:spacing w:after="0" w:line="189" w:lineRule="exact"/>
        <w:rPr>
          <w:sz w:val="20"/>
          <w:szCs w:val="20"/>
          <w:color w:val="auto"/>
        </w:rPr>
      </w:pPr>
    </w:p>
    <w:p>
      <w:pPr>
        <w:jc w:val="both"/>
        <w:ind w:left="120" w:right="380"/>
        <w:spacing w:after="0" w:line="266" w:lineRule="auto"/>
        <w:rPr>
          <w:sz w:val="20"/>
          <w:szCs w:val="20"/>
          <w:color w:val="auto"/>
        </w:rPr>
      </w:pPr>
      <w:r>
        <w:rPr>
          <w:rFonts w:ascii="Times New Roman" w:cs="Times New Roman" w:eastAsia="Times New Roman" w:hAnsi="Times New Roman"/>
          <w:sz w:val="18"/>
          <w:szCs w:val="18"/>
          <w:color w:val="auto"/>
        </w:rPr>
        <w:t>Based on these circumstances, Management has determined there is substantial doubt about Polestar Group’s ability to continue as a going concern. There are ongoing efforts in place to mitigate the uncertainty. The consolidated financial statements do not include any adjustments to factor for the going concern uncertainty.</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Adoption of new and revised standards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Effects of new and amended IFRS</w:t>
      </w:r>
    </w:p>
    <w:p>
      <w:pPr>
        <w:spacing w:after="0" w:line="119" w:lineRule="exact"/>
        <w:rPr>
          <w:sz w:val="20"/>
          <w:szCs w:val="20"/>
          <w:color w:val="auto"/>
        </w:rPr>
      </w:pPr>
    </w:p>
    <w:p>
      <w:pPr>
        <w:ind w:left="120" w:right="400"/>
        <w:spacing w:after="0" w:line="282" w:lineRule="auto"/>
        <w:rPr>
          <w:sz w:val="20"/>
          <w:szCs w:val="20"/>
          <w:color w:val="auto"/>
        </w:rPr>
      </w:pPr>
      <w:r>
        <w:rPr>
          <w:rFonts w:ascii="Times New Roman" w:cs="Times New Roman" w:eastAsia="Times New Roman" w:hAnsi="Times New Roman"/>
          <w:sz w:val="18"/>
          <w:szCs w:val="18"/>
          <w:color w:val="auto"/>
        </w:rPr>
        <w:t>Management has concluded the adoption of any of the below accounting pronouncements has not or will not have a material impact on the Group’s financial statements.</w:t>
      </w:r>
    </w:p>
    <w:p>
      <w:pPr>
        <w:spacing w:after="0" w:line="162"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In May 2020, the IASB published an amendment to IFRS 16 – Leases (“IFRS 16”) – COVID-19-Related Rent Concessions in which they provide an accounting policy choice to lessees to apply practical relief for rent concessions arising due to the COVID-19 pandemic. The practical expedient permits a lessee to elect not to assess whether a COVID-19-related rent concession is a lease modification and instead account for any change in lease payments resulting from the COVID-19-related rent concessions as it would under IFRS 16 – Leases, if the change were not a lease modification. In March 2021, the IASB published an amendment to IFRS 16 for Covid-19-related rent concessions beyond June 30, 2021 that extends the applicability of the 2020 amendment to IFRS 16.</w:t>
      </w:r>
    </w:p>
    <w:p>
      <w:pPr>
        <w:spacing w:after="0" w:line="187" w:lineRule="exact"/>
        <w:rPr>
          <w:sz w:val="20"/>
          <w:szCs w:val="20"/>
          <w:color w:val="auto"/>
        </w:rPr>
      </w:pPr>
    </w:p>
    <w:p>
      <w:pPr>
        <w:jc w:val="both"/>
        <w:ind w:left="120" w:right="300"/>
        <w:spacing w:after="0" w:line="266" w:lineRule="auto"/>
        <w:rPr>
          <w:sz w:val="20"/>
          <w:szCs w:val="20"/>
          <w:color w:val="auto"/>
        </w:rPr>
      </w:pPr>
      <w:r>
        <w:rPr>
          <w:rFonts w:ascii="Times New Roman" w:cs="Times New Roman" w:eastAsia="Times New Roman" w:hAnsi="Times New Roman"/>
          <w:sz w:val="18"/>
          <w:szCs w:val="18"/>
          <w:color w:val="auto"/>
        </w:rPr>
        <w:t>In August 2020, the IASB published Interest Rate Benchmark Reform Phase 2 (Amendments to IFRS 9 – Financial Instruments (“IFRS 9”), IAS 39, IFRS 7, IFRS 4 – Insurance Contracts (“IFRS 4”) and IFRS 16), finalising its response to the ongoing reform of interest rate benchmarks around the world. The amendments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F-12</w:t>
      </w:r>
    </w:p>
    <w:p>
      <w:pPr>
        <w:sectPr>
          <w:pgSz w:w="11900" w:h="16838" w:orient="portrait"/>
          <w:cols w:equalWidth="0" w:num="1">
            <w:col w:w="11120"/>
          </w:cols>
          <w:pgMar w:left="320" w:top="455" w:right="459" w:bottom="1440" w:gutter="0" w:footer="0" w:header="0"/>
        </w:sectPr>
      </w:pPr>
    </w:p>
    <w:bookmarkStart w:id="247" w:name="page248"/>
    <w:bookmarkEnd w:id="2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p>
      <w:pPr>
        <w:spacing w:after="0" w:line="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34" w:lineRule="exact"/>
        <w:rPr>
          <w:sz w:val="20"/>
          <w:szCs w:val="20"/>
          <w:color w:val="auto"/>
        </w:rPr>
      </w:pPr>
    </w:p>
    <w:p>
      <w:pPr>
        <w:ind w:left="120" w:right="80"/>
        <w:spacing w:after="0" w:line="256" w:lineRule="auto"/>
        <w:rPr>
          <w:sz w:val="20"/>
          <w:szCs w:val="20"/>
          <w:color w:val="auto"/>
        </w:rPr>
      </w:pPr>
      <w:r>
        <w:rPr>
          <w:rFonts w:ascii="Times New Roman" w:cs="Times New Roman" w:eastAsia="Times New Roman" w:hAnsi="Times New Roman"/>
          <w:sz w:val="18"/>
          <w:szCs w:val="18"/>
          <w:color w:val="auto"/>
        </w:rPr>
        <w:t>relate to changes to contractual cash flows, hedge accounting, and disclosures. For changes to contractual cash flows, a company is not required to derecognise or adjust the carrying amount of a financial instrument for changes required by the interest rate benchmark reform but will instead update the effective interest rate to reflect the change to the alternative benchmark rate. Related to hedge accounting, a company does not have to discontinue its hedge accounting solely because it makes changes required by the interest rate benchmark reform if the hedge meets other hedge accounting criteria. Amendments to disclosure requirements aim to assist reporting entities to provide investors with useful information about the effects of the reform on their financial statements.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New and amended IFRS issued but not yet effective</w:t>
      </w:r>
    </w:p>
    <w:p>
      <w:pPr>
        <w:spacing w:after="0" w:line="119" w:lineRule="exact"/>
        <w:rPr>
          <w:sz w:val="20"/>
          <w:szCs w:val="20"/>
          <w:color w:val="auto"/>
        </w:rPr>
      </w:pPr>
    </w:p>
    <w:p>
      <w:pPr>
        <w:ind w:left="120" w:right="580"/>
        <w:spacing w:after="0" w:line="282" w:lineRule="auto"/>
        <w:rPr>
          <w:sz w:val="20"/>
          <w:szCs w:val="20"/>
          <w:color w:val="auto"/>
        </w:rPr>
      </w:pPr>
      <w:r>
        <w:rPr>
          <w:rFonts w:ascii="Times New Roman" w:cs="Times New Roman" w:eastAsia="Times New Roman" w:hAnsi="Times New Roman"/>
          <w:sz w:val="18"/>
          <w:szCs w:val="18"/>
          <w:color w:val="auto"/>
        </w:rPr>
        <w:t>Management has concluded the adoption of any of the below accounting pronouncements, that were issued but not effective for the period ended December 31, 2021, will not have a material impact on the Group’s financial statements.</w:t>
      </w:r>
    </w:p>
    <w:p>
      <w:pPr>
        <w:spacing w:after="0" w:line="162"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The amendment to IFRS 3 updates reference to the Conceptual Framework for Financial Reporting and adds an exception for the recognition of liabilities and contingent liabilities within the scope of IAS 37 – Provisions, Contingent Liabilities and Contingent Assets (“IAS 37”) and IFRIC Interpretation 21 – Liens (“IFRIC 21”). The amendment also clarifies that contingent assets acquired in a business combination should not be recognised by the acquirer at the acquisition date. This amendment will be effective for annual reporting periods beginning on or after January 1, 2022.</w:t>
      </w:r>
    </w:p>
    <w:p>
      <w:pPr>
        <w:spacing w:after="0" w:line="180" w:lineRule="exact"/>
        <w:rPr>
          <w:sz w:val="20"/>
          <w:szCs w:val="20"/>
          <w:color w:val="auto"/>
        </w:rPr>
      </w:pPr>
    </w:p>
    <w:p>
      <w:pPr>
        <w:ind w:left="120" w:right="240"/>
        <w:spacing w:after="0" w:line="312" w:lineRule="auto"/>
        <w:rPr>
          <w:sz w:val="20"/>
          <w:szCs w:val="20"/>
          <w:color w:val="auto"/>
        </w:rPr>
      </w:pPr>
      <w:r>
        <w:rPr>
          <w:rFonts w:ascii="Times New Roman" w:cs="Times New Roman" w:eastAsia="Times New Roman" w:hAnsi="Times New Roman"/>
          <w:sz w:val="17"/>
          <w:szCs w:val="17"/>
          <w:color w:val="auto"/>
        </w:rPr>
        <w:t>The amendment to IAS 37 clarifies that both incremental and other contract performance costs directly related to the performance of the contracts are classified as direct contract performance costs. This amendment will be effective for annual reporting periods beginning on or after January 1, 2022.</w:t>
      </w:r>
    </w:p>
    <w:p>
      <w:pPr>
        <w:spacing w:after="0" w:line="140"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Amendments to IAS 16 – Property, Plant and Equipment (“IAS 16”) clarify the accounting for costs related to the sale of property, plant and equipment (“PPE”). The amendment prohibits deducting proceeds produced before an asset is available for use from its cost. Accordingly, an entity will recognise such sales proceeds and related costs in profit or loss. The amendment also clarifies the meaning of “testing whether an asset is functioning properly” as assessing if the technical and physical performance of the asset matches the capabilities needed to be used in the production or supply of goods or services, for rental to others, or for administrative purposes. The amendments are effective for annual periods beginning on or after January 1, 2022.</w:t>
      </w:r>
    </w:p>
    <w:p>
      <w:pPr>
        <w:spacing w:after="0" w:line="183"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The amendments to IAS 1 clarify that the presentation of liabilities as current or non-current is based off the rights that are in existence at the end of the reporting period, not the expectations about an entity’s exercise of certain rights to defer the settlement of a liability or other subsequent events. The amendments are applied retrospectively for annual periods beginning on or after January 1, 2023.</w:t>
      </w:r>
    </w:p>
    <w:p>
      <w:pPr>
        <w:spacing w:after="0" w:line="176"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The amendment to IFRS 10 – Consolidated Financial Statement (“IFRS 10”) and IAS 28 – Investments in Associates and Joint Ventures (“IAS 28”) clarifies the accounting treatment of sales or contributions of assets between an investor and its associates or joint ventures. If the non-cash asset sold or contributed constitutes a business under IFRS 3, the full gain or loss will be recognised by the investor. If the assets do not meet the definition of a business, the investor will recognise a gain or loss only to the extent of the investment of the other investors in the joint venture. An effective date has yet to be set for this amendment.</w:t>
      </w:r>
    </w:p>
    <w:p>
      <w:pPr>
        <w:spacing w:after="0" w:line="183"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In May 2020, the IASB issued Annual Improvements to IFRSs 2018 – 2020 Cycle. The improvements have amended four standards with effective date January 1, 2022: i) IFRS 1 – First-time Adoption of International Financial Reporting Standards (“IFRS 1”) in relation to allowing a subsidiary to measure cumulative translation differences using amounts reported by its parent, ii) IFRS 9 in relation to which fees an entity includes when</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F-13</w:t>
      </w:r>
    </w:p>
    <w:p>
      <w:pPr>
        <w:sectPr>
          <w:pgSz w:w="11900" w:h="16838" w:orient="portrait"/>
          <w:cols w:equalWidth="0" w:num="1">
            <w:col w:w="11120"/>
          </w:cols>
          <w:pgMar w:left="320" w:top="455" w:right="459" w:bottom="1440" w:gutter="0" w:footer="0" w:header="0"/>
        </w:sectPr>
      </w:pPr>
    </w:p>
    <w:bookmarkStart w:id="248" w:name="page249"/>
    <w:bookmarkEnd w:id="2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p>
      <w:pPr>
        <w:spacing w:after="0" w:line="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34" w:lineRule="exact"/>
        <w:rPr>
          <w:sz w:val="20"/>
          <w:szCs w:val="20"/>
          <w:color w:val="auto"/>
        </w:rPr>
      </w:pPr>
    </w:p>
    <w:p>
      <w:pPr>
        <w:ind w:left="120" w:right="120"/>
        <w:spacing w:after="0" w:line="312" w:lineRule="auto"/>
        <w:rPr>
          <w:sz w:val="20"/>
          <w:szCs w:val="20"/>
          <w:color w:val="auto"/>
        </w:rPr>
      </w:pPr>
      <w:r>
        <w:rPr>
          <w:rFonts w:ascii="Times New Roman" w:cs="Times New Roman" w:eastAsia="Times New Roman" w:hAnsi="Times New Roman"/>
          <w:sz w:val="17"/>
          <w:szCs w:val="17"/>
          <w:color w:val="auto"/>
        </w:rPr>
        <w:t>applying the ‘10 percent’ test for derecognition of financial liabilities, iii) IAS 41 – Agriculture in relation to the exclusion of taxation cash flows when measuring the fair value of a biological asset, and iv) IFRS 16 in relation to an illustrative example of reimbursement for leasehold improvements.</w:t>
      </w:r>
    </w:p>
    <w:p>
      <w:pPr>
        <w:spacing w:after="0" w:line="140" w:lineRule="exact"/>
        <w:rPr>
          <w:sz w:val="20"/>
          <w:szCs w:val="20"/>
          <w:color w:val="auto"/>
        </w:rPr>
      </w:pPr>
    </w:p>
    <w:p>
      <w:pPr>
        <w:ind w:left="120" w:right="240"/>
        <w:spacing w:after="0" w:line="282" w:lineRule="auto"/>
        <w:rPr>
          <w:sz w:val="20"/>
          <w:szCs w:val="20"/>
          <w:color w:val="auto"/>
        </w:rPr>
      </w:pPr>
      <w:r>
        <w:rPr>
          <w:rFonts w:ascii="Times New Roman" w:cs="Times New Roman" w:eastAsia="Times New Roman" w:hAnsi="Times New Roman"/>
          <w:sz w:val="18"/>
          <w:szCs w:val="18"/>
          <w:color w:val="auto"/>
        </w:rPr>
        <w:t>In June 2020, the IASB published amendments to IFRS 4 which deferred the expiry date of the temporary exemption from applying IFRS 9 to annual periods beginning on or after January 1, 2023.</w:t>
      </w:r>
    </w:p>
    <w:p>
      <w:pPr>
        <w:spacing w:after="0" w:line="162" w:lineRule="exact"/>
        <w:rPr>
          <w:sz w:val="20"/>
          <w:szCs w:val="20"/>
          <w:color w:val="auto"/>
        </w:rPr>
      </w:pPr>
    </w:p>
    <w:p>
      <w:pPr>
        <w:ind w:left="120" w:right="220"/>
        <w:spacing w:after="0" w:line="256" w:lineRule="auto"/>
        <w:rPr>
          <w:sz w:val="20"/>
          <w:szCs w:val="20"/>
          <w:color w:val="auto"/>
        </w:rPr>
      </w:pPr>
      <w:r>
        <w:rPr>
          <w:rFonts w:ascii="Times New Roman" w:cs="Times New Roman" w:eastAsia="Times New Roman" w:hAnsi="Times New Roman"/>
          <w:sz w:val="18"/>
          <w:szCs w:val="18"/>
          <w:color w:val="auto"/>
        </w:rPr>
        <w:t>In June 2020, the IASB published amendments to IFRS 17 to address concerns and implementation challenges that were identified after IFRS 17 was published. The amendment revised the effective date to January 1, 2023 but may be applied earlier provided the entity applies IFRS 9 and IFRS 15 – Revenue from Contracts with Customers (“IFRS 15”) at or before the date of initial application of the Standard. Further, among other changes, the amendment (1) includes additional scope exceptions, (2) includes additional guidance for recognition of insurance acquisition cash flows, (3) clarifies the application of IFRS 17 in interim financial statements, and (4) simplifies the presentation of insurance contracts in the statement of financial position.</w:t>
      </w:r>
    </w:p>
    <w:p>
      <w:pPr>
        <w:spacing w:after="0" w:line="187" w:lineRule="exact"/>
        <w:rPr>
          <w:sz w:val="20"/>
          <w:szCs w:val="20"/>
          <w:color w:val="auto"/>
        </w:rPr>
      </w:pPr>
    </w:p>
    <w:p>
      <w:pPr>
        <w:jc w:val="both"/>
        <w:ind w:left="120" w:right="40"/>
        <w:spacing w:after="0" w:line="266" w:lineRule="auto"/>
        <w:rPr>
          <w:sz w:val="20"/>
          <w:szCs w:val="20"/>
          <w:color w:val="auto"/>
        </w:rPr>
      </w:pPr>
      <w:r>
        <w:rPr>
          <w:rFonts w:ascii="Times New Roman" w:cs="Times New Roman" w:eastAsia="Times New Roman" w:hAnsi="Times New Roman"/>
          <w:sz w:val="18"/>
          <w:szCs w:val="18"/>
          <w:color w:val="auto"/>
        </w:rPr>
        <w:t>In February 2021, the IASB issued amendments to IAS 1 and IFRS Practice Statement 2: Disclosure of Accounting Policies which require companies to disclose their material accounting policy information rather than their significant accounting policies and provide guidance on how to apply the concept of materiality to accounting policy disclosures. These amendments are effective on or after January 1, 2023.</w:t>
      </w:r>
    </w:p>
    <w:p>
      <w:pPr>
        <w:spacing w:after="0" w:line="176"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In February 2021, the IASB issued amendments to IAS 8: Definition of Accounting Estimates which clarify how companies should distinguish changes in accounting policies from changes in accounting estimates. These amendments are effective on or after January 1, 2023. The Group does not expect any material impact from the adoption of these amendments.</w:t>
      </w:r>
    </w:p>
    <w:p>
      <w:pPr>
        <w:spacing w:after="0" w:line="176" w:lineRule="exact"/>
        <w:rPr>
          <w:sz w:val="20"/>
          <w:szCs w:val="20"/>
          <w:color w:val="auto"/>
        </w:rPr>
      </w:pPr>
    </w:p>
    <w:p>
      <w:pPr>
        <w:jc w:val="both"/>
        <w:ind w:left="120" w:right="20"/>
        <w:spacing w:after="0" w:line="266" w:lineRule="auto"/>
        <w:rPr>
          <w:sz w:val="20"/>
          <w:szCs w:val="20"/>
          <w:color w:val="auto"/>
        </w:rPr>
      </w:pPr>
      <w:r>
        <w:rPr>
          <w:rFonts w:ascii="Times New Roman" w:cs="Times New Roman" w:eastAsia="Times New Roman" w:hAnsi="Times New Roman"/>
          <w:sz w:val="18"/>
          <w:szCs w:val="18"/>
          <w:color w:val="auto"/>
        </w:rPr>
        <w:t>In May 2021, the IASB issued amendments to IAS 12 – Income Taxes (“IAS 12”): Deferred Tax related to Assets and Liabilities Arising From a Single Transaction that clarify how companies account for deferred tax on transactions such as leases and decommissioning obligations. These amendments are effective on or after January 1, 2023. The Group does not expect any material impact from the adoption of these amendments.</w:t>
      </w:r>
    </w:p>
    <w:p>
      <w:pPr>
        <w:spacing w:after="0" w:line="176"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In December 2021, the IASB issued an amendment to IFRS 17: Initial Application of IFRS 17 and IFRS 9 – Comparative Information, which provides a transition option relating to comparative information about financial assets presented on initial application of IFRS 17. The amendment is aimed at helping entities to avoid temporary accounting mismatches between financial assets and insurance contract comparative information for users of financial statements. The amendment is effective on or after January 1, 2023. The Group does not expect any impact from the adoption of this amendment.</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Presentation</w:t>
      </w:r>
    </w:p>
    <w:p>
      <w:pPr>
        <w:spacing w:after="0" w:line="121"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In the Consolidated Statement of Financial Position, an asset is classified as a current asset when it is held primarily for the purpose of trading, is expected to be realised within twelve months of the date of the Consolidated Statement of Financial Position or consists of cash or cash equivalents, provided it is not subject to any restrictions. All other assets are classified as non-current. A liability is classified as a current liability when it is held primarily for the purpose of trading or is expected to be settled within twelve months of the date of the Consolidated Statement of Financial Position. All other liabilities are classified as non-current.</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Basis of consolidation</w:t>
      </w:r>
    </w:p>
    <w:p>
      <w:pPr>
        <w:spacing w:after="0" w:line="121" w:lineRule="exact"/>
        <w:rPr>
          <w:sz w:val="20"/>
          <w:szCs w:val="20"/>
          <w:color w:val="auto"/>
        </w:rPr>
      </w:pPr>
    </w:p>
    <w:p>
      <w:pPr>
        <w:jc w:val="both"/>
        <w:ind w:left="120" w:right="320"/>
        <w:spacing w:after="0" w:line="266" w:lineRule="auto"/>
        <w:rPr>
          <w:sz w:val="20"/>
          <w:szCs w:val="20"/>
          <w:color w:val="auto"/>
        </w:rPr>
      </w:pPr>
      <w:r>
        <w:rPr>
          <w:rFonts w:ascii="Times New Roman" w:cs="Times New Roman" w:eastAsia="Times New Roman" w:hAnsi="Times New Roman"/>
          <w:sz w:val="18"/>
          <w:szCs w:val="18"/>
          <w:color w:val="auto"/>
        </w:rPr>
        <w:t>The consolidated accounts include the Parent company and all subsidiaries over which the Parent, either directly or indirectly, exercises control. The Parent controls an entity when the Parent is exposed to, or has rights to, variable returns from its involvement with the entity, has the ability to affect those returns through its power over</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F-14</w:t>
      </w:r>
    </w:p>
    <w:p>
      <w:pPr>
        <w:sectPr>
          <w:pgSz w:w="11900" w:h="16838" w:orient="portrait"/>
          <w:cols w:equalWidth="0" w:num="1">
            <w:col w:w="11120"/>
          </w:cols>
          <w:pgMar w:left="320" w:top="455" w:right="459" w:bottom="1440" w:gutter="0" w:footer="0" w:header="0"/>
        </w:sectPr>
      </w:pPr>
    </w:p>
    <w:bookmarkStart w:id="249" w:name="page250"/>
    <w:bookmarkEnd w:id="2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p>
      <w:pPr>
        <w:spacing w:after="0" w:line="2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34"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the entity, and if it has power over decisions which affect investor returns (i.e., voting or other rights). All subsidiaries are fully consolidated from the date on which control is transferred to the Parent. They are deconsolidated from the date that control ceases. All inter-group assets and liabilities, equity, income, expenses and cash flows relating to transactions between members of the Group are eliminated upon consolidation. As of December 31, 2021, 2020 and 2019, the Parent had thirty-three, eighteen, and twelve fully consolidated subsidiaries, respectively.</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Segment reporting</w:t>
      </w:r>
    </w:p>
    <w:p>
      <w:pPr>
        <w:spacing w:after="0" w:line="121"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Polestar Group determined it has one reportable segment as the chief operating decision maker (“CODM”) assesses financial information and the performance of the business on a consolidated basis. The Group manages its business as a single operating segment, which is the business of manufacturing and selling electric vehicles. All substantial decisions regarding allocation of resources as well as the assessment of performance is based on the Group as a whole.</w:t>
      </w:r>
    </w:p>
    <w:p>
      <w:pPr>
        <w:spacing w:after="0" w:line="180"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Polestar Group uses the “management approach” in determining reportable operating segments. The management approach considers the internal organisation and reporting used by the Group’s CODM to allocate resources and assess performance as the source for determining the Group’s reportable segments. Polestar Group’s CODM has been identified as the Chief Executive Officer (“CEO”) as he assesses the performance of the Group and has the function and sole ability to make overall decisions related to the allocation of the Group’s resources. Polestar Group allocates resources and assesses financial performance on a consolidated basis.</w:t>
      </w:r>
    </w:p>
    <w:p>
      <w:pPr>
        <w:spacing w:after="0" w:line="183" w:lineRule="exact"/>
        <w:rPr>
          <w:sz w:val="20"/>
          <w:szCs w:val="20"/>
          <w:color w:val="auto"/>
        </w:rPr>
      </w:pPr>
    </w:p>
    <w:p>
      <w:pPr>
        <w:ind w:left="120" w:right="580"/>
        <w:spacing w:after="0" w:line="282" w:lineRule="auto"/>
        <w:rPr>
          <w:sz w:val="20"/>
          <w:szCs w:val="20"/>
          <w:color w:val="auto"/>
        </w:rPr>
      </w:pPr>
      <w:r>
        <w:rPr>
          <w:rFonts w:ascii="Times New Roman" w:cs="Times New Roman" w:eastAsia="Times New Roman" w:hAnsi="Times New Roman"/>
          <w:sz w:val="18"/>
          <w:szCs w:val="18"/>
          <w:color w:val="auto"/>
        </w:rPr>
        <w:t>The following tables show the breakdown of Polestar Group’s revenue from external customers and non-current assets (PPE and intangibles and goodwill) by geographical location:</w:t>
      </w:r>
    </w:p>
    <w:p>
      <w:pPr>
        <w:spacing w:after="0" w:line="182"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800" w:type="dxa"/>
            <w:vAlign w:val="bottom"/>
          </w:tcPr>
          <w:p>
            <w:pPr>
              <w:spacing w:after="0"/>
              <w:rPr>
                <w:sz w:val="15"/>
                <w:szCs w:val="15"/>
                <w:color w:val="auto"/>
              </w:rPr>
            </w:pPr>
          </w:p>
        </w:tc>
        <w:tc>
          <w:tcPr>
            <w:tcW w:w="940" w:type="dxa"/>
            <w:vAlign w:val="bottom"/>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0" w:type="dxa"/>
            <w:vAlign w:val="bottom"/>
            <w:gridSpan w:val="2"/>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20" w:type="dxa"/>
            <w:vAlign w:val="bottom"/>
            <w:gridSpan w:val="2"/>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2019</w:t>
            </w:r>
          </w:p>
        </w:tc>
        <w:tc>
          <w:tcPr>
            <w:tcW w:w="80" w:type="dxa"/>
            <w:vAlign w:val="bottom"/>
          </w:tcPr>
          <w:p>
            <w:pPr>
              <w:spacing w:after="0"/>
              <w:rPr>
                <w:sz w:val="15"/>
                <w:szCs w:val="15"/>
                <w:color w:val="auto"/>
              </w:rPr>
            </w:pPr>
          </w:p>
        </w:tc>
      </w:tr>
      <w:tr>
        <w:trPr>
          <w:trHeight w:val="196"/>
        </w:trPr>
        <w:tc>
          <w:tcPr>
            <w:tcW w:w="20" w:type="dxa"/>
            <w:vAlign w:val="bottom"/>
          </w:tcPr>
          <w:p>
            <w:pPr>
              <w:spacing w:after="0"/>
              <w:rPr>
                <w:sz w:val="17"/>
                <w:szCs w:val="17"/>
                <w:color w:val="auto"/>
              </w:rPr>
            </w:pPr>
          </w:p>
        </w:tc>
        <w:tc>
          <w:tcPr>
            <w:tcW w:w="580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Revenue</w:t>
            </w:r>
          </w:p>
        </w:tc>
        <w:tc>
          <w:tcPr>
            <w:tcW w:w="9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USA</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248,168</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25,077</w:t>
            </w:r>
          </w:p>
        </w:tc>
        <w:tc>
          <w:tcPr>
            <w:tcW w:w="240" w:type="dxa"/>
            <w:vAlign w:val="bottom"/>
          </w:tcPr>
          <w:p>
            <w:pPr>
              <w:spacing w:after="0"/>
              <w:rPr>
                <w:sz w:val="18"/>
                <w:szCs w:val="18"/>
                <w:color w:val="auto"/>
              </w:rPr>
            </w:pPr>
          </w:p>
        </w:tc>
        <w:tc>
          <w:tcPr>
            <w:tcW w:w="106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Norway</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231,456</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156,077</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UK</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206,866</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41,605</w:t>
            </w:r>
          </w:p>
        </w:tc>
        <w:tc>
          <w:tcPr>
            <w:tcW w:w="240" w:type="dxa"/>
            <w:vAlign w:val="bottom"/>
          </w:tcPr>
          <w:p>
            <w:pPr>
              <w:spacing w:after="0"/>
              <w:rPr>
                <w:sz w:val="18"/>
                <w:szCs w:val="18"/>
                <w:color w:val="auto"/>
              </w:rPr>
            </w:pPr>
          </w:p>
        </w:tc>
        <w:tc>
          <w:tcPr>
            <w:tcW w:w="106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Sweden</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189,656</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162,062</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73,257</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Netherlands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135,030</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150,133</w:t>
            </w:r>
          </w:p>
        </w:tc>
        <w:tc>
          <w:tcPr>
            <w:tcW w:w="240" w:type="dxa"/>
            <w:vAlign w:val="bottom"/>
          </w:tcPr>
          <w:p>
            <w:pPr>
              <w:spacing w:after="0"/>
              <w:rPr>
                <w:sz w:val="18"/>
                <w:szCs w:val="18"/>
                <w:color w:val="auto"/>
              </w:rPr>
            </w:pPr>
          </w:p>
        </w:tc>
        <w:tc>
          <w:tcPr>
            <w:tcW w:w="106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China</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40,819</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13,850</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19,158</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Germany</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117,549</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34,880</w:t>
            </w:r>
          </w:p>
        </w:tc>
        <w:tc>
          <w:tcPr>
            <w:tcW w:w="240" w:type="dxa"/>
            <w:vAlign w:val="bottom"/>
          </w:tcPr>
          <w:p>
            <w:pPr>
              <w:spacing w:after="0"/>
              <w:rPr>
                <w:sz w:val="18"/>
                <w:szCs w:val="18"/>
                <w:color w:val="auto"/>
              </w:rPr>
            </w:pPr>
          </w:p>
        </w:tc>
        <w:tc>
          <w:tcPr>
            <w:tcW w:w="106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Other regions</w:t>
            </w:r>
            <w:r>
              <w:rPr>
                <w:rFonts w:ascii="Times New Roman" w:cs="Times New Roman" w:eastAsia="Times New Roman" w:hAnsi="Times New Roman"/>
                <w:sz w:val="25"/>
                <w:szCs w:val="25"/>
                <w:color w:val="auto"/>
                <w:vertAlign w:val="superscript"/>
              </w:rPr>
              <w:t>1</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167,637</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26,561</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1,337,181</w:t>
            </w:r>
          </w:p>
        </w:tc>
        <w:tc>
          <w:tcPr>
            <w:tcW w:w="220" w:type="dxa"/>
            <w:vAlign w:val="bottom"/>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610,245</w:t>
            </w:r>
          </w:p>
        </w:tc>
        <w:tc>
          <w:tcPr>
            <w:tcW w:w="240" w:type="dxa"/>
            <w:vAlign w:val="bottom"/>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92,415</w:t>
            </w:r>
          </w:p>
        </w:tc>
        <w:tc>
          <w:tcPr>
            <w:tcW w:w="8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USA</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64,072</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612</w:t>
            </w:r>
          </w:p>
        </w:tc>
        <w:tc>
          <w:tcPr>
            <w:tcW w:w="240" w:type="dxa"/>
            <w:vAlign w:val="bottom"/>
          </w:tcPr>
          <w:p>
            <w:pPr>
              <w:spacing w:after="0"/>
              <w:rPr>
                <w:sz w:val="18"/>
                <w:szCs w:val="18"/>
                <w:color w:val="auto"/>
              </w:rPr>
            </w:pPr>
          </w:p>
        </w:tc>
        <w:tc>
          <w:tcPr>
            <w:tcW w:w="106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Norway</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1,660</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2,351</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UK</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2,484</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1,304</w:t>
            </w:r>
          </w:p>
        </w:tc>
        <w:tc>
          <w:tcPr>
            <w:tcW w:w="240" w:type="dxa"/>
            <w:vAlign w:val="bottom"/>
          </w:tcPr>
          <w:p>
            <w:pPr>
              <w:spacing w:after="0"/>
              <w:rPr>
                <w:sz w:val="18"/>
                <w:szCs w:val="18"/>
                <w:color w:val="auto"/>
              </w:rPr>
            </w:pPr>
          </w:p>
        </w:tc>
        <w:tc>
          <w:tcPr>
            <w:tcW w:w="106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Sweden</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954,842</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876,330</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653,583</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Netherlands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2,541</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240" w:type="dxa"/>
            <w:vAlign w:val="bottom"/>
          </w:tcPr>
          <w:p>
            <w:pPr>
              <w:spacing w:after="0"/>
              <w:rPr>
                <w:sz w:val="18"/>
                <w:szCs w:val="18"/>
                <w:color w:val="auto"/>
              </w:rPr>
            </w:pPr>
          </w:p>
        </w:tc>
        <w:tc>
          <w:tcPr>
            <w:tcW w:w="106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China</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532,492</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489,880</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362,757</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Germany</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24,009</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2,063</w:t>
            </w:r>
          </w:p>
        </w:tc>
        <w:tc>
          <w:tcPr>
            <w:tcW w:w="240" w:type="dxa"/>
            <w:vAlign w:val="bottom"/>
          </w:tcPr>
          <w:p>
            <w:pPr>
              <w:spacing w:after="0"/>
              <w:rPr>
                <w:sz w:val="18"/>
                <w:szCs w:val="18"/>
                <w:color w:val="auto"/>
              </w:rPr>
            </w:pPr>
          </w:p>
        </w:tc>
        <w:tc>
          <w:tcPr>
            <w:tcW w:w="106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Other regions</w:t>
            </w:r>
            <w:r>
              <w:rPr>
                <w:rFonts w:ascii="Times New Roman" w:cs="Times New Roman" w:eastAsia="Times New Roman" w:hAnsi="Times New Roman"/>
                <w:sz w:val="25"/>
                <w:szCs w:val="25"/>
                <w:color w:val="auto"/>
                <w:vertAlign w:val="superscript"/>
              </w:rPr>
              <w:t>2</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9,667</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1,591,767</w:t>
            </w:r>
          </w:p>
        </w:tc>
        <w:tc>
          <w:tcPr>
            <w:tcW w:w="22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1,373,009</w:t>
            </w:r>
          </w:p>
        </w:tc>
        <w:tc>
          <w:tcPr>
            <w:tcW w:w="24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1,016,340</w:t>
            </w:r>
          </w:p>
        </w:tc>
        <w:tc>
          <w:tcPr>
            <w:tcW w:w="80" w:type="dxa"/>
            <w:vAlign w:val="bottom"/>
          </w:tcPr>
          <w:p>
            <w:pPr>
              <w:spacing w:after="0"/>
              <w:rPr>
                <w:sz w:val="19"/>
                <w:szCs w:val="19"/>
                <w:color w:val="auto"/>
              </w:rPr>
            </w:pPr>
          </w:p>
        </w:tc>
      </w:tr>
    </w:tbl>
    <w:p>
      <w:pPr>
        <w:spacing w:after="0" w:line="238" w:lineRule="exact"/>
        <w:rPr>
          <w:sz w:val="20"/>
          <w:szCs w:val="20"/>
          <w:color w:val="auto"/>
        </w:rPr>
      </w:pPr>
    </w:p>
    <w:p>
      <w:pPr>
        <w:ind w:left="340" w:hanging="224"/>
        <w:spacing w:after="0"/>
        <w:tabs>
          <w:tab w:leader="none" w:pos="34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Revenue: Other regions primarily consist of Belgium, Switzerland, and Denmark in 2021. Other regions primarily consist of Belgium in 2020.</w:t>
      </w:r>
    </w:p>
    <w:p>
      <w:pPr>
        <w:spacing w:after="0" w:line="27" w:lineRule="exact"/>
        <w:rPr>
          <w:rFonts w:ascii="Times New Roman" w:cs="Times New Roman" w:eastAsia="Times New Roman" w:hAnsi="Times New Roman"/>
          <w:sz w:val="18"/>
          <w:szCs w:val="18"/>
          <w:color w:val="auto"/>
        </w:rPr>
      </w:pPr>
    </w:p>
    <w:p>
      <w:pPr>
        <w:ind w:left="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  – Non-current assets: Other regions primarily consist of Canada in 2021. Other regions primarily consist of Belgium in 2020.</w:t>
      </w:r>
    </w:p>
    <w:p>
      <w:pPr>
        <w:spacing w:after="0" w:line="13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F-15</w:t>
      </w:r>
    </w:p>
    <w:p>
      <w:pPr>
        <w:sectPr>
          <w:pgSz w:w="11900" w:h="16838" w:orient="portrait"/>
          <w:cols w:equalWidth="0" w:num="1">
            <w:col w:w="11080"/>
          </w:cols>
          <w:pgMar w:left="320" w:top="455" w:right="499" w:bottom="1440" w:gutter="0" w:footer="0" w:header="0"/>
        </w:sectPr>
      </w:pPr>
    </w:p>
    <w:bookmarkStart w:id="250" w:name="page251"/>
    <w:bookmarkEnd w:id="2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p>
      <w:pPr>
        <w:spacing w:after="0" w:line="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Foreign currency</w:t>
      </w:r>
    </w:p>
    <w:p>
      <w:pPr>
        <w:spacing w:after="0" w:line="121"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In preparing the financial statements of the Group, transactions in currencies other than the entity’s functional currency (i.e., foreign currencies) are recognised at the rates of exchange prevailing on the dates of the transactions. At each reporting date, assets and liabilities denominated in a foreign currency are translated to the functional currency using the closing exchange rate and items of income and expense are translated at the monthly average exchange rate. Foreign currency gains and losses arising from translation differences are recognised in the Consolidated Statement of Loss.</w:t>
      </w:r>
    </w:p>
    <w:p>
      <w:pPr>
        <w:spacing w:after="0" w:line="17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For more information about currency risk, see Note 2 – Financial risk management</w:t>
      </w:r>
      <w:r>
        <w:rPr>
          <w:rFonts w:ascii="Times New Roman" w:cs="Times New Roman" w:eastAsia="Times New Roman" w:hAnsi="Times New Roman"/>
          <w:sz w:val="18"/>
          <w:szCs w:val="18"/>
          <w:i w:val="1"/>
          <w:iCs w:val="1"/>
          <w:color w:val="auto"/>
        </w:rPr>
        <w:t>.</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Accounting policies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Use of estimates and judgements</w:t>
      </w:r>
    </w:p>
    <w:p>
      <w:pPr>
        <w:spacing w:after="0" w:line="121"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The preparation of these Consolidated Financial Statements, in accordance with IFRS, requires management to make judgements, estimates, and assumptions that affect the application of the Group’s accounting policies, the reported amount of assets, liabilities, revenues, expenses, and other related financial items. Management reviews its estimates and assumptions on a continuous basis; changes in accounting estimates are recognised in the period in which the estimates are revised, and prospectively thereafter. Details of critical estimates and judgements which the Group considers to have a significant impact upon the financial statements are set out below and the corresponding impacts can be seen in the following notes:</w:t>
      </w:r>
    </w:p>
    <w:p>
      <w:pPr>
        <w:spacing w:after="0" w:line="183" w:lineRule="exact"/>
        <w:rPr>
          <w:sz w:val="20"/>
          <w:szCs w:val="20"/>
          <w:color w:val="auto"/>
        </w:rPr>
      </w:pPr>
    </w:p>
    <w:p>
      <w:pPr>
        <w:ind w:left="120" w:right="20" w:hanging="4"/>
        <w:spacing w:after="0" w:line="282" w:lineRule="auto"/>
        <w:tabs>
          <w:tab w:leader="none" w:pos="305"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recognition – determining the transaction price of performance obligations included with sales of vehicles, variable consideration for volume related discounts to fleet customers, and revenue from sales of vehicles with repurchase obligations – Note 4 – Revenue.</w:t>
      </w:r>
    </w:p>
    <w:p>
      <w:pPr>
        <w:spacing w:after="0" w:line="161" w:lineRule="exact"/>
        <w:rPr>
          <w:rFonts w:ascii="Times New Roman" w:cs="Times New Roman" w:eastAsia="Times New Roman" w:hAnsi="Times New Roman"/>
          <w:sz w:val="18"/>
          <w:szCs w:val="18"/>
          <w:color w:val="auto"/>
        </w:rPr>
      </w:pPr>
    </w:p>
    <w:p>
      <w:pPr>
        <w:ind w:left="320" w:hanging="204"/>
        <w:spacing w:after="0"/>
        <w:tabs>
          <w:tab w:leader="none" w:pos="32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Intangible assets – capitalizing intellectual property and determining the useful lives – Note 12 – Intangible assets and goodwill.</w:t>
      </w:r>
    </w:p>
    <w:p>
      <w:pPr>
        <w:spacing w:after="0" w:line="225" w:lineRule="exact"/>
        <w:rPr>
          <w:rFonts w:ascii="Times New Roman" w:cs="Times New Roman" w:eastAsia="Times New Roman" w:hAnsi="Times New Roman"/>
          <w:sz w:val="18"/>
          <w:szCs w:val="18"/>
          <w:color w:val="auto"/>
        </w:rPr>
      </w:pPr>
    </w:p>
    <w:p>
      <w:pPr>
        <w:ind w:left="300" w:hanging="184"/>
        <w:spacing w:after="0"/>
        <w:tabs>
          <w:tab w:leader="none" w:pos="30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testing – Note 12 – Intangible assets and goodwill.</w:t>
      </w:r>
    </w:p>
    <w:p>
      <w:pPr>
        <w:spacing w:after="0" w:line="225" w:lineRule="exact"/>
        <w:rPr>
          <w:rFonts w:ascii="Times New Roman" w:cs="Times New Roman" w:eastAsia="Times New Roman" w:hAnsi="Times New Roman"/>
          <w:sz w:val="18"/>
          <w:szCs w:val="18"/>
          <w:color w:val="auto"/>
        </w:rPr>
      </w:pPr>
    </w:p>
    <w:p>
      <w:pPr>
        <w:ind w:left="320" w:hanging="204"/>
        <w:spacing w:after="0"/>
        <w:tabs>
          <w:tab w:leader="none" w:pos="32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Valuation of loss carry-forwards – Note 10 – Income tax expense.</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Actual results could differ materially from those estimates using different assumptions or under different conditions.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121" w:lineRule="exact"/>
        <w:rPr>
          <w:sz w:val="20"/>
          <w:szCs w:val="20"/>
          <w:color w:val="auto"/>
        </w:rPr>
      </w:pPr>
    </w:p>
    <w:p>
      <w:pPr>
        <w:ind w:left="120" w:right="380"/>
        <w:spacing w:after="0" w:line="282" w:lineRule="auto"/>
        <w:rPr>
          <w:sz w:val="20"/>
          <w:szCs w:val="20"/>
          <w:color w:val="auto"/>
        </w:rPr>
      </w:pPr>
      <w:r>
        <w:rPr>
          <w:rFonts w:ascii="Times New Roman" w:cs="Times New Roman" w:eastAsia="Times New Roman" w:hAnsi="Times New Roman"/>
          <w:sz w:val="18"/>
          <w:szCs w:val="18"/>
          <w:color w:val="auto"/>
        </w:rPr>
        <w:t>Cash consists of cash in banks with an original term of three months or less. All highly-liquid, short-term investments that are readily convertible to known amounts of cash and subject to an insignificant risk of changes in value are classified as cash equivalents.</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 the Consolidated Statement of Cash Flows, cash and cash equivalents consists of cash and cash equivalents as defined above.</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Marketable securities</w:t>
      </w:r>
    </w:p>
    <w:p>
      <w:pPr>
        <w:spacing w:after="0" w:line="121" w:lineRule="exact"/>
        <w:rPr>
          <w:sz w:val="20"/>
          <w:szCs w:val="20"/>
          <w:color w:val="auto"/>
        </w:rPr>
      </w:pPr>
    </w:p>
    <w:p>
      <w:pPr>
        <w:ind w:left="120" w:right="340"/>
        <w:spacing w:after="0" w:line="266" w:lineRule="auto"/>
        <w:rPr>
          <w:sz w:val="20"/>
          <w:szCs w:val="20"/>
          <w:color w:val="auto"/>
        </w:rPr>
      </w:pPr>
      <w:r>
        <w:rPr>
          <w:rFonts w:ascii="Times New Roman" w:cs="Times New Roman" w:eastAsia="Times New Roman" w:hAnsi="Times New Roman"/>
          <w:sz w:val="18"/>
          <w:szCs w:val="18"/>
          <w:color w:val="auto"/>
        </w:rPr>
        <w:t>Marketable securities are financial instruments with maturities less than one year that can quickly be converted into cash. Polestar’s marketable securities consist of short-term money market funds (i.e., time deposits in banks). The balance in marketable securities as of December 31, 2021 and 2020 amounted to $1,258 and nil, respectively</w:t>
      </w:r>
      <w:r>
        <w:rPr>
          <w:rFonts w:ascii="Times New Roman" w:cs="Times New Roman" w:eastAsia="Times New Roman" w:hAnsi="Times New Roman"/>
          <w:sz w:val="18"/>
          <w:szCs w:val="18"/>
          <w:i w:val="1"/>
          <w:iCs w:val="1"/>
          <w:color w:val="auto"/>
        </w:rPr>
        <w:t>.</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F-16</w:t>
      </w:r>
    </w:p>
    <w:p>
      <w:pPr>
        <w:sectPr>
          <w:pgSz w:w="11900" w:h="16838" w:orient="portrait"/>
          <w:cols w:equalWidth="0" w:num="1">
            <w:col w:w="11140"/>
          </w:cols>
          <w:pgMar w:left="320" w:top="455" w:right="439" w:bottom="1440" w:gutter="0" w:footer="0" w:header="0"/>
        </w:sectPr>
      </w:pPr>
    </w:p>
    <w:bookmarkStart w:id="251" w:name="page252"/>
    <w:bookmarkEnd w:id="2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p>
      <w:pPr>
        <w:spacing w:after="0" w:line="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Restricted cash</w:t>
      </w:r>
    </w:p>
    <w:p>
      <w:pPr>
        <w:spacing w:after="0" w:line="119"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Restricted cash mainly consists of deposits that have been pledged to secure short-term bank loans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balance in restricted cash as of December 31, 2021 and 2020 amounted to nil and $50,206, respectively</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As of December 31, 2021 and 2020, the Group did not have any other cash and cash equivalents balances held by entities that are not available for use by the Group. Cash and cash equivalents held in Chinese entities are available for use by the Group via an intercompany short-term revolving credit facility.</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Government grants</w:t>
      </w:r>
    </w:p>
    <w:p>
      <w:pPr>
        <w:spacing w:after="0" w:line="121" w:lineRule="exact"/>
        <w:rPr>
          <w:sz w:val="20"/>
          <w:szCs w:val="20"/>
          <w:color w:val="auto"/>
        </w:rPr>
      </w:pPr>
    </w:p>
    <w:p>
      <w:pPr>
        <w:jc w:val="both"/>
        <w:ind w:left="120" w:right="300"/>
        <w:spacing w:after="0" w:line="258" w:lineRule="auto"/>
        <w:rPr>
          <w:sz w:val="20"/>
          <w:szCs w:val="20"/>
          <w:color w:val="auto"/>
        </w:rPr>
      </w:pPr>
      <w:r>
        <w:rPr>
          <w:rFonts w:ascii="Times New Roman" w:cs="Times New Roman" w:eastAsia="Times New Roman" w:hAnsi="Times New Roman"/>
          <w:sz w:val="18"/>
          <w:szCs w:val="18"/>
          <w:color w:val="auto"/>
        </w:rPr>
        <w:t>The Group’s subsidiaries based in the People’s Republic of China received government grants which were conditioned to be used for production and production related costs and grants for non-specified purposes. These grants are not tied to the future trends or performance of the Group and are not required to be refunded under any circumstance. Receipt of such grants are either reported as a deduction to the related expense or as other operating income, depending on the nature of the grant received. For the years ended December 31, 2021 and 2020, government grants amounted to $309 and $1,284, respectively.</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121" w:lineRule="exact"/>
        <w:rPr>
          <w:sz w:val="20"/>
          <w:szCs w:val="20"/>
          <w:color w:val="auto"/>
        </w:rPr>
      </w:pPr>
    </w:p>
    <w:p>
      <w:pPr>
        <w:ind w:left="120" w:right="180"/>
        <w:spacing w:after="0" w:line="256" w:lineRule="auto"/>
        <w:rPr>
          <w:sz w:val="20"/>
          <w:szCs w:val="20"/>
          <w:color w:val="auto"/>
        </w:rPr>
      </w:pPr>
      <w:r>
        <w:rPr>
          <w:rFonts w:ascii="Times New Roman" w:cs="Times New Roman" w:eastAsia="Times New Roman" w:hAnsi="Times New Roman"/>
          <w:sz w:val="18"/>
          <w:szCs w:val="18"/>
          <w:color w:val="auto"/>
        </w:rPr>
        <w:t>Revenue from contracts with customers is measured at an amount that reflects the consideration to which the Group expects to be entitled in exchange for those goods or services. In determining the transaction price, the Group evaluates whether the contract includes other promises that constitute a separate performance obligation to which a portion of the transaction price needs to be allocated. When consideration in a contract includes variable amounts, the Group estimates the consideration to which Polestar will be entitled in exchange for transferring goods to the customer, using either the expected value method or the most likely amount method. The Group makes judgements related to potential returns, liabilities to customers related to performance obligations and potential sales discounts when considering revenue.</w:t>
      </w:r>
    </w:p>
    <w:p>
      <w:pPr>
        <w:spacing w:after="0" w:line="187"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For contracts that contain more than one performance obligation, Polestar Group allocates the transaction price to each performance obligation on a relative standalone selling price basis. The standalone selling price of the distinct good or service underlying each performance obligation is determined at contract inception. It represents the price at which Polestar Group would sell a promised good or service separately to a customer. If a standalone selling price is not directly observable, Polestar Group instead estimates it, using appropriate data that reflects the amount of consideration to which the Group expects to be entitled in exchange for transferring the promised goods or services to the customer.</w:t>
      </w:r>
    </w:p>
    <w:p>
      <w:pPr>
        <w:spacing w:after="0" w:line="183"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Polestar Group disaggregates revenue by major category based on what it believes are the primary economic factors that may impact the nature, amount, timing, and uncertainty of revenue and cash flows from customer contracts.</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Sales of vehicles</w:t>
      </w:r>
    </w:p>
    <w:p>
      <w:pPr>
        <w:spacing w:after="0" w:line="119"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Revenue from the sales of vehicles includes sales of the Group’s vehicles as well as related accessories and services. Revenue is recognised when the customer obtains control of delivered goods or services, and thus has the ability to direct the use of, and obtain the benefits from, the goods or services. Polestar Group includes various services and maintenance (i.e., extended service) offers with the sale of each vehicle for a period of time specified in the contract.</w:t>
      </w:r>
    </w:p>
    <w:p>
      <w:pPr>
        <w:spacing w:after="0" w:line="180" w:lineRule="exact"/>
        <w:rPr>
          <w:sz w:val="20"/>
          <w:szCs w:val="20"/>
          <w:color w:val="auto"/>
        </w:rPr>
      </w:pPr>
    </w:p>
    <w:p>
      <w:pPr>
        <w:jc w:val="both"/>
        <w:ind w:left="120" w:right="280"/>
        <w:spacing w:after="0" w:line="266" w:lineRule="auto"/>
        <w:rPr>
          <w:sz w:val="20"/>
          <w:szCs w:val="20"/>
          <w:color w:val="auto"/>
        </w:rPr>
      </w:pPr>
      <w:r>
        <w:rPr>
          <w:rFonts w:ascii="Times New Roman" w:cs="Times New Roman" w:eastAsia="Times New Roman" w:hAnsi="Times New Roman"/>
          <w:sz w:val="18"/>
          <w:szCs w:val="18"/>
          <w:color w:val="auto"/>
        </w:rPr>
        <w:t>Polestar Group also provides connected services, including access to the internet and over-the-air software and performance updates, which provide Polestar’s customers new features and improvements to existing vehicle functionality. Although Polestar’s connected services improve the in-vehicle experience, it is not required when driving a Polestar vehicle.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F-17</w:t>
      </w:r>
    </w:p>
    <w:p>
      <w:pPr>
        <w:sectPr>
          <w:pgSz w:w="11900" w:h="16838" w:orient="portrait"/>
          <w:cols w:equalWidth="0" w:num="1">
            <w:col w:w="11120"/>
          </w:cols>
          <w:pgMar w:left="320" w:top="455" w:right="459" w:bottom="1440" w:gutter="0" w:footer="0" w:header="0"/>
        </w:sectPr>
      </w:pPr>
    </w:p>
    <w:bookmarkStart w:id="252" w:name="page253"/>
    <w:bookmarkEnd w:id="2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p>
      <w:pPr>
        <w:spacing w:after="0" w:line="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34"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These services and maintenance and connected services are considered stand-ready obligations as Polestar cannot determine (1) when a customer will access a service, or (2) the quantity of a service the customer will require (i.e., delivery is within control of the customer). Polestar uses an expected cost-plus margin approach for estimating the transaction price for these stand-ready obligations as this is determined to be the most suitable method for estimating stand-alone selling price for performance obligations other than the vehicle. These services are available throughout the automotive industry, there is public information that is readily accessible, and there is a stable market and cost structure to determine the appropriate inputs to the cost-plus margin calculation. The related performance obligations are satisfied in accordance with the terms of each service, and revenue is deferred and recognised on a straight-line basis over the contract period as a stand-ready obligation. The deferred revenue is presented as contract liabilities, since the customers’ payments are made before the services are transferred.</w:t>
      </w:r>
    </w:p>
    <w:p>
      <w:pPr>
        <w:spacing w:after="0" w:line="192" w:lineRule="exact"/>
        <w:rPr>
          <w:sz w:val="20"/>
          <w:szCs w:val="20"/>
          <w:color w:val="auto"/>
        </w:rPr>
      </w:pPr>
    </w:p>
    <w:p>
      <w:pPr>
        <w:ind w:left="120"/>
        <w:spacing w:after="0" w:line="274" w:lineRule="auto"/>
        <w:rPr>
          <w:sz w:val="20"/>
          <w:szCs w:val="20"/>
          <w:color w:val="auto"/>
        </w:rPr>
      </w:pPr>
      <w:r>
        <w:rPr>
          <w:rFonts w:ascii="Times New Roman" w:cs="Times New Roman" w:eastAsia="Times New Roman" w:hAnsi="Times New Roman"/>
          <w:sz w:val="17"/>
          <w:szCs w:val="17"/>
          <w:color w:val="auto"/>
        </w:rPr>
        <w:t>The residual amount of the transaction price is allocated to the performance obligation associated with the delivery of the vehicle because the vehicle represents the most valuable component of the contract, Polestar’s vehicles are not sold on a stand-alone basis such that an established price exists separate from the services and maintenance, and there is wide variation in market price among the limited competitors in this new space. The transaction price allocated to the delivery of the vehicle is recognised at a point in time on the delivery date. Polestar has continued to evaluate and monitor the number of observable inputs available for use in estimating the standalone selling price of its vehicles. As part of its ongoing analysis, Polestar has determined that use of the residual method continues to be the most appropriate method for estimating the standalone selling price of its vehicles.</w:t>
      </w:r>
    </w:p>
    <w:p>
      <w:pPr>
        <w:spacing w:after="0" w:line="173" w:lineRule="exact"/>
        <w:rPr>
          <w:sz w:val="20"/>
          <w:szCs w:val="20"/>
          <w:color w:val="auto"/>
        </w:rPr>
      </w:pPr>
    </w:p>
    <w:p>
      <w:pPr>
        <w:ind w:left="120" w:right="160"/>
        <w:spacing w:after="0" w:line="266" w:lineRule="auto"/>
        <w:rPr>
          <w:sz w:val="20"/>
          <w:szCs w:val="20"/>
          <w:color w:val="auto"/>
        </w:rPr>
      </w:pPr>
      <w:r>
        <w:rPr>
          <w:rFonts w:ascii="Times New Roman" w:cs="Times New Roman" w:eastAsia="Times New Roman" w:hAnsi="Times New Roman"/>
          <w:sz w:val="18"/>
          <w:szCs w:val="18"/>
          <w:color w:val="auto"/>
        </w:rPr>
        <w:t>Vehicles are sold to individuals (end customers), fleet customers, financial service providers, and dealers. Since commercialisation of Polestar vehicles commenced in the third quarter of 2020, the Group had not recognised a significant number of customer returns, and therefore has not accrued any obligations for returns, refunds, or other similar obligations for the years ended December 31, 2021 and 2020.</w:t>
      </w:r>
    </w:p>
    <w:p>
      <w:pPr>
        <w:spacing w:after="0" w:line="176" w:lineRule="exact"/>
        <w:rPr>
          <w:sz w:val="20"/>
          <w:szCs w:val="20"/>
          <w:color w:val="auto"/>
        </w:rPr>
      </w:pPr>
    </w:p>
    <w:p>
      <w:pPr>
        <w:ind w:left="120" w:right="40"/>
        <w:spacing w:after="0" w:line="255" w:lineRule="auto"/>
        <w:rPr>
          <w:sz w:val="20"/>
          <w:szCs w:val="20"/>
          <w:color w:val="auto"/>
        </w:rPr>
      </w:pPr>
      <w:r>
        <w:rPr>
          <w:rFonts w:ascii="Times New Roman" w:cs="Times New Roman" w:eastAsia="Times New Roman" w:hAnsi="Times New Roman"/>
          <w:sz w:val="18"/>
          <w:szCs w:val="18"/>
          <w:color w:val="auto"/>
        </w:rPr>
        <w:t>As part of certain dealer contracts, Polestar provides a residual value guarantee (“RVG”). The RVG does not affect the customer’s control of the vehicle (i.e., the customer is not constrained in its ability to direct the use of, and obtain substantially all of the benefits from, the vehicle), but it does impact the transaction price as the guarantee effectively reduces the compensation to which Polestar is entitled. Polestar evaluates variables such as recent car auction values, future price deterioration due to expected changes in market conditions, vehicle quality data, and repair and recondition costs to determine the amount of the residual value. Polestar pays the difference between the determined residual value and the contracted residual value up-front, in cash, and accounts for it under IFRS 15 as a direct reduction to the transaction price. Polestar will continue to evaluate its method for recognising RVGs and amend how it accounts for them, if necessary.</w:t>
      </w:r>
    </w:p>
    <w:p>
      <w:pPr>
        <w:spacing w:after="0" w:line="189" w:lineRule="exact"/>
        <w:rPr>
          <w:sz w:val="20"/>
          <w:szCs w:val="20"/>
          <w:color w:val="auto"/>
        </w:rPr>
      </w:pPr>
    </w:p>
    <w:p>
      <w:pPr>
        <w:ind w:left="120" w:right="160"/>
        <w:spacing w:after="0" w:line="282" w:lineRule="auto"/>
        <w:rPr>
          <w:sz w:val="20"/>
          <w:szCs w:val="20"/>
          <w:color w:val="auto"/>
        </w:rPr>
      </w:pPr>
      <w:r>
        <w:rPr>
          <w:rFonts w:ascii="Times New Roman" w:cs="Times New Roman" w:eastAsia="Times New Roman" w:hAnsi="Times New Roman"/>
          <w:sz w:val="18"/>
          <w:szCs w:val="18"/>
          <w:color w:val="auto"/>
        </w:rPr>
        <w:t>There are no significant payment terms for end customers, fleet customers, financial service providers, or dealers as payment is due on or near the date of invoice.</w:t>
      </w:r>
    </w:p>
    <w:p>
      <w:pPr>
        <w:spacing w:after="0" w:line="162"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Consideration received by fleet customers is variable in nature as the customer can receive volume related discounts, which are annual rebates based on the number of vehicles ordered throughout the year. There is no significant variability in consideration received from other customers.</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Sales of software and performance engineered kits</w:t>
      </w:r>
    </w:p>
    <w:p>
      <w:pPr>
        <w:spacing w:after="0" w:line="119" w:lineRule="exact"/>
        <w:rPr>
          <w:sz w:val="20"/>
          <w:szCs w:val="20"/>
          <w:color w:val="auto"/>
        </w:rPr>
      </w:pPr>
    </w:p>
    <w:p>
      <w:pPr>
        <w:jc w:val="both"/>
        <w:ind w:left="120" w:right="60"/>
        <w:spacing w:after="0" w:line="266" w:lineRule="auto"/>
        <w:rPr>
          <w:sz w:val="20"/>
          <w:szCs w:val="20"/>
          <w:color w:val="auto"/>
        </w:rPr>
      </w:pPr>
      <w:r>
        <w:rPr>
          <w:rFonts w:ascii="Times New Roman" w:cs="Times New Roman" w:eastAsia="Times New Roman" w:hAnsi="Times New Roman"/>
          <w:sz w:val="18"/>
          <w:szCs w:val="18"/>
          <w:color w:val="auto"/>
        </w:rPr>
        <w:t>Revenue from the sales of software is related to intellectual property licensed to Volvo Cars under which Volvo Cars obtained rights to provide software upgrades to their customers’ vehicle computer systems in exchange for sales-based royalties to Polestar Group. Software upgrades are downloaded and installed at Volvo Cars’ dealerships at a point in time. The Group’s performance obligation is satisfied at the point in time the Group</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F-18</w:t>
      </w:r>
    </w:p>
    <w:p>
      <w:pPr>
        <w:sectPr>
          <w:pgSz w:w="11900" w:h="16838" w:orient="portrait"/>
          <w:cols w:equalWidth="0" w:num="1">
            <w:col w:w="11120"/>
          </w:cols>
          <w:pgMar w:left="320" w:top="455" w:right="459" w:bottom="1440" w:gutter="0" w:footer="0" w:header="0"/>
        </w:sectPr>
      </w:pPr>
    </w:p>
    <w:bookmarkStart w:id="253" w:name="page254"/>
    <w:bookmarkEnd w:id="2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p>
      <w:pPr>
        <w:spacing w:after="0" w:line="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34"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transfers the licensed know-how to Volvo Cars, which is when Volvo Cars obtains control of the intellectual property and has the ability to direct the use of, and obtain the benefits from, the license. The Group recognises license revenue from sales-based royalties in the period in which Volvo Cars’ sales of software occur.</w:t>
      </w:r>
    </w:p>
    <w:p>
      <w:pPr>
        <w:spacing w:after="0" w:line="176"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Revenue from the sales of performance engineered kits is related to intellectual property licensed to Volvo Cars under which Volvo Cars obtained rights to provide optimisations and enhancements to their customers’ vehicles in exchange for sales-based royalties to Polestar Group. Performance engineered kits are installed at Volvo Cars manufacturing plants as part of Volvo Cars’ normal manufacturing processes. The Group’s performance obligation is satisfied at the point in time the Group transfers the licensed know-how to Volvo Cars, which is when Volvo Cars obtains control of the intellectual property and has the ability to direct the use of, and obtain the benefits from, the license. The Group recognises license revenue from sales-based royalties in the period in which Volvo Cars’ sales of vehicles with the performance engineered kits occur. During the year ended December 31, 2019, revenue from the sale of performance engineered kits was inclusive of a one-time contract termination fee paid by Volvo Cars that was accounted for as a contract modification. Polestar Group and Volvo Cars entered into a new license agreement in December 2020.</w:t>
      </w:r>
    </w:p>
    <w:p>
      <w:pPr>
        <w:spacing w:after="0" w:line="1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There are no significant payment terms as payment is due near the date of invoice.</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Sales of carbon credits</w:t>
      </w:r>
    </w:p>
    <w:p>
      <w:pPr>
        <w:spacing w:after="0" w:line="119" w:lineRule="exact"/>
        <w:rPr>
          <w:sz w:val="20"/>
          <w:szCs w:val="20"/>
          <w:color w:val="auto"/>
        </w:rPr>
      </w:pPr>
    </w:p>
    <w:p>
      <w:pPr>
        <w:ind w:left="120" w:right="400"/>
        <w:spacing w:after="0" w:line="266" w:lineRule="auto"/>
        <w:rPr>
          <w:sz w:val="20"/>
          <w:szCs w:val="20"/>
          <w:color w:val="auto"/>
        </w:rPr>
      </w:pPr>
      <w:r>
        <w:rPr>
          <w:rFonts w:ascii="Times New Roman" w:cs="Times New Roman" w:eastAsia="Times New Roman" w:hAnsi="Times New Roman"/>
          <w:sz w:val="18"/>
          <w:szCs w:val="18"/>
          <w:color w:val="auto"/>
        </w:rPr>
        <w:t>Revenue from the sale of carbon credits is recognised when the performance obligation is satisfied and when the customer, an original equipment manufacturer (“OEM”), obtains control of the carbon credits and has the ability to direct the use of, and obtain the benefits from, the carbon credits transferred.</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There are no significant payment terms as payment is due near the date of invoice.</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Vehicle leasing revenue</w:t>
      </w:r>
    </w:p>
    <w:p>
      <w:pPr>
        <w:spacing w:after="0" w:line="119"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2021, Polestar Group entered into operating lease arrangements that mainly relate to vehicles sold with repurchase obligations. The Group entered into transactions to sell vehicles under which the Group maintains the right or obligation to repurchase the vehicles from the customer in the future (i.e., a forward or call option). The Group accounts for such arrangements as operating leases and records revenue from the sale of related vehicles as lease income.</w:t>
      </w:r>
    </w:p>
    <w:p>
      <w:pPr>
        <w:spacing w:after="0" w:line="180"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Operating leases are initially measured at cost and depreciated on a straight-line basis over the lease term to the estimated residual value. Incremental direct costs incurred in connection with the acquisition of operating lease contracts are capitalised and also amortised on a straight-line basis over the lease term. In the Consolidated Statement of Financial Position, such operating leases are presented as vehicles under operating leases and recognised as PPE. Vehicle leasing revenue is recognised on a straight-line basis over the lease term. For sales of vehicles with repurchase obligations that are accounted for as operating leases, the entire amount due to Polestar is paid up-front at contract inception. Deferred revenue is recorded for the difference between the cash received from the sale of the vehicle and the vehicle’s repurchase value.</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Other revenue</w:t>
      </w:r>
    </w:p>
    <w:p>
      <w:pPr>
        <w:spacing w:after="0" w:line="119" w:lineRule="exact"/>
        <w:rPr>
          <w:sz w:val="20"/>
          <w:szCs w:val="20"/>
          <w:color w:val="auto"/>
        </w:rPr>
      </w:pPr>
    </w:p>
    <w:p>
      <w:pPr>
        <w:ind w:left="120" w:right="140"/>
        <w:spacing w:after="0" w:line="258" w:lineRule="auto"/>
        <w:rPr>
          <w:sz w:val="20"/>
          <w:szCs w:val="20"/>
          <w:color w:val="auto"/>
        </w:rPr>
      </w:pPr>
      <w:r>
        <w:rPr>
          <w:rFonts w:ascii="Times New Roman" w:cs="Times New Roman" w:eastAsia="Times New Roman" w:hAnsi="Times New Roman"/>
          <w:sz w:val="18"/>
          <w:szCs w:val="18"/>
          <w:color w:val="auto"/>
        </w:rPr>
        <w:t>Other revenue consists of revenue generated through the Group’s sale of research and development services and intellectual property licensed to Volvo Cars under which Volvo Cars obtained rights to source and sell parts and accessories for the Group’s vehicles to customers in exchange for sales-based royalties to Polestar Group. The performance obligation related to the sale of research and development services is satisfied over time as Polestar maintains an enforceable right to payment as costs are incurred and services are provided. As such, revenue from the sale of research and development services is recognised over time.</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F-19</w:t>
      </w:r>
    </w:p>
    <w:p>
      <w:pPr>
        <w:sectPr>
          <w:pgSz w:w="11900" w:h="16838" w:orient="portrait"/>
          <w:cols w:equalWidth="0" w:num="1">
            <w:col w:w="11120"/>
          </w:cols>
          <w:pgMar w:left="320" w:top="455" w:right="459" w:bottom="1440" w:gutter="0" w:footer="0" w:header="0"/>
        </w:sectPr>
      </w:pPr>
    </w:p>
    <w:bookmarkStart w:id="254" w:name="page255"/>
    <w:bookmarkEnd w:id="2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p>
      <w:pPr>
        <w:spacing w:after="0" w:line="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34"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The performance obligation related to intellectual property licensed to Volvo Cars is satisfied at the point in time the Group transfers the licensed know-how to Volvo Cars which is when Volvo Cars obtains control of the intellectual property and has the ability to direct the use of, and obtain the benefits from, the license. The Group recognises license revenue from sales-based royalties in the period in which Volvo Cars’ sales of parts and accessories occur.</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There are no significant payment terms as payment is due near the date of invoice.</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Contract liabilities</w:t>
      </w:r>
    </w:p>
    <w:p>
      <w:pPr>
        <w:spacing w:after="0" w:line="119" w:lineRule="exact"/>
        <w:rPr>
          <w:sz w:val="20"/>
          <w:szCs w:val="20"/>
          <w:color w:val="auto"/>
        </w:rPr>
      </w:pPr>
    </w:p>
    <w:p>
      <w:pPr>
        <w:ind w:left="120" w:right="420"/>
        <w:spacing w:after="0" w:line="261" w:lineRule="auto"/>
        <w:rPr>
          <w:sz w:val="20"/>
          <w:szCs w:val="20"/>
          <w:color w:val="auto"/>
        </w:rPr>
      </w:pPr>
      <w:r>
        <w:rPr>
          <w:rFonts w:ascii="Times New Roman" w:cs="Times New Roman" w:eastAsia="Times New Roman" w:hAnsi="Times New Roman"/>
          <w:sz w:val="18"/>
          <w:szCs w:val="18"/>
          <w:color w:val="auto"/>
        </w:rPr>
        <w:t>Contract liabilities to customers are obligations related to contracts with customers and are recognised when Polestar Group is obligated to transfer goods or services for which consideration has already been received. Contract liabilities to customers include sales generated obligations, deferred revenue from service contracts (i.e., services to be performed) and operating leases, and Connected Services related to the Polestar 1 (“PS1”) and Polestar 2 (“PS2”).</w:t>
      </w:r>
    </w:p>
    <w:p>
      <w:pPr>
        <w:spacing w:after="0" w:line="180"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As the Group satisfies its performance obligations, revenue is recognised, and the contract liability is reduced. As stated above, delivery of services and maintenance is within the customer’s control. Accordingly, the Group expects to recognise revenue related to such service contract liabilities over the 3-year period following initial recognition, consistent with the terms of the contractually offered services. Related to connected services, the Group expects to recognise revenue over the 8-year period following initial recognition, consistent with the expected utilisation of the services. In the case of volume related discounts that are triggered over time, a short-term contract liability will also be recognised as payment is due within a twelve-month period, in line with contractual payment terms. For deferred revenue generated through operating leases, the Group expects to recognise revenue on a straight-line basis, consistent with the terms of the contract. During the third quarter of 2020, the Group entered the commercial space and started selling vehicles, generating contract liabilities in 2020 that did not previously exist in 2019.</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Cost of sales</w:t>
      </w:r>
    </w:p>
    <w:p>
      <w:pPr>
        <w:spacing w:after="0" w:line="119"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 xml:space="preserve">For the years ended December 31, 2021, 2020 and 2019, cost of sales amounted to $1,336,321, $553,724 and $39,790, respectively. Costs of sales are related to the sales of vehicles and related accessories and services, which includes depreciation related to PPE and right-of-use (“ROU”) assets and amortisation of manufacturing engineering. Sales of software and performance engineered kits and other revenue are related to items which were originally developed with the intent of internal use, not with the intent to sell. As such, all costs were appropriately capitalised or expensed as described in </w:t>
      </w:r>
      <w:r>
        <w:rPr>
          <w:rFonts w:ascii="Times New Roman" w:cs="Times New Roman" w:eastAsia="Times New Roman" w:hAnsi="Times New Roman"/>
          <w:sz w:val="18"/>
          <w:szCs w:val="18"/>
          <w:i w:val="1"/>
          <w:iCs w:val="1"/>
          <w:color w:val="auto"/>
        </w:rPr>
        <w:t>Accounting policies – Intangible assets and goodwill – Internally developed IP</w:t>
      </w:r>
      <w:r>
        <w:rPr>
          <w:rFonts w:ascii="Times New Roman" w:cs="Times New Roman" w:eastAsia="Times New Roman" w:hAnsi="Times New Roman"/>
          <w:sz w:val="18"/>
          <w:szCs w:val="18"/>
          <w:color w:val="auto"/>
        </w:rPr>
        <w:t>.</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Employee benefits</w:t>
      </w:r>
    </w:p>
    <w:p>
      <w:pPr>
        <w:spacing w:after="0" w:line="121"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Polestar Group compensates its employees through short-term employee benefits, other long-term benefits, and post-employment benefits. Generally, an employee benefit is recognised in accordance with IAS 19, Employee Benefits, when an employee has provided service in exchange for employee benefits to be paid in the future or when Polestar Group is contractually committed to providing a benefit without a realistic probability of withdrawal from its commitment. For the years ended December 31, 2021, 2020 and 2019, Polestar Group did not extend termination benefits or share-based payments to employees.</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Short-term employee benefits</w:t>
      </w:r>
    </w:p>
    <w:p>
      <w:pPr>
        <w:spacing w:after="0" w:line="119" w:lineRule="exact"/>
        <w:rPr>
          <w:sz w:val="20"/>
          <w:szCs w:val="20"/>
          <w:color w:val="auto"/>
        </w:rPr>
      </w:pPr>
    </w:p>
    <w:p>
      <w:pPr>
        <w:ind w:left="120" w:right="120"/>
        <w:spacing w:after="0" w:line="282" w:lineRule="auto"/>
        <w:rPr>
          <w:sz w:val="20"/>
          <w:szCs w:val="20"/>
          <w:color w:val="auto"/>
        </w:rPr>
      </w:pPr>
      <w:r>
        <w:rPr>
          <w:rFonts w:ascii="Times New Roman" w:cs="Times New Roman" w:eastAsia="Times New Roman" w:hAnsi="Times New Roman"/>
          <w:sz w:val="18"/>
          <w:szCs w:val="18"/>
          <w:color w:val="auto"/>
        </w:rPr>
        <w:t>Short-term employee benefits consist of wages, salaries, social benefit costs, paid annual leave and paid sick leave, and bonuses that are expected to be settled within twelve months of the reporting period in which services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F-20</w:t>
      </w:r>
    </w:p>
    <w:p>
      <w:pPr>
        <w:sectPr>
          <w:pgSz w:w="11900" w:h="16838" w:orient="portrait"/>
          <w:cols w:equalWidth="0" w:num="1">
            <w:col w:w="11100"/>
          </w:cols>
          <w:pgMar w:left="320" w:top="455" w:right="479" w:bottom="1440" w:gutter="0" w:footer="0" w:header="0"/>
        </w:sectPr>
      </w:pPr>
    </w:p>
    <w:bookmarkStart w:id="255" w:name="page256"/>
    <w:bookmarkEnd w:id="2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p>
      <w:pPr>
        <w:spacing w:after="0" w:line="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34"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are rendered. Short-term employee benefits are recognised at the undiscounted amounts expected to be paid when the liabilities are settled and presented within current provisions and other current liabilities in the Consolidated Statement of Financial Position.</w:t>
      </w:r>
    </w:p>
    <w:p>
      <w:pPr>
        <w:spacing w:after="0" w:line="162"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Short-term employee benefits include Polestar Group’s Annual Bonus Program (the “Polestar Bonus”), which is a cash-settled short-term incentive program for all permanent employees in all countries. The bonus is based on certain key performance indicators (“KPIs”). Bonuses are expressed as a percentage of employees’ annual base salaries and the target bonus varies by employee location and level. The program runs during the calendar year and bonus pay-out is made on a pro-rata basis based on employment during the year. Employees need to have joined the organisation as of December 1st of the year in order to be eligible for the program. An estimate of the expected costs of the program are calculated and recognised at the end of each reporting period.</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Other long-term benefits</w:t>
      </w:r>
    </w:p>
    <w:p>
      <w:pPr>
        <w:spacing w:after="0" w:line="119" w:lineRule="exact"/>
        <w:rPr>
          <w:sz w:val="20"/>
          <w:szCs w:val="20"/>
          <w:color w:val="auto"/>
        </w:rPr>
      </w:pPr>
    </w:p>
    <w:p>
      <w:pPr>
        <w:ind w:left="120"/>
        <w:spacing w:after="0" w:line="272" w:lineRule="auto"/>
        <w:rPr>
          <w:sz w:val="20"/>
          <w:szCs w:val="20"/>
          <w:color w:val="auto"/>
        </w:rPr>
      </w:pPr>
      <w:r>
        <w:rPr>
          <w:rFonts w:ascii="Times New Roman" w:cs="Times New Roman" w:eastAsia="Times New Roman" w:hAnsi="Times New Roman"/>
          <w:sz w:val="17"/>
          <w:szCs w:val="17"/>
          <w:color w:val="auto"/>
        </w:rPr>
        <w:t>Polestar Group’s only other long-term benefit is the annual Long Term Variable Pay Program (“LTVP”), which is a cash-settled incentive program for certain key management personnel that is based on (1) valuation of Volvo Cars after a three year period (i.e., the vesting period) and (2) Volvo Car’s achievement of certain profit and revenue growth metrics. The LTVP program was instituted at Polestar Group to incentivise key management personnel who transferred employment from Volvo Cars to Polestar Group. Payouts are based on a synthetic share price derived from an independent third-party valuation that is calculated using a discounted cash flow analysis of Volvo Cars and a market analysis of peer companies. Depending on the employee’s position, they are eligible to receive an award equivalent to a certain percentage of their annual base salary that is capped at a 300% ceiling. Employees must remain employed to be eligible to receive the award. The fair value of the LTVP is recognised on the annual grant date, subsequently remeasured at the end of reach reporting date, and presented within current and non-current provisions in the Consolidated Statement of Financial Position.</w:t>
      </w:r>
    </w:p>
    <w:p>
      <w:pPr>
        <w:spacing w:after="0" w:line="27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Post-employment benefits</w:t>
      </w:r>
    </w:p>
    <w:p>
      <w:pPr>
        <w:spacing w:after="0" w:line="119"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Polestar Group’s post-employment benefits are comprised of defined contribution pension plans and the Swedish defined benefit pension (“ITP 2”) that is managed by the mutual insurance company Alecta.</w:t>
      </w:r>
    </w:p>
    <w:p>
      <w:pPr>
        <w:spacing w:after="0" w:line="162"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For defined contribution plans, premiums are paid to a separate legal entity that manages pension plans on behalf of various employers. There is no legal obligation to pay additional contributions if this legal entity does not hold sufficient assets to pay all employee benefits. Contributions payable are recognised in the reporting period in which services are rendered and presented within current and non-current provisions in the Consolidated Statement of Financial Position. Contribution rates are unique to each employee.</w:t>
      </w:r>
    </w:p>
    <w:p>
      <w:pPr>
        <w:spacing w:after="0" w:line="180" w:lineRule="exact"/>
        <w:rPr>
          <w:sz w:val="20"/>
          <w:szCs w:val="20"/>
          <w:color w:val="auto"/>
        </w:rPr>
      </w:pPr>
    </w:p>
    <w:p>
      <w:pPr>
        <w:ind w:left="120" w:right="160"/>
        <w:spacing w:after="0" w:line="255" w:lineRule="auto"/>
        <w:rPr>
          <w:sz w:val="20"/>
          <w:szCs w:val="20"/>
          <w:color w:val="auto"/>
        </w:rPr>
      </w:pPr>
      <w:r>
        <w:rPr>
          <w:rFonts w:ascii="Times New Roman" w:cs="Times New Roman" w:eastAsia="Times New Roman" w:hAnsi="Times New Roman"/>
          <w:sz w:val="18"/>
          <w:szCs w:val="18"/>
          <w:color w:val="auto"/>
        </w:rPr>
        <w:t>Polestar Group’s only defined benefit plan is the ITP 2 plan in Sweden. This plan is accounted for as a multi-employer defined contribution plan under IAS 19 because Alecta does not distribute sufficient information that enables employers to identify their share of the underlying financial position and performance of ITP 2. This treatment is specific to companies operating in Sweden under the guidance discussed in the Swedish Financial Reporting Board pronouncement UFR 10, Accounting for the pension plan ITP 2 financed through an insurance in Alecta, and IAS 19.32–39, Multi-employer plans. The premiums for retirement pensions and survivor’s pensions are calculated individually and are based on salary, previously earned pension benefits, and expected remaining years of service, among other factors. Premiums of $3,507 are estimated to be paid to Alecta for the year ended December 31, 2022 related to ITP 2.</w:t>
      </w:r>
    </w:p>
    <w:p>
      <w:pPr>
        <w:spacing w:after="0" w:line="1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Polestar Group’s share of the total savings premiums for ITP 2 in Alecta for the years ended December 31, 2021, 2020 and 2019, amounted to</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0.13056%, 0.05375% and 0.06478%, respectively. Further, Polestar Group’s share of the total number of active policy holders as of December 31, 2021,</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2020 and 2019, amounted to 0.04485%,</w:t>
      </w:r>
    </w:p>
    <w:p>
      <w:pPr>
        <w:spacing w:after="0" w:line="13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F-21</w:t>
      </w:r>
    </w:p>
    <w:p>
      <w:pPr>
        <w:sectPr>
          <w:pgSz w:w="11900" w:h="16838" w:orient="portrait"/>
          <w:cols w:equalWidth="0" w:num="1">
            <w:col w:w="11120"/>
          </w:cols>
          <w:pgMar w:left="320" w:top="455" w:right="459" w:bottom="1440" w:gutter="0" w:footer="0" w:header="0"/>
        </w:sectPr>
      </w:pPr>
    </w:p>
    <w:bookmarkStart w:id="256" w:name="page257"/>
    <w:bookmarkEnd w:id="2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p>
      <w:pPr>
        <w:spacing w:after="0" w:line="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34"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0.02605% and 0.02069%, respectively. The collective consolidation level comprises the market value of Alecta’s asset as a percentage of the insurance obligations calculated in accordance with Alecta’s actuarial methods and assumptions. The collective funding ratio is normally allowed to vary between 125% and 175%. If the consolidation level falls below 125% or exceeds 175%, measures are taken to increase the contract price for new subscriptions and to expand exiting benefits or introduce premium reductions. As of December 31, 2021 and 2020, Alecta’s surplus of consolidation level amounted to 172% and 148%, respectively.</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Polestar as lessee</w:t>
      </w:r>
    </w:p>
    <w:p>
      <w:pPr>
        <w:spacing w:after="0" w:line="119"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At inception of a contract, the Group assesses whether the contract is or contains a lease. In determining the lease term, management considers all relevant facts and circumstances related to exercising an extension option or not exercising a termination option. Such options are only included in the lease term if the extension option or termination option is reasonably certain to be exercised or not exercised, respectively. If circumstances surrounding the Group’s decision related to extension and termination options change, the Group reassesses the term of the lease accordingly. As of December 31, 2021 and 2020, no material lease extension options existed.</w:t>
      </w:r>
    </w:p>
    <w:p>
      <w:pPr>
        <w:spacing w:after="0" w:line="183" w:lineRule="exact"/>
        <w:rPr>
          <w:sz w:val="20"/>
          <w:szCs w:val="20"/>
          <w:color w:val="auto"/>
        </w:rPr>
      </w:pPr>
    </w:p>
    <w:p>
      <w:pPr>
        <w:ind w:left="120" w:right="100"/>
        <w:spacing w:after="0" w:line="255" w:lineRule="auto"/>
        <w:rPr>
          <w:sz w:val="20"/>
          <w:szCs w:val="20"/>
          <w:color w:val="auto"/>
        </w:rPr>
      </w:pPr>
      <w:r>
        <w:rPr>
          <w:rFonts w:ascii="Times New Roman" w:cs="Times New Roman" w:eastAsia="Times New Roman" w:hAnsi="Times New Roman"/>
          <w:sz w:val="18"/>
          <w:szCs w:val="18"/>
          <w:color w:val="auto"/>
        </w:rPr>
        <w:t>At the lease commencement date, an ROU asset and a lease liability are recognised on the Consolidated Statement of Financial Position with respect to all lease arrangements in which the Group is a lessee. The lease liability is initially measured at an amount equal to the present value of the future lease payments under the lease contract, discounted by the rate implicit in the lease. If this rate cannot be readily determined, the Group uses its incremental borrowing rate. Lease payments included in the measurement of the lease liability comprise in-substance fixed payments, among other fixed lease payments, and variable lease payments that depend on an index or a rate, the exercise price of purchase options (if the lessee is reasonably certain to exercise the options), and payments of penalties for terminating the lease (if the lease term reflects the exercise of an option to terminate the lease). The practical expedient of including non-lease components in the measurement of the lease liability for all asset classes is applied.</w:t>
      </w:r>
    </w:p>
    <w:p>
      <w:pPr>
        <w:spacing w:after="0" w:line="189"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The ROU asset is initially measured at cost, which is comprised of the initial amount of the lease liability adjusted for any lease payments made at or before the commencement date, and the estimate of costs to dismantle and remove the underlying asset or the site on which it is located, less any lease incentives received. The asset is subsequently depreciated on a straight-line basis from the commencement date to the earlier of the end of the useful life of the underlying asset or the end of the lease term. For more information regarding amortisation of the ROU asset, refer to Note 9 – Leases. The ROU asset is reduced by impairment losses, if any, and adjusted for certain remeasurements of the lease liability.</w:t>
      </w:r>
    </w:p>
    <w:p>
      <w:pPr>
        <w:spacing w:after="0" w:line="183"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The Group elected the practical expedient to account for leases with lease terms which end within twelve months of the initial date of application as a short-term lease. The Group also elected the practical expedient to not recognise a ROU asset and lease liability for short-term and low-value leases. Low value assets are defined as asset classes that are typically of low value, for example, small IT equipment (cellphones, laptops, computers, printers) and office furniture. Payments associated with short-term leases and leases of low-value assets are recognised on a straight-line basis as an expense over the lease term in the Consolidated Statement of Loss.</w:t>
      </w:r>
    </w:p>
    <w:p>
      <w:pPr>
        <w:spacing w:after="0" w:line="183"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On the Consolidated Statement of Financial Position, the lease liabilities are presented within current interest-bearing liabilities and other non-current interest-bearing liabilities in the Consolidated Statement of Financial Position. In the Consolidated Statement of Loss, depreciation expense of the ROU assets is presented on the same line item(s) as similar items of PPE. The interest expense on the lease liability is presented as part of finance expenses. In the Consolidated Statement of Cash Flows, amortisation of the lease liability is presented as a cash flow from operating activities. Lease related interest expense is presented within cash flows from operating activities.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F-22</w:t>
      </w:r>
    </w:p>
    <w:p>
      <w:pPr>
        <w:sectPr>
          <w:pgSz w:w="11900" w:h="16838" w:orient="portrait"/>
          <w:cols w:equalWidth="0" w:num="1">
            <w:col w:w="11120"/>
          </w:cols>
          <w:pgMar w:left="320" w:top="455" w:right="459" w:bottom="1440" w:gutter="0" w:footer="0" w:header="0"/>
        </w:sectPr>
      </w:pPr>
    </w:p>
    <w:bookmarkStart w:id="257" w:name="page258"/>
    <w:bookmarkEnd w:id="2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p>
      <w:pPr>
        <w:spacing w:after="0" w:line="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34" w:lineRule="exact"/>
        <w:rPr>
          <w:sz w:val="20"/>
          <w:szCs w:val="20"/>
          <w:color w:val="auto"/>
        </w:rPr>
      </w:pPr>
    </w:p>
    <w:p>
      <w:pPr>
        <w:ind w:left="120" w:right="120"/>
        <w:spacing w:after="0" w:line="281" w:lineRule="auto"/>
        <w:rPr>
          <w:sz w:val="20"/>
          <w:szCs w:val="20"/>
          <w:color w:val="auto"/>
        </w:rPr>
      </w:pPr>
      <w:r>
        <w:rPr>
          <w:rFonts w:ascii="Times New Roman" w:cs="Times New Roman" w:eastAsia="Times New Roman" w:hAnsi="Times New Roman"/>
          <w:sz w:val="17"/>
          <w:szCs w:val="17"/>
          <w:color w:val="auto"/>
        </w:rPr>
        <w:t>The Group has certain leases stemming from contract manufacturing agreements related to the production of Polestar vehicles. These agreements are associated with unique type bound tooling and equipment (“PS Unique Tools”) used in the production of Polestar vehicles at certain suppliers and vendors. The PS Unique Tools are suited specifically for Polestar vehicles and Polestar has the right to direct the use of the related assets. The production of Polestar vehicles occupies 100% of these assets’ capacity; as such, the PS Unique Tools are also recognised as ROU assets by the Group.</w:t>
      </w:r>
    </w:p>
    <w:p>
      <w:pPr>
        <w:spacing w:after="0" w:line="27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Sale leaseback transactions</w:t>
      </w:r>
    </w:p>
    <w:p>
      <w:pPr>
        <w:spacing w:after="0" w:line="119" w:lineRule="exact"/>
        <w:rPr>
          <w:sz w:val="20"/>
          <w:szCs w:val="20"/>
          <w:color w:val="auto"/>
        </w:rPr>
      </w:pPr>
    </w:p>
    <w:p>
      <w:pPr>
        <w:jc w:val="both"/>
        <w:ind w:left="120" w:right="140"/>
        <w:spacing w:after="0" w:line="289" w:lineRule="auto"/>
        <w:rPr>
          <w:sz w:val="20"/>
          <w:szCs w:val="20"/>
          <w:color w:val="auto"/>
        </w:rPr>
      </w:pPr>
      <w:r>
        <w:rPr>
          <w:rFonts w:ascii="Times New Roman" w:cs="Times New Roman" w:eastAsia="Times New Roman" w:hAnsi="Times New Roman"/>
          <w:sz w:val="17"/>
          <w:szCs w:val="17"/>
          <w:color w:val="auto"/>
        </w:rPr>
        <w:t>The Group enters into transactions to sell vehicles concurrent with agreements to lease the same vehicles back for a period of six to twelve months. At the end of the rental period, Polestar is obligated to repurchase the car. Due to this repurchase obligation, this transaction is accounted for as a financial liability. Accordingly, the Group does not record a sale of these vehicles for accounting purposes and depreciates the assets over their useful lives.</w:t>
      </w:r>
    </w:p>
    <w:p>
      <w:pPr>
        <w:spacing w:after="0" w:line="2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Polestar as lessor</w:t>
      </w:r>
    </w:p>
    <w:p>
      <w:pPr>
        <w:spacing w:after="0" w:line="119" w:lineRule="exact"/>
        <w:rPr>
          <w:sz w:val="20"/>
          <w:szCs w:val="20"/>
          <w:color w:val="auto"/>
        </w:rPr>
      </w:pPr>
    </w:p>
    <w:p>
      <w:pPr>
        <w:jc w:val="both"/>
        <w:ind w:left="120" w:right="320"/>
        <w:spacing w:after="0" w:line="258" w:lineRule="auto"/>
        <w:rPr>
          <w:sz w:val="20"/>
          <w:szCs w:val="20"/>
          <w:color w:val="auto"/>
        </w:rPr>
      </w:pPr>
      <w:r>
        <w:rPr>
          <w:rFonts w:ascii="Times New Roman" w:cs="Times New Roman" w:eastAsia="Times New Roman" w:hAnsi="Times New Roman"/>
          <w:sz w:val="18"/>
          <w:szCs w:val="18"/>
          <w:color w:val="auto"/>
        </w:rPr>
        <w:t>In the Consolidated Statement of Financial Position, vehicles associated with the Group’s operating leases are recognised as non-current assets and presented as vehicles under operating leases. The vehicles are initially measured at cost and depreciated on a straight-line basis over their respective lease term to their estimated residual value. Incremental direct costs incurred in connection with the acquisition of lease contracts are capitalised and amortised on a straight-line method over the lease term. Liabilities related to repurchase obligations are recognised as other non-current and current liabilities. Following repurchase by Polestar, the vehicles are reclassified to inventory.</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Finance income and expense</w:t>
      </w:r>
    </w:p>
    <w:p>
      <w:pPr>
        <w:spacing w:after="0" w:line="121" w:lineRule="exact"/>
        <w:rPr>
          <w:sz w:val="20"/>
          <w:szCs w:val="20"/>
          <w:color w:val="auto"/>
        </w:rPr>
      </w:pPr>
    </w:p>
    <w:p>
      <w:pPr>
        <w:jc w:val="both"/>
        <w:ind w:left="120" w:right="20"/>
        <w:spacing w:after="0" w:line="266" w:lineRule="auto"/>
        <w:rPr>
          <w:sz w:val="20"/>
          <w:szCs w:val="20"/>
          <w:color w:val="auto"/>
        </w:rPr>
      </w:pPr>
      <w:r>
        <w:rPr>
          <w:rFonts w:ascii="Times New Roman" w:cs="Times New Roman" w:eastAsia="Times New Roman" w:hAnsi="Times New Roman"/>
          <w:sz w:val="18"/>
          <w:szCs w:val="18"/>
          <w:color w:val="auto"/>
        </w:rPr>
        <w:t>Finance income and expense represent items outside the Group’s core business. These items are presented separately from operating income and include net foreign exchange rate gains (losses) on financial activities, interest income on bank deposits, expenses to credit facilities, interest expense, and other finance expenses.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Income tax expense</w:t>
      </w:r>
    </w:p>
    <w:p>
      <w:pPr>
        <w:spacing w:after="0" w:line="121"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Polestar Group’s Income tax expense consists of current tax and deferred tax. Taxes are recognised in the Consolidated Statement of Loss, except when the underlying transaction is recognised directly in equity or the Consolidated Statement of Comprehensive Loss, whereupon related taxation is also recognised in equity or the Consolidated Statement of Comprehensive Loss.</w:t>
      </w:r>
    </w:p>
    <w:p>
      <w:pPr>
        <w:spacing w:after="0" w:line="176"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Current tax is tax that must be paid or will be received for the current year. Current tax also includes adjustments to current tax attributable to previous periods. Deferred tax is calculated according to the balance sheet method for all temporary differences, with the exception of book goodwill in excess of tax goodwill recorded in purchase accounting, which arises between the tax value and the carrying amount of assets and liabilities.</w:t>
      </w:r>
    </w:p>
    <w:p>
      <w:pPr>
        <w:spacing w:after="0" w:line="176"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Deferred tax assets and liabilities are measured at the nominal amount and at the tax rates that are expected to be applied when the asset is realised or the liability is settled, using the tax rates and tax rules that have been enacted or substantively enacted at the date of the Consolidated Statement of Financial Position.</w:t>
      </w:r>
    </w:p>
    <w:p>
      <w:pPr>
        <w:spacing w:after="0" w:line="176" w:lineRule="exact"/>
        <w:rPr>
          <w:sz w:val="20"/>
          <w:szCs w:val="20"/>
          <w:color w:val="auto"/>
        </w:rPr>
      </w:pPr>
    </w:p>
    <w:p>
      <w:pPr>
        <w:ind w:left="120" w:right="280"/>
        <w:spacing w:after="0" w:line="261" w:lineRule="auto"/>
        <w:rPr>
          <w:sz w:val="20"/>
          <w:szCs w:val="20"/>
          <w:color w:val="auto"/>
        </w:rPr>
      </w:pPr>
      <w:r>
        <w:rPr>
          <w:rFonts w:ascii="Times New Roman" w:cs="Times New Roman" w:eastAsia="Times New Roman" w:hAnsi="Times New Roman"/>
          <w:sz w:val="18"/>
          <w:szCs w:val="18"/>
          <w:color w:val="auto"/>
        </w:rPr>
        <w:t>Deferred tax assets relating to deductible temporary differences and loss carry forwards are recognised to the extent it is probable that they will be utilised in the future. Deferred tax assets and deferred tax liabilities are offset when they are attributable to the same taxation authority on either the same taxable entity or different taxable entities where there is an intention to settle the balances on a net basis and the affected company has a legally adopted right to offset tax assets against tax liabilities.</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F-23</w:t>
      </w:r>
    </w:p>
    <w:p>
      <w:pPr>
        <w:sectPr>
          <w:pgSz w:w="11900" w:h="16838" w:orient="portrait"/>
          <w:cols w:equalWidth="0" w:num="1">
            <w:col w:w="11120"/>
          </w:cols>
          <w:pgMar w:left="320" w:top="455" w:right="459" w:bottom="1440" w:gutter="0" w:footer="0" w:header="0"/>
        </w:sectPr>
      </w:pPr>
    </w:p>
    <w:bookmarkStart w:id="258" w:name="page259"/>
    <w:bookmarkEnd w:id="2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p>
      <w:pPr>
        <w:spacing w:after="0" w:line="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34" w:lineRule="exact"/>
        <w:rPr>
          <w:sz w:val="20"/>
          <w:szCs w:val="20"/>
          <w:color w:val="auto"/>
        </w:rPr>
      </w:pPr>
    </w:p>
    <w:p>
      <w:pPr>
        <w:jc w:val="both"/>
        <w:ind w:left="120" w:right="60"/>
        <w:spacing w:after="0" w:line="256" w:lineRule="auto"/>
        <w:rPr>
          <w:sz w:val="20"/>
          <w:szCs w:val="20"/>
          <w:color w:val="auto"/>
        </w:rPr>
      </w:pPr>
      <w:r>
        <w:rPr>
          <w:rFonts w:ascii="Times New Roman" w:cs="Times New Roman" w:eastAsia="Times New Roman" w:hAnsi="Times New Roman"/>
          <w:sz w:val="18"/>
          <w:szCs w:val="18"/>
          <w:color w:val="auto"/>
        </w:rPr>
        <w:t>The recognition of deferred tax assets requires assumptions to be made about the level of future taxable income and the timing of recovery of deferred tax assets. These assumptions take into consideration forecasted taxable income by relevant tax jurisdiction. The measurement of deferred tax assets is subject to uncertainty and the actual result may diverge from judgements due to future changes in projected earnings by the company, business climate, and changes to tax laws. Unrecognised deferred tax assets are reassessed at each reporting date and recognised to the extent that it has become probable that future taxable profits will be available against which they can be used. If needed, the carrying amount of the deferred tax asset will be altered. The judgements that have been made affect Net loss both positively and negatively.</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Intangible assets and goodwill</w:t>
      </w:r>
    </w:p>
    <w:p>
      <w:pPr>
        <w:spacing w:after="0" w:line="121" w:lineRule="exact"/>
        <w:rPr>
          <w:sz w:val="20"/>
          <w:szCs w:val="20"/>
          <w:color w:val="auto"/>
        </w:rPr>
      </w:pPr>
    </w:p>
    <w:p>
      <w:pPr>
        <w:ind w:left="120" w:right="480"/>
        <w:spacing w:after="0" w:line="266" w:lineRule="auto"/>
        <w:rPr>
          <w:sz w:val="20"/>
          <w:szCs w:val="20"/>
          <w:color w:val="auto"/>
        </w:rPr>
      </w:pPr>
      <w:r>
        <w:rPr>
          <w:rFonts w:ascii="Times New Roman" w:cs="Times New Roman" w:eastAsia="Times New Roman" w:hAnsi="Times New Roman"/>
          <w:sz w:val="18"/>
          <w:szCs w:val="18"/>
          <w:color w:val="auto"/>
        </w:rPr>
        <w:t>An intangible asset is recognised when it is identifiable, Polestar Group controls the asset, and it is expected to generate future economic benefits. Intangible assets have either finite or indefinite lives. Finite lived intangible assets are intellectual property (“IP”), both acquired and internally developed, and software. Indefinite lived intangible assets are Goodwill and Trademarks.</w:t>
      </w:r>
    </w:p>
    <w:p>
      <w:pPr>
        <w:spacing w:after="0" w:line="176"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Intangible assets are measured at acquisition or internal development cost, less accumulated amortisation and, as applicable, impairment loss. Intangible assets with finite lives are amortised on a straight-line basis. The Group makes estimates and judgements related to expected usage of intangible assets in accordance with Management’s 2022-2025 business plan, product life cycles, technological obsolescence, developments, and advancements specific to the battery electric vehicle industry. Management estimates the useful life of intangible assets by taking into account judgements on how the Group plans to utilise such intangibles in accordance with the business plan and any related rights and obligations under its contractual agreements. The estimated useful life and amortisation method are reviewed at the end of each reporting period, with the effect of any changes in estimate being accounted for on a prospective basis. The useful lives of intangible assets with indefinite useful lives, goodwill and trademarks, are assessed annually to determine whether the indefinite designation continues to be appropriate. Intangible assets with indefinite useful lives are tested for impairment annually or if an event which could give rise to impairment occurs</w:t>
      </w:r>
      <w:r>
        <w:rPr>
          <w:rFonts w:ascii="Times New Roman" w:cs="Times New Roman" w:eastAsia="Times New Roman" w:hAnsi="Times New Roman"/>
          <w:sz w:val="18"/>
          <w:szCs w:val="18"/>
          <w:i w:val="1"/>
          <w:iCs w:val="1"/>
          <w:color w:val="auto"/>
        </w:rPr>
        <w:t>.</w:t>
      </w:r>
    </w:p>
    <w:p>
      <w:pPr>
        <w:spacing w:after="0" w:line="2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Manufacturing engineering</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Amortisation for manufacturing engineering, reflecting engineering performed in terms of production facility layout, is included in Cost of sales.</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Acquired IP</w:t>
      </w:r>
    </w:p>
    <w:p>
      <w:pPr>
        <w:spacing w:after="0" w:line="119"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Polestar Group has entered into agreements with Volvo Car Group (“Volvo Cars”) and Zhejiang Geely Holding Group Company Limited (“Geely”), a related party. regarding the development of technology for both upgrades of existing models and upcoming models. The technology can be either Polestar unique or commonly shared. In both cases, Polestar Group is in control of the developed product, either through a license or through ownership of the IP.</w:t>
      </w:r>
    </w:p>
    <w:p>
      <w:pPr>
        <w:spacing w:after="0" w:line="180" w:lineRule="exact"/>
        <w:rPr>
          <w:sz w:val="20"/>
          <w:szCs w:val="20"/>
          <w:color w:val="auto"/>
        </w:rPr>
      </w:pPr>
    </w:p>
    <w:p>
      <w:pPr>
        <w:jc w:val="both"/>
        <w:ind w:left="120" w:right="80"/>
        <w:spacing w:after="0" w:line="266" w:lineRule="auto"/>
        <w:rPr>
          <w:sz w:val="20"/>
          <w:szCs w:val="20"/>
          <w:color w:val="auto"/>
        </w:rPr>
      </w:pPr>
      <w:r>
        <w:rPr>
          <w:rFonts w:ascii="Times New Roman" w:cs="Times New Roman" w:eastAsia="Times New Roman" w:hAnsi="Times New Roman"/>
          <w:sz w:val="18"/>
          <w:szCs w:val="18"/>
          <w:color w:val="auto"/>
        </w:rPr>
        <w:t>Acquired IP are finite-lived intangible assets which are amortised once the acquired IP is ready for its intended use, over their estimated useful lives for 3-7 years. The remaining useful life of acquired IP is between 1-6 years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Amortisation of acquired IP related to the PS1 and PS2 is included in research and development expenses as it represents foundational IP that is leveraged across multiple functions of the Group.</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Internally developed IP</w:t>
      </w:r>
    </w:p>
    <w:p>
      <w:pPr>
        <w:spacing w:after="0" w:line="119" w:lineRule="exact"/>
        <w:rPr>
          <w:sz w:val="20"/>
          <w:szCs w:val="20"/>
          <w:color w:val="auto"/>
        </w:rPr>
      </w:pPr>
    </w:p>
    <w:p>
      <w:pPr>
        <w:ind w:left="120" w:right="180"/>
        <w:spacing w:after="0" w:line="282" w:lineRule="auto"/>
        <w:rPr>
          <w:sz w:val="20"/>
          <w:szCs w:val="20"/>
          <w:color w:val="auto"/>
        </w:rPr>
      </w:pPr>
      <w:r>
        <w:rPr>
          <w:rFonts w:ascii="Times New Roman" w:cs="Times New Roman" w:eastAsia="Times New Roman" w:hAnsi="Times New Roman"/>
          <w:sz w:val="18"/>
          <w:szCs w:val="18"/>
          <w:color w:val="auto"/>
        </w:rPr>
        <w:t>Internally developed IP are finite-lived intangible assets which are amortised over their estimated useful lives for 3-7 years. Amortisation of internally developed IP is included in research and development expenses and</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F-24</w:t>
      </w:r>
    </w:p>
    <w:p>
      <w:pPr>
        <w:sectPr>
          <w:pgSz w:w="11900" w:h="16838" w:orient="portrait"/>
          <w:cols w:equalWidth="0" w:num="1">
            <w:col w:w="11100"/>
          </w:cols>
          <w:pgMar w:left="320" w:top="455" w:right="479" w:bottom="1440" w:gutter="0" w:footer="0" w:header="0"/>
        </w:sectPr>
      </w:pPr>
    </w:p>
    <w:bookmarkStart w:id="259" w:name="page260"/>
    <w:bookmarkEnd w:id="2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p>
      <w:pPr>
        <w:spacing w:after="0" w:line="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34" w:lineRule="exact"/>
        <w:rPr>
          <w:sz w:val="20"/>
          <w:szCs w:val="20"/>
          <w:color w:val="auto"/>
        </w:rPr>
      </w:pPr>
    </w:p>
    <w:p>
      <w:pPr>
        <w:ind w:left="120" w:right="360"/>
        <w:spacing w:after="0" w:line="261" w:lineRule="auto"/>
        <w:rPr>
          <w:sz w:val="20"/>
          <w:szCs w:val="20"/>
          <w:color w:val="auto"/>
        </w:rPr>
      </w:pPr>
      <w:r>
        <w:rPr>
          <w:rFonts w:ascii="Times New Roman" w:cs="Times New Roman" w:eastAsia="Times New Roman" w:hAnsi="Times New Roman"/>
          <w:sz w:val="18"/>
          <w:szCs w:val="18"/>
          <w:color w:val="auto"/>
        </w:rPr>
        <w:t>commences when the internally developed IP is ready for its intended use. Polestar Group’s research and development activities are divided into a concept phase and a product development phase. Costs related to the concept phase are expensed in the period incurred, whereas costs related to the product development phase are capitalised upon the commencement of product development. Each phase is identified by work plans, budgeted, and tracked internally by research and development personnel.</w:t>
      </w:r>
    </w:p>
    <w:p>
      <w:pPr>
        <w:spacing w:after="0" w:line="180"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Costs incurred in the concept phase are expensed as incurred when (1) the Group is conducting research activities such as obtaining new knowledge, formulating a project concept, and searching for components to support the project (e.g., materials, devices, and processes) and (2) the Group cannot yet demonstrate that an intangible asset exists that will generate probable future economic benefits.</w:t>
      </w:r>
    </w:p>
    <w:p>
      <w:pPr>
        <w:spacing w:after="0" w:line="176"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Costs incurred in the product development phase are capitalised when (1) the Group is conducting development activities such as designing, constructing, and testing pre-production prototypes, tools, systems, and processes, (2) technical feasibility of completing the intangible asset exists, (3) resources required to complete the intangible asset are available to the Group, (4) the Group intends and has the ability to use or sell the intangible asset to generate future economic benefits, and (5) related expenditures can be reliably measured.</w:t>
      </w:r>
    </w:p>
    <w:p>
      <w:pPr>
        <w:spacing w:after="0" w:line="180"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recognised for the years ended December 31, 2021, 2020 and 2019, amounted to $232,922, $183,849 and $34,386, respectively and were substantially related to the amortisation of PS1 and PS2 technology.</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Software</w:t>
      </w:r>
    </w:p>
    <w:p>
      <w:pPr>
        <w:spacing w:after="0" w:line="119" w:lineRule="exact"/>
        <w:rPr>
          <w:sz w:val="20"/>
          <w:szCs w:val="20"/>
          <w:color w:val="auto"/>
        </w:rPr>
      </w:pPr>
    </w:p>
    <w:p>
      <w:pPr>
        <w:ind w:left="120" w:right="120"/>
        <w:spacing w:after="0" w:line="282" w:lineRule="auto"/>
        <w:rPr>
          <w:sz w:val="20"/>
          <w:szCs w:val="20"/>
          <w:color w:val="auto"/>
        </w:rPr>
      </w:pPr>
      <w:r>
        <w:rPr>
          <w:rFonts w:ascii="Times New Roman" w:cs="Times New Roman" w:eastAsia="Times New Roman" w:hAnsi="Times New Roman"/>
          <w:sz w:val="18"/>
          <w:szCs w:val="18"/>
          <w:color w:val="auto"/>
        </w:rPr>
        <w:t>Software is a finite-lived intangible asset which is amortised over its estimated useful life of 3-8 years. Amortisation of software is included in research and development expenses, selling expenses, or administrative expenses depending on the way in which the assets have been used.</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Trademarks</w:t>
      </w:r>
    </w:p>
    <w:p>
      <w:pPr>
        <w:spacing w:after="0" w:line="119"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Trademarks are assumed to have indefinite useful lives since Polestar Group has the right and the intention to continue to use the trademarks for the foreseeable future, while generating net positive cash flows for Polestar Group. Trademarks were generated when Volvo Cars acquired Polestar Group in July 2015. Trademarks are recognised at fair value at the date of the acquisition less any accumulated impairment losses.</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Goodwill</w:t>
      </w:r>
    </w:p>
    <w:p>
      <w:pPr>
        <w:spacing w:after="0" w:line="119" w:lineRule="exact"/>
        <w:rPr>
          <w:sz w:val="20"/>
          <w:szCs w:val="20"/>
          <w:color w:val="auto"/>
        </w:rPr>
      </w:pPr>
    </w:p>
    <w:p>
      <w:pPr>
        <w:ind w:left="120" w:right="420"/>
        <w:spacing w:after="0" w:line="266" w:lineRule="auto"/>
        <w:rPr>
          <w:sz w:val="20"/>
          <w:szCs w:val="20"/>
          <w:color w:val="auto"/>
        </w:rPr>
      </w:pPr>
      <w:r>
        <w:rPr>
          <w:rFonts w:ascii="Times New Roman" w:cs="Times New Roman" w:eastAsia="Times New Roman" w:hAnsi="Times New Roman"/>
          <w:sz w:val="18"/>
          <w:szCs w:val="18"/>
          <w:color w:val="auto"/>
        </w:rPr>
        <w:t>Goodwill represents the excess of the purchase price over the fair value of identifiable assets and liabilities acquired in a business combination. Goodwill was generated as a result of Volvo Cars acquiring Polestar Group in July 2015. For more detailed information on goodwill and intangible assets, see Note 12 – Intangible assets and goodwill.</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Property plant and equipment</w:t>
      </w:r>
    </w:p>
    <w:p>
      <w:pPr>
        <w:spacing w:after="0" w:line="121"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Items of PPE are recognised at acquisition cost, less accumulated depreciation, and as applicable, accumulated impairment loss. The cost of an acquired asset includes its purchase price, expenditures directly attributed to the acquisition and subsequent preparation of the asset for its intended use, and the initial estimate of costs to dismantle and remove the item of PPE and restore the site on which it was located. Repairs and maintenance expenditures are expensed in the period incurred. Expenses related to leasehold improvements and other costs which enhance or extend the life of PPE are capitalised over the useful life of the asset.</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F-25</w:t>
      </w:r>
    </w:p>
    <w:p>
      <w:pPr>
        <w:sectPr>
          <w:pgSz w:w="11900" w:h="16838" w:orient="portrait"/>
          <w:cols w:equalWidth="0" w:num="1">
            <w:col w:w="11120"/>
          </w:cols>
          <w:pgMar w:left="320" w:top="455" w:right="459" w:bottom="1440" w:gutter="0" w:footer="0" w:header="0"/>
        </w:sectPr>
      </w:pPr>
    </w:p>
    <w:bookmarkStart w:id="260" w:name="page261"/>
    <w:bookmarkEnd w:id="2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p>
      <w:pPr>
        <w:spacing w:after="0" w:line="2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34"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Buildings under development are measured at actual costs. The actual costs include various construction expenditures during the construction period, borrowing costs capitalised before the building is ready for intended use, and other relevant costs. Buildings under development are not depreciated and are transferred to fixed assets when ready for the intended use.</w:t>
      </w:r>
    </w:p>
    <w:p>
      <w:pPr>
        <w:spacing w:after="0" w:line="176"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PPE are depreciated on a straight-line basis down to their residual value, which is typically estimated to be zero, over their estimated useful lives. Each part of a tangible asset, with a cost that is significant in relation to the total cost of the item, is depreciated separately when the useful life for that part differs from the useful life of the other parts of the item.</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useful lives are applied in Polestar Group:</w:t>
      </w:r>
    </w:p>
    <w:p>
      <w:pPr>
        <w:spacing w:after="0" w:line="233"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67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Asset</w:t>
            </w: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Useful lives</w:t>
            </w:r>
          </w:p>
        </w:tc>
        <w:tc>
          <w:tcPr>
            <w:tcW w:w="0" w:type="dxa"/>
            <w:vAlign w:val="bottom"/>
          </w:tcPr>
          <w:p>
            <w:pPr>
              <w:spacing w:after="0"/>
              <w:rPr>
                <w:sz w:val="1"/>
                <w:szCs w:val="1"/>
                <w:color w:val="auto"/>
              </w:rPr>
            </w:pPr>
          </w:p>
        </w:tc>
      </w:tr>
      <w:tr>
        <w:trPr>
          <w:trHeight w:val="173"/>
        </w:trPr>
        <w:tc>
          <w:tcPr>
            <w:tcW w:w="6780" w:type="dxa"/>
            <w:vAlign w:val="bottom"/>
            <w:tcBorders>
              <w:bottom w:val="single" w:sz="8" w:color="CCEEFF"/>
            </w:tcBorders>
            <w:vMerge w:val="continue"/>
          </w:tcPr>
          <w:p>
            <w:pPr>
              <w:spacing w:after="0"/>
              <w:rPr>
                <w:sz w:val="15"/>
                <w:szCs w:val="15"/>
                <w:color w:val="auto"/>
              </w:rPr>
            </w:pP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0" w:type="dxa"/>
            <w:vAlign w:val="bottom"/>
          </w:tcPr>
          <w:p>
            <w:pPr>
              <w:spacing w:after="0"/>
              <w:rPr>
                <w:sz w:val="1"/>
                <w:szCs w:val="1"/>
                <w:color w:val="auto"/>
              </w:rPr>
            </w:pPr>
          </w:p>
        </w:tc>
      </w:tr>
      <w:tr>
        <w:trPr>
          <w:trHeight w:val="209"/>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Buildings</w:t>
            </w:r>
          </w:p>
        </w:tc>
        <w:tc>
          <w:tcPr>
            <w:tcW w:w="70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8"/>
                <w:szCs w:val="18"/>
                <w:color w:val="auto"/>
              </w:rPr>
              <w:t>30-50</w:t>
            </w:r>
          </w:p>
        </w:tc>
        <w:tc>
          <w:tcPr>
            <w:tcW w:w="0" w:type="dxa"/>
            <w:vAlign w:val="bottom"/>
          </w:tcPr>
          <w:p>
            <w:pPr>
              <w:spacing w:after="0"/>
              <w:rPr>
                <w:sz w:val="1"/>
                <w:szCs w:val="1"/>
                <w:color w:val="auto"/>
              </w:rPr>
            </w:pPr>
          </w:p>
        </w:tc>
      </w:tr>
      <w:tr>
        <w:trPr>
          <w:trHeight w:val="234"/>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Machinery and equipment</w:t>
            </w:r>
          </w:p>
        </w:tc>
        <w:tc>
          <w:tcPr>
            <w:tcW w:w="700" w:type="dxa"/>
            <w:vAlign w:val="bottom"/>
          </w:tcPr>
          <w:p>
            <w:pPr>
              <w:jc w:val="right"/>
              <w:ind w:right="139"/>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Depreciation of PPE is included in costs of sales as well as selling or administrative expenses, depending on the nature of the item being depreciated.</w:t>
      </w:r>
    </w:p>
    <w:p>
      <w:pPr>
        <w:spacing w:after="0" w:line="225"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Tangible assets are derecognised upon disposal or when no future economic benefits are expected to arise from the continued use of the asset. Any gain or loss arising on the disposal or retirement is determined as the difference between the sales proceeds and the carrying amount of the asset and is recognised in the Consolidated Statement of Loss as other operating income and expense.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Impairment</w:t>
      </w:r>
    </w:p>
    <w:p>
      <w:pPr>
        <w:spacing w:after="0" w:line="121" w:lineRule="exact"/>
        <w:rPr>
          <w:sz w:val="20"/>
          <w:szCs w:val="20"/>
          <w:color w:val="auto"/>
        </w:rPr>
      </w:pPr>
    </w:p>
    <w:p>
      <w:pPr>
        <w:jc w:val="both"/>
        <w:ind w:left="120" w:right="100"/>
        <w:spacing w:after="0" w:line="289" w:lineRule="auto"/>
        <w:rPr>
          <w:sz w:val="20"/>
          <w:szCs w:val="20"/>
          <w:color w:val="auto"/>
        </w:rPr>
      </w:pPr>
      <w:r>
        <w:rPr>
          <w:rFonts w:ascii="Times New Roman" w:cs="Times New Roman" w:eastAsia="Times New Roman" w:hAnsi="Times New Roman"/>
          <w:sz w:val="17"/>
          <w:szCs w:val="17"/>
          <w:color w:val="auto"/>
        </w:rPr>
        <w:t>At the end of each reporting period, tangible and definite-lived intangible assets are assessed for indications of impairment. Tangible and definite-lived intangible assets are tested for impairment when an impairment indicator is determined to exist. Indefinite-lived intangible assets, intangible assets not yet available for use, goodwill and trademarks are tested for impairment at least once annually or when an impairment indicator is determined to exist.</w:t>
      </w:r>
    </w:p>
    <w:p>
      <w:pPr>
        <w:spacing w:after="0" w:line="158" w:lineRule="exact"/>
        <w:rPr>
          <w:sz w:val="20"/>
          <w:szCs w:val="20"/>
          <w:color w:val="auto"/>
        </w:rPr>
      </w:pPr>
    </w:p>
    <w:p>
      <w:pPr>
        <w:ind w:left="120" w:right="180"/>
        <w:spacing w:after="0" w:line="261" w:lineRule="auto"/>
        <w:rPr>
          <w:sz w:val="20"/>
          <w:szCs w:val="20"/>
          <w:color w:val="auto"/>
        </w:rPr>
      </w:pPr>
      <w:r>
        <w:rPr>
          <w:rFonts w:ascii="Times New Roman" w:cs="Times New Roman" w:eastAsia="Times New Roman" w:hAnsi="Times New Roman"/>
          <w:sz w:val="18"/>
          <w:szCs w:val="18"/>
          <w:color w:val="auto"/>
        </w:rPr>
        <w:t>For the impairment assessment, assets are grouped together into the smallest group of assets that generate cash inflows from continuing use that are largely independent of the cash inflows of other assets (i.e., a cash-generating-unit or CGU). Polestar Group does not test assets for impairment individually because Polestar Group constitutes a single CGU in which assets do not generate cash flows that are independent of those of other assets. All assets are concentrated around battery electric vehicle technologies and processes that are utilised in Polestar Group’s operations.</w:t>
      </w:r>
    </w:p>
    <w:p>
      <w:pPr>
        <w:spacing w:after="0" w:line="180"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In testing the CGU for impairment, the CGU’s carrying amount is compared to its recoverable amount. The recoverable amount is the higher of the CGU’s fair value less costs of disposal or “Value In Use.” Value In Use is defined as the present value of the future cash flows expected to be derived from an asset (i.e., a discounted cash flow). For the years ended December 31, 2021 and 2020, this discounted cash flow was calculated based on estimations regarding future cash flows as seen in the 2021-2025 business plan, a terminal growth rate of 2.0% for cash flows through the next 10 years, and an after-tax discount rate of 10.1%. The estimated future cash flows are based on assumptions valid at the date of the impairment test that represent the best estimate of future economic conditions. Such estimates are calculated using estimates, assumptions, and judgements related to future economic conditions, market share, market growth, and product profitability which are consistent with Polestar Group’s latest business plan.</w:t>
      </w:r>
    </w:p>
    <w:p>
      <w:pPr>
        <w:spacing w:after="0" w:line="12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F-26</w:t>
      </w:r>
    </w:p>
    <w:p>
      <w:pPr>
        <w:sectPr>
          <w:pgSz w:w="11900" w:h="16838" w:orient="portrait"/>
          <w:cols w:equalWidth="0" w:num="1">
            <w:col w:w="11080"/>
          </w:cols>
          <w:pgMar w:left="320" w:top="455" w:right="499" w:bottom="1440" w:gutter="0" w:footer="0" w:header="0"/>
        </w:sectPr>
      </w:pPr>
    </w:p>
    <w:bookmarkStart w:id="261" w:name="page262"/>
    <w:bookmarkEnd w:id="2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p>
      <w:pPr>
        <w:spacing w:after="0" w:line="2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34"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When the carrying amount of the CGU is determined to be greater than the recoverable amount, an impairment loss is recognised by first reducing the CGU’s goodwill and then reducing other assets in the CGU on a pro rata basis. For the years ended December 31, 2021 and 2020, no impairment losses were recognised. No impairment loss would have been recognised in the years ended December 31, 2021 and 2020 under a stress case scenario utilising an after-tax discount rate of 15.1% to calculate the recoverable amount of the CGU.</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Financial instruments</w:t>
      </w:r>
    </w:p>
    <w:p>
      <w:pPr>
        <w:spacing w:after="0" w:line="121"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Financial instruments are any form of contract that gives rise to a financial asset in one company and a financial liability or equity instrument in another company.</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Classification of financial assets and liabilities</w:t>
      </w:r>
    </w:p>
    <w:p>
      <w:pPr>
        <w:spacing w:after="0" w:line="119"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The classification of financial instruments is based on the business model in which these instruments are held, on their contractual cash flows and takes place at initial recognition. Assessments of the contractual cash flows are made on an instrument-by-instrument basis. Polestar Group applies one business model for interest-bearing instruments. All interest-bearing instruments are held to collect contractual cash flows and are carried at amortised cost.</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Initial recognition</w:t>
      </w:r>
    </w:p>
    <w:p>
      <w:pPr>
        <w:spacing w:after="0" w:line="119"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Financial assets and liabilities are recognised on the Consolidated Statement of Financial Position on the date when Polestar Group becomes party to the contractual terms and conditions (i.e., the transaction date). Financial assets are initially recognised at the price that would be received when selling an asset or being paid to transfer a liability in an orderly transaction between market participants at the measurement date (“Fair Value”), plus transaction costs directly attributable to the acquisition of the financial asset, except for those financial assets carried at fair value through the Consolidated Statement of Loss.</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Subsequent measurement</w:t>
      </w:r>
    </w:p>
    <w:p>
      <w:pPr>
        <w:spacing w:after="0" w:line="119" w:lineRule="exact"/>
        <w:rPr>
          <w:sz w:val="20"/>
          <w:szCs w:val="20"/>
          <w:color w:val="auto"/>
        </w:rPr>
      </w:pPr>
    </w:p>
    <w:p>
      <w:pPr>
        <w:ind w:left="120" w:right="760"/>
        <w:spacing w:after="0" w:line="282" w:lineRule="auto"/>
        <w:rPr>
          <w:sz w:val="20"/>
          <w:szCs w:val="20"/>
          <w:color w:val="auto"/>
        </w:rPr>
      </w:pPr>
      <w:r>
        <w:rPr>
          <w:rFonts w:ascii="Times New Roman" w:cs="Times New Roman" w:eastAsia="Times New Roman" w:hAnsi="Times New Roman"/>
          <w:sz w:val="18"/>
          <w:szCs w:val="18"/>
          <w:color w:val="auto"/>
        </w:rPr>
        <w:t>For the purpose of subsequent measurement, financial instruments are measured at amortised cost or financial fair value through profit or loss (“FVTPL”).</w:t>
      </w:r>
    </w:p>
    <w:p>
      <w:pPr>
        <w:spacing w:after="0" w:line="162" w:lineRule="exact"/>
        <w:rPr>
          <w:sz w:val="20"/>
          <w:szCs w:val="20"/>
          <w:color w:val="auto"/>
        </w:rPr>
      </w:pPr>
    </w:p>
    <w:p>
      <w:pPr>
        <w:ind w:left="120" w:right="380"/>
        <w:spacing w:after="0" w:line="282" w:lineRule="auto"/>
        <w:rPr>
          <w:sz w:val="20"/>
          <w:szCs w:val="20"/>
          <w:color w:val="auto"/>
        </w:rPr>
      </w:pPr>
      <w:r>
        <w:rPr>
          <w:rFonts w:ascii="Times New Roman" w:cs="Times New Roman" w:eastAsia="Times New Roman" w:hAnsi="Times New Roman"/>
          <w:sz w:val="18"/>
          <w:szCs w:val="18"/>
          <w:color w:val="auto"/>
        </w:rPr>
        <w:t>Financial instruments carried at FVTPL consist of financial assets with cash flows other than those of principal and interest on the nominal amount outstanding. Changes in fair value of these instruments are recognised in profit and loss as finance income (expense).</w:t>
      </w:r>
    </w:p>
    <w:p>
      <w:pPr>
        <w:spacing w:after="0" w:line="162"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Financial instruments carried at amortised cost are non-derivative financial instruments with contractual cash flows that consist solely of payments of principal and interest on the nominal amount outstanding. These financial instruments are subsequently carried at amortised cost using the effective interest method. Gains and losses are recognised in the Consolidated Statement of Loss when the financial assets carried at amortised cost are impaired or derecognised. Interest effects on the application of the effective interest method are also recognised in the Consolidated Statement of Loss as well as effects from foreign currency translation.</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Financial assets</w:t>
      </w:r>
    </w:p>
    <w:p>
      <w:pPr>
        <w:spacing w:after="0" w:line="119" w:lineRule="exact"/>
        <w:rPr>
          <w:sz w:val="20"/>
          <w:szCs w:val="20"/>
          <w:color w:val="auto"/>
        </w:rPr>
      </w:pPr>
    </w:p>
    <w:p>
      <w:pPr>
        <w:ind w:left="120" w:right="660"/>
        <w:spacing w:after="0" w:line="282" w:lineRule="auto"/>
        <w:rPr>
          <w:sz w:val="20"/>
          <w:szCs w:val="20"/>
          <w:color w:val="auto"/>
        </w:rPr>
      </w:pPr>
      <w:r>
        <w:rPr>
          <w:rFonts w:ascii="Times New Roman" w:cs="Times New Roman" w:eastAsia="Times New Roman" w:hAnsi="Times New Roman"/>
          <w:sz w:val="18"/>
          <w:szCs w:val="18"/>
          <w:color w:val="auto"/>
        </w:rPr>
        <w:t>Financial assets on the Consolidated Statement of Financial Position consist of trade receivables, other current and non-current financial assets, derivative assets, marketable securities and cash and cash equivalents.</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F-27</w:t>
      </w:r>
    </w:p>
    <w:p>
      <w:pPr>
        <w:sectPr>
          <w:pgSz w:w="11900" w:h="16838" w:orient="portrait"/>
          <w:cols w:equalWidth="0" w:num="1">
            <w:col w:w="11080"/>
          </w:cols>
          <w:pgMar w:left="320" w:top="455" w:right="499" w:bottom="1440" w:gutter="0" w:footer="0" w:header="0"/>
        </w:sectPr>
      </w:pPr>
    </w:p>
    <w:bookmarkStart w:id="262" w:name="page263"/>
    <w:bookmarkEnd w:id="2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p>
      <w:pPr>
        <w:spacing w:after="0" w:line="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34" w:lineRule="exact"/>
        <w:rPr>
          <w:sz w:val="20"/>
          <w:szCs w:val="20"/>
          <w:color w:val="auto"/>
        </w:rPr>
      </w:pPr>
    </w:p>
    <w:p>
      <w:pPr>
        <w:ind w:left="120" w:right="120"/>
        <w:spacing w:after="0" w:line="266" w:lineRule="auto"/>
        <w:rPr>
          <w:sz w:val="20"/>
          <w:szCs w:val="20"/>
          <w:color w:val="auto"/>
        </w:rPr>
      </w:pPr>
      <w:r>
        <w:rPr>
          <w:rFonts w:ascii="Times New Roman" w:cs="Times New Roman" w:eastAsia="Times New Roman" w:hAnsi="Times New Roman"/>
          <w:sz w:val="18"/>
          <w:szCs w:val="18"/>
          <w:color w:val="auto"/>
        </w:rPr>
        <w:t>A financial asset or a portion of a financial asset is derecognised when substantially all significant risks and benefits linked to the asset have been transferred to a third party. Where Polestar Group concludes that all significant risks and benefits have not been transferred, the portion of the financial assets corresponding to Polestar Group’s continuous involvement continues to be recognised.</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Financial liabilities</w:t>
      </w:r>
    </w:p>
    <w:p>
      <w:pPr>
        <w:spacing w:after="0" w:line="119" w:lineRule="exact"/>
        <w:rPr>
          <w:sz w:val="20"/>
          <w:szCs w:val="20"/>
          <w:color w:val="auto"/>
        </w:rPr>
      </w:pPr>
    </w:p>
    <w:p>
      <w:pPr>
        <w:ind w:left="120" w:right="380"/>
        <w:spacing w:after="0" w:line="282" w:lineRule="auto"/>
        <w:rPr>
          <w:sz w:val="20"/>
          <w:szCs w:val="20"/>
          <w:color w:val="auto"/>
        </w:rPr>
      </w:pPr>
      <w:r>
        <w:rPr>
          <w:rFonts w:ascii="Times New Roman" w:cs="Times New Roman" w:eastAsia="Times New Roman" w:hAnsi="Times New Roman"/>
          <w:sz w:val="18"/>
          <w:szCs w:val="18"/>
          <w:color w:val="auto"/>
        </w:rPr>
        <w:t>Financial liabilities in the Consolidated Statement of Financial Position encompass liabilities to credit institutions, trade payables, other current and non-current financial liabilities and derivative liabilities.</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 financial liability or a portion of a financial liability is derecognised when the obligation in the contract has been fulfilled, cancelled or has expired.</w:t>
      </w:r>
    </w:p>
    <w:p>
      <w:pPr>
        <w:spacing w:after="0" w:line="225"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The Group classifies its derivative financial instruments and marketable securities as carried at FVTPL, while all other financial assets and liabilities are carried at amortised cost.</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Impairment of financial assets</w:t>
      </w:r>
    </w:p>
    <w:p>
      <w:pPr>
        <w:spacing w:after="0" w:line="119"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The Group assesses, on a forward-looking basis, the expected credit loss associated with financial assets measured at amortised cost. For the initial recognition of financial assets carried at amortised cost, primarily trade receivables with similar risk characteristics, an analysis is made to identify the need for a provision for expected credit losses (“ECL”). The Group uses the simplified approach for estimating ECLs, which requires expected lifetime losses to be recognised from the initial recognition of the receivable. The Group considers historical credit loss experience, current economic conditions, supportable forecasts for future economic conditions, macroeconomic conditions (e.g., impacts of the Covid-19 pandemic), and other expectations of collectability. The ECL provision is revaluated on an ongoing basis after initial recognition.</w:t>
      </w:r>
    </w:p>
    <w:p>
      <w:pPr>
        <w:spacing w:after="0" w:line="187"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When an ECL is calculated, and if it is material, it is recognised in an allowance account which decreases the amount of gross trade receivables. The amount of the expected credit loss will be recognised as an expense in the Consolidated Statement of Loss. As of December 31, 2021 and 2020 no ECLs have been recognised for the Group’s financial assets, as historically credit losses have been nil, and no expected credit losses are in view.</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Derivative financial instruments</w:t>
      </w:r>
    </w:p>
    <w:p>
      <w:pPr>
        <w:spacing w:after="0" w:line="121"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The Group periodically holds derivative financial instruments in the form of currency swaps to hedge its foreign currency risk exposure. Polestar Group does not apply cash-flow hedge accounting. The Group accounts for its foreign currency swaps in accordance with IFRS 9; the carrying value of the hedged item is adjusted for fair value changes attributable to the risk being hedged, and those fair value changes are recognised in the Consolidated Statement of Loss. As of December 31, 2021 and 2020, the Group did not have any foreign currency swaps outstanding. As of December 31, 2019, Polestar Group had two foreign currency swap contracts outstanding which were entered into at the end of December 2019. These contracts expired in September and December 2020, respectively.</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Fair value measurement</w:t>
      </w:r>
    </w:p>
    <w:p>
      <w:pPr>
        <w:spacing w:after="0" w:line="121" w:lineRule="exact"/>
        <w:rPr>
          <w:sz w:val="20"/>
          <w:szCs w:val="20"/>
          <w:color w:val="auto"/>
        </w:rPr>
      </w:pPr>
    </w:p>
    <w:p>
      <w:pPr>
        <w:ind w:left="120" w:right="400"/>
        <w:spacing w:after="0" w:line="261" w:lineRule="auto"/>
        <w:rPr>
          <w:sz w:val="20"/>
          <w:szCs w:val="20"/>
          <w:color w:val="auto"/>
        </w:rPr>
      </w:pPr>
      <w:r>
        <w:rPr>
          <w:rFonts w:ascii="Times New Roman" w:cs="Times New Roman" w:eastAsia="Times New Roman" w:hAnsi="Times New Roman"/>
          <w:sz w:val="18"/>
          <w:szCs w:val="18"/>
          <w:color w:val="auto"/>
        </w:rPr>
        <w:t>Fair value is defined as the price that would be received from selling an asset or paid to transfer a liability in an orderly transaction between market participants at the measurement date. When determining the fair value measurements for assets and liabilities required, or permitted, to be either recorded or disclosed at fair value, the Group considers the principal or most advantageous market in which it would operate, and it also considers assumptions that market participants would use when pricing the asset or liability.</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F-28</w:t>
      </w:r>
    </w:p>
    <w:p>
      <w:pPr>
        <w:sectPr>
          <w:pgSz w:w="11900" w:h="16838" w:orient="portrait"/>
          <w:cols w:equalWidth="0" w:num="1">
            <w:col w:w="11100"/>
          </w:cols>
          <w:pgMar w:left="320" w:top="455" w:right="479" w:bottom="1440" w:gutter="0" w:footer="0" w:header="0"/>
        </w:sectPr>
      </w:pPr>
    </w:p>
    <w:bookmarkStart w:id="263" w:name="page264"/>
    <w:bookmarkEnd w:id="2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p>
      <w:pPr>
        <w:spacing w:after="0" w:line="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34" w:lineRule="exact"/>
        <w:rPr>
          <w:sz w:val="20"/>
          <w:szCs w:val="20"/>
          <w:color w:val="auto"/>
        </w:rPr>
      </w:pPr>
    </w:p>
    <w:p>
      <w:pPr>
        <w:ind w:left="120" w:right="140"/>
        <w:spacing w:after="0" w:line="266" w:lineRule="auto"/>
        <w:rPr>
          <w:sz w:val="20"/>
          <w:szCs w:val="20"/>
          <w:color w:val="auto"/>
        </w:rPr>
      </w:pPr>
      <w:r>
        <w:rPr>
          <w:rFonts w:ascii="Times New Roman" w:cs="Times New Roman" w:eastAsia="Times New Roman" w:hAnsi="Times New Roman"/>
          <w:sz w:val="18"/>
          <w:szCs w:val="18"/>
          <w:color w:val="auto"/>
        </w:rPr>
        <w:t>A three-tiered hierarchy is established as a basis for considering such assumptions and for inputs used in the valuation methodologies in measuring fair value. This hierarchy requires that the Group use observable market data, when available, and minimise the use of unobservable inputs when determining fair value:</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Level 1 – Quoted prices (unadjusted) in active markets for identical assets or liabilities.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Level 2 – Observable, market-based inputs, other than quoted prices, in active markets for identical assets or liabilities.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Level 3 – Unobservable inputs to the valuation methodology that are significant to the measurement of the fair value of the assets or liabilities.</w:t>
      </w:r>
    </w:p>
    <w:p>
      <w:pPr>
        <w:spacing w:after="0" w:line="225"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Financial assets and liabilities of the Group primarily consist of cash and cash equivalents, marketable securities, restricted cash, trade receivables, trade payables, and short-term and long-term borrowings. Financial assets and liabilities are classified in their entirety based on the lowest level of input that is significant to the fair value measurement. Polestar Group’s assessment of the significance of a particular input to the fair value measurements requires judgement and may affect the valuation of the assets and liabilities being measured and their classification within the fair value hierarchy.</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Inventories</w:t>
      </w:r>
    </w:p>
    <w:p>
      <w:pPr>
        <w:spacing w:after="0" w:line="121"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Inventories are measured at the lower of acquisition or manufacturing cost and net realisable value and consist primarily of finished goods as of December 31, 2021 and 2020. Net realisable value is calculated as the selling price in the ordinary course of business less estimated costs of completion and selling costs. The acquisition or manufacturing costs of inventory includes costs incurred in acquiring the inventories and bringing them to their present location and condition, including, but not limited to, costs such as freight and customs duties. Costs for research and development, selling, administration and financial expenses are not included. For groups of similar products, a group valuation method is applied. The cost of inventories of similar assets is established using the first-in, first-out method (FIFO).</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Equity</w:t>
      </w:r>
    </w:p>
    <w:p>
      <w:pPr>
        <w:spacing w:after="0" w:line="121"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Distributed group contributions to the owners, along with the related tax effect, are recorded in equity in accordance with the principles for shareholder’s contributions. If any unconditional shareholder’s contributions are received from the main owner, they are recognised in equity.</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Provisions and contingent liabilities</w:t>
      </w:r>
    </w:p>
    <w:p>
      <w:pPr>
        <w:spacing w:after="0" w:line="121"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Provisions are recognised on the Consolidated Statement of Financial Position when a legal or constructive obligation exists as a result of a past event, it is deemed more likely than not that an outflow of resources will be required to settle the obligation, and the amount can be reliably estimated. Provisions are regularly reviewed and adjusted as further information becomes available or circumstances change. If the effect of the time value of money is material, non-current provisions are recognised at present value by discounting the expected future cash flows at a pre-tax rate reflecting current market assessments of the time value of money. The discount rate does not reflect such risks that are taken into consideration in the estimated future cash flow. Revisions to estimated cash flows (both amount and likelihood) are allocated as operating cost. Changes to present value due to the passage of time and revisions of discount rates to reflect prevailing current market conditions are recognised as a financial cost.</w:t>
      </w:r>
    </w:p>
    <w:p>
      <w:pPr>
        <w:spacing w:after="0" w:line="29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Warranty</w:t>
      </w:r>
    </w:p>
    <w:p>
      <w:pPr>
        <w:spacing w:after="0" w:line="119" w:lineRule="exact"/>
        <w:rPr>
          <w:sz w:val="20"/>
          <w:szCs w:val="20"/>
          <w:color w:val="auto"/>
        </w:rPr>
      </w:pPr>
    </w:p>
    <w:p>
      <w:pPr>
        <w:ind w:left="120" w:right="480"/>
        <w:spacing w:after="0" w:line="282" w:lineRule="auto"/>
        <w:rPr>
          <w:sz w:val="20"/>
          <w:szCs w:val="20"/>
          <w:color w:val="auto"/>
        </w:rPr>
      </w:pPr>
      <w:r>
        <w:rPr>
          <w:rFonts w:ascii="Times New Roman" w:cs="Times New Roman" w:eastAsia="Times New Roman" w:hAnsi="Times New Roman"/>
          <w:sz w:val="18"/>
          <w:szCs w:val="18"/>
          <w:color w:val="auto"/>
        </w:rPr>
        <w:t>Polestar Group issues various types of product warranties, under which the Group generally guarantees the performance of products delivered and services rendered for a certain period of time. The estimated warranty</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F-29</w:t>
      </w:r>
    </w:p>
    <w:p>
      <w:pPr>
        <w:sectPr>
          <w:pgSz w:w="11900" w:h="16838" w:orient="portrait"/>
          <w:cols w:equalWidth="0" w:num="1">
            <w:col w:w="11120"/>
          </w:cols>
          <w:pgMar w:left="320" w:top="455" w:right="459" w:bottom="1440" w:gutter="0" w:footer="0" w:header="0"/>
        </w:sectPr>
      </w:pPr>
    </w:p>
    <w:bookmarkStart w:id="264" w:name="page265"/>
    <w:bookmarkEnd w:id="2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p>
      <w:pPr>
        <w:spacing w:after="0" w:line="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34" w:lineRule="exact"/>
        <w:rPr>
          <w:sz w:val="20"/>
          <w:szCs w:val="20"/>
          <w:color w:val="auto"/>
        </w:rPr>
      </w:pPr>
    </w:p>
    <w:p>
      <w:pPr>
        <w:ind w:left="120" w:right="100"/>
        <w:spacing w:after="0" w:line="256" w:lineRule="auto"/>
        <w:rPr>
          <w:sz w:val="20"/>
          <w:szCs w:val="20"/>
          <w:color w:val="auto"/>
        </w:rPr>
      </w:pPr>
      <w:r>
        <w:rPr>
          <w:rFonts w:ascii="Times New Roman" w:cs="Times New Roman" w:eastAsia="Times New Roman" w:hAnsi="Times New Roman"/>
          <w:sz w:val="18"/>
          <w:szCs w:val="18"/>
          <w:color w:val="auto"/>
        </w:rPr>
        <w:t>costs include those costs which are related to contractual warranties, warranty campaigns (i.e., recalls), and warranty cover in excess of contractual warranties or campaigns. Warranty cover in excess of contractual warranties or campaigns occurs when Polestar Group provides a customer warranty type assistance, above and beyond the stated nature of the contract. This type of warranty cover is normal practice in maintaining a strong business relationship with the customer; the Group accordingly includes the estimate of this provision in total estimated warranty costs. In the future, the Group, may at various times initiate a recall if any products or vehicle components, including any systems or parts sourced from our suppliers, prove to be defective or noncompliant with applicable laws and regulations.</w:t>
      </w:r>
    </w:p>
    <w:p>
      <w:pPr>
        <w:spacing w:after="0" w:line="187"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All warranty provisions are recognised at the time of the sale of vehicles. The initial calculations of the warranty provision are based on historical warranty statistics, considering factors like known quality improvements and costs for remedying defaults. The warranty provision is subsequently adjusted if recalls for specific quality problems are made. On a quarterly basis, the provisions are adjusted to reflect the latest available data such as actual spend and exchange rates. The provisions are reduced by warranty reimbursements from suppliers. Such refunds from suppliers decrease Polestar Group’s warranty costs and are recognised to the extent these are considered to be virtually certain, based on historical experience or agreements entered into with suppliers.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Other provisions</w:t>
      </w:r>
    </w:p>
    <w:p>
      <w:pPr>
        <w:spacing w:after="0" w:line="119"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Other provisions primarily comprise expected costs for provisions for the Group’s long-term incentive plan, short-term incentive plan, and other taxes and related charges. Other provisions can also include provisions for anticipated losses, giving consideration to historical trends, various other risks, and specific agreements related to recoveries provided by suppliers which cannot be allocated to any other class of provision.</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Contingent liabilities</w:t>
      </w:r>
    </w:p>
    <w:p>
      <w:pPr>
        <w:spacing w:after="0" w:line="119" w:lineRule="exact"/>
        <w:rPr>
          <w:sz w:val="20"/>
          <w:szCs w:val="20"/>
          <w:color w:val="auto"/>
        </w:rPr>
      </w:pPr>
    </w:p>
    <w:p>
      <w:pPr>
        <w:ind w:left="120" w:right="140"/>
        <w:spacing w:after="0" w:line="261" w:lineRule="auto"/>
        <w:rPr>
          <w:sz w:val="20"/>
          <w:szCs w:val="20"/>
          <w:color w:val="auto"/>
        </w:rPr>
      </w:pPr>
      <w:r>
        <w:rPr>
          <w:rFonts w:ascii="Times New Roman" w:cs="Times New Roman" w:eastAsia="Times New Roman" w:hAnsi="Times New Roman"/>
          <w:sz w:val="18"/>
          <w:szCs w:val="18"/>
          <w:color w:val="auto"/>
        </w:rPr>
        <w:t>When a possible obligation does not meet the criteria for recognition as a liability, it may be disclosed as a contingent liability. These possible obligations derived from past events and their existence will be confirmed only when one, or several, uncertain future events, which are not entirely within the Group’s control, take place or fail to take place. A contingent liability could also exist for a present obligation, due to a past event, where an outflow of resources is less than likely or when the amount of the obligation cannot be reliably measured.</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Borrowing costs</w:t>
      </w:r>
    </w:p>
    <w:p>
      <w:pPr>
        <w:spacing w:after="0" w:line="121"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Borrowing costs are expensed as incurred unless they are directly attributable to the acquisition, construction or production of a qualifying asset and are therefore part of the cost of that asset.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2 – Financial risk management</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Management of financial risks</w:t>
      </w:r>
    </w:p>
    <w:p>
      <w:pPr>
        <w:spacing w:after="0" w:line="121"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As a result of its business and the global nature of its operations, Polestar Group is exposed to market risks from changes in foreign currency exchange rates, interest rate risk, credit risk and liquidity risk.</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Foreign currency exchange risk</w:t>
      </w:r>
    </w:p>
    <w:p>
      <w:pPr>
        <w:spacing w:after="0" w:line="121"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The global nature of Polestar Group’s business exposes cash flows to risks arising from fluctuations in currency exchange rates. Relative changes in currency exchange rates have a direct impact on Polestar Group’s operating income, finance income, finance expense, Consolidated Statement of Financial Position and Consolidated Statement of Cash Flows. To mitigate the impact of currency exchange rate fluctuations for the business operations, the Group continually assesses its exposure to exchange rate risks.</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F-30</w:t>
      </w:r>
    </w:p>
    <w:p>
      <w:pPr>
        <w:sectPr>
          <w:pgSz w:w="11900" w:h="16838" w:orient="portrait"/>
          <w:cols w:equalWidth="0" w:num="1">
            <w:col w:w="11100"/>
          </w:cols>
          <w:pgMar w:left="320" w:top="455" w:right="479" w:bottom="1440" w:gutter="0" w:footer="0" w:header="0"/>
        </w:sectPr>
      </w:pPr>
    </w:p>
    <w:bookmarkStart w:id="265" w:name="page266"/>
    <w:bookmarkEnd w:id="2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p>
      <w:pPr>
        <w:spacing w:after="0" w:line="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3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Translation exposure risk</w:t>
      </w:r>
    </w:p>
    <w:p>
      <w:pPr>
        <w:spacing w:after="0" w:line="119" w:lineRule="exact"/>
        <w:rPr>
          <w:sz w:val="20"/>
          <w:szCs w:val="20"/>
          <w:color w:val="auto"/>
        </w:rPr>
      </w:pPr>
    </w:p>
    <w:p>
      <w:pPr>
        <w:ind w:left="120" w:right="200"/>
        <w:spacing w:after="0" w:line="258" w:lineRule="auto"/>
        <w:rPr>
          <w:sz w:val="20"/>
          <w:szCs w:val="20"/>
          <w:color w:val="auto"/>
        </w:rPr>
      </w:pPr>
      <w:r>
        <w:rPr>
          <w:rFonts w:ascii="Times New Roman" w:cs="Times New Roman" w:eastAsia="Times New Roman" w:hAnsi="Times New Roman"/>
          <w:sz w:val="18"/>
          <w:szCs w:val="18"/>
          <w:color w:val="auto"/>
        </w:rPr>
        <w:t>Currency translation risk arises from the consolidation of foreign subsidiaries that maintain net assets denominated in functional currencies other than USD (i.e., the functional currency of the Parent). Translation risk also arises from the conversion of balances denominated in foreign currencies to the functional currency using monthly closing exchange rates. Such currency effects (i.e., foreign currency gains and losses) are recorded in the Consolidated Statement of Comprehensive Loss. The Group is primarily exposed to currency translation risk from subsidiaries with functional currencies in the Swedish krona (“SEK”), the Euro (“EUR”) and the Chinese yuan (“CNY”).</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Transaction exposure risk</w:t>
      </w:r>
    </w:p>
    <w:p>
      <w:pPr>
        <w:spacing w:after="0" w:line="119"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Currency transaction risk arises from future commercial transactions and settlement of recognised assets and liabilities denominated in a currency that is not the functional currency of the relevant Group entity. Primarily, the Group is exposed to currency transaction risk in Group companies with SEK and CNY as the functional currency. The primary risks in these companies are CNY/SEK, USD/SEK, EUR/SEK and EUR/CNY due to trade receivables, trade payables, and short-term credit facilities.</w:t>
      </w:r>
    </w:p>
    <w:p>
      <w:pPr>
        <w:spacing w:after="0" w:line="180" w:lineRule="exact"/>
        <w:rPr>
          <w:sz w:val="20"/>
          <w:szCs w:val="20"/>
          <w:color w:val="auto"/>
        </w:rPr>
      </w:pPr>
    </w:p>
    <w:p>
      <w:pPr>
        <w:ind w:left="120" w:right="400"/>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2021, the Group was primarily exposed to changes in CNY/SEK, USD/SEK and EUR/SEK foreign exchange rates. The following table illustrates the impact of a 10% change in the Group’s foreign exchange rates:</w:t>
      </w:r>
    </w:p>
    <w:p>
      <w:pPr>
        <w:spacing w:after="0" w:line="170"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58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8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Impact on loss</w:t>
            </w:r>
          </w:p>
        </w:tc>
      </w:tr>
      <w:tr>
        <w:trPr>
          <w:trHeight w:val="173"/>
        </w:trPr>
        <w:tc>
          <w:tcPr>
            <w:tcW w:w="5880" w:type="dxa"/>
            <w:vAlign w:val="bottom"/>
          </w:tcPr>
          <w:p>
            <w:pPr>
              <w:spacing w:after="0"/>
              <w:rPr>
                <w:sz w:val="15"/>
                <w:szCs w:val="15"/>
                <w:color w:val="auto"/>
              </w:rPr>
            </w:pPr>
          </w:p>
        </w:tc>
        <w:tc>
          <w:tcPr>
            <w:tcW w:w="160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before income taxes</w:t>
            </w:r>
          </w:p>
        </w:tc>
      </w:tr>
      <w:tr>
        <w:trPr>
          <w:trHeight w:val="209"/>
        </w:trPr>
        <w:tc>
          <w:tcPr>
            <w:tcW w:w="58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CNY/SEK exchange rate - increase/decrease 10%</w:t>
            </w:r>
          </w:p>
        </w:tc>
        <w:tc>
          <w:tcPr>
            <w:tcW w:w="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111,743</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USD/SEK exchange rate - increase/decrease 10%</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56,052</w:t>
            </w:r>
          </w:p>
        </w:tc>
      </w:tr>
      <w:tr>
        <w:trPr>
          <w:trHeight w:val="216"/>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EUR/SEK exchange rate - increase/decrease 10%</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46,871</w:t>
            </w:r>
          </w:p>
        </w:tc>
      </w:tr>
      <w:tr>
        <w:trPr>
          <w:trHeight w:val="216"/>
        </w:trPr>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GBP/SEK exchange rate - increase/decrease 10%</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41,688</w:t>
            </w:r>
          </w:p>
        </w:tc>
      </w:tr>
      <w:tr>
        <w:trPr>
          <w:trHeight w:val="216"/>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NOK/SEK exchange rate - increase/decrease 10%</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36,493</w:t>
            </w:r>
          </w:p>
        </w:tc>
      </w:tr>
    </w:tbl>
    <w:p>
      <w:pPr>
        <w:spacing w:after="0" w:line="198" w:lineRule="exact"/>
        <w:rPr>
          <w:sz w:val="20"/>
          <w:szCs w:val="20"/>
          <w:color w:val="auto"/>
        </w:rPr>
      </w:pPr>
    </w:p>
    <w:p>
      <w:pPr>
        <w:ind w:left="120" w:right="480"/>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2020, the Group was primarily exposed to changes in CNY/SEK and EUR/SEK foreign exchange rates. The following table illustrates the impact of a 10% change in these foreign exchange rates:</w:t>
      </w:r>
    </w:p>
    <w:p>
      <w:pPr>
        <w:spacing w:after="0" w:line="182" w:lineRule="exact"/>
        <w:rPr>
          <w:sz w:val="20"/>
          <w:szCs w:val="20"/>
          <w:color w:val="auto"/>
        </w:rPr>
      </w:pPr>
    </w:p>
    <w:p>
      <w:pPr>
        <w:jc w:val="center"/>
        <w:ind w:left="5760"/>
        <w:spacing w:after="0"/>
        <w:rPr>
          <w:sz w:val="20"/>
          <w:szCs w:val="20"/>
          <w:color w:val="auto"/>
        </w:rPr>
      </w:pPr>
      <w:r>
        <w:rPr>
          <w:rFonts w:ascii="Times New Roman" w:cs="Times New Roman" w:eastAsia="Times New Roman" w:hAnsi="Times New Roman"/>
          <w:sz w:val="14"/>
          <w:szCs w:val="14"/>
          <w:b w:val="1"/>
          <w:bCs w:val="1"/>
          <w:color w:val="auto"/>
        </w:rPr>
        <w:t>Impact on loss</w:t>
      </w:r>
    </w:p>
    <w:p>
      <w:pPr>
        <w:jc w:val="center"/>
        <w:ind w:left="5760"/>
        <w:spacing w:after="0"/>
        <w:rPr>
          <w:sz w:val="20"/>
          <w:szCs w:val="20"/>
          <w:color w:val="auto"/>
        </w:rPr>
      </w:pPr>
      <w:r>
        <w:rPr>
          <w:rFonts w:ascii="Times New Roman" w:cs="Times New Roman" w:eastAsia="Times New Roman" w:hAnsi="Times New Roman"/>
          <w:sz w:val="14"/>
          <w:szCs w:val="14"/>
          <w:b w:val="1"/>
          <w:bCs w:val="1"/>
          <w:color w:val="auto"/>
        </w:rPr>
        <w:t>before income taxes</w:t>
      </w:r>
    </w:p>
    <w:tbl>
      <w:tblPr>
        <w:tblLayout w:type="fixed"/>
        <w:tblInd w:w="1880" w:type="dxa"/>
        <w:tblCellMar>
          <w:top w:w="0" w:type="dxa"/>
          <w:left w:w="0" w:type="dxa"/>
          <w:bottom w:w="0" w:type="dxa"/>
          <w:right w:w="0" w:type="dxa"/>
        </w:tblCellMar>
      </w:tblPr>
      <w:tr>
        <w:trPr>
          <w:trHeight w:val="209"/>
        </w:trPr>
        <w:tc>
          <w:tcPr>
            <w:tcW w:w="58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CNY/SEK exchange rate - increase/decrease 10%</w:t>
            </w:r>
          </w:p>
        </w:tc>
        <w:tc>
          <w:tcPr>
            <w:tcW w:w="720" w:type="dxa"/>
            <w:vAlign w:val="bottom"/>
            <w:tcBorders>
              <w:top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w w:val="92"/>
              </w:rPr>
              <w:t>86,794</w:t>
            </w:r>
          </w:p>
        </w:tc>
        <w:tc>
          <w:tcPr>
            <w:tcW w:w="60" w:type="dxa"/>
            <w:vAlign w:val="bottom"/>
            <w:tcBorders>
              <w:top w:val="single" w:sz="8" w:color="CCEEFF"/>
            </w:tcBorders>
            <w:shd w:val="clear" w:color="auto" w:fill="CCEEFF"/>
          </w:tcPr>
          <w:p>
            <w:pPr>
              <w:spacing w:after="0"/>
              <w:rPr>
                <w:sz w:val="18"/>
                <w:szCs w:val="18"/>
                <w:color w:val="auto"/>
              </w:rPr>
            </w:pPr>
          </w:p>
        </w:tc>
      </w:tr>
      <w:tr>
        <w:trPr>
          <w:trHeight w:val="234"/>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EUR/SEK exchange rate - increase/decrease 10%</w:t>
            </w:r>
          </w:p>
        </w:tc>
        <w:tc>
          <w:tcPr>
            <w:tcW w:w="72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34,732</w:t>
            </w:r>
          </w:p>
        </w:tc>
      </w:tr>
    </w:tbl>
    <w:p>
      <w:pPr>
        <w:spacing w:after="0" w:line="179" w:lineRule="exact"/>
        <w:rPr>
          <w:sz w:val="20"/>
          <w:szCs w:val="20"/>
          <w:color w:val="auto"/>
        </w:rPr>
      </w:pPr>
    </w:p>
    <w:p>
      <w:pPr>
        <w:ind w:left="120" w:right="260"/>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2019, the Group was primarily exposed to changes in the EUR/CNY and EUR/SEK foreign exchange rate. The following table illustrates the impact of a 10% change in this foreign exchange rate:</w:t>
      </w:r>
    </w:p>
    <w:p>
      <w:pPr>
        <w:spacing w:after="0" w:line="182" w:lineRule="exact"/>
        <w:rPr>
          <w:sz w:val="20"/>
          <w:szCs w:val="20"/>
          <w:color w:val="auto"/>
        </w:rPr>
      </w:pPr>
    </w:p>
    <w:p>
      <w:pPr>
        <w:jc w:val="center"/>
        <w:ind w:left="5760"/>
        <w:spacing w:after="0"/>
        <w:rPr>
          <w:sz w:val="20"/>
          <w:szCs w:val="20"/>
          <w:color w:val="auto"/>
        </w:rPr>
      </w:pPr>
      <w:r>
        <w:rPr>
          <w:rFonts w:ascii="Times New Roman" w:cs="Times New Roman" w:eastAsia="Times New Roman" w:hAnsi="Times New Roman"/>
          <w:sz w:val="14"/>
          <w:szCs w:val="14"/>
          <w:b w:val="1"/>
          <w:bCs w:val="1"/>
          <w:color w:val="auto"/>
        </w:rPr>
        <w:t>Impact on loss</w:t>
      </w:r>
    </w:p>
    <w:p>
      <w:pPr>
        <w:jc w:val="center"/>
        <w:ind w:left="5760"/>
        <w:spacing w:after="0"/>
        <w:rPr>
          <w:sz w:val="20"/>
          <w:szCs w:val="20"/>
          <w:color w:val="auto"/>
        </w:rPr>
      </w:pPr>
      <w:r>
        <w:rPr>
          <w:rFonts w:ascii="Times New Roman" w:cs="Times New Roman" w:eastAsia="Times New Roman" w:hAnsi="Times New Roman"/>
          <w:sz w:val="14"/>
          <w:szCs w:val="14"/>
          <w:b w:val="1"/>
          <w:bCs w:val="1"/>
          <w:color w:val="auto"/>
        </w:rPr>
        <w:t>before income taxes</w:t>
      </w:r>
    </w:p>
    <w:tbl>
      <w:tblPr>
        <w:tblLayout w:type="fixed"/>
        <w:tblInd w:w="1880" w:type="dxa"/>
        <w:tblCellMar>
          <w:top w:w="0" w:type="dxa"/>
          <w:left w:w="0" w:type="dxa"/>
          <w:bottom w:w="0" w:type="dxa"/>
          <w:right w:w="0" w:type="dxa"/>
        </w:tblCellMar>
      </w:tblPr>
      <w:tr>
        <w:trPr>
          <w:trHeight w:val="209"/>
        </w:trPr>
        <w:tc>
          <w:tcPr>
            <w:tcW w:w="58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EUR/CNY exchange rate - increase/decrease 10%</w:t>
            </w:r>
          </w:p>
        </w:tc>
        <w:tc>
          <w:tcPr>
            <w:tcW w:w="720" w:type="dxa"/>
            <w:vAlign w:val="bottom"/>
            <w:tcBorders>
              <w:top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w w:val="92"/>
              </w:rPr>
              <w:t>13,465</w:t>
            </w:r>
          </w:p>
        </w:tc>
        <w:tc>
          <w:tcPr>
            <w:tcW w:w="60" w:type="dxa"/>
            <w:vAlign w:val="bottom"/>
            <w:tcBorders>
              <w:top w:val="single" w:sz="8" w:color="CCEEFF"/>
            </w:tcBorders>
            <w:shd w:val="clear" w:color="auto" w:fill="CCEEFF"/>
          </w:tcPr>
          <w:p>
            <w:pPr>
              <w:spacing w:after="0"/>
              <w:rPr>
                <w:sz w:val="18"/>
                <w:szCs w:val="18"/>
                <w:color w:val="auto"/>
              </w:rPr>
            </w:pPr>
          </w:p>
        </w:tc>
      </w:tr>
      <w:tr>
        <w:trPr>
          <w:trHeight w:val="234"/>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EUR/SEK exchange rate - increase/decrease 10%</w:t>
            </w:r>
          </w:p>
        </w:tc>
        <w:tc>
          <w:tcPr>
            <w:tcW w:w="72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11,220</w:t>
            </w:r>
          </w:p>
        </w:tc>
      </w:tr>
    </w:tbl>
    <w:p>
      <w:pPr>
        <w:spacing w:after="0" w:line="179"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2021, the Group had transaction exposure to the Parent’s functional currency related to USD/SEK foreign exchange rates in the amount of $56,052. During the years ended December 31, 2020 and 2019, the Group had no significant transaction exposure to the USD and the USD currency effect was entirely related to translation exposure reflected in the Consolidated Statement of Comprehensive Loss.</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F-31</w:t>
      </w:r>
    </w:p>
    <w:p>
      <w:pPr>
        <w:sectPr>
          <w:pgSz w:w="11900" w:h="16838" w:orient="portrait"/>
          <w:cols w:equalWidth="0" w:num="1">
            <w:col w:w="11100"/>
          </w:cols>
          <w:pgMar w:left="320" w:top="455" w:right="479" w:bottom="1440" w:gutter="0" w:footer="0" w:header="0"/>
        </w:sectPr>
      </w:pPr>
    </w:p>
    <w:bookmarkStart w:id="266" w:name="page267"/>
    <w:bookmarkEnd w:id="2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p>
      <w:pPr>
        <w:spacing w:after="0" w:line="2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34" w:lineRule="exact"/>
        <w:rPr>
          <w:sz w:val="20"/>
          <w:szCs w:val="20"/>
          <w:color w:val="auto"/>
        </w:rPr>
      </w:pPr>
    </w:p>
    <w:p>
      <w:pPr>
        <w:ind w:left="120" w:right="180"/>
        <w:spacing w:after="0" w:line="312" w:lineRule="auto"/>
        <w:rPr>
          <w:sz w:val="20"/>
          <w:szCs w:val="20"/>
          <w:color w:val="auto"/>
        </w:rPr>
      </w:pPr>
      <w:r>
        <w:rPr>
          <w:rFonts w:ascii="Times New Roman" w:cs="Times New Roman" w:eastAsia="Times New Roman" w:hAnsi="Times New Roman"/>
          <w:sz w:val="17"/>
          <w:szCs w:val="17"/>
          <w:color w:val="auto"/>
        </w:rPr>
        <w:t>The Group’s overall currency exposure is reduced by natural hedging, which consists of the currency exposures of the business operations of different entities partially offsetting each other at the Group level. These natural hedges eliminate the need for hedging to the extent of the matched exposures.</w:t>
      </w:r>
    </w:p>
    <w:p>
      <w:pPr>
        <w:spacing w:after="0" w:line="2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121" w:lineRule="exact"/>
        <w:rPr>
          <w:sz w:val="20"/>
          <w:szCs w:val="20"/>
          <w:color w:val="auto"/>
        </w:rPr>
      </w:pPr>
    </w:p>
    <w:p>
      <w:pPr>
        <w:ind w:left="120" w:right="120"/>
        <w:spacing w:after="0" w:line="258" w:lineRule="auto"/>
        <w:rPr>
          <w:sz w:val="20"/>
          <w:szCs w:val="20"/>
          <w:color w:val="auto"/>
        </w:rPr>
      </w:pPr>
      <w:r>
        <w:rPr>
          <w:rFonts w:ascii="Times New Roman" w:cs="Times New Roman" w:eastAsia="Times New Roman" w:hAnsi="Times New Roman"/>
          <w:sz w:val="18"/>
          <w:szCs w:val="18"/>
          <w:color w:val="auto"/>
        </w:rPr>
        <w:t>The Polestar Group’s main interest rate risk arises from short-term liabilities to credit institutions with variable rates, which exposes the Group to cash flow interest rate risk. As of December 31, 2021 and 2020, the nominal amount of liabilities to credit institutions with floating interest rates was $642,338 and $363,490, respectively. Management closely monitors the effects of changes in the interest rates on the Group’s interest rate risk exposures, but the Group currently does not take any measures to hedge interest rate risks. Interest rate risk associated with these loans is limited given their short-term duration.</w:t>
      </w:r>
    </w:p>
    <w:p>
      <w:pPr>
        <w:spacing w:after="0" w:line="183" w:lineRule="exact"/>
        <w:rPr>
          <w:sz w:val="20"/>
          <w:szCs w:val="20"/>
          <w:color w:val="auto"/>
        </w:rPr>
      </w:pPr>
    </w:p>
    <w:p>
      <w:pPr>
        <w:ind w:left="120" w:right="200"/>
        <w:spacing w:after="0" w:line="261" w:lineRule="auto"/>
        <w:rPr>
          <w:sz w:val="20"/>
          <w:szCs w:val="20"/>
          <w:color w:val="auto"/>
        </w:rPr>
      </w:pPr>
      <w:r>
        <w:rPr>
          <w:rFonts w:ascii="Times New Roman" w:cs="Times New Roman" w:eastAsia="Times New Roman" w:hAnsi="Times New Roman"/>
          <w:sz w:val="18"/>
          <w:szCs w:val="18"/>
          <w:color w:val="auto"/>
        </w:rPr>
        <w:t>The table below shows the estimated effect on profit or loss and equity of a parallel shift of the interest rate curves up or down by one percent on all loans. This analysis assumes that all other variables, in particular foreign currency rates, remain constant. The calculation considers the effect of financial instruments with variable interest rates, financial instruments at fair value through profit or loss or available for sale with fixed interest rates, and the fixed rate element of interest rate caps. The analysis is performed on the same basis for 2021 and 2020.</w:t>
      </w:r>
    </w:p>
    <w:p>
      <w:pPr>
        <w:spacing w:after="0" w:line="200" w:lineRule="exact"/>
        <w:rPr>
          <w:sz w:val="20"/>
          <w:szCs w:val="20"/>
          <w:color w:val="auto"/>
        </w:rPr>
      </w:pPr>
    </w:p>
    <w:p>
      <w:pPr>
        <w:jc w:val="center"/>
        <w:ind w:left="5660"/>
        <w:spacing w:after="0"/>
        <w:rPr>
          <w:sz w:val="20"/>
          <w:szCs w:val="20"/>
          <w:color w:val="auto"/>
        </w:rPr>
      </w:pPr>
      <w:r>
        <w:rPr>
          <w:rFonts w:ascii="Times New Roman" w:cs="Times New Roman" w:eastAsia="Times New Roman" w:hAnsi="Times New Roman"/>
          <w:sz w:val="14"/>
          <w:szCs w:val="14"/>
          <w:b w:val="1"/>
          <w:bCs w:val="1"/>
          <w:color w:val="auto"/>
        </w:rPr>
        <w:t>Impact on loss before income</w:t>
      </w:r>
    </w:p>
    <w:p>
      <w:pPr>
        <w:spacing w:after="0" w:line="6" w:lineRule="exact"/>
        <w:rPr>
          <w:sz w:val="20"/>
          <w:szCs w:val="20"/>
          <w:color w:val="auto"/>
        </w:rPr>
      </w:pPr>
    </w:p>
    <w:p>
      <w:pPr>
        <w:jc w:val="center"/>
        <w:ind w:left="5660"/>
        <w:spacing w:after="0"/>
        <w:rPr>
          <w:sz w:val="20"/>
          <w:szCs w:val="20"/>
          <w:color w:val="auto"/>
        </w:rPr>
      </w:pPr>
      <w:r>
        <w:rPr>
          <w:rFonts w:ascii="Times New Roman" w:cs="Times New Roman" w:eastAsia="Times New Roman" w:hAnsi="Times New Roman"/>
          <w:sz w:val="14"/>
          <w:szCs w:val="14"/>
          <w:b w:val="1"/>
          <w:bCs w:val="1"/>
          <w:color w:val="auto"/>
        </w:rPr>
        <w:t>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4548505</wp:posOffset>
            </wp:positionH>
            <wp:positionV relativeFrom="paragraph">
              <wp:posOffset>-3175</wp:posOffset>
            </wp:positionV>
            <wp:extent cx="164592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ind w:left="7580"/>
        <w:spacing w:after="0" w:line="235" w:lineRule="auto"/>
        <w:tabs>
          <w:tab w:leader="none" w:pos="9040" w:val="left"/>
        </w:tabs>
        <w:rPr>
          <w:sz w:val="20"/>
          <w:szCs w:val="20"/>
          <w:color w:val="auto"/>
        </w:rPr>
      </w:pPr>
      <w:r>
        <w:rPr>
          <w:rFonts w:ascii="Times New Roman" w:cs="Times New Roman" w:eastAsia="Times New Roman" w:hAnsi="Times New Roman"/>
          <w:sz w:val="14"/>
          <w:szCs w:val="14"/>
          <w:b w:val="1"/>
          <w:bCs w:val="1"/>
          <w:color w:val="auto"/>
        </w:rPr>
        <w:t>2021</w:t>
      </w:r>
      <w:r>
        <w:rPr>
          <w:sz w:val="20"/>
          <w:szCs w:val="20"/>
          <w:color w:val="auto"/>
        </w:rPr>
        <w:tab/>
      </w:r>
      <w:r>
        <w:rPr>
          <w:rFonts w:ascii="Times New Roman" w:cs="Times New Roman" w:eastAsia="Times New Roman" w:hAnsi="Times New Roman"/>
          <w:sz w:val="14"/>
          <w:szCs w:val="14"/>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0</wp:posOffset>
            </wp:positionV>
            <wp:extent cx="5314950" cy="14605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5314950" cy="146050"/>
                    </a:xfrm>
                    <a:prstGeom prst="rect">
                      <a:avLst/>
                    </a:prstGeom>
                    <a:noFill/>
                  </pic:spPr>
                </pic:pic>
              </a:graphicData>
            </a:graphic>
          </wp:anchor>
        </w:drawing>
      </w:r>
    </w:p>
    <w:p>
      <w:pPr>
        <w:ind w:left="1440"/>
        <w:spacing w:after="0"/>
        <w:tabs>
          <w:tab w:leader="none" w:pos="7200" w:val="left"/>
          <w:tab w:leader="none" w:pos="7840" w:val="left"/>
          <w:tab w:leader="none" w:pos="8680" w:val="left"/>
          <w:tab w:leader="none" w:pos="9340" w:val="left"/>
        </w:tabs>
        <w:rPr>
          <w:sz w:val="20"/>
          <w:szCs w:val="20"/>
          <w:color w:val="auto"/>
        </w:rPr>
      </w:pPr>
      <w:r>
        <w:rPr>
          <w:rFonts w:ascii="Times New Roman" w:cs="Times New Roman" w:eastAsia="Times New Roman" w:hAnsi="Times New Roman"/>
          <w:sz w:val="18"/>
          <w:szCs w:val="18"/>
          <w:color w:val="auto"/>
        </w:rPr>
        <w:t>Interest rates - increase/decrease by 1%</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1,791</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3,518</w:t>
      </w:r>
    </w:p>
    <w:p>
      <w:pPr>
        <w:spacing w:after="0" w:line="3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Credit risk</w:t>
      </w:r>
    </w:p>
    <w:p>
      <w:pPr>
        <w:spacing w:after="0" w:line="121"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The Polestar Group is exposed to counterparty credit risks if contractual partners, fleet customers, for example, are unable or only partially able to meet their contractual obligations. Polestar Group’s credit risk can be divided into financial credit risk and operational credit risk. Credit risk encompasses both the direct risk of default and the risk of a deterioration of creditworthiness, as well as concentration risks. The Group defines default as the inability to collect receivables once all reasonable means of collection have been unsuccessful and the expectation of recovering contractual cash flows on the receivables is not probable.</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Financial credit risk</w:t>
      </w:r>
    </w:p>
    <w:p>
      <w:pPr>
        <w:spacing w:after="0" w:line="119"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Financial credit risk on financial transactions is the risk that Polestar Group will incur losses as a result of non-payment by counterparties related to the Group’s bank accounts, bank deposits, derivative transactions, and other liquid assets. In order to minimise financial credit risk, Polestar Group has adopted a policy of dealing with only well-established international banks or other major participants in the financial markets as counterparties. Further, Polestar Group also considers the credit risk assessment of its counterparties by the capital markets and places priority on institutions with high creditworthiness and balanced risk diversification. The credit rating of financial counterparties used during the years ended December 31, 2021 and 2020 were in the range of BBB to A+.</w:t>
      </w:r>
    </w:p>
    <w:p>
      <w:pPr>
        <w:spacing w:after="0" w:line="187" w:lineRule="exact"/>
        <w:rPr>
          <w:sz w:val="20"/>
          <w:szCs w:val="20"/>
          <w:color w:val="auto"/>
        </w:rPr>
      </w:pPr>
    </w:p>
    <w:p>
      <w:pPr>
        <w:jc w:val="both"/>
        <w:ind w:left="120" w:right="40"/>
        <w:spacing w:after="0" w:line="261" w:lineRule="auto"/>
        <w:rPr>
          <w:sz w:val="20"/>
          <w:szCs w:val="20"/>
          <w:color w:val="auto"/>
        </w:rPr>
      </w:pPr>
      <w:r>
        <w:rPr>
          <w:rFonts w:ascii="Times New Roman" w:cs="Times New Roman" w:eastAsia="Times New Roman" w:hAnsi="Times New Roman"/>
          <w:sz w:val="18"/>
          <w:szCs w:val="18"/>
          <w:color w:val="auto"/>
        </w:rPr>
        <w:t>Assets that potentially subject the Group to concentrations of credit risk primarily consist of cash and cash equivalents, marketable securities, restricted cash, and trade receivables. Cash and cash equivalents, restricted cash and marketable securities are all invested in major financial institutions with high credit ratings. Generally, these assets may be redeemed upon demand and, therefore, bear low risk. Risks associated with the Group’s trade receivables are further specified below.</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F-32</w:t>
      </w:r>
    </w:p>
    <w:p>
      <w:pPr>
        <w:sectPr>
          <w:pgSz w:w="11900" w:h="16838" w:orient="portrait"/>
          <w:cols w:equalWidth="0" w:num="1">
            <w:col w:w="11100"/>
          </w:cols>
          <w:pgMar w:left="320" w:top="455" w:right="479" w:bottom="1440" w:gutter="0" w:footer="0" w:header="0"/>
        </w:sectPr>
      </w:pPr>
    </w:p>
    <w:bookmarkStart w:id="267" w:name="page268"/>
    <w:bookmarkEnd w:id="2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p>
      <w:pPr>
        <w:spacing w:after="0" w:line="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3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Operational credit risk</w:t>
      </w:r>
    </w:p>
    <w:p>
      <w:pPr>
        <w:spacing w:after="0" w:line="119" w:lineRule="exact"/>
        <w:rPr>
          <w:sz w:val="20"/>
          <w:szCs w:val="20"/>
          <w:color w:val="auto"/>
        </w:rPr>
      </w:pPr>
    </w:p>
    <w:p>
      <w:pPr>
        <w:ind w:left="120" w:right="100"/>
        <w:spacing w:after="0" w:line="254" w:lineRule="auto"/>
        <w:rPr>
          <w:sz w:val="20"/>
          <w:szCs w:val="20"/>
          <w:color w:val="auto"/>
        </w:rPr>
      </w:pPr>
      <w:r>
        <w:rPr>
          <w:rFonts w:ascii="Times New Roman" w:cs="Times New Roman" w:eastAsia="Times New Roman" w:hAnsi="Times New Roman"/>
          <w:sz w:val="18"/>
          <w:szCs w:val="18"/>
          <w:color w:val="auto"/>
        </w:rPr>
        <w:t>Operational credit risk arises from trade receivables. It refers to the risk that a counterparty will default on its contractual obligations which would, in turn, result in financial loss to the Group. Trade receivables at Polestar Group mostly consist of receivables resulting from the global sales of vehicles and technology. The credit risk from trade receivables encompasses the default risk of customers. Management evaluates for concentrations of credit risk at the customer level based on the outstanding trade receivables balance of each respective customer account. As of December 31, 2021, an unrelated party accounted for $23,031 (12.54%) of the Group’s total trade receivables (i.e., trade receivables plus trade receivables - related parties). As of December 31, 2020, Volvo Cars accounted for $194,503 (63.21%) of the Group’s total trade receivables, and an unrelated customer accounted for $32,392 (10.53%). Refer to Note 23 - Related party transactions for more details on related parties. Historically, the Group has not incurred any losses from these customers and does not have any contractual right to off-set its payables and receivables.</w:t>
      </w:r>
    </w:p>
    <w:p>
      <w:pPr>
        <w:spacing w:after="0" w:line="1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Polestar has four categories of customers when considering sales of vehicles: (1) end customers who pay up-front for vehicles, (2) fleet customers,</w:t>
      </w:r>
    </w:p>
    <w:p>
      <w:pPr>
        <w:spacing w:after="0" w:line="27" w:lineRule="exact"/>
        <w:rPr>
          <w:sz w:val="20"/>
          <w:szCs w:val="20"/>
          <w:color w:val="auto"/>
        </w:rPr>
      </w:pPr>
    </w:p>
    <w:p>
      <w:pPr>
        <w:ind w:left="120" w:right="20" w:hanging="4"/>
        <w:spacing w:after="0" w:line="251" w:lineRule="auto"/>
        <w:tabs>
          <w:tab w:leader="none" w:pos="375"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dealers, and (4) financial service providers. All credit risk related to sales to end customers who pay up-front for vehicles is eliminated due to the nature of the payment. To reduce risk related to fleet customers, credit risk reviews are performed prior to entering into related sales agreements. Depending on the creditworthiness of its customers, Polestar Group may establish credit limits to reduce credit risks. For sales to dealers, title to Polestar vehicles remains with Polestar until the dealer pays the invoice in full, which is generally on the invoice date or the day after (i.e., payment is received before the vehicle ships and credit risk is thereby mitigated). Polestar sells vehicles to financial service providers, who then form separate contractual relationships with end customers. To reduce the risk related to such financial service providers, Polestar Group has selected a few credible financing providers in each market. Credit risk reviews, establishment of credit limits, and selection of credible financial service providers must be strictly followed and monitored, globally. The maximum amount of credit risk exposure is the carrying amount of trade receivables. See Note 14 - Financial instruments for further details.</w:t>
      </w:r>
    </w:p>
    <w:p>
      <w:pPr>
        <w:spacing w:after="0" w:line="29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Liquidity risk</w:t>
      </w:r>
    </w:p>
    <w:p>
      <w:pPr>
        <w:spacing w:after="0" w:line="121"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Liquidity risk is the risk that Polestar Group is unable to meet ongoing financial obligations on time. The Group faces liquidity risk as all loans from financial institutions are short-term in nature, typically with a credit term of one year or less, and trade payables with related parties represent working capital arrangements under which the liquidity needs of the Group are highly dependent on the continued flexible payment terms offered to the Group by its related parties. These flexible payment terms are not a contractual right and may be called upon in the future. Refer to Note 23 - Related party transactions for additional information on these arrangements. Polestar Group needs to have adequate cash and highly liquid assets on hand to ensure the Group can meet its short-term financing obligations and other working capital needs. Polestar manages its liquidity by holding adequate volumes of liquid assets such as cash and cash equivalents and accounts receivable, by maintaining credit facilities in addition to the cash inflows generated by its business operations and through capital contributions from private equity investors.</w:t>
      </w:r>
    </w:p>
    <w:p>
      <w:pPr>
        <w:spacing w:after="0" w:line="192"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As of December 31, 2021 and 2020, the Group held cash and cash equivalents of $756,677 and $316,424, respectively, that were available for managing liquidity risk. The Group entered into short-term financing arrangements with credit institutions and other financial service providers to enhance short term liquidity and financing needs. Refer to Note 21 - Liabilities to credit institutions for further details on short-term borrowings. The Group’s short-term and mid-term liquidity management takes into account the maturities of financial assets and financial liabilities and estimates of cash flows from business operations.</w:t>
      </w:r>
    </w:p>
    <w:p>
      <w:pPr>
        <w:spacing w:after="0" w:line="183"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Management has established an appropriate liquidity risk management framework for management of the Group’s short, medium and long-term funding and liquidity management requirements and the Group prepares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F-33</w:t>
      </w:r>
    </w:p>
    <w:p>
      <w:pPr>
        <w:sectPr>
          <w:pgSz w:w="11900" w:h="16838" w:orient="portrait"/>
          <w:cols w:equalWidth="0" w:num="1">
            <w:col w:w="11140"/>
          </w:cols>
          <w:pgMar w:left="320" w:top="455" w:right="439" w:bottom="1440" w:gutter="0" w:footer="0" w:header="0"/>
        </w:sectPr>
      </w:pPr>
    </w:p>
    <w:bookmarkStart w:id="268" w:name="page269"/>
    <w:bookmarkEnd w:id="2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p>
      <w:pPr>
        <w:spacing w:after="0" w:line="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34" w:lineRule="exact"/>
        <w:rPr>
          <w:sz w:val="20"/>
          <w:szCs w:val="20"/>
          <w:color w:val="auto"/>
        </w:rPr>
      </w:pPr>
    </w:p>
    <w:p>
      <w:pPr>
        <w:ind w:left="120" w:right="120"/>
        <w:spacing w:after="0" w:line="282" w:lineRule="auto"/>
        <w:rPr>
          <w:sz w:val="20"/>
          <w:szCs w:val="20"/>
          <w:color w:val="auto"/>
        </w:rPr>
      </w:pPr>
      <w:r>
        <w:rPr>
          <w:rFonts w:ascii="Times New Roman" w:cs="Times New Roman" w:eastAsia="Times New Roman" w:hAnsi="Times New Roman"/>
          <w:sz w:val="18"/>
          <w:szCs w:val="18"/>
          <w:color w:val="auto"/>
        </w:rPr>
        <w:t>long-term planning in order to mitigate funding and re-financing risks. Depending on liquidity needs, Polestar Group will enter into financing and debt agreements and/or lending agreements. All draws on loans are evaluated against future liquidity needs and investment plans.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Capital management</w:t>
      </w:r>
    </w:p>
    <w:p>
      <w:pPr>
        <w:spacing w:after="0" w:line="121" w:lineRule="exact"/>
        <w:rPr>
          <w:sz w:val="20"/>
          <w:szCs w:val="20"/>
          <w:color w:val="auto"/>
        </w:rPr>
      </w:pPr>
    </w:p>
    <w:p>
      <w:pPr>
        <w:ind w:left="120" w:right="160"/>
        <w:spacing w:after="0" w:line="258" w:lineRule="auto"/>
        <w:rPr>
          <w:sz w:val="20"/>
          <w:szCs w:val="20"/>
          <w:color w:val="auto"/>
        </w:rPr>
      </w:pPr>
      <w:r>
        <w:rPr>
          <w:rFonts w:ascii="Times New Roman" w:cs="Times New Roman" w:eastAsia="Times New Roman" w:hAnsi="Times New Roman"/>
          <w:sz w:val="18"/>
          <w:szCs w:val="18"/>
          <w:color w:val="auto"/>
        </w:rPr>
        <w:t>Safeguarding the Group’s ability to continue as a going concern, driving growth to provide future returns for shareholders, and maintaining an optimal capital structure to reduce the cost of capital are Polestar Group’s primary objectives when managing capital and implementing related capital management strategies. To maintain or adjust the capital structure, the Group may issue new shares, sell assets to reduce debt, or enter into short term debt and financing arrangements to increase cash on hand. Capital is calculated as equity attributable to owners of the Parent as shown on the Consolidated Statement of Financial Position plus total borrowings and lease liabilities, less cash and cash equivalents.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3 – Common control transaction</w:t>
      </w:r>
    </w:p>
    <w:p>
      <w:pPr>
        <w:spacing w:after="0" w:line="121"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On September 14, 2020, Polestar was restructured so that 100% of ownership interests in the Polestar Group were transitioned from Polestar Automotive (Shanghai) Co., Ltd (incorporated in the People’s Republic of China) (“Old Parent”) to Polestar Automotive (Singapore) Pte. Ltd which is a wholly owned entity of Polestar Automotive Holding Limited (incorporated in Hong Kong) (“New Parent”). The restructuring represented a common control transaction rather than a business combination under the guidance in IFRS 3, Business Combinations, because (1) the New Parent was a shell company that did not meet the definition of a business at the time of the transaction, (2) ultimate control of the Polestar Group was the same before and after the transaction, and (3) control of the Polestar Group was not transitory (i.e., organised to effect a ‘grooming’ transaction).</w:t>
      </w:r>
    </w:p>
    <w:p>
      <w:pPr>
        <w:spacing w:after="0" w:line="187"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Accordingly, the restructuring was recognised using the historic value method (i.e., the assets and liabilities are measured using the existing book value) and the impact of the restructuring is reflected in the Consolidated Statement of Changes in Equity under the “Changes in the consolidated group” subheading. Additionally, the presentation of the Consolidated Statement of Changes in Equity was required to be adjusted following the restructuring. Prior to the restructuring, the concept of share capital did not exist under the Old Parent’s limited company structure in China. Ownership interests were only represented by percentages of paid-in capital, as adjusted by accumulated losses and cumulative translation adjustments. Under the New Parent’s private company limited structure in Hong Kong, share capital was introduced to the Polestar Group’s equity and the Consolidated Statement of Changes in Equity. Therefore, capital infusions in the Old Parent are shown as other contributed capital in the Consolidated Statement of Changes in Equity prior to the restructuring. Total equity prior to the restructuring did not change, and restructuring resulted in issued share capital in the New Parent equivalent to the ownership percentages under the Old Parent.</w:t>
      </w:r>
    </w:p>
    <w:p>
      <w:pPr>
        <w:spacing w:after="0" w:line="188"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Consideration transferred for the Polestar Group from the New Parent to the Old Parent under the restructuring was equal to the initial investment of the controlling owners in the Polestar Group. However, when the Polestar Group was separated from the Old Parent, the intercompany relationship between the Old Parent and the Polestar Group was severed which resulted in the realisation of accumulated gains in equity of $5,801 in the Old Parent which were historically eliminated upon consolidation. The $5,801 adjustment to equity does not reflect cash consideration transferred, but rather, the non-cash impact of separating intercompany interests and changing parent entities under the same controlling owners.</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F-34</w:t>
      </w:r>
    </w:p>
    <w:p>
      <w:pPr>
        <w:sectPr>
          <w:pgSz w:w="11900" w:h="16838" w:orient="portrait"/>
          <w:cols w:equalWidth="0" w:num="1">
            <w:col w:w="11100"/>
          </w:cols>
          <w:pgMar w:left="320" w:top="455" w:right="479" w:bottom="1440" w:gutter="0" w:footer="0" w:header="0"/>
        </w:sectPr>
      </w:pPr>
    </w:p>
    <w:bookmarkStart w:id="269" w:name="page270"/>
    <w:bookmarkEnd w:id="2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p>
      <w:pPr>
        <w:spacing w:after="0" w:line="2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4 – Revenue</w:t>
      </w:r>
    </w:p>
    <w:p>
      <w:pPr>
        <w:spacing w:after="0" w:line="121" w:lineRule="exact"/>
        <w:rPr>
          <w:sz w:val="20"/>
          <w:szCs w:val="20"/>
          <w:color w:val="auto"/>
        </w:rPr>
      </w:pPr>
    </w:p>
    <w:p>
      <w:pPr>
        <w:ind w:left="120" w:right="600"/>
        <w:spacing w:after="0" w:line="282" w:lineRule="auto"/>
        <w:rPr>
          <w:sz w:val="20"/>
          <w:szCs w:val="20"/>
          <w:color w:val="auto"/>
        </w:rPr>
      </w:pPr>
      <w:r>
        <w:rPr>
          <w:rFonts w:ascii="Times New Roman" w:cs="Times New Roman" w:eastAsia="Times New Roman" w:hAnsi="Times New Roman"/>
          <w:sz w:val="18"/>
          <w:szCs w:val="18"/>
          <w:color w:val="auto"/>
        </w:rPr>
        <w:t>Polestar Group disaggregates revenue by major category based on the primary economic factors that may impact the nature, amount, timing, and uncertainty of revenue and cash flows from these customer contracts as seen in the table below:</w:t>
      </w:r>
    </w:p>
    <w:p>
      <w:pPr>
        <w:spacing w:after="0" w:line="182"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6180" w:type="dxa"/>
            <w:vAlign w:val="bottom"/>
          </w:tcPr>
          <w:p>
            <w:pPr>
              <w:spacing w:after="0"/>
              <w:rPr>
                <w:sz w:val="15"/>
                <w:szCs w:val="15"/>
                <w:color w:val="auto"/>
              </w:rPr>
            </w:pPr>
          </w:p>
        </w:tc>
        <w:tc>
          <w:tcPr>
            <w:tcW w:w="92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80" w:type="dxa"/>
            <w:vAlign w:val="bottom"/>
            <w:gridSpan w:val="2"/>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0" w:type="dxa"/>
            <w:vAlign w:val="bottom"/>
            <w:gridSpan w:val="2"/>
          </w:tcPr>
          <w:p>
            <w:pPr>
              <w:ind w:left="500"/>
              <w:spacing w:after="0"/>
              <w:rPr>
                <w:sz w:val="20"/>
                <w:szCs w:val="20"/>
                <w:color w:val="auto"/>
              </w:rPr>
            </w:pPr>
            <w:r>
              <w:rPr>
                <w:rFonts w:ascii="Times New Roman" w:cs="Times New Roman" w:eastAsia="Times New Roman" w:hAnsi="Times New Roman"/>
                <w:sz w:val="14"/>
                <w:szCs w:val="14"/>
                <w:b w:val="1"/>
                <w:bCs w:val="1"/>
                <w:color w:val="auto"/>
              </w:rPr>
              <w:t>2019</w:t>
            </w:r>
          </w:p>
        </w:tc>
        <w:tc>
          <w:tcPr>
            <w:tcW w:w="80" w:type="dxa"/>
            <w:vAlign w:val="bottom"/>
          </w:tcPr>
          <w:p>
            <w:pPr>
              <w:spacing w:after="0"/>
              <w:rPr>
                <w:sz w:val="15"/>
                <w:szCs w:val="15"/>
                <w:color w:val="auto"/>
              </w:rPr>
            </w:pPr>
          </w:p>
        </w:tc>
      </w:tr>
      <w:tr>
        <w:trPr>
          <w:trHeight w:val="210"/>
        </w:trPr>
        <w:tc>
          <w:tcPr>
            <w:tcW w:w="6180" w:type="dxa"/>
            <w:vAlign w:val="bottom"/>
            <w:tcBorders>
              <w:top w:val="single" w:sz="8" w:color="CCEEFF"/>
            </w:tcBorders>
            <w:shd w:val="clear" w:color="auto" w:fill="CCEEFF"/>
          </w:tcPr>
          <w:p>
            <w:pPr>
              <w:spacing w:after="0" w:line="210" w:lineRule="exact"/>
              <w:rPr>
                <w:sz w:val="20"/>
                <w:szCs w:val="20"/>
                <w:color w:val="auto"/>
              </w:rPr>
            </w:pPr>
            <w:r>
              <w:rPr>
                <w:rFonts w:ascii="Times New Roman" w:cs="Times New Roman" w:eastAsia="Times New Roman" w:hAnsi="Times New Roman"/>
                <w:sz w:val="17"/>
                <w:szCs w:val="17"/>
                <w:color w:val="auto"/>
              </w:rPr>
              <w:t>Sales of vehicles</w:t>
            </w:r>
            <w:r>
              <w:rPr>
                <w:rFonts w:ascii="Times New Roman" w:cs="Times New Roman" w:eastAsia="Times New Roman" w:hAnsi="Times New Roman"/>
                <w:sz w:val="24"/>
                <w:szCs w:val="24"/>
                <w:color w:val="auto"/>
                <w:vertAlign w:val="superscript"/>
              </w:rPr>
              <w:t>1</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1,290,031</w:t>
            </w:r>
          </w:p>
        </w:tc>
        <w:tc>
          <w:tcPr>
            <w:tcW w:w="3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542,783</w:t>
            </w:r>
          </w:p>
        </w:tc>
        <w:tc>
          <w:tcPr>
            <w:tcW w:w="3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Sales of software and performance engineered kits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25,881</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35,434</w:t>
            </w:r>
          </w:p>
        </w:tc>
        <w:tc>
          <w:tcPr>
            <w:tcW w:w="10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w w:val="96"/>
              </w:rPr>
              <w:t>73,107</w:t>
            </w:r>
          </w:p>
        </w:tc>
        <w:tc>
          <w:tcPr>
            <w:tcW w:w="80" w:type="dxa"/>
            <w:vAlign w:val="bottom"/>
          </w:tcPr>
          <w:p>
            <w:pPr>
              <w:spacing w:after="0"/>
              <w:rPr>
                <w:sz w:val="18"/>
                <w:szCs w:val="18"/>
                <w:color w:val="auto"/>
              </w:rPr>
            </w:pPr>
          </w:p>
        </w:tc>
      </w:tr>
      <w:tr>
        <w:trPr>
          <w:trHeight w:val="216"/>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of carbon credits</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6,299</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27,141</w:t>
            </w:r>
          </w:p>
        </w:tc>
        <w:tc>
          <w:tcPr>
            <w:tcW w:w="3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Vehicle leasing revenue</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6,217</w:t>
            </w:r>
          </w:p>
        </w:tc>
        <w:tc>
          <w:tcPr>
            <w:tcW w:w="320" w:type="dxa"/>
            <w:vAlign w:val="bottom"/>
          </w:tcPr>
          <w:p>
            <w:pPr>
              <w:spacing w:after="0"/>
              <w:rPr>
                <w:sz w:val="18"/>
                <w:szCs w:val="18"/>
                <w:color w:val="auto"/>
              </w:rPr>
            </w:pP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76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revenue</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8,753</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4,887</w:t>
            </w:r>
          </w:p>
        </w:tc>
        <w:tc>
          <w:tcPr>
            <w:tcW w:w="10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w w:val="96"/>
              </w:rPr>
              <w:t>19,308</w:t>
            </w:r>
          </w:p>
        </w:tc>
        <w:tc>
          <w:tcPr>
            <w:tcW w:w="80" w:type="dxa"/>
            <w:vAlign w:val="bottom"/>
            <w:shd w:val="clear" w:color="auto" w:fill="CCEEFF"/>
          </w:tcPr>
          <w:p>
            <w:pPr>
              <w:spacing w:after="0"/>
              <w:rPr>
                <w:sz w:val="18"/>
                <w:szCs w:val="18"/>
                <w:color w:val="auto"/>
              </w:rPr>
            </w:pPr>
          </w:p>
        </w:tc>
      </w:tr>
      <w:tr>
        <w:trPr>
          <w:trHeight w:val="223"/>
        </w:trPr>
        <w:tc>
          <w:tcPr>
            <w:tcW w:w="6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1,337,181</w:t>
            </w:r>
          </w:p>
        </w:tc>
        <w:tc>
          <w:tcPr>
            <w:tcW w:w="32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610,245</w:t>
            </w:r>
          </w:p>
        </w:tc>
        <w:tc>
          <w:tcPr>
            <w:tcW w:w="320" w:type="dxa"/>
            <w:vAlign w:val="bottom"/>
          </w:tcPr>
          <w:p>
            <w:pPr>
              <w:spacing w:after="0"/>
              <w:rPr>
                <w:sz w:val="19"/>
                <w:szCs w:val="19"/>
                <w:color w:val="auto"/>
              </w:rPr>
            </w:pPr>
          </w:p>
        </w:tc>
        <w:tc>
          <w:tcPr>
            <w:tcW w:w="680" w:type="dxa"/>
            <w:vAlign w:val="bottom"/>
            <w:tcBorders>
              <w:top w:val="single" w:sz="8" w:color="auto"/>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w w:val="96"/>
              </w:rPr>
              <w:t>92,415</w:t>
            </w:r>
          </w:p>
        </w:tc>
        <w:tc>
          <w:tcPr>
            <w:tcW w:w="80" w:type="dxa"/>
            <w:vAlign w:val="bottom"/>
          </w:tcPr>
          <w:p>
            <w:pPr>
              <w:spacing w:after="0"/>
              <w:rPr>
                <w:sz w:val="19"/>
                <w:szCs w:val="19"/>
                <w:color w:val="auto"/>
              </w:rPr>
            </w:pPr>
          </w:p>
        </w:tc>
      </w:tr>
    </w:tbl>
    <w:p>
      <w:pPr>
        <w:spacing w:after="0" w:line="238" w:lineRule="exact"/>
        <w:rPr>
          <w:sz w:val="20"/>
          <w:szCs w:val="20"/>
          <w:color w:val="auto"/>
        </w:rPr>
      </w:pPr>
    </w:p>
    <w:p>
      <w:pPr>
        <w:ind w:left="340" w:right="500" w:hanging="224"/>
        <w:spacing w:after="0" w:line="282" w:lineRule="auto"/>
        <w:tabs>
          <w:tab w:leader="none" w:pos="34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Revenues related to sales of vehicles are inclusive of insignificant extended and connected services included in the sale of vehicles and sales-generated obligations such as discounts and rebates offered to fleet customers.</w:t>
      </w:r>
    </w:p>
    <w:p>
      <w:pPr>
        <w:spacing w:after="0" w:line="162" w:lineRule="exact"/>
        <w:rPr>
          <w:sz w:val="20"/>
          <w:szCs w:val="20"/>
          <w:color w:val="auto"/>
        </w:rPr>
      </w:pPr>
    </w:p>
    <w:p>
      <w:pPr>
        <w:jc w:val="both"/>
        <w:ind w:left="120" w:right="120"/>
        <w:spacing w:after="0" w:line="261" w:lineRule="auto"/>
        <w:rPr>
          <w:sz w:val="20"/>
          <w:szCs w:val="20"/>
          <w:color w:val="auto"/>
        </w:rPr>
      </w:pPr>
      <w:r>
        <w:rPr>
          <w:rFonts w:ascii="Times New Roman" w:cs="Times New Roman" w:eastAsia="Times New Roman" w:hAnsi="Times New Roman"/>
          <w:sz w:val="18"/>
          <w:szCs w:val="18"/>
          <w:color w:val="auto"/>
        </w:rPr>
        <w:t>For the year ended December 31, 2021, other revenue primarily consisted of license revenue generated from sales-based royalties received from Volvo Cars on sales of parts and accessories for Polestar vehicles which Volvo Cars began selling to customers during 2021. For the year ended December 31, 2020, other revenue primarily consisted of revenue generated through the sale of technology to a related party. For the year ended December 31, 2019, other revenue primarily consisted of revenue generated through the sale of research and development (“R&amp;D”) services to a related party.</w:t>
      </w:r>
    </w:p>
    <w:p>
      <w:pPr>
        <w:spacing w:after="0" w:line="180" w:lineRule="exact"/>
        <w:rPr>
          <w:sz w:val="20"/>
          <w:szCs w:val="20"/>
          <w:color w:val="auto"/>
        </w:rPr>
      </w:pPr>
    </w:p>
    <w:p>
      <w:pPr>
        <w:ind w:left="120" w:right="140"/>
        <w:spacing w:after="0" w:line="258" w:lineRule="auto"/>
        <w:rPr>
          <w:sz w:val="20"/>
          <w:szCs w:val="20"/>
          <w:color w:val="auto"/>
        </w:rPr>
      </w:pPr>
      <w:r>
        <w:rPr>
          <w:rFonts w:ascii="Times New Roman" w:cs="Times New Roman" w:eastAsia="Times New Roman" w:hAnsi="Times New Roman"/>
          <w:sz w:val="18"/>
          <w:szCs w:val="18"/>
          <w:color w:val="auto"/>
        </w:rPr>
        <w:t>The Group’s two largest customers that are not related parties accounted for $135,544 (10.14%) and $129,873 (9.71%) of revenue, respectively, for the year ended December 31, 2021. For the year ended December 31, 2020, Volvo Cars accounted for $107,948 (17.7%) of the Group’s revenue and an unrelated customer accounted for $71,361 (11.69%) of the Group’s revenue. For the year ended December 31, 2019, Volvo Cars accounted for $91,092 (98.6%) of the Group’s revenue. Prior to 2020, the Group’s principal operations related to the sale of R&amp;D services and software and performance engineered kits within its related party network. Refer to Note 23 - Related party transactions for further details.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Contract liabilities</w:t>
      </w:r>
    </w:p>
    <w:p>
      <w:pPr>
        <w:spacing w:after="0" w:line="23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92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960" w:type="dxa"/>
            <w:vAlign w:val="bottom"/>
            <w:gridSpan w:val="2"/>
            <w:vMerge w:val="restart"/>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Sales</w:t>
            </w:r>
          </w:p>
        </w:tc>
        <w:tc>
          <w:tcPr>
            <w:tcW w:w="9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Deferred</w:t>
            </w:r>
          </w:p>
        </w:tc>
        <w:tc>
          <w:tcPr>
            <w:tcW w:w="8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Deferred</w:t>
            </w:r>
          </w:p>
        </w:tc>
        <w:tc>
          <w:tcPr>
            <w:tcW w:w="1320" w:type="dxa"/>
            <w:vAlign w:val="bottom"/>
            <w:gridSpan w:val="3"/>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Deferred</w:t>
            </w: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9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90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revenue –</w:t>
            </w:r>
          </w:p>
        </w:tc>
        <w:tc>
          <w:tcPr>
            <w:tcW w:w="84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revenue –</w:t>
            </w:r>
          </w:p>
        </w:tc>
        <w:tc>
          <w:tcPr>
            <w:tcW w:w="1320" w:type="dxa"/>
            <w:vAlign w:val="bottom"/>
            <w:gridSpan w:val="3"/>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revenue –</w:t>
            </w: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96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generated</w:t>
            </w:r>
          </w:p>
        </w:tc>
        <w:tc>
          <w:tcPr>
            <w:tcW w:w="90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extended</w:t>
            </w:r>
          </w:p>
        </w:tc>
        <w:tc>
          <w:tcPr>
            <w:tcW w:w="84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connected</w:t>
            </w:r>
          </w:p>
        </w:tc>
        <w:tc>
          <w:tcPr>
            <w:tcW w:w="1320" w:type="dxa"/>
            <w:vAlign w:val="bottom"/>
            <w:gridSpan w:val="3"/>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operating</w:t>
            </w:r>
          </w:p>
        </w:tc>
        <w:tc>
          <w:tcPr>
            <w:tcW w:w="76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392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96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obligation</w:t>
            </w:r>
          </w:p>
        </w:tc>
        <w:tc>
          <w:tcPr>
            <w:tcW w:w="9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service</w:t>
            </w:r>
          </w:p>
        </w:tc>
        <w:tc>
          <w:tcPr>
            <w:tcW w:w="8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1320" w:type="dxa"/>
            <w:vAlign w:val="bottom"/>
            <w:gridSpan w:val="3"/>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leases &amp; other</w:t>
            </w:r>
          </w:p>
        </w:tc>
        <w:tc>
          <w:tcPr>
            <w:tcW w:w="7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9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January 1, 2020</w:t>
            </w:r>
          </w:p>
        </w:tc>
        <w:tc>
          <w:tcPr>
            <w:tcW w:w="23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right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Provided for during the year</w:t>
            </w:r>
          </w:p>
        </w:tc>
        <w:tc>
          <w:tcPr>
            <w:tcW w:w="328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2,436</w:t>
            </w: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8,972</w:t>
            </w: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5,799</w:t>
            </w:r>
          </w:p>
        </w:tc>
        <w:tc>
          <w:tcPr>
            <w:tcW w:w="1020" w:type="dxa"/>
            <w:vAlign w:val="bottom"/>
            <w:tcBorders>
              <w:right w:val="single" w:sz="8" w:color="auto"/>
            </w:tcBorders>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17,207</w:t>
            </w: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Utilised during the year</w:t>
            </w:r>
          </w:p>
        </w:tc>
        <w:tc>
          <w:tcPr>
            <w:tcW w:w="23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(130)</w:t>
            </w:r>
          </w:p>
        </w:tc>
        <w:tc>
          <w:tcPr>
            <w:tcW w:w="1020" w:type="dxa"/>
            <w:vAlign w:val="bottom"/>
            <w:tcBorders>
              <w:right w:val="single" w:sz="8" w:color="auto"/>
            </w:tcBorders>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(130)</w:t>
            </w:r>
          </w:p>
        </w:tc>
        <w:tc>
          <w:tcPr>
            <w:tcW w:w="0" w:type="dxa"/>
            <w:vAlign w:val="bottom"/>
          </w:tcPr>
          <w:p>
            <w:pPr>
              <w:spacing w:after="0"/>
              <w:rPr>
                <w:sz w:val="1"/>
                <w:szCs w:val="1"/>
                <w:color w:val="auto"/>
              </w:rPr>
            </w:pPr>
          </w:p>
        </w:tc>
      </w:tr>
      <w:tr>
        <w:trPr>
          <w:trHeight w:val="21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Translation differences and other</w:t>
            </w:r>
          </w:p>
        </w:tc>
        <w:tc>
          <w:tcPr>
            <w:tcW w:w="23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w:t>
            </w:r>
          </w:p>
        </w:tc>
        <w:tc>
          <w:tcPr>
            <w:tcW w:w="8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right w:val="single" w:sz="8" w:color="auto"/>
            </w:tcBorders>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7"/>
        </w:trPr>
        <w:tc>
          <w:tcPr>
            <w:tcW w:w="39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2020</w:t>
            </w:r>
          </w:p>
        </w:tc>
        <w:tc>
          <w:tcPr>
            <w:tcW w:w="23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2,436</w:t>
            </w: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8,967</w:t>
            </w: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5,669</w:t>
            </w:r>
          </w:p>
        </w:tc>
        <w:tc>
          <w:tcPr>
            <w:tcW w:w="1020" w:type="dxa"/>
            <w:vAlign w:val="bottom"/>
            <w:tcBorders>
              <w:right w:val="single" w:sz="8" w:color="auto"/>
            </w:tcBorders>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17,072</w:t>
            </w:r>
          </w:p>
        </w:tc>
        <w:tc>
          <w:tcPr>
            <w:tcW w:w="0" w:type="dxa"/>
            <w:vAlign w:val="bottom"/>
          </w:tcPr>
          <w:p>
            <w:pPr>
              <w:spacing w:after="0"/>
              <w:rPr>
                <w:sz w:val="1"/>
                <w:szCs w:val="1"/>
                <w:color w:val="auto"/>
              </w:rPr>
            </w:pPr>
          </w:p>
        </w:tc>
      </w:tr>
      <w:tr>
        <w:trPr>
          <w:trHeight w:val="223"/>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of which current</w:t>
            </w:r>
          </w:p>
        </w:tc>
        <w:tc>
          <w:tcPr>
            <w:tcW w:w="2320" w:type="dxa"/>
            <w:vAlign w:val="bottom"/>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2,436</w:t>
            </w:r>
          </w:p>
        </w:tc>
        <w:tc>
          <w:tcPr>
            <w:tcW w:w="34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1,487</w:t>
            </w:r>
          </w:p>
        </w:tc>
        <w:tc>
          <w:tcPr>
            <w:tcW w:w="320" w:type="dxa"/>
            <w:vAlign w:val="bottom"/>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725</w:t>
            </w:r>
          </w:p>
        </w:tc>
        <w:tc>
          <w:tcPr>
            <w:tcW w:w="200" w:type="dxa"/>
            <w:vAlign w:val="bottom"/>
          </w:tcPr>
          <w:p>
            <w:pPr>
              <w:spacing w:after="0"/>
              <w:rPr>
                <w:sz w:val="19"/>
                <w:szCs w:val="19"/>
                <w:color w:val="auto"/>
              </w:rPr>
            </w:pPr>
          </w:p>
        </w:tc>
        <w:tc>
          <w:tcPr>
            <w:tcW w:w="880" w:type="dxa"/>
            <w:vAlign w:val="bottom"/>
            <w:tcBorders>
              <w:top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4,648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 which non-current</w:t>
            </w:r>
          </w:p>
        </w:tc>
        <w:tc>
          <w:tcPr>
            <w:tcW w:w="23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7,480</w:t>
            </w: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4,944</w:t>
            </w:r>
          </w:p>
        </w:tc>
        <w:tc>
          <w:tcPr>
            <w:tcW w:w="1020" w:type="dxa"/>
            <w:vAlign w:val="bottom"/>
            <w:tcBorders>
              <w:right w:val="single" w:sz="8" w:color="auto"/>
            </w:tcBorders>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12,424</w:t>
            </w:r>
          </w:p>
        </w:tc>
        <w:tc>
          <w:tcPr>
            <w:tcW w:w="0" w:type="dxa"/>
            <w:vAlign w:val="bottom"/>
          </w:tcPr>
          <w:p>
            <w:pPr>
              <w:spacing w:after="0"/>
              <w:rPr>
                <w:sz w:val="1"/>
                <w:szCs w:val="1"/>
                <w:color w:val="auto"/>
              </w:rPr>
            </w:pPr>
          </w:p>
        </w:tc>
      </w:tr>
      <w:tr>
        <w:trPr>
          <w:trHeight w:val="223"/>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Provided for during the year</w:t>
            </w:r>
          </w:p>
        </w:tc>
        <w:tc>
          <w:tcPr>
            <w:tcW w:w="2320" w:type="dxa"/>
            <w:vAlign w:val="bottom"/>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65,862</w:t>
            </w:r>
          </w:p>
        </w:tc>
        <w:tc>
          <w:tcPr>
            <w:tcW w:w="34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20,612</w:t>
            </w:r>
          </w:p>
        </w:tc>
        <w:tc>
          <w:tcPr>
            <w:tcW w:w="320" w:type="dxa"/>
            <w:vAlign w:val="bottom"/>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14,472</w:t>
            </w:r>
          </w:p>
        </w:tc>
        <w:tc>
          <w:tcPr>
            <w:tcW w:w="200" w:type="dxa"/>
            <w:vAlign w:val="bottom"/>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25,869</w:t>
            </w:r>
          </w:p>
        </w:tc>
        <w:tc>
          <w:tcPr>
            <w:tcW w:w="140" w:type="dxa"/>
            <w:vAlign w:val="bottom"/>
            <w:tcBorders>
              <w:right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126,815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Utilised during the year</w:t>
            </w:r>
          </w:p>
        </w:tc>
        <w:tc>
          <w:tcPr>
            <w:tcW w:w="328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(43,469)</w:t>
            </w: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(3,673)</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(1,450)</w:t>
            </w:r>
          </w:p>
        </w:tc>
        <w:tc>
          <w:tcPr>
            <w:tcW w:w="1020" w:type="dxa"/>
            <w:vAlign w:val="bottom"/>
            <w:tcBorders>
              <w:right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(5,554)</w:t>
            </w:r>
          </w:p>
        </w:tc>
        <w:tc>
          <w:tcPr>
            <w:tcW w:w="3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(54,146)</w:t>
            </w:r>
          </w:p>
        </w:tc>
        <w:tc>
          <w:tcPr>
            <w:tcW w:w="0" w:type="dxa"/>
            <w:vAlign w:val="bottom"/>
          </w:tcPr>
          <w:p>
            <w:pPr>
              <w:spacing w:after="0"/>
              <w:rPr>
                <w:sz w:val="1"/>
                <w:szCs w:val="1"/>
                <w:color w:val="auto"/>
              </w:rPr>
            </w:pPr>
          </w:p>
        </w:tc>
      </w:tr>
      <w:tr>
        <w:trPr>
          <w:trHeight w:val="21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Translation differences and other</w:t>
            </w:r>
          </w:p>
        </w:tc>
        <w:tc>
          <w:tcPr>
            <w:tcW w:w="232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(127)</w:t>
            </w: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(2,226)</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(98)</w:t>
            </w:r>
          </w:p>
        </w:tc>
        <w:tc>
          <w:tcPr>
            <w:tcW w:w="1020" w:type="dxa"/>
            <w:vAlign w:val="bottom"/>
            <w:tcBorders>
              <w:right w:val="single" w:sz="8" w:color="auto"/>
            </w:tcBorders>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(2,451)</w:t>
            </w:r>
          </w:p>
        </w:tc>
        <w:tc>
          <w:tcPr>
            <w:tcW w:w="0" w:type="dxa"/>
            <w:vAlign w:val="bottom"/>
          </w:tcPr>
          <w:p>
            <w:pPr>
              <w:spacing w:after="0"/>
              <w:rPr>
                <w:sz w:val="1"/>
                <w:szCs w:val="1"/>
                <w:color w:val="auto"/>
              </w:rPr>
            </w:pPr>
          </w:p>
        </w:tc>
      </w:tr>
      <w:tr>
        <w:trPr>
          <w:trHeight w:val="27"/>
        </w:trPr>
        <w:tc>
          <w:tcPr>
            <w:tcW w:w="39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2021</w:t>
            </w:r>
          </w:p>
        </w:tc>
        <w:tc>
          <w:tcPr>
            <w:tcW w:w="23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24,702</w:t>
            </w: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23,680</w:t>
            </w: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18,593</w:t>
            </w:r>
          </w:p>
        </w:tc>
        <w:tc>
          <w:tcPr>
            <w:tcW w:w="1020" w:type="dxa"/>
            <w:vAlign w:val="bottom"/>
            <w:tcBorders>
              <w:right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20,315</w:t>
            </w:r>
          </w:p>
        </w:tc>
        <w:tc>
          <w:tcPr>
            <w:tcW w:w="3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87,290</w:t>
            </w:r>
          </w:p>
        </w:tc>
        <w:tc>
          <w:tcPr>
            <w:tcW w:w="0" w:type="dxa"/>
            <w:vAlign w:val="bottom"/>
          </w:tcPr>
          <w:p>
            <w:pPr>
              <w:spacing w:after="0"/>
              <w:rPr>
                <w:sz w:val="1"/>
                <w:szCs w:val="1"/>
                <w:color w:val="auto"/>
              </w:rPr>
            </w:pPr>
          </w:p>
        </w:tc>
      </w:tr>
      <w:tr>
        <w:trPr>
          <w:trHeight w:val="223"/>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of which current</w:t>
            </w:r>
          </w:p>
        </w:tc>
        <w:tc>
          <w:tcPr>
            <w:tcW w:w="2320" w:type="dxa"/>
            <w:vAlign w:val="bottom"/>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24,702</w:t>
            </w:r>
          </w:p>
        </w:tc>
        <w:tc>
          <w:tcPr>
            <w:tcW w:w="34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11,178</w:t>
            </w:r>
          </w:p>
        </w:tc>
        <w:tc>
          <w:tcPr>
            <w:tcW w:w="320" w:type="dxa"/>
            <w:vAlign w:val="bottom"/>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2,521</w:t>
            </w:r>
          </w:p>
        </w:tc>
        <w:tc>
          <w:tcPr>
            <w:tcW w:w="200" w:type="dxa"/>
            <w:vAlign w:val="bottom"/>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19,967</w:t>
            </w:r>
          </w:p>
        </w:tc>
        <w:tc>
          <w:tcPr>
            <w:tcW w:w="140" w:type="dxa"/>
            <w:vAlign w:val="bottom"/>
            <w:tcBorders>
              <w:right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58,368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 which non-current</w:t>
            </w:r>
          </w:p>
        </w:tc>
        <w:tc>
          <w:tcPr>
            <w:tcW w:w="23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12,502</w:t>
            </w: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16,072</w:t>
            </w:r>
          </w:p>
        </w:tc>
        <w:tc>
          <w:tcPr>
            <w:tcW w:w="1020" w:type="dxa"/>
            <w:vAlign w:val="bottom"/>
            <w:tcBorders>
              <w:right w:val="single" w:sz="8" w:color="auto"/>
            </w:tcBorders>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348</w:t>
            </w:r>
          </w:p>
        </w:tc>
        <w:tc>
          <w:tcPr>
            <w:tcW w:w="3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28,922</w:t>
            </w:r>
          </w:p>
        </w:tc>
        <w:tc>
          <w:tcPr>
            <w:tcW w:w="0" w:type="dxa"/>
            <w:vAlign w:val="bottom"/>
          </w:tcPr>
          <w:p>
            <w:pPr>
              <w:spacing w:after="0"/>
              <w:rPr>
                <w:sz w:val="1"/>
                <w:szCs w:val="1"/>
                <w:color w:val="auto"/>
              </w:rPr>
            </w:pPr>
          </w:p>
        </w:tc>
      </w:tr>
      <w:tr>
        <w:trPr>
          <w:trHeight w:val="365"/>
        </w:trPr>
        <w:tc>
          <w:tcPr>
            <w:tcW w:w="3920" w:type="dxa"/>
            <w:vAlign w:val="bottom"/>
          </w:tcPr>
          <w:p>
            <w:pPr>
              <w:spacing w:after="0"/>
              <w:rPr>
                <w:sz w:val="24"/>
                <w:szCs w:val="24"/>
                <w:color w:val="auto"/>
              </w:rPr>
            </w:pPr>
          </w:p>
        </w:tc>
        <w:tc>
          <w:tcPr>
            <w:tcW w:w="3280" w:type="dxa"/>
            <w:vAlign w:val="bottom"/>
            <w:gridSpan w:val="3"/>
          </w:tcPr>
          <w:p>
            <w:pPr>
              <w:jc w:val="right"/>
              <w:ind w:right="1520"/>
              <w:spacing w:after="0"/>
              <w:rPr>
                <w:sz w:val="20"/>
                <w:szCs w:val="20"/>
                <w:color w:val="auto"/>
              </w:rPr>
            </w:pPr>
            <w:r>
              <w:rPr>
                <w:rFonts w:ascii="Times New Roman" w:cs="Times New Roman" w:eastAsia="Times New Roman" w:hAnsi="Times New Roman"/>
                <w:sz w:val="18"/>
                <w:szCs w:val="18"/>
                <w:color w:val="auto"/>
              </w:rPr>
              <w:t>F-35</w:t>
            </w: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270" w:name="page271"/>
    <w:bookmarkEnd w:id="2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p>
      <w:pPr>
        <w:spacing w:after="0" w:line="27"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34" w:lineRule="exact"/>
        <w:rPr>
          <w:sz w:val="20"/>
          <w:szCs w:val="20"/>
          <w:color w:val="auto"/>
        </w:rPr>
      </w:pPr>
    </w:p>
    <w:p>
      <w:pPr>
        <w:jc w:val="both"/>
        <w:ind w:left="120"/>
        <w:spacing w:after="0" w:line="261" w:lineRule="auto"/>
        <w:rPr>
          <w:sz w:val="20"/>
          <w:szCs w:val="20"/>
          <w:color w:val="auto"/>
        </w:rPr>
      </w:pPr>
      <w:r>
        <w:rPr>
          <w:rFonts w:ascii="Times New Roman" w:cs="Times New Roman" w:eastAsia="Times New Roman" w:hAnsi="Times New Roman"/>
          <w:sz w:val="18"/>
          <w:szCs w:val="18"/>
          <w:color w:val="auto"/>
        </w:rPr>
        <w:t>As of December 31, 2021, the aggregate amount of the transaction price related to sales of vehicles allocated to the remaining performance obligations was $87,290. Polestar will recognise revenue related to the extended service on a straight-line basis over the 3-year period following initial recognition, consistent with the terms of the contractually offered services. Polestar will recognise revenue related to connected services on a straight-line basis over the 8-year period following initial recognition, consistent with the expected utilisation of the services.</w:t>
      </w:r>
    </w:p>
    <w:p>
      <w:pPr>
        <w:spacing w:after="0" w:line="180" w:lineRule="exact"/>
        <w:rPr>
          <w:sz w:val="20"/>
          <w:szCs w:val="20"/>
          <w:color w:val="auto"/>
        </w:rPr>
      </w:pPr>
    </w:p>
    <w:p>
      <w:pPr>
        <w:ind w:left="120" w:right="100"/>
        <w:spacing w:after="0" w:line="258" w:lineRule="auto"/>
        <w:rPr>
          <w:sz w:val="20"/>
          <w:szCs w:val="20"/>
          <w:color w:val="auto"/>
        </w:rPr>
      </w:pPr>
      <w:r>
        <w:rPr>
          <w:rFonts w:ascii="Times New Roman" w:cs="Times New Roman" w:eastAsia="Times New Roman" w:hAnsi="Times New Roman"/>
          <w:sz w:val="18"/>
          <w:szCs w:val="18"/>
          <w:color w:val="auto"/>
        </w:rPr>
        <w:t>Revenue recognised during the year ended December 31, 2021 related to contract liabilities outstanding as of January 1, 2021 was $4,648, and no revenue was recognised during the period related to performance obligations fully (or partially) satisfied in prior periods. Since Polestar Group did not enter the commercial space until the third quarter of 2020, there were no contract liabilities provided for, or utilised, during 2019. Accordingly, no revenue was recognised during the year ended December 31, 2020 related to contract liabilities outstanding as of December 31, 2019 or performance obligations fully (or partially) satisfied.</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5 – Depreciation and amortisation by function</w:t>
      </w:r>
    </w:p>
    <w:p>
      <w:pPr>
        <w:spacing w:after="0" w:line="121" w:lineRule="exact"/>
        <w:rPr>
          <w:sz w:val="20"/>
          <w:szCs w:val="20"/>
          <w:color w:val="auto"/>
        </w:rPr>
      </w:pPr>
    </w:p>
    <w:p>
      <w:pPr>
        <w:jc w:val="both"/>
        <w:ind w:left="120" w:right="680"/>
        <w:spacing w:after="0" w:line="266" w:lineRule="auto"/>
        <w:rPr>
          <w:sz w:val="20"/>
          <w:szCs w:val="20"/>
          <w:color w:val="auto"/>
        </w:rPr>
      </w:pPr>
      <w:r>
        <w:rPr>
          <w:rFonts w:ascii="Times New Roman" w:cs="Times New Roman" w:eastAsia="Times New Roman" w:hAnsi="Times New Roman"/>
          <w:sz w:val="18"/>
          <w:szCs w:val="18"/>
          <w:color w:val="auto"/>
        </w:rPr>
        <w:t>Polestar will use acquired research and development related to PS1 and PS2 to serve as the basis for the development of future car models and technology. As such, amortisation of these intangible assets is included in research and development expenses. The following table illustrates depreciation and amortisation by function:</w:t>
      </w:r>
    </w:p>
    <w:p>
      <w:pPr>
        <w:spacing w:after="0" w:line="184"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740" w:type="dxa"/>
            <w:vAlign w:val="bottom"/>
          </w:tcPr>
          <w:p>
            <w:pPr>
              <w:spacing w:after="0"/>
              <w:rPr>
                <w:sz w:val="13"/>
                <w:szCs w:val="13"/>
                <w:color w:val="auto"/>
              </w:rPr>
            </w:pPr>
          </w:p>
        </w:tc>
        <w:tc>
          <w:tcPr>
            <w:tcW w:w="1160" w:type="dxa"/>
            <w:vAlign w:val="bottom"/>
            <w:gridSpan w:val="3"/>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Property,</w:t>
            </w:r>
          </w:p>
        </w:tc>
        <w:tc>
          <w:tcPr>
            <w:tcW w:w="116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Right-of-use</w:t>
            </w:r>
          </w:p>
        </w:tc>
        <w:tc>
          <w:tcPr>
            <w:tcW w:w="1280" w:type="dxa"/>
            <w:vAlign w:val="bottom"/>
            <w:gridSpan w:val="3"/>
            <w:vMerge w:val="restart"/>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rPr>
              <w:t>Intangible</w:t>
            </w: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7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2021</w:t>
            </w:r>
          </w:p>
        </w:tc>
        <w:tc>
          <w:tcPr>
            <w:tcW w:w="1160" w:type="dxa"/>
            <w:vAlign w:val="bottom"/>
            <w:gridSpan w:val="3"/>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plant and</w:t>
            </w:r>
          </w:p>
        </w:tc>
        <w:tc>
          <w:tcPr>
            <w:tcW w:w="1160" w:type="dxa"/>
            <w:vAlign w:val="bottom"/>
            <w:gridSpan w:val="2"/>
            <w:vMerge w:val="continue"/>
          </w:tcPr>
          <w:p>
            <w:pPr>
              <w:spacing w:after="0"/>
              <w:rPr>
                <w:sz w:val="12"/>
                <w:szCs w:val="12"/>
                <w:color w:val="auto"/>
              </w:rPr>
            </w:pPr>
          </w:p>
        </w:tc>
        <w:tc>
          <w:tcPr>
            <w:tcW w:w="1280" w:type="dxa"/>
            <w:vAlign w:val="bottom"/>
            <w:gridSpan w:val="3"/>
            <w:vMerge w:val="continue"/>
          </w:tcPr>
          <w:p>
            <w:pPr>
              <w:spacing w:after="0"/>
              <w:rPr>
                <w:sz w:val="12"/>
                <w:szCs w:val="12"/>
                <w:color w:val="auto"/>
              </w:rPr>
            </w:pPr>
          </w:p>
        </w:tc>
        <w:tc>
          <w:tcPr>
            <w:tcW w:w="76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5760" w:type="dxa"/>
            <w:vAlign w:val="bottom"/>
            <w:gridSpan w:val="2"/>
            <w:vMerge w:val="continue"/>
          </w:tcPr>
          <w:p>
            <w:pPr>
              <w:spacing w:after="0"/>
              <w:rPr>
                <w:sz w:val="15"/>
                <w:szCs w:val="15"/>
                <w:color w:val="auto"/>
              </w:rPr>
            </w:pPr>
          </w:p>
        </w:tc>
        <w:tc>
          <w:tcPr>
            <w:tcW w:w="1160" w:type="dxa"/>
            <w:vAlign w:val="bottom"/>
            <w:gridSpan w:val="3"/>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equipment</w:t>
            </w:r>
          </w:p>
        </w:tc>
        <w:tc>
          <w:tcPr>
            <w:tcW w:w="116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280" w:type="dxa"/>
            <w:vAlign w:val="bottom"/>
            <w:gridSpan w:val="3"/>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7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30,557</w:t>
            </w:r>
          </w:p>
        </w:tc>
        <w:tc>
          <w:tcPr>
            <w:tcW w:w="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9,822</w:t>
            </w:r>
          </w:p>
        </w:tc>
        <w:tc>
          <w:tcPr>
            <w:tcW w:w="3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13,672</w:t>
            </w:r>
          </w:p>
        </w:tc>
        <w:tc>
          <w:tcPr>
            <w:tcW w:w="120" w:type="dxa"/>
            <w:vAlign w:val="bottom"/>
            <w:tcBorders>
              <w:top w:val="single" w:sz="8" w:color="CCEEFF"/>
              <w:right w:val="single" w:sz="8" w:color="auto"/>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54,051</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1,845</w:t>
            </w:r>
          </w:p>
        </w:tc>
        <w:tc>
          <w:tcPr>
            <w:tcW w:w="440" w:type="dxa"/>
            <w:vAlign w:val="bottom"/>
          </w:tcPr>
          <w:p>
            <w:pPr>
              <w:spacing w:after="0"/>
              <w:rPr>
                <w:sz w:val="18"/>
                <w:szCs w:val="18"/>
                <w:color w:val="auto"/>
              </w:rPr>
            </w:pPr>
          </w:p>
        </w:tc>
        <w:tc>
          <w:tcPr>
            <w:tcW w:w="11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385</w:t>
            </w:r>
          </w:p>
        </w:tc>
        <w:tc>
          <w:tcPr>
            <w:tcW w:w="800" w:type="dxa"/>
            <w:vAlign w:val="bottom"/>
            <w:tcBorders>
              <w:right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174,639</w:t>
            </w:r>
          </w:p>
        </w:tc>
        <w:tc>
          <w:tcPr>
            <w:tcW w:w="48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176,869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3,774</w:t>
            </w:r>
          </w:p>
        </w:tc>
        <w:tc>
          <w:tcPr>
            <w:tcW w:w="4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4,404</w:t>
            </w:r>
          </w:p>
        </w:tc>
        <w:tc>
          <w:tcPr>
            <w:tcW w:w="800" w:type="dxa"/>
            <w:vAlign w:val="bottom"/>
            <w:tcBorders>
              <w:right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65</w:t>
            </w:r>
          </w:p>
        </w:tc>
        <w:tc>
          <w:tcPr>
            <w:tcW w:w="4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8,243</w:t>
            </w:r>
          </w:p>
        </w:tc>
        <w:tc>
          <w:tcPr>
            <w:tcW w:w="0" w:type="dxa"/>
            <w:vAlign w:val="bottom"/>
          </w:tcPr>
          <w:p>
            <w:pPr>
              <w:spacing w:after="0"/>
              <w:rPr>
                <w:sz w:val="1"/>
                <w:szCs w:val="1"/>
                <w:color w:val="auto"/>
              </w:rPr>
            </w:pPr>
          </w:p>
        </w:tc>
      </w:tr>
      <w:tr>
        <w:trPr>
          <w:trHeight w:val="230"/>
        </w:trPr>
        <w:tc>
          <w:tcPr>
            <w:tcW w:w="57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36,176</w:t>
            </w: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14,611</w:t>
            </w:r>
          </w:p>
        </w:tc>
        <w:tc>
          <w:tcPr>
            <w:tcW w:w="36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188,376</w:t>
            </w:r>
          </w:p>
        </w:tc>
        <w:tc>
          <w:tcPr>
            <w:tcW w:w="120" w:type="dxa"/>
            <w:vAlign w:val="bottom"/>
            <w:tcBorders>
              <w:right w:val="single" w:sz="8" w:color="auto"/>
            </w:tcBorders>
          </w:tcPr>
          <w:p>
            <w:pPr>
              <w:spacing w:after="0"/>
              <w:rPr>
                <w:sz w:val="20"/>
                <w:szCs w:val="20"/>
                <w:color w:val="auto"/>
              </w:rPr>
            </w:pPr>
          </w:p>
        </w:tc>
        <w:tc>
          <w:tcPr>
            <w:tcW w:w="48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239,163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2020</w:t>
            </w: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38,671</w:t>
            </w:r>
          </w:p>
        </w:tc>
        <w:tc>
          <w:tcPr>
            <w:tcW w:w="440" w:type="dxa"/>
            <w:vAlign w:val="bottom"/>
          </w:tcPr>
          <w:p>
            <w:pPr>
              <w:spacing w:after="0"/>
              <w:rPr>
                <w:sz w:val="18"/>
                <w:szCs w:val="18"/>
                <w:color w:val="auto"/>
              </w:rPr>
            </w:pPr>
          </w:p>
        </w:tc>
        <w:tc>
          <w:tcPr>
            <w:tcW w:w="11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6,947</w:t>
            </w:r>
          </w:p>
        </w:tc>
        <w:tc>
          <w:tcPr>
            <w:tcW w:w="800" w:type="dxa"/>
            <w:vAlign w:val="bottom"/>
            <w:tcBorders>
              <w:right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14,447</w:t>
            </w:r>
          </w:p>
        </w:tc>
        <w:tc>
          <w:tcPr>
            <w:tcW w:w="48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60,065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160" w:type="dxa"/>
            <w:vAlign w:val="bottom"/>
            <w:gridSpan w:val="3"/>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right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152,395</w:t>
            </w:r>
          </w:p>
        </w:tc>
        <w:tc>
          <w:tcPr>
            <w:tcW w:w="4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152,395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1,402</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2,170</w:t>
            </w:r>
          </w:p>
        </w:tc>
        <w:tc>
          <w:tcPr>
            <w:tcW w:w="800" w:type="dxa"/>
            <w:vAlign w:val="bottom"/>
            <w:tcBorders>
              <w:right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44</w:t>
            </w:r>
          </w:p>
        </w:tc>
        <w:tc>
          <w:tcPr>
            <w:tcW w:w="48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3,616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7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4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40,073</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9,117</w:t>
            </w:r>
          </w:p>
        </w:tc>
        <w:tc>
          <w:tcPr>
            <w:tcW w:w="800" w:type="dxa"/>
            <w:vAlign w:val="bottom"/>
            <w:tcBorders>
              <w:right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166,886</w:t>
            </w:r>
          </w:p>
        </w:tc>
        <w:tc>
          <w:tcPr>
            <w:tcW w:w="4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216,076</w:t>
            </w:r>
          </w:p>
        </w:tc>
        <w:tc>
          <w:tcPr>
            <w:tcW w:w="0" w:type="dxa"/>
            <w:vAlign w:val="bottom"/>
          </w:tcPr>
          <w:p>
            <w:pPr>
              <w:spacing w:after="0"/>
              <w:rPr>
                <w:sz w:val="1"/>
                <w:szCs w:val="1"/>
                <w:color w:val="auto"/>
              </w:rPr>
            </w:pPr>
          </w:p>
        </w:tc>
      </w:tr>
      <w:tr>
        <w:trPr>
          <w:trHeight w:val="223"/>
        </w:trPr>
        <w:tc>
          <w:tcPr>
            <w:tcW w:w="57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2019</w:t>
            </w:r>
          </w:p>
        </w:tc>
        <w:tc>
          <w:tcPr>
            <w:tcW w:w="70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6,639</w:t>
            </w:r>
          </w:p>
        </w:tc>
        <w:tc>
          <w:tcPr>
            <w:tcW w:w="4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405</w:t>
            </w:r>
          </w:p>
        </w:tc>
        <w:tc>
          <w:tcPr>
            <w:tcW w:w="800" w:type="dxa"/>
            <w:vAlign w:val="bottom"/>
            <w:tcBorders>
              <w:right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1,788</w:t>
            </w:r>
          </w:p>
        </w:tc>
        <w:tc>
          <w:tcPr>
            <w:tcW w:w="4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8,832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16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right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22,095</w:t>
            </w:r>
          </w:p>
        </w:tc>
        <w:tc>
          <w:tcPr>
            <w:tcW w:w="48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22,095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527</w:t>
            </w:r>
          </w:p>
        </w:tc>
        <w:tc>
          <w:tcPr>
            <w:tcW w:w="4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1,096</w:t>
            </w:r>
          </w:p>
        </w:tc>
        <w:tc>
          <w:tcPr>
            <w:tcW w:w="800" w:type="dxa"/>
            <w:vAlign w:val="bottom"/>
            <w:tcBorders>
              <w:right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1,623</w:t>
            </w:r>
          </w:p>
        </w:tc>
        <w:tc>
          <w:tcPr>
            <w:tcW w:w="0" w:type="dxa"/>
            <w:vAlign w:val="bottom"/>
          </w:tcPr>
          <w:p>
            <w:pPr>
              <w:spacing w:after="0"/>
              <w:rPr>
                <w:sz w:val="1"/>
                <w:szCs w:val="1"/>
                <w:color w:val="auto"/>
              </w:rPr>
            </w:pPr>
          </w:p>
        </w:tc>
      </w:tr>
      <w:tr>
        <w:trPr>
          <w:trHeight w:val="230"/>
        </w:trPr>
        <w:tc>
          <w:tcPr>
            <w:tcW w:w="57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7,166</w:t>
            </w:r>
          </w:p>
        </w:tc>
        <w:tc>
          <w:tcPr>
            <w:tcW w:w="20" w:type="dxa"/>
            <w:vAlign w:val="bottom"/>
            <w:tcBorders>
              <w:bottom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1,501</w:t>
            </w:r>
          </w:p>
        </w:tc>
        <w:tc>
          <w:tcPr>
            <w:tcW w:w="36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23,883</w:t>
            </w:r>
          </w:p>
        </w:tc>
        <w:tc>
          <w:tcPr>
            <w:tcW w:w="120" w:type="dxa"/>
            <w:vAlign w:val="bottom"/>
            <w:tcBorders>
              <w:right w:val="single" w:sz="8" w:color="auto"/>
            </w:tcBorders>
          </w:tcPr>
          <w:p>
            <w:pPr>
              <w:spacing w:after="0"/>
              <w:rPr>
                <w:sz w:val="20"/>
                <w:szCs w:val="20"/>
                <w:color w:val="auto"/>
              </w:rPr>
            </w:pPr>
          </w:p>
        </w:tc>
        <w:tc>
          <w:tcPr>
            <w:tcW w:w="48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32,550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0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6 – Employee benefits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table discloses total expenses related to employee benefits:</w:t>
      </w:r>
    </w:p>
    <w:p>
      <w:pPr>
        <w:spacing w:after="0" w:line="246"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540" w:type="dxa"/>
            <w:vAlign w:val="bottom"/>
          </w:tcPr>
          <w:p>
            <w:pPr>
              <w:spacing w:after="0"/>
              <w:rPr>
                <w:sz w:val="15"/>
                <w:szCs w:val="15"/>
                <w:color w:val="auto"/>
              </w:rPr>
            </w:pPr>
          </w:p>
        </w:tc>
        <w:tc>
          <w:tcPr>
            <w:tcW w:w="700" w:type="dxa"/>
            <w:vAlign w:val="bottom"/>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2021</w:t>
            </w:r>
          </w:p>
        </w:tc>
        <w:tc>
          <w:tcPr>
            <w:tcW w:w="960" w:type="dxa"/>
            <w:vAlign w:val="bottom"/>
            <w:gridSpan w:val="2"/>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2020</w:t>
            </w:r>
          </w:p>
        </w:tc>
        <w:tc>
          <w:tcPr>
            <w:tcW w:w="960" w:type="dxa"/>
            <w:vAlign w:val="bottom"/>
            <w:gridSpan w:val="2"/>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2019</w:t>
            </w:r>
          </w:p>
        </w:tc>
        <w:tc>
          <w:tcPr>
            <w:tcW w:w="80" w:type="dxa"/>
            <w:vAlign w:val="bottom"/>
          </w:tcPr>
          <w:p>
            <w:pPr>
              <w:spacing w:after="0"/>
              <w:rPr>
                <w:sz w:val="15"/>
                <w:szCs w:val="15"/>
                <w:color w:val="auto"/>
              </w:rPr>
            </w:pPr>
          </w:p>
        </w:tc>
      </w:tr>
      <w:tr>
        <w:trPr>
          <w:trHeight w:val="210"/>
        </w:trPr>
        <w:tc>
          <w:tcPr>
            <w:tcW w:w="20" w:type="dxa"/>
            <w:vAlign w:val="bottom"/>
          </w:tcPr>
          <w:p>
            <w:pPr>
              <w:spacing w:after="0"/>
              <w:rPr>
                <w:sz w:val="18"/>
                <w:szCs w:val="18"/>
                <w:color w:val="auto"/>
              </w:rPr>
            </w:pPr>
          </w:p>
        </w:tc>
        <w:tc>
          <w:tcPr>
            <w:tcW w:w="65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employee benefits</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100,461</w:t>
            </w:r>
          </w:p>
        </w:tc>
        <w:tc>
          <w:tcPr>
            <w:tcW w:w="3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70,555</w:t>
            </w:r>
          </w:p>
        </w:tc>
        <w:tc>
          <w:tcPr>
            <w:tcW w:w="3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43,046</w:t>
            </w:r>
          </w:p>
        </w:tc>
        <w:tc>
          <w:tcPr>
            <w:tcW w:w="80" w:type="dxa"/>
            <w:vAlign w:val="bottom"/>
            <w:tcBorders>
              <w:top w:val="single" w:sz="8" w:color="CCEEFF"/>
            </w:tcBorders>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Post-employment benefits</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18,600</w:t>
            </w:r>
          </w:p>
        </w:tc>
        <w:tc>
          <w:tcPr>
            <w:tcW w:w="340" w:type="dxa"/>
            <w:vAlign w:val="bottom"/>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10,590</w:t>
            </w:r>
          </w:p>
        </w:tc>
        <w:tc>
          <w:tcPr>
            <w:tcW w:w="32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6,283</w:t>
            </w:r>
          </w:p>
        </w:tc>
        <w:tc>
          <w:tcPr>
            <w:tcW w:w="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119,061</w:t>
            </w:r>
          </w:p>
        </w:tc>
        <w:tc>
          <w:tcPr>
            <w:tcW w:w="34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81,145</w:t>
            </w:r>
          </w:p>
        </w:tc>
        <w:tc>
          <w:tcPr>
            <w:tcW w:w="32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49,329</w:t>
            </w:r>
          </w:p>
        </w:tc>
        <w:tc>
          <w:tcPr>
            <w:tcW w:w="80" w:type="dxa"/>
            <w:vAlign w:val="bottom"/>
            <w:shd w:val="clear" w:color="auto" w:fill="CCEEFF"/>
          </w:tcPr>
          <w:p>
            <w:pPr>
              <w:spacing w:after="0"/>
              <w:rPr>
                <w:sz w:val="18"/>
                <w:szCs w:val="18"/>
                <w:color w:val="auto"/>
              </w:rPr>
            </w:pPr>
          </w:p>
        </w:tc>
      </w:tr>
    </w:tbl>
    <w:p>
      <w:pPr>
        <w:spacing w:after="0" w:line="211" w:lineRule="exact"/>
        <w:rPr>
          <w:sz w:val="20"/>
          <w:szCs w:val="20"/>
          <w:color w:val="auto"/>
        </w:rPr>
      </w:pPr>
    </w:p>
    <w:p>
      <w:pPr>
        <w:jc w:val="both"/>
        <w:ind w:left="120" w:right="20"/>
        <w:spacing w:after="0" w:line="266" w:lineRule="auto"/>
        <w:rPr>
          <w:sz w:val="20"/>
          <w:szCs w:val="20"/>
          <w:color w:val="auto"/>
        </w:rPr>
      </w:pPr>
      <w:r>
        <w:rPr>
          <w:rFonts w:ascii="Times New Roman" w:cs="Times New Roman" w:eastAsia="Times New Roman" w:hAnsi="Times New Roman"/>
          <w:sz w:val="18"/>
          <w:szCs w:val="18"/>
          <w:color w:val="auto"/>
        </w:rPr>
        <w:t>Post-employment benefits expense reflects expenses related to defined contribution plans and defined benefit plans, inclusive of expenses related to the ITP 2. Expenses related to defined contribution plans amounted to $13,916, $7,975 and $4,616 for the years ended December 31, 2021, 2020 and 2019, respectively.</w:t>
      </w:r>
    </w:p>
    <w:p>
      <w:pPr>
        <w:spacing w:after="0" w:line="10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F-36</w:t>
      </w:r>
    </w:p>
    <w:p>
      <w:pPr>
        <w:sectPr>
          <w:pgSz w:w="11900" w:h="16838" w:orient="portrait"/>
          <w:cols w:equalWidth="0" w:num="1">
            <w:col w:w="11040"/>
          </w:cols>
          <w:pgMar w:left="320" w:top="455" w:right="539" w:bottom="1440" w:gutter="0" w:footer="0" w:header="0"/>
        </w:sectPr>
      </w:pPr>
    </w:p>
    <w:bookmarkStart w:id="271" w:name="page272"/>
    <w:bookmarkEnd w:id="2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p>
      <w:pPr>
        <w:spacing w:after="0" w:line="27"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34" w:lineRule="exact"/>
        <w:rPr>
          <w:sz w:val="20"/>
          <w:szCs w:val="20"/>
          <w:color w:val="auto"/>
        </w:rPr>
      </w:pPr>
    </w:p>
    <w:p>
      <w:pPr>
        <w:ind w:left="120" w:right="580"/>
        <w:spacing w:after="0" w:line="282" w:lineRule="auto"/>
        <w:rPr>
          <w:sz w:val="20"/>
          <w:szCs w:val="20"/>
          <w:color w:val="auto"/>
        </w:rPr>
      </w:pPr>
      <w:r>
        <w:rPr>
          <w:rFonts w:ascii="Times New Roman" w:cs="Times New Roman" w:eastAsia="Times New Roman" w:hAnsi="Times New Roman"/>
          <w:sz w:val="18"/>
          <w:szCs w:val="18"/>
          <w:color w:val="auto"/>
        </w:rPr>
        <w:t>The following table discloses total expenses related to employee benefits for the Group’s Executive Management Team (“EMT”) and managing directors at the Group’s sales units:</w:t>
      </w:r>
    </w:p>
    <w:p>
      <w:pPr>
        <w:spacing w:after="0" w:line="182"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7020" w:type="dxa"/>
            <w:vAlign w:val="bottom"/>
          </w:tcPr>
          <w:p>
            <w:pPr>
              <w:spacing w:after="0"/>
              <w:rPr>
                <w:sz w:val="15"/>
                <w:szCs w:val="15"/>
                <w:color w:val="auto"/>
              </w:rPr>
            </w:pPr>
          </w:p>
        </w:tc>
        <w:tc>
          <w:tcPr>
            <w:tcW w:w="500" w:type="dxa"/>
            <w:vAlign w:val="bottom"/>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2021</w:t>
            </w:r>
          </w:p>
        </w:tc>
        <w:tc>
          <w:tcPr>
            <w:tcW w:w="82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2020</w:t>
            </w:r>
          </w:p>
        </w:tc>
        <w:tc>
          <w:tcPr>
            <w:tcW w:w="840" w:type="dxa"/>
            <w:vAlign w:val="bottom"/>
            <w:gridSpan w:val="2"/>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2019</w:t>
            </w:r>
          </w:p>
        </w:tc>
        <w:tc>
          <w:tcPr>
            <w:tcW w:w="80" w:type="dxa"/>
            <w:vAlign w:val="bottom"/>
          </w:tcPr>
          <w:p>
            <w:pPr>
              <w:spacing w:after="0"/>
              <w:rPr>
                <w:sz w:val="15"/>
                <w:szCs w:val="15"/>
                <w:color w:val="auto"/>
              </w:rPr>
            </w:pPr>
          </w:p>
        </w:tc>
      </w:tr>
      <w:tr>
        <w:trPr>
          <w:trHeight w:val="209"/>
        </w:trPr>
        <w:tc>
          <w:tcPr>
            <w:tcW w:w="7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employee benefits</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5,094</w:t>
            </w:r>
          </w:p>
        </w:tc>
        <w:tc>
          <w:tcPr>
            <w:tcW w:w="34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5,788</w:t>
            </w:r>
          </w:p>
        </w:tc>
        <w:tc>
          <w:tcPr>
            <w:tcW w:w="3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4,333</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Post-employment benefits</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605</w:t>
            </w:r>
          </w:p>
        </w:tc>
        <w:tc>
          <w:tcPr>
            <w:tcW w:w="80" w:type="dxa"/>
            <w:vAlign w:val="bottom"/>
          </w:tcPr>
          <w:p>
            <w:pPr>
              <w:spacing w:after="0"/>
              <w:rPr>
                <w:sz w:val="18"/>
                <w:szCs w:val="18"/>
                <w:color w:val="auto"/>
              </w:rPr>
            </w:pPr>
          </w:p>
        </w:tc>
      </w:tr>
      <w:tr>
        <w:trPr>
          <w:trHeight w:val="216"/>
        </w:trPr>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long-term benefits</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80" w:type="dxa"/>
            <w:vAlign w:val="bottom"/>
            <w:shd w:val="clear" w:color="auto" w:fill="CCEEFF"/>
          </w:tcPr>
          <w:p>
            <w:pPr>
              <w:spacing w:after="0"/>
              <w:rPr>
                <w:sz w:val="18"/>
                <w:szCs w:val="18"/>
                <w:color w:val="auto"/>
              </w:rPr>
            </w:pPr>
          </w:p>
        </w:tc>
      </w:tr>
      <w:tr>
        <w:trPr>
          <w:trHeight w:val="223"/>
        </w:trPr>
        <w:tc>
          <w:tcPr>
            <w:tcW w:w="7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benefits to key management personnel only</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6,036</w:t>
            </w:r>
          </w:p>
        </w:tc>
        <w:tc>
          <w:tcPr>
            <w:tcW w:w="34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6,739</w:t>
            </w:r>
          </w:p>
        </w:tc>
        <w:tc>
          <w:tcPr>
            <w:tcW w:w="34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5,407</w:t>
            </w:r>
          </w:p>
        </w:tc>
        <w:tc>
          <w:tcPr>
            <w:tcW w:w="80" w:type="dxa"/>
            <w:vAlign w:val="bottom"/>
          </w:tcPr>
          <w:p>
            <w:pPr>
              <w:spacing w:after="0"/>
              <w:rPr>
                <w:sz w:val="19"/>
                <w:szCs w:val="19"/>
                <w:color w:val="auto"/>
              </w:rPr>
            </w:pPr>
          </w:p>
        </w:tc>
      </w:tr>
    </w:tbl>
    <w:p>
      <w:pPr>
        <w:spacing w:after="0" w:line="211"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The Group’s EMT has the authority and responsibility for planning, directing, and controlling the Polestar Group’s activities. In September 2021, Johan Malmqvist succeeded Ian Zhang as Chief Financial Officer of Polestar. As of December 31, 2021 the EMT consists of the following individuals:</w:t>
      </w:r>
    </w:p>
    <w:p>
      <w:pPr>
        <w:spacing w:after="0" w:line="162" w:lineRule="exact"/>
        <w:rPr>
          <w:sz w:val="20"/>
          <w:szCs w:val="20"/>
          <w:color w:val="auto"/>
        </w:rPr>
      </w:pPr>
    </w:p>
    <w:p>
      <w:pPr>
        <w:ind w:left="300" w:hanging="184"/>
        <w:spacing w:after="0"/>
        <w:tabs>
          <w:tab w:leader="none" w:pos="30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Thomas Ingenlath (Chief Executive Officer, “CEO”);</w:t>
      </w:r>
    </w:p>
    <w:p>
      <w:pPr>
        <w:spacing w:after="0" w:line="225" w:lineRule="exact"/>
        <w:rPr>
          <w:rFonts w:ascii="Times New Roman" w:cs="Times New Roman" w:eastAsia="Times New Roman" w:hAnsi="Times New Roman"/>
          <w:sz w:val="18"/>
          <w:szCs w:val="18"/>
          <w:color w:val="auto"/>
        </w:rPr>
      </w:pPr>
    </w:p>
    <w:p>
      <w:pPr>
        <w:ind w:left="320" w:hanging="204"/>
        <w:spacing w:after="0"/>
        <w:tabs>
          <w:tab w:leader="none" w:pos="32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Johan Malmqvist (Chief Financial Officer, “CFO”); and</w:t>
      </w:r>
    </w:p>
    <w:p>
      <w:pPr>
        <w:spacing w:after="0" w:line="225" w:lineRule="exact"/>
        <w:rPr>
          <w:rFonts w:ascii="Times New Roman" w:cs="Times New Roman" w:eastAsia="Times New Roman" w:hAnsi="Times New Roman"/>
          <w:sz w:val="18"/>
          <w:szCs w:val="18"/>
          <w:color w:val="auto"/>
        </w:rPr>
      </w:pPr>
    </w:p>
    <w:p>
      <w:pPr>
        <w:ind w:left="300" w:hanging="184"/>
        <w:spacing w:after="0"/>
        <w:tabs>
          <w:tab w:leader="none" w:pos="30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Dennis Nobelius (Chief Operating Officer, “COO”).</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As of December 31, 2020, the EMT (“Prior EMT”) consisted of:</w:t>
      </w:r>
    </w:p>
    <w:p>
      <w:pPr>
        <w:spacing w:after="0" w:line="225" w:lineRule="exact"/>
        <w:rPr>
          <w:sz w:val="20"/>
          <w:szCs w:val="20"/>
          <w:color w:val="auto"/>
        </w:rPr>
      </w:pPr>
    </w:p>
    <w:p>
      <w:pPr>
        <w:ind w:left="300" w:hanging="184"/>
        <w:spacing w:after="0"/>
        <w:tabs>
          <w:tab w:leader="none" w:pos="30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Thomas Ingenlath (Chief Executive Officer, “CEO”);</w:t>
      </w:r>
    </w:p>
    <w:p>
      <w:pPr>
        <w:spacing w:after="0" w:line="225" w:lineRule="exact"/>
        <w:rPr>
          <w:rFonts w:ascii="Times New Roman" w:cs="Times New Roman" w:eastAsia="Times New Roman" w:hAnsi="Times New Roman"/>
          <w:sz w:val="18"/>
          <w:szCs w:val="18"/>
          <w:color w:val="auto"/>
        </w:rPr>
      </w:pPr>
    </w:p>
    <w:p>
      <w:pPr>
        <w:ind w:left="320" w:hanging="204"/>
        <w:spacing w:after="0"/>
        <w:tabs>
          <w:tab w:leader="none" w:pos="32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Ian Zhang (Chief Financial Officer, “CFO”); and</w:t>
      </w:r>
    </w:p>
    <w:p>
      <w:pPr>
        <w:spacing w:after="0" w:line="225" w:lineRule="exact"/>
        <w:rPr>
          <w:rFonts w:ascii="Times New Roman" w:cs="Times New Roman" w:eastAsia="Times New Roman" w:hAnsi="Times New Roman"/>
          <w:sz w:val="18"/>
          <w:szCs w:val="18"/>
          <w:color w:val="auto"/>
        </w:rPr>
      </w:pPr>
    </w:p>
    <w:p>
      <w:pPr>
        <w:jc w:val="both"/>
        <w:ind w:left="120" w:right="6980" w:hanging="4"/>
        <w:spacing w:after="0" w:line="530" w:lineRule="auto"/>
        <w:tabs>
          <w:tab w:leader="none" w:pos="305" w:val="left"/>
        </w:tabs>
        <w:numPr>
          <w:ilvl w:val="0"/>
          <w:numId w:val="1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Dennis Nobelius (Chief Operating Officer, “COO”). As of December 31, 2019. the 2019 EMT consisted of:</w:t>
      </w:r>
    </w:p>
    <w:p>
      <w:pPr>
        <w:ind w:left="300" w:hanging="184"/>
        <w:spacing w:after="0"/>
        <w:tabs>
          <w:tab w:leader="none" w:pos="30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Thomas Ingenlath (Chief Executive Officer, “CEO”); and</w:t>
      </w:r>
    </w:p>
    <w:p>
      <w:pPr>
        <w:spacing w:after="0" w:line="225" w:lineRule="exact"/>
        <w:rPr>
          <w:rFonts w:ascii="Times New Roman" w:cs="Times New Roman" w:eastAsia="Times New Roman" w:hAnsi="Times New Roman"/>
          <w:sz w:val="18"/>
          <w:szCs w:val="18"/>
          <w:color w:val="auto"/>
        </w:rPr>
      </w:pPr>
    </w:p>
    <w:p>
      <w:pPr>
        <w:ind w:left="320" w:hanging="204"/>
        <w:spacing w:after="0"/>
        <w:tabs>
          <w:tab w:leader="none" w:pos="32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Ian Zhang (Chief Financial Officer, “CFO”).</w:t>
      </w:r>
    </w:p>
    <w:p>
      <w:pPr>
        <w:spacing w:after="0" w:line="225" w:lineRule="exact"/>
        <w:rPr>
          <w:rFonts w:ascii="Times New Roman" w:cs="Times New Roman" w:eastAsia="Times New Roman" w:hAnsi="Times New Roman"/>
          <w:sz w:val="18"/>
          <w:szCs w:val="18"/>
          <w:color w:val="auto"/>
        </w:rPr>
      </w:pPr>
    </w:p>
    <w:p>
      <w:pPr>
        <w:ind w:left="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CEO has the ultimate authority for approval of actions proposed by each member of the EMT.</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7 – Other operating income and expense</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Other operating income and expenses consisted of:</w:t>
      </w:r>
    </w:p>
    <w:p>
      <w:pPr>
        <w:spacing w:after="0" w:line="246"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3940" w:type="dxa"/>
            <w:vAlign w:val="bottom"/>
            <w:gridSpan w:val="2"/>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2021</w:t>
            </w:r>
          </w:p>
        </w:tc>
        <w:tc>
          <w:tcPr>
            <w:tcW w:w="82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2020</w:t>
            </w:r>
          </w:p>
        </w:tc>
        <w:tc>
          <w:tcPr>
            <w:tcW w:w="840" w:type="dxa"/>
            <w:vAlign w:val="bottom"/>
            <w:gridSpan w:val="2"/>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2019</w:t>
            </w:r>
          </w:p>
        </w:tc>
        <w:tc>
          <w:tcPr>
            <w:tcW w:w="80" w:type="dxa"/>
            <w:vAlign w:val="bottom"/>
          </w:tcPr>
          <w:p>
            <w:pPr>
              <w:spacing w:after="0"/>
              <w:rPr>
                <w:sz w:val="15"/>
                <w:szCs w:val="15"/>
                <w:color w:val="auto"/>
              </w:rPr>
            </w:pPr>
          </w:p>
        </w:tc>
      </w:tr>
      <w:tr>
        <w:trPr>
          <w:trHeight w:val="196"/>
        </w:trPr>
        <w:tc>
          <w:tcPr>
            <w:tcW w:w="20" w:type="dxa"/>
            <w:vAlign w:val="bottom"/>
          </w:tcPr>
          <w:p>
            <w:pPr>
              <w:spacing w:after="0"/>
              <w:rPr>
                <w:sz w:val="17"/>
                <w:szCs w:val="17"/>
                <w:color w:val="auto"/>
              </w:rPr>
            </w:pPr>
          </w:p>
        </w:tc>
        <w:tc>
          <w:tcPr>
            <w:tcW w:w="356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Other operating income</w:t>
            </w:r>
          </w:p>
        </w:tc>
        <w:tc>
          <w:tcPr>
            <w:tcW w:w="336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Net foreign exchange rate differences</w:t>
            </w:r>
          </w:p>
        </w:tc>
        <w:tc>
          <w:tcPr>
            <w:tcW w:w="33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2,478</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914</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Sold services</w:t>
            </w:r>
          </w:p>
        </w:tc>
        <w:tc>
          <w:tcPr>
            <w:tcW w:w="3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w:t>
            </w:r>
          </w:p>
        </w:tc>
        <w:tc>
          <w:tcPr>
            <w:tcW w:w="3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1,153</w:t>
            </w:r>
          </w:p>
        </w:tc>
        <w:tc>
          <w:tcPr>
            <w:tcW w:w="8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Other operating income</w:t>
            </w:r>
          </w:p>
        </w:tc>
        <w:tc>
          <w:tcPr>
            <w:tcW w:w="336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1,776</w:t>
            </w:r>
          </w:p>
        </w:tc>
        <w:tc>
          <w:tcPr>
            <w:tcW w:w="340" w:type="dxa"/>
            <w:vAlign w:val="bottom"/>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1,598</w:t>
            </w:r>
          </w:p>
        </w:tc>
        <w:tc>
          <w:tcPr>
            <w:tcW w:w="34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36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2,623</w:t>
            </w:r>
          </w:p>
        </w:tc>
        <w:tc>
          <w:tcPr>
            <w:tcW w:w="34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4,076</w:t>
            </w:r>
          </w:p>
        </w:tc>
        <w:tc>
          <w:tcPr>
            <w:tcW w:w="34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2,513</w:t>
            </w:r>
          </w:p>
        </w:tc>
        <w:tc>
          <w:tcPr>
            <w:tcW w:w="80" w:type="dxa"/>
            <w:vAlign w:val="bottom"/>
            <w:shd w:val="clear" w:color="auto" w:fill="CCEEFF"/>
          </w:tcPr>
          <w:p>
            <w:pPr>
              <w:spacing w:after="0"/>
              <w:rPr>
                <w:sz w:val="18"/>
                <w:szCs w:val="18"/>
                <w:color w:val="auto"/>
              </w:rPr>
            </w:pPr>
          </w:p>
        </w:tc>
      </w:tr>
      <w:tr>
        <w:trPr>
          <w:trHeight w:val="372"/>
        </w:trPr>
        <w:tc>
          <w:tcPr>
            <w:tcW w:w="35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Other operating expenses</w:t>
            </w:r>
          </w:p>
        </w:tc>
        <w:tc>
          <w:tcPr>
            <w:tcW w:w="3940" w:type="dxa"/>
            <w:vAlign w:val="bottom"/>
            <w:gridSpan w:val="2"/>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2021</w:t>
            </w:r>
          </w:p>
        </w:tc>
        <w:tc>
          <w:tcPr>
            <w:tcW w:w="82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2020</w:t>
            </w:r>
          </w:p>
        </w:tc>
        <w:tc>
          <w:tcPr>
            <w:tcW w:w="840" w:type="dxa"/>
            <w:vAlign w:val="bottom"/>
            <w:gridSpan w:val="2"/>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2019</w:t>
            </w:r>
          </w:p>
        </w:tc>
        <w:tc>
          <w:tcPr>
            <w:tcW w:w="80" w:type="dxa"/>
            <w:vAlign w:val="bottom"/>
          </w:tcPr>
          <w:p>
            <w:pPr>
              <w:spacing w:after="0"/>
              <w:rPr>
                <w:sz w:val="24"/>
                <w:szCs w:val="24"/>
                <w:color w:val="auto"/>
              </w:rPr>
            </w:pPr>
          </w:p>
        </w:tc>
      </w:tr>
      <w:tr>
        <w:trPr>
          <w:trHeight w:val="209"/>
        </w:trPr>
        <w:tc>
          <w:tcPr>
            <w:tcW w:w="20" w:type="dxa"/>
            <w:vAlign w:val="bottom"/>
          </w:tcPr>
          <w:p>
            <w:pPr>
              <w:spacing w:after="0"/>
              <w:rPr>
                <w:sz w:val="18"/>
                <w:szCs w:val="18"/>
                <w:color w:val="auto"/>
              </w:rPr>
            </w:pPr>
          </w:p>
        </w:tc>
        <w:tc>
          <w:tcPr>
            <w:tcW w:w="35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foreign exchange rate differences</w:t>
            </w:r>
          </w:p>
        </w:tc>
        <w:tc>
          <w:tcPr>
            <w:tcW w:w="33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49,298</w:t>
            </w:r>
          </w:p>
        </w:tc>
        <w:tc>
          <w:tcPr>
            <w:tcW w:w="34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Non-income tax</w:t>
            </w:r>
          </w:p>
        </w:tc>
        <w:tc>
          <w:tcPr>
            <w:tcW w:w="3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1,064</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1,347</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operating expenses</w:t>
            </w:r>
          </w:p>
        </w:tc>
        <w:tc>
          <w:tcPr>
            <w:tcW w:w="3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963</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w:t>
            </w:r>
          </w:p>
        </w:tc>
        <w:tc>
          <w:tcPr>
            <w:tcW w:w="80" w:type="dxa"/>
            <w:vAlign w:val="bottom"/>
            <w:shd w:val="clear" w:color="auto" w:fill="CCEEFF"/>
          </w:tcPr>
          <w:p>
            <w:pPr>
              <w:spacing w:after="0"/>
              <w:rPr>
                <w:sz w:val="18"/>
                <w:szCs w:val="18"/>
                <w:color w:val="auto"/>
              </w:rPr>
            </w:pPr>
          </w:p>
        </w:tc>
      </w:tr>
      <w:tr>
        <w:trPr>
          <w:trHeight w:val="223"/>
        </w:trPr>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36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50,676</w:t>
            </w:r>
          </w:p>
        </w:tc>
        <w:tc>
          <w:tcPr>
            <w:tcW w:w="34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2,310</w:t>
            </w:r>
          </w:p>
        </w:tc>
        <w:tc>
          <w:tcPr>
            <w:tcW w:w="34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1,174</w:t>
            </w:r>
          </w:p>
        </w:tc>
        <w:tc>
          <w:tcPr>
            <w:tcW w:w="80" w:type="dxa"/>
            <w:vAlign w:val="bottom"/>
          </w:tcPr>
          <w:p>
            <w:pPr>
              <w:spacing w:after="0"/>
              <w:rPr>
                <w:sz w:val="19"/>
                <w:szCs w:val="19"/>
                <w:color w:val="auto"/>
              </w:rPr>
            </w:pPr>
          </w:p>
        </w:tc>
      </w:tr>
      <w:tr>
        <w:trPr>
          <w:trHeight w:val="371"/>
        </w:trPr>
        <w:tc>
          <w:tcPr>
            <w:tcW w:w="2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3940" w:type="dxa"/>
            <w:vAlign w:val="bottom"/>
            <w:gridSpan w:val="2"/>
          </w:tcPr>
          <w:p>
            <w:pPr>
              <w:jc w:val="right"/>
              <w:ind w:right="2630"/>
              <w:spacing w:after="0"/>
              <w:rPr>
                <w:sz w:val="20"/>
                <w:szCs w:val="20"/>
                <w:color w:val="auto"/>
              </w:rPr>
            </w:pPr>
            <w:r>
              <w:rPr>
                <w:rFonts w:ascii="Times New Roman" w:cs="Times New Roman" w:eastAsia="Times New Roman" w:hAnsi="Times New Roman"/>
                <w:sz w:val="18"/>
                <w:szCs w:val="18"/>
                <w:color w:val="auto"/>
              </w:rPr>
              <w:t>F-37</w:t>
            </w: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11040"/>
          </w:cols>
          <w:pgMar w:left="320" w:top="455" w:right="539" w:bottom="1440" w:gutter="0" w:footer="0" w:header="0"/>
        </w:sectPr>
      </w:pPr>
    </w:p>
    <w:bookmarkStart w:id="272" w:name="page273"/>
    <w:bookmarkEnd w:id="2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p>
      <w:pPr>
        <w:spacing w:after="0" w:line="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8 – Finance income and expense</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below table details the Group’s finance income and expenses:</w:t>
      </w:r>
    </w:p>
    <w:p>
      <w:pPr>
        <w:spacing w:after="0" w:line="246"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67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Finance income</w:t>
            </w:r>
          </w:p>
        </w:tc>
        <w:tc>
          <w:tcPr>
            <w:tcW w:w="600" w:type="dxa"/>
            <w:vAlign w:val="bottom"/>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2021</w:t>
            </w:r>
          </w:p>
        </w:tc>
        <w:tc>
          <w:tcPr>
            <w:tcW w:w="920" w:type="dxa"/>
            <w:vAlign w:val="bottom"/>
            <w:gridSpan w:val="2"/>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2020</w:t>
            </w:r>
          </w:p>
        </w:tc>
        <w:tc>
          <w:tcPr>
            <w:tcW w:w="920" w:type="dxa"/>
            <w:vAlign w:val="bottom"/>
            <w:gridSpan w:val="2"/>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2019</w:t>
            </w:r>
          </w:p>
        </w:tc>
        <w:tc>
          <w:tcPr>
            <w:tcW w:w="80" w:type="dxa"/>
            <w:vAlign w:val="bottom"/>
          </w:tcPr>
          <w:p>
            <w:pPr>
              <w:spacing w:after="0"/>
              <w:rPr>
                <w:sz w:val="15"/>
                <w:szCs w:val="15"/>
                <w:color w:val="auto"/>
              </w:rPr>
            </w:pPr>
          </w:p>
        </w:tc>
      </w:tr>
      <w:tr>
        <w:trPr>
          <w:trHeight w:val="210"/>
        </w:trPr>
        <w:tc>
          <w:tcPr>
            <w:tcW w:w="20" w:type="dxa"/>
            <w:vAlign w:val="bottom"/>
          </w:tcPr>
          <w:p>
            <w:pPr>
              <w:spacing w:after="0"/>
              <w:rPr>
                <w:sz w:val="18"/>
                <w:szCs w:val="18"/>
                <w:color w:val="auto"/>
              </w:rPr>
            </w:pPr>
          </w:p>
        </w:tc>
        <w:tc>
          <w:tcPr>
            <w:tcW w:w="67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foreign exchange rate gains on financial activities</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31,574</w:t>
            </w:r>
          </w:p>
        </w:tc>
        <w:tc>
          <w:tcPr>
            <w:tcW w:w="3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2,940</w:t>
            </w:r>
          </w:p>
        </w:tc>
        <w:tc>
          <w:tcPr>
            <w:tcW w:w="80" w:type="dxa"/>
            <w:vAlign w:val="bottom"/>
            <w:tcBorders>
              <w:top w:val="single" w:sz="8" w:color="CCEEFF"/>
            </w:tcBorders>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 on bank deposits</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1,396</w:t>
            </w:r>
          </w:p>
        </w:tc>
        <w:tc>
          <w:tcPr>
            <w:tcW w:w="32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3,199</w:t>
            </w:r>
          </w:p>
        </w:tc>
        <w:tc>
          <w:tcPr>
            <w:tcW w:w="32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13,286</w:t>
            </w:r>
          </w:p>
        </w:tc>
        <w:tc>
          <w:tcPr>
            <w:tcW w:w="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32,970</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3,199</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16,226</w:t>
            </w:r>
          </w:p>
        </w:tc>
        <w:tc>
          <w:tcPr>
            <w:tcW w:w="80" w:type="dxa"/>
            <w:vAlign w:val="bottom"/>
            <w:shd w:val="clear" w:color="auto" w:fill="CCEEFF"/>
          </w:tcPr>
          <w:p>
            <w:pPr>
              <w:spacing w:after="0"/>
              <w:rPr>
                <w:sz w:val="18"/>
                <w:szCs w:val="18"/>
                <w:color w:val="auto"/>
              </w:rPr>
            </w:pPr>
          </w:p>
        </w:tc>
      </w:tr>
      <w:tr>
        <w:trPr>
          <w:trHeight w:val="331"/>
        </w:trPr>
        <w:tc>
          <w:tcPr>
            <w:tcW w:w="6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Finance expense</w:t>
            </w:r>
          </w:p>
        </w:tc>
        <w:tc>
          <w:tcPr>
            <w:tcW w:w="60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on credit facilities and financing obligations</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11,681</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13,169</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12,722</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to related companies</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30,801</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11,210</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5,128</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foreign exchange rate losses on financial activities</w:t>
            </w:r>
          </w:p>
        </w:tc>
        <w:tc>
          <w:tcPr>
            <w:tcW w:w="6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7,527</w:t>
            </w:r>
          </w:p>
        </w:tc>
        <w:tc>
          <w:tcPr>
            <w:tcW w:w="3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related to lease liabilities</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2,377</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2,122</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584</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Credit facility expenses</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8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Other finance expenses</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32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32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2,254</w:t>
            </w:r>
          </w:p>
        </w:tc>
        <w:tc>
          <w:tcPr>
            <w:tcW w:w="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45,249</w:t>
            </w:r>
          </w:p>
        </w:tc>
        <w:tc>
          <w:tcPr>
            <w:tcW w:w="32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34,034</w:t>
            </w:r>
          </w:p>
        </w:tc>
        <w:tc>
          <w:tcPr>
            <w:tcW w:w="32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21,192</w:t>
            </w:r>
          </w:p>
        </w:tc>
        <w:tc>
          <w:tcPr>
            <w:tcW w:w="80" w:type="dxa"/>
            <w:vAlign w:val="bottom"/>
            <w:shd w:val="clear" w:color="auto" w:fill="CCEEFF"/>
          </w:tcPr>
          <w:p>
            <w:pPr>
              <w:spacing w:after="0"/>
              <w:rPr>
                <w:sz w:val="18"/>
                <w:szCs w:val="18"/>
                <w:color w:val="auto"/>
              </w:rPr>
            </w:pPr>
          </w:p>
        </w:tc>
      </w:tr>
    </w:tbl>
    <w:p>
      <w:pPr>
        <w:spacing w:after="0" w:line="211"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2021, 2020 and 2019, interest expense to related parties was comprised of interest on overdue trade payables balances and interest on related party borrowings. Refer to Note 23 - Related party transactions for further discussion.</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9 – Leases</w:t>
      </w:r>
    </w:p>
    <w:p>
      <w:pPr>
        <w:spacing w:after="0" w:line="121" w:lineRule="exact"/>
        <w:rPr>
          <w:sz w:val="20"/>
          <w:szCs w:val="20"/>
          <w:color w:val="auto"/>
        </w:rPr>
      </w:pPr>
    </w:p>
    <w:p>
      <w:pPr>
        <w:ind w:left="120" w:right="140"/>
        <w:spacing w:after="0" w:line="266" w:lineRule="auto"/>
        <w:rPr>
          <w:sz w:val="20"/>
          <w:szCs w:val="20"/>
          <w:color w:val="auto"/>
        </w:rPr>
      </w:pPr>
      <w:r>
        <w:rPr>
          <w:rFonts w:ascii="Times New Roman" w:cs="Times New Roman" w:eastAsia="Times New Roman" w:hAnsi="Times New Roman"/>
          <w:sz w:val="18"/>
          <w:szCs w:val="18"/>
          <w:color w:val="auto"/>
        </w:rPr>
        <w:t>As a lessee, Polestar Group primarily leases buildings and manufacturing production equipment. The Group also has short-term and low value leases related to the leasing of temporary spaces and small IT equipment, respectively. The lease term for land and buildings is generally 2 - 15 years with the exception of one long term land lease with a term of 50 years. The lease term for machinery and equipment is generally 2-6 years.</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F-38</w:t>
      </w:r>
    </w:p>
    <w:p>
      <w:pPr>
        <w:sectPr>
          <w:pgSz w:w="11900" w:h="16838" w:orient="portrait"/>
          <w:cols w:equalWidth="0" w:num="1">
            <w:col w:w="11120"/>
          </w:cols>
          <w:pgMar w:left="320" w:top="455" w:right="459" w:bottom="1440" w:gutter="0" w:footer="0" w:header="0"/>
        </w:sectPr>
      </w:pPr>
    </w:p>
    <w:bookmarkStart w:id="273" w:name="page274"/>
    <w:bookmarkEnd w:id="2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center"/>
        <w:ind w:right="-979"/>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p>
      <w:pPr>
        <w:spacing w:after="0" w:line="27" w:lineRule="exact"/>
        <w:rPr>
          <w:sz w:val="20"/>
          <w:szCs w:val="20"/>
          <w:color w:val="auto"/>
        </w:rPr>
      </w:pPr>
    </w:p>
    <w:p>
      <w:pPr>
        <w:jc w:val="center"/>
        <w:ind w:right="-979"/>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3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table depicts the changes in the Group’s ROU assets, which are included within PPE:</w:t>
      </w:r>
    </w:p>
    <w:p>
      <w:pPr>
        <w:spacing w:after="0" w:line="233" w:lineRule="exact"/>
        <w:rPr>
          <w:sz w:val="20"/>
          <w:szCs w:val="20"/>
          <w:color w:val="auto"/>
        </w:rPr>
      </w:pPr>
    </w:p>
    <w:tbl>
      <w:tblPr>
        <w:tblLayout w:type="fixed"/>
        <w:tblInd w:w="1000" w:type="dxa"/>
        <w:tblCellMar>
          <w:top w:w="0" w:type="dxa"/>
          <w:left w:w="0" w:type="dxa"/>
          <w:bottom w:w="0" w:type="dxa"/>
          <w:right w:w="0" w:type="dxa"/>
        </w:tblCellMar>
      </w:tblPr>
      <w:tr>
        <w:trPr>
          <w:trHeight w:val="37"/>
        </w:trPr>
        <w:tc>
          <w:tcPr>
            <w:tcW w:w="20" w:type="dxa"/>
            <w:vAlign w:val="bottom"/>
          </w:tcPr>
          <w:p>
            <w:pPr>
              <w:spacing w:after="0"/>
              <w:rPr>
                <w:sz w:val="3"/>
                <w:szCs w:val="3"/>
                <w:color w:val="auto"/>
              </w:rPr>
            </w:pPr>
          </w:p>
        </w:tc>
        <w:tc>
          <w:tcPr>
            <w:tcW w:w="6160" w:type="dxa"/>
            <w:vAlign w:val="bottom"/>
          </w:tcPr>
          <w:p>
            <w:pPr>
              <w:spacing w:after="0"/>
              <w:rPr>
                <w:sz w:val="3"/>
                <w:szCs w:val="3"/>
                <w:color w:val="auto"/>
              </w:rPr>
            </w:pPr>
          </w:p>
        </w:tc>
        <w:tc>
          <w:tcPr>
            <w:tcW w:w="1020" w:type="dxa"/>
            <w:vAlign w:val="bottom"/>
            <w:gridSpan w:val="2"/>
            <w:vMerge w:val="restart"/>
          </w:tcPr>
          <w:p>
            <w:pPr>
              <w:jc w:val="right"/>
              <w:ind w:right="321"/>
              <w:spacing w:after="0"/>
              <w:rPr>
                <w:sz w:val="20"/>
                <w:szCs w:val="20"/>
                <w:color w:val="auto"/>
              </w:rPr>
            </w:pPr>
            <w:r>
              <w:rPr>
                <w:rFonts w:ascii="Times New Roman" w:cs="Times New Roman" w:eastAsia="Times New Roman" w:hAnsi="Times New Roman"/>
                <w:sz w:val="14"/>
                <w:szCs w:val="14"/>
                <w:b w:val="1"/>
                <w:bCs w:val="1"/>
                <w:color w:val="auto"/>
              </w:rPr>
              <w:t>Buildings</w:t>
            </w:r>
          </w:p>
        </w:tc>
        <w:tc>
          <w:tcPr>
            <w:tcW w:w="8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Machinery</w:t>
            </w:r>
          </w:p>
        </w:tc>
        <w:tc>
          <w:tcPr>
            <w:tcW w:w="20" w:type="dxa"/>
            <w:vAlign w:val="bottom"/>
          </w:tcPr>
          <w:p>
            <w:pPr>
              <w:spacing w:after="0"/>
              <w:rPr>
                <w:sz w:val="3"/>
                <w:szCs w:val="3"/>
                <w:color w:val="auto"/>
              </w:rPr>
            </w:pPr>
          </w:p>
        </w:tc>
        <w:tc>
          <w:tcPr>
            <w:tcW w:w="440" w:type="dxa"/>
            <w:vAlign w:val="bottom"/>
            <w:vMerge w:val="restart"/>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6160" w:type="dxa"/>
            <w:vAlign w:val="bottom"/>
          </w:tcPr>
          <w:p>
            <w:pPr>
              <w:spacing w:after="0"/>
              <w:rPr>
                <w:sz w:val="10"/>
                <w:szCs w:val="10"/>
                <w:color w:val="auto"/>
              </w:rPr>
            </w:pPr>
          </w:p>
        </w:tc>
        <w:tc>
          <w:tcPr>
            <w:tcW w:w="1020" w:type="dxa"/>
            <w:vAlign w:val="bottom"/>
            <w:gridSpan w:val="2"/>
            <w:vMerge w:val="continue"/>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440" w:type="dxa"/>
            <w:vAlign w:val="bottom"/>
            <w:vMerge w:val="continue"/>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6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8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w w:val="97"/>
              </w:rPr>
              <w:t>and</w:t>
            </w:r>
          </w:p>
        </w:tc>
        <w:tc>
          <w:tcPr>
            <w:tcW w:w="20" w:type="dxa"/>
            <w:vAlign w:val="bottom"/>
            <w:shd w:val="clear" w:color="auto" w:fill="000000"/>
          </w:tcPr>
          <w:p>
            <w:pPr>
              <w:spacing w:after="0"/>
              <w:rPr>
                <w:sz w:val="12"/>
                <w:szCs w:val="12"/>
                <w:color w:val="auto"/>
              </w:rPr>
            </w:pPr>
          </w:p>
        </w:tc>
        <w:tc>
          <w:tcPr>
            <w:tcW w:w="440" w:type="dxa"/>
            <w:vAlign w:val="bottom"/>
          </w:tcPr>
          <w:p>
            <w:pPr>
              <w:spacing w:after="0"/>
              <w:rPr>
                <w:sz w:val="12"/>
                <w:szCs w:val="12"/>
                <w:color w:val="auto"/>
              </w:rPr>
            </w:pPr>
          </w:p>
        </w:tc>
        <w:tc>
          <w:tcPr>
            <w:tcW w:w="78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160" w:type="dxa"/>
            <w:vAlign w:val="bottom"/>
          </w:tcPr>
          <w:p>
            <w:pPr>
              <w:spacing w:after="0"/>
              <w:rPr>
                <w:sz w:val="15"/>
                <w:szCs w:val="15"/>
                <w:color w:val="auto"/>
              </w:rPr>
            </w:pPr>
          </w:p>
        </w:tc>
        <w:tc>
          <w:tcPr>
            <w:tcW w:w="1020" w:type="dxa"/>
            <w:vAlign w:val="bottom"/>
            <w:gridSpan w:val="2"/>
          </w:tcPr>
          <w:p>
            <w:pPr>
              <w:jc w:val="right"/>
              <w:ind w:right="341"/>
              <w:spacing w:after="0"/>
              <w:rPr>
                <w:sz w:val="20"/>
                <w:szCs w:val="20"/>
                <w:color w:val="auto"/>
              </w:rPr>
            </w:pPr>
            <w:r>
              <w:rPr>
                <w:rFonts w:ascii="Times New Roman" w:cs="Times New Roman" w:eastAsia="Times New Roman" w:hAnsi="Times New Roman"/>
                <w:sz w:val="14"/>
                <w:szCs w:val="14"/>
                <w:b w:val="1"/>
                <w:bCs w:val="1"/>
                <w:color w:val="auto"/>
              </w:rPr>
              <w:t>and land</w:t>
            </w:r>
          </w:p>
        </w:tc>
        <w:tc>
          <w:tcPr>
            <w:tcW w:w="8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equipment</w:t>
            </w:r>
          </w:p>
        </w:tc>
        <w:tc>
          <w:tcPr>
            <w:tcW w:w="20" w:type="dxa"/>
            <w:vAlign w:val="bottom"/>
            <w:shd w:val="clear" w:color="auto" w:fill="000000"/>
          </w:tcPr>
          <w:p>
            <w:pPr>
              <w:spacing w:after="0"/>
              <w:rPr>
                <w:sz w:val="15"/>
                <w:szCs w:val="15"/>
                <w:color w:val="auto"/>
              </w:rPr>
            </w:pPr>
          </w:p>
        </w:tc>
        <w:tc>
          <w:tcPr>
            <w:tcW w:w="44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16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Acquisition cost</w:t>
            </w:r>
          </w:p>
        </w:tc>
        <w:tc>
          <w:tcPr>
            <w:tcW w:w="64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000000"/>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Balance as of January 1, 2020</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18,731</w:t>
            </w:r>
          </w:p>
        </w:tc>
        <w:tc>
          <w:tcPr>
            <w:tcW w:w="3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12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19,129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Additions</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13,332</w:t>
            </w: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48,197</w:t>
            </w:r>
          </w:p>
        </w:tc>
        <w:tc>
          <w:tcPr>
            <w:tcW w:w="12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61,529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Effect of foreign currency exchange rate differences</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1,902</w:t>
            </w:r>
          </w:p>
        </w:tc>
        <w:tc>
          <w:tcPr>
            <w:tcW w:w="38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120" w:type="dxa"/>
            <w:vAlign w:val="bottom"/>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44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2020</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33,965</w:t>
            </w: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48,946</w:t>
            </w:r>
          </w:p>
        </w:tc>
        <w:tc>
          <w:tcPr>
            <w:tcW w:w="12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82,911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Additions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12,345</w:t>
            </w:r>
          </w:p>
        </w:tc>
        <w:tc>
          <w:tcPr>
            <w:tcW w:w="3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12,376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foreign currency exchange rate differences</w:t>
            </w:r>
          </w:p>
        </w:tc>
        <w:tc>
          <w:tcPr>
            <w:tcW w:w="102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(1,197)</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1,122</w:t>
            </w:r>
          </w:p>
        </w:tc>
        <w:tc>
          <w:tcPr>
            <w:tcW w:w="12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23"/>
        </w:trPr>
        <w:tc>
          <w:tcPr>
            <w:tcW w:w="6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2021</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45,113</w:t>
            </w:r>
          </w:p>
        </w:tc>
        <w:tc>
          <w:tcPr>
            <w:tcW w:w="38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50,099</w:t>
            </w:r>
          </w:p>
        </w:tc>
        <w:tc>
          <w:tcPr>
            <w:tcW w:w="120" w:type="dxa"/>
            <w:vAlign w:val="bottom"/>
          </w:tcPr>
          <w:p>
            <w:pPr>
              <w:spacing w:after="0"/>
              <w:rPr>
                <w:sz w:val="19"/>
                <w:szCs w:val="19"/>
                <w:color w:val="auto"/>
              </w:rPr>
            </w:pPr>
          </w:p>
        </w:tc>
        <w:tc>
          <w:tcPr>
            <w:tcW w:w="20" w:type="dxa"/>
            <w:vAlign w:val="bottom"/>
            <w:tcBorders>
              <w:top w:val="single" w:sz="8" w:color="auto"/>
              <w:bottom w:val="single" w:sz="8" w:color="auto"/>
            </w:tcBorders>
            <w:shd w:val="clear" w:color="auto" w:fill="000000"/>
          </w:tcPr>
          <w:p>
            <w:pPr>
              <w:spacing w:after="0"/>
              <w:rPr>
                <w:sz w:val="19"/>
                <w:szCs w:val="19"/>
                <w:color w:val="auto"/>
              </w:rPr>
            </w:pPr>
          </w:p>
        </w:tc>
        <w:tc>
          <w:tcPr>
            <w:tcW w:w="44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95,212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6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4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Accumulated depreciation</w:t>
            </w:r>
          </w:p>
        </w:tc>
        <w:tc>
          <w:tcPr>
            <w:tcW w:w="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Balance as of January 1, 2020</w:t>
            </w:r>
          </w:p>
        </w:tc>
        <w:tc>
          <w:tcPr>
            <w:tcW w:w="102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(1,464)</w:t>
            </w: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(43)</w:t>
            </w:r>
          </w:p>
        </w:tc>
        <w:tc>
          <w:tcPr>
            <w:tcW w:w="20" w:type="dxa"/>
            <w:vAlign w:val="bottom"/>
            <w:shd w:val="clear" w:color="auto" w:fill="000000"/>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expense</w:t>
            </w:r>
          </w:p>
        </w:tc>
        <w:tc>
          <w:tcPr>
            <w:tcW w:w="102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(2,376)</w:t>
            </w: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(6,741)</w:t>
            </w:r>
          </w:p>
        </w:tc>
        <w:tc>
          <w:tcPr>
            <w:tcW w:w="20" w:type="dxa"/>
            <w:vAlign w:val="bottom"/>
            <w:shd w:val="clear" w:color="auto" w:fill="000000"/>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(9,117)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Effect of foreign currency exchange rate differences</w:t>
            </w:r>
          </w:p>
        </w:tc>
        <w:tc>
          <w:tcPr>
            <w:tcW w:w="102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(356)</w:t>
            </w: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(54)</w:t>
            </w:r>
          </w:p>
        </w:tc>
        <w:tc>
          <w:tcPr>
            <w:tcW w:w="20" w:type="dxa"/>
            <w:vAlign w:val="bottom"/>
            <w:shd w:val="clear" w:color="auto" w:fill="000000"/>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(410)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1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2020</w:t>
            </w:r>
          </w:p>
        </w:tc>
        <w:tc>
          <w:tcPr>
            <w:tcW w:w="102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b w:val="1"/>
                <w:bCs w:val="1"/>
                <w:color w:val="auto"/>
              </w:rPr>
              <w:t>(4,196)</w:t>
            </w: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(6,838)</w:t>
            </w:r>
          </w:p>
        </w:tc>
        <w:tc>
          <w:tcPr>
            <w:tcW w:w="20" w:type="dxa"/>
            <w:vAlign w:val="bottom"/>
            <w:shd w:val="clear" w:color="auto" w:fill="000000"/>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(11,034)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expense</w:t>
            </w:r>
          </w:p>
        </w:tc>
        <w:tc>
          <w:tcPr>
            <w:tcW w:w="102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(6,180)</w:t>
            </w: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(8,431)</w:t>
            </w:r>
          </w:p>
        </w:tc>
        <w:tc>
          <w:tcPr>
            <w:tcW w:w="20" w:type="dxa"/>
            <w:vAlign w:val="bottom"/>
            <w:shd w:val="clear" w:color="auto" w:fill="000000"/>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(14,611)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foreign currency exchange rate differences</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3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(178)</w:t>
            </w:r>
          </w:p>
        </w:tc>
        <w:tc>
          <w:tcPr>
            <w:tcW w:w="20" w:type="dxa"/>
            <w:vAlign w:val="bottom"/>
            <w:shd w:val="clear" w:color="auto" w:fill="000000"/>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2021</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(10,159</w:t>
            </w:r>
          </w:p>
        </w:tc>
        <w:tc>
          <w:tcPr>
            <w:tcW w:w="380" w:type="dxa"/>
            <w:vAlign w:val="bottom"/>
          </w:tcPr>
          <w:p>
            <w:pPr>
              <w:jc w:val="right"/>
              <w:ind w:right="24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(15,447)</w:t>
            </w:r>
          </w:p>
        </w:tc>
        <w:tc>
          <w:tcPr>
            <w:tcW w:w="120" w:type="dxa"/>
            <w:vAlign w:val="bottom"/>
          </w:tcPr>
          <w:p>
            <w:pPr>
              <w:spacing w:after="0"/>
              <w:rPr>
                <w:sz w:val="20"/>
                <w:szCs w:val="20"/>
                <w:color w:val="auto"/>
              </w:rPr>
            </w:pPr>
          </w:p>
        </w:tc>
        <w:tc>
          <w:tcPr>
            <w:tcW w:w="20" w:type="dxa"/>
            <w:vAlign w:val="bottom"/>
            <w:tcBorders>
              <w:top w:val="single" w:sz="8" w:color="auto"/>
              <w:bottom w:val="single" w:sz="8" w:color="auto"/>
            </w:tcBorders>
            <w:shd w:val="clear" w:color="auto" w:fill="000000"/>
          </w:tcPr>
          <w:p>
            <w:pPr>
              <w:spacing w:after="0"/>
              <w:rPr>
                <w:sz w:val="20"/>
                <w:szCs w:val="20"/>
                <w:color w:val="auto"/>
              </w:rPr>
            </w:pPr>
          </w:p>
        </w:tc>
        <w:tc>
          <w:tcPr>
            <w:tcW w:w="44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(25,606)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Carrying amount as of December 31, 2020</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29,769</w:t>
            </w:r>
          </w:p>
        </w:tc>
        <w:tc>
          <w:tcPr>
            <w:tcW w:w="38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42,108</w:t>
            </w:r>
          </w:p>
        </w:tc>
        <w:tc>
          <w:tcPr>
            <w:tcW w:w="12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000000"/>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71,877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Carrying amount as of December 31, 2021</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34,954</w:t>
            </w:r>
          </w:p>
        </w:tc>
        <w:tc>
          <w:tcPr>
            <w:tcW w:w="380" w:type="dxa"/>
            <w:vAlign w:val="bottom"/>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34,652</w:t>
            </w:r>
          </w:p>
        </w:tc>
        <w:tc>
          <w:tcPr>
            <w:tcW w:w="120" w:type="dxa"/>
            <w:vAlign w:val="bottom"/>
          </w:tcPr>
          <w:p>
            <w:pPr>
              <w:spacing w:after="0"/>
              <w:rPr>
                <w:sz w:val="20"/>
                <w:szCs w:val="20"/>
                <w:color w:val="auto"/>
              </w:rPr>
            </w:pPr>
          </w:p>
        </w:tc>
        <w:tc>
          <w:tcPr>
            <w:tcW w:w="20" w:type="dxa"/>
            <w:vAlign w:val="bottom"/>
            <w:tcBorders>
              <w:bottom w:val="single" w:sz="8" w:color="auto"/>
            </w:tcBorders>
            <w:shd w:val="clear" w:color="auto" w:fill="000000"/>
          </w:tcPr>
          <w:p>
            <w:pPr>
              <w:spacing w:after="0"/>
              <w:rPr>
                <w:sz w:val="20"/>
                <w:szCs w:val="20"/>
                <w:color w:val="auto"/>
              </w:rPr>
            </w:pPr>
          </w:p>
        </w:tc>
        <w:tc>
          <w:tcPr>
            <w:tcW w:w="440" w:type="dxa"/>
            <w:vAlign w:val="bottom"/>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69,606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Amounts related to leases recognised in the Consolidated Statement of Loss are as follows:</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880" w:type="dxa"/>
            <w:vAlign w:val="bottom"/>
          </w:tcPr>
          <w:p>
            <w:pPr>
              <w:spacing w:after="0"/>
              <w:rPr>
                <w:sz w:val="15"/>
                <w:szCs w:val="15"/>
                <w:color w:val="auto"/>
              </w:rPr>
            </w:pPr>
          </w:p>
        </w:tc>
        <w:tc>
          <w:tcPr>
            <w:tcW w:w="440" w:type="dxa"/>
            <w:vAlign w:val="bottom"/>
            <w:tcBorders>
              <w:bottom w:val="single" w:sz="8" w:color="CCEEFF"/>
            </w:tcBorders>
          </w:tcPr>
          <w:p>
            <w:pPr>
              <w:spacing w:after="0"/>
              <w:rPr>
                <w:sz w:val="15"/>
                <w:szCs w:val="15"/>
                <w:color w:val="auto"/>
              </w:rPr>
            </w:pPr>
          </w:p>
        </w:tc>
        <w:tc>
          <w:tcPr>
            <w:tcW w:w="676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CEEFF"/>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2020</w:t>
            </w:r>
          </w:p>
        </w:tc>
        <w:tc>
          <w:tcPr>
            <w:tcW w:w="26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120" w:type="dxa"/>
            <w:vAlign w:val="bottom"/>
            <w:tcBorders>
              <w:bottom w:val="single" w:sz="8" w:color="CCEEFF"/>
            </w:tcBorders>
          </w:tcPr>
          <w:p>
            <w:pPr>
              <w:spacing w:after="0"/>
              <w:rPr>
                <w:sz w:val="15"/>
                <w:szCs w:val="15"/>
                <w:color w:val="auto"/>
              </w:rPr>
            </w:pPr>
          </w:p>
        </w:tc>
      </w:tr>
      <w:tr>
        <w:trPr>
          <w:trHeight w:val="210"/>
        </w:trPr>
        <w:tc>
          <w:tcPr>
            <w:tcW w:w="880" w:type="dxa"/>
            <w:vAlign w:val="bottom"/>
          </w:tcPr>
          <w:p>
            <w:pPr>
              <w:spacing w:after="0"/>
              <w:rPr>
                <w:sz w:val="18"/>
                <w:szCs w:val="18"/>
                <w:color w:val="auto"/>
              </w:rPr>
            </w:pPr>
          </w:p>
        </w:tc>
        <w:tc>
          <w:tcPr>
            <w:tcW w:w="7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Expense relating to short-term leases</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1,390</w:t>
            </w:r>
          </w:p>
        </w:tc>
        <w:tc>
          <w:tcPr>
            <w:tcW w:w="26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shd w:val="clear" w:color="auto" w:fill="CCEEFF"/>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7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Expense relating to leases of low value assets</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w:t>
            </w:r>
          </w:p>
        </w:tc>
      </w:tr>
      <w:tr>
        <w:trPr>
          <w:trHeight w:val="216"/>
        </w:trPr>
        <w:tc>
          <w:tcPr>
            <w:tcW w:w="880" w:type="dxa"/>
            <w:vAlign w:val="bottom"/>
          </w:tcPr>
          <w:p>
            <w:pPr>
              <w:spacing w:after="0"/>
              <w:rPr>
                <w:sz w:val="18"/>
                <w:szCs w:val="18"/>
                <w:color w:val="auto"/>
              </w:rPr>
            </w:pPr>
          </w:p>
        </w:tc>
        <w:tc>
          <w:tcPr>
            <w:tcW w:w="7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foreign currency exchange rate differences</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w:t>
            </w:r>
          </w:p>
        </w:tc>
        <w:tc>
          <w:tcPr>
            <w:tcW w:w="26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4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w:t>
            </w:r>
          </w:p>
        </w:tc>
      </w:tr>
      <w:tr>
        <w:trPr>
          <w:trHeight w:val="432"/>
        </w:trPr>
        <w:tc>
          <w:tcPr>
            <w:tcW w:w="8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current and non-current portion of the Group’s lease liabilities are as follows:</w:t>
            </w: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91"/>
        </w:trPr>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76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2020</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09"/>
        </w:trPr>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7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lease liability</w:t>
            </w:r>
          </w:p>
        </w:tc>
        <w:tc>
          <w:tcPr>
            <w:tcW w:w="600" w:type="dxa"/>
            <w:vAlign w:val="bottom"/>
            <w:tcBorders>
              <w:top w:val="single" w:sz="8" w:color="auto"/>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92"/>
              </w:rPr>
              <w:t>10,250</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11,187</w:t>
            </w:r>
          </w:p>
        </w:tc>
        <w:tc>
          <w:tcPr>
            <w:tcW w:w="80" w:type="dxa"/>
            <w:vAlign w:val="bottom"/>
            <w:tcBorders>
              <w:top w:val="single" w:sz="8" w:color="CCEEFF"/>
              <w:right w:val="single" w:sz="8" w:color="CCEEFF"/>
            </w:tcBorders>
            <w:shd w:val="clear" w:color="auto" w:fill="CCEEFF"/>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Non-current lease liability</w:t>
            </w:r>
          </w:p>
        </w:tc>
        <w:tc>
          <w:tcPr>
            <w:tcW w:w="8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66,575</w:t>
            </w:r>
          </w:p>
        </w:tc>
        <w:tc>
          <w:tcPr>
            <w:tcW w:w="82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61,840</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7"/>
        </w:trPr>
        <w:tc>
          <w:tcPr>
            <w:tcW w:w="880" w:type="dxa"/>
            <w:vAlign w:val="bottom"/>
          </w:tcPr>
          <w:p>
            <w:pPr>
              <w:spacing w:after="0"/>
              <w:rPr>
                <w:sz w:val="2"/>
                <w:szCs w:val="2"/>
                <w:color w:val="auto"/>
              </w:rPr>
            </w:pPr>
          </w:p>
        </w:tc>
        <w:tc>
          <w:tcPr>
            <w:tcW w:w="440" w:type="dxa"/>
            <w:vAlign w:val="bottom"/>
          </w:tcPr>
          <w:p>
            <w:pPr>
              <w:spacing w:after="0"/>
              <w:rPr>
                <w:sz w:val="2"/>
                <w:szCs w:val="2"/>
                <w:color w:val="auto"/>
              </w:rPr>
            </w:pPr>
          </w:p>
        </w:tc>
        <w:tc>
          <w:tcPr>
            <w:tcW w:w="676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0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76,825</w:t>
            </w:r>
          </w:p>
        </w:tc>
        <w:tc>
          <w:tcPr>
            <w:tcW w:w="820" w:type="dxa"/>
            <w:vAlign w:val="bottom"/>
            <w:tcBorders>
              <w:right w:val="single" w:sz="8" w:color="CCEEFF"/>
            </w:tcBorders>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73,027</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372"/>
        </w:trPr>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760" w:type="dxa"/>
            <w:vAlign w:val="bottom"/>
          </w:tcPr>
          <w:p>
            <w:pPr>
              <w:ind w:left="4020"/>
              <w:spacing w:after="0"/>
              <w:rPr>
                <w:sz w:val="20"/>
                <w:szCs w:val="20"/>
                <w:color w:val="auto"/>
              </w:rPr>
            </w:pPr>
            <w:r>
              <w:rPr>
                <w:rFonts w:ascii="Times New Roman" w:cs="Times New Roman" w:eastAsia="Times New Roman" w:hAnsi="Times New Roman"/>
                <w:sz w:val="18"/>
                <w:szCs w:val="18"/>
                <w:color w:val="auto"/>
              </w:rPr>
              <w:t>F-39</w:t>
            </w:r>
          </w:p>
        </w:tc>
        <w:tc>
          <w:tcPr>
            <w:tcW w:w="48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0260"/>
          </w:cols>
          <w:pgMar w:left="320" w:top="455" w:right="1319" w:bottom="1440" w:gutter="0" w:footer="0" w:header="0"/>
        </w:sectPr>
      </w:pPr>
    </w:p>
    <w:bookmarkStart w:id="274" w:name="page275"/>
    <w:bookmarkEnd w:id="2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p>
      <w:pPr>
        <w:spacing w:after="0" w:line="2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3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Expected future lease payments to be made to satisfy the Group’s lease liabilities are as follows:</w:t>
      </w:r>
    </w:p>
    <w:p>
      <w:pPr>
        <w:spacing w:after="0" w:line="246"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6760" w:type="dxa"/>
            <w:vAlign w:val="bottom"/>
            <w:tcBorders>
              <w:bottom w:val="single" w:sz="8" w:color="CCEEFF"/>
            </w:tcBorders>
          </w:tcPr>
          <w:p>
            <w:pPr>
              <w:spacing w:after="0"/>
              <w:rPr>
                <w:sz w:val="15"/>
                <w:szCs w:val="15"/>
                <w:color w:val="auto"/>
              </w:rPr>
            </w:pPr>
          </w:p>
        </w:tc>
        <w:tc>
          <w:tcPr>
            <w:tcW w:w="60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2021</w:t>
            </w:r>
          </w:p>
        </w:tc>
        <w:tc>
          <w:tcPr>
            <w:tcW w:w="300" w:type="dxa"/>
            <w:vAlign w:val="bottom"/>
            <w:tcBorders>
              <w:bottom w:val="single" w:sz="8" w:color="CCEEFF"/>
            </w:tcBorders>
          </w:tcPr>
          <w:p>
            <w:pPr>
              <w:spacing w:after="0"/>
              <w:rPr>
                <w:sz w:val="15"/>
                <w:szCs w:val="15"/>
                <w:color w:val="auto"/>
              </w:rPr>
            </w:pPr>
          </w:p>
        </w:tc>
        <w:tc>
          <w:tcPr>
            <w:tcW w:w="64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2020</w:t>
            </w:r>
          </w:p>
        </w:tc>
        <w:tc>
          <w:tcPr>
            <w:tcW w:w="60" w:type="dxa"/>
            <w:vAlign w:val="bottom"/>
            <w:tcBorders>
              <w:bottom w:val="single" w:sz="8" w:color="CCEEFF"/>
            </w:tcBorders>
          </w:tcPr>
          <w:p>
            <w:pPr>
              <w:spacing w:after="0"/>
              <w:rPr>
                <w:sz w:val="15"/>
                <w:szCs w:val="15"/>
                <w:color w:val="auto"/>
              </w:rPr>
            </w:pPr>
          </w:p>
        </w:tc>
      </w:tr>
      <w:tr>
        <w:trPr>
          <w:trHeight w:val="209"/>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Within 1 year</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10,250</w:t>
            </w: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11,187</w:t>
            </w:r>
          </w:p>
        </w:tc>
        <w:tc>
          <w:tcPr>
            <w:tcW w:w="60" w:type="dxa"/>
            <w:vAlign w:val="bottom"/>
            <w:shd w:val="clear" w:color="auto" w:fill="CCEEFF"/>
          </w:tcPr>
          <w:p>
            <w:pPr>
              <w:spacing w:after="0"/>
              <w:rPr>
                <w:sz w:val="18"/>
                <w:szCs w:val="18"/>
                <w:color w:val="auto"/>
              </w:rPr>
            </w:pPr>
          </w:p>
        </w:tc>
      </w:tr>
      <w:tr>
        <w:trPr>
          <w:trHeight w:val="216"/>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Between 1 and 2 years</w:t>
            </w: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11,715</w:t>
            </w: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10,003</w:t>
            </w:r>
          </w:p>
        </w:tc>
      </w:tr>
      <w:tr>
        <w:trPr>
          <w:trHeight w:val="216"/>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Between 2 and 3 years</w:t>
            </w:r>
          </w:p>
        </w:tc>
        <w:tc>
          <w:tcPr>
            <w:tcW w:w="9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10,375</w:t>
            </w: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9,576</w:t>
            </w:r>
          </w:p>
        </w:tc>
      </w:tr>
      <w:tr>
        <w:trPr>
          <w:trHeight w:val="216"/>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Between 3 and 4 years</w:t>
            </w: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8,596</w:t>
            </w: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8,841</w:t>
            </w:r>
          </w:p>
        </w:tc>
      </w:tr>
      <w:tr>
        <w:trPr>
          <w:trHeight w:val="216"/>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Between 4 and 5 years</w:t>
            </w:r>
          </w:p>
        </w:tc>
        <w:tc>
          <w:tcPr>
            <w:tcW w:w="9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42,032</w:t>
            </w: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6,944</w:t>
            </w:r>
          </w:p>
        </w:tc>
      </w:tr>
      <w:tr>
        <w:trPr>
          <w:trHeight w:val="216"/>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Later than 5 years</w:t>
            </w: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6,361</w:t>
            </w: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44,638</w:t>
            </w:r>
          </w:p>
        </w:tc>
      </w:tr>
      <w:tr>
        <w:trPr>
          <w:trHeight w:val="27"/>
        </w:trPr>
        <w:tc>
          <w:tcPr>
            <w:tcW w:w="67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9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89,329</w:t>
            </w: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91,189</w:t>
            </w:r>
          </w:p>
        </w:tc>
      </w:tr>
      <w:tr>
        <w:trPr>
          <w:trHeight w:val="20"/>
        </w:trPr>
        <w:tc>
          <w:tcPr>
            <w:tcW w:w="67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Refer to Note 24 - Commitments and contingencies for details on commitments related to the Group’s leases and ROU assets as of December 31, 2021.</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For the years ended December 31, 2021, 2020 and 2019, total cash outflows (inflows) for leases amounted to $8,578, $2,298 and $939, respectively.</w:t>
      </w:r>
    </w:p>
    <w:p>
      <w:pPr>
        <w:spacing w:after="0" w:line="225"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As a lessor, the Group recognised revenue from operating leases in the amount of $6,217 for the year ended December 31, 2021. For the majority of the Group’s lease contracts, vehicles are paid for upfront at contract inception and repurchased by Polestar at the end of the lease term. Expected future, undiscounted lease payments to be received from the Group’s operating leases outstanding as of December 31, 2021 is $711, all of which will be earned in 2022. The following table depicts the changes in the Group’s vehicles under operating leases:</w:t>
      </w:r>
    </w:p>
    <w:p>
      <w:pPr>
        <w:sectPr>
          <w:pgSz w:w="11900" w:h="16838" w:orient="portrait"/>
          <w:cols w:equalWidth="0" w:num="1">
            <w:col w:w="11060"/>
          </w:cols>
          <w:pgMar w:left="320" w:top="455" w:right="5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b w:val="1"/>
          <w:bCs w:val="1"/>
          <w:color w:val="auto"/>
        </w:rPr>
        <w:t>Acquisition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-116840</wp:posOffset>
            </wp:positionV>
            <wp:extent cx="4749165" cy="13716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spacing w:after="0" w:line="11"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Balance as of January 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5715</wp:posOffset>
            </wp:positionV>
            <wp:extent cx="4749165" cy="13716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ind w:left="1880"/>
        <w:spacing w:after="0"/>
        <w:rPr>
          <w:sz w:val="20"/>
          <w:szCs w:val="20"/>
          <w:color w:val="auto"/>
        </w:rPr>
      </w:pPr>
      <w:r>
        <w:rPr>
          <w:rFonts w:ascii="Times New Roman" w:cs="Times New Roman" w:eastAsia="Times New Roman" w:hAnsi="Times New Roman"/>
          <w:sz w:val="18"/>
          <w:szCs w:val="18"/>
          <w:color w:val="auto"/>
        </w:rPr>
        <w:t>Additions</w:t>
      </w:r>
    </w:p>
    <w:p>
      <w:pPr>
        <w:spacing w:after="0" w:line="14"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b w:val="1"/>
          <w:bCs w:val="1"/>
          <w:color w:val="auto"/>
        </w:rPr>
        <w:t>Balance as of December 31, 2021</w:t>
      </w:r>
    </w:p>
    <w:p>
      <w:pPr>
        <w:spacing w:after="0" w:line="36"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b w:val="1"/>
          <w:bCs w:val="1"/>
          <w:color w:val="auto"/>
        </w:rPr>
        <w:t>Accumulated depreciation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-116840</wp:posOffset>
            </wp:positionV>
            <wp:extent cx="4749165" cy="13716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spacing w:after="0" w:line="11"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Balance as of January 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5715</wp:posOffset>
            </wp:positionV>
            <wp:extent cx="4749165" cy="13716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ind w:left="1880"/>
        <w:spacing w:after="0"/>
        <w:rPr>
          <w:sz w:val="20"/>
          <w:szCs w:val="20"/>
          <w:color w:val="auto"/>
        </w:rPr>
      </w:pPr>
      <w:r>
        <w:rPr>
          <w:rFonts w:ascii="Times New Roman" w:cs="Times New Roman" w:eastAsia="Times New Roman" w:hAnsi="Times New Roman"/>
          <w:sz w:val="18"/>
          <w:szCs w:val="18"/>
          <w:color w:val="auto"/>
        </w:rPr>
        <w:t>Depreciation expense</w:t>
      </w:r>
    </w:p>
    <w:p>
      <w:pPr>
        <w:spacing w:after="0" w:line="14"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b w:val="1"/>
          <w:bCs w:val="1"/>
          <w:color w:val="auto"/>
        </w:rPr>
        <w:t>Balance as of December 31, 2021</w:t>
      </w:r>
    </w:p>
    <w:p>
      <w:pPr>
        <w:spacing w:after="0" w:line="36"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b w:val="1"/>
          <w:bCs w:val="1"/>
          <w:color w:val="auto"/>
        </w:rPr>
        <w:t>Carrying amount as of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-116840</wp:posOffset>
            </wp:positionV>
            <wp:extent cx="4749165" cy="13716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spacing w:after="0" w:line="3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10 – Income tax expense</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Income tax expense recognised in the Consolidated Statement of Loss is as follows:</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jc w:val="center"/>
        <w:ind w:right="1800"/>
        <w:spacing w:after="0"/>
        <w:rPr>
          <w:sz w:val="20"/>
          <w:szCs w:val="20"/>
          <w:color w:val="auto"/>
        </w:rPr>
      </w:pPr>
      <w:r>
        <w:rPr>
          <w:rFonts w:ascii="Times New Roman" w:cs="Times New Roman" w:eastAsia="Times New Roman" w:hAnsi="Times New Roman"/>
          <w:sz w:val="14"/>
          <w:szCs w:val="14"/>
          <w:b w:val="1"/>
          <w:bCs w:val="1"/>
          <w:color w:val="auto"/>
        </w:rPr>
        <w:t>Vehicles under</w:t>
      </w:r>
    </w:p>
    <w:p>
      <w:pPr>
        <w:jc w:val="center"/>
        <w:ind w:right="1800"/>
        <w:spacing w:after="0" w:line="229" w:lineRule="auto"/>
        <w:rPr>
          <w:sz w:val="20"/>
          <w:szCs w:val="20"/>
          <w:color w:val="auto"/>
        </w:rPr>
      </w:pPr>
      <w:r>
        <w:rPr>
          <w:rFonts w:ascii="Times New Roman" w:cs="Times New Roman" w:eastAsia="Times New Roman" w:hAnsi="Times New Roman"/>
          <w:sz w:val="14"/>
          <w:szCs w:val="14"/>
          <w:b w:val="1"/>
          <w:bCs w:val="1"/>
          <w:color w:val="auto"/>
        </w:rPr>
        <w:t>operating</w:t>
      </w:r>
    </w:p>
    <w:p>
      <w:pPr>
        <w:jc w:val="center"/>
        <w:ind w:right="1800"/>
        <w:spacing w:after="0"/>
        <w:rPr>
          <w:sz w:val="20"/>
          <w:szCs w:val="20"/>
          <w:color w:val="auto"/>
        </w:rPr>
      </w:pPr>
      <w:r>
        <w:rPr>
          <w:rFonts w:ascii="Times New Roman" w:cs="Times New Roman" w:eastAsia="Times New Roman" w:hAnsi="Times New Roman"/>
          <w:sz w:val="14"/>
          <w:szCs w:val="14"/>
          <w:b w:val="1"/>
          <w:bCs w:val="1"/>
          <w:color w:val="auto"/>
        </w:rPr>
        <w:t>leases</w:t>
      </w:r>
    </w:p>
    <w:p>
      <w:pPr>
        <w:spacing w:after="0" w:line="18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3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124,764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74040"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574040" cy="8890"/>
                    </a:xfrm>
                    <a:prstGeom prst="rect">
                      <a:avLst/>
                    </a:prstGeom>
                    <a:noFill/>
                  </pic:spPr>
                </pic:pic>
              </a:graphicData>
            </a:graphic>
          </wp:anchor>
        </w:drawing>
      </w:r>
    </w:p>
    <w:p>
      <w:pPr>
        <w:ind w:left="320"/>
        <w:spacing w:after="0"/>
        <w:rPr>
          <w:sz w:val="20"/>
          <w:szCs w:val="20"/>
          <w:color w:val="auto"/>
        </w:rPr>
      </w:pPr>
      <w:r>
        <w:rPr>
          <w:rFonts w:ascii="Times New Roman" w:cs="Times New Roman" w:eastAsia="Times New Roman" w:hAnsi="Times New Roman"/>
          <w:sz w:val="18"/>
          <w:szCs w:val="18"/>
          <w:b w:val="1"/>
          <w:bCs w:val="1"/>
          <w:color w:val="auto"/>
        </w:rPr>
        <w:t>124,764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574040"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574040" cy="8890"/>
                    </a:xfrm>
                    <a:prstGeom prst="rect">
                      <a:avLst/>
                    </a:prstGeom>
                    <a:noFill/>
                  </pic:spPr>
                </pic:pic>
              </a:graphicData>
            </a:graphic>
          </wp:anchor>
        </w:drawing>
      </w:r>
    </w:p>
    <w:p>
      <w:pPr>
        <w:spacing w:after="0" w:line="23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31" w:lineRule="exact"/>
        <w:rPr>
          <w:sz w:val="20"/>
          <w:szCs w:val="20"/>
          <w:color w:val="auto"/>
        </w:rPr>
      </w:pPr>
    </w:p>
    <w:p>
      <w:pPr>
        <w:jc w:val="right"/>
        <w:ind w:right="1740"/>
        <w:spacing w:after="0"/>
        <w:rPr>
          <w:sz w:val="20"/>
          <w:szCs w:val="20"/>
          <w:color w:val="auto"/>
        </w:rPr>
      </w:pPr>
      <w:r>
        <w:rPr>
          <w:rFonts w:ascii="Times New Roman" w:cs="Times New Roman" w:eastAsia="Times New Roman" w:hAnsi="Times New Roman"/>
          <w:sz w:val="18"/>
          <w:szCs w:val="18"/>
          <w:color w:val="auto"/>
        </w:rPr>
        <w:t>(4,138)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74040"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574040" cy="8890"/>
                    </a:xfrm>
                    <a:prstGeom prst="rect">
                      <a:avLst/>
                    </a:prstGeom>
                    <a:noFill/>
                  </pic:spPr>
                </pic:pic>
              </a:graphicData>
            </a:graphic>
          </wp:anchor>
        </w:drawing>
      </w:r>
    </w:p>
    <w:p>
      <w:pPr>
        <w:jc w:val="right"/>
        <w:ind w:right="1740"/>
        <w:spacing w:after="0"/>
        <w:rPr>
          <w:sz w:val="20"/>
          <w:szCs w:val="20"/>
          <w:color w:val="auto"/>
        </w:rPr>
      </w:pPr>
      <w:r>
        <w:rPr>
          <w:rFonts w:ascii="Times New Roman" w:cs="Times New Roman" w:eastAsia="Times New Roman" w:hAnsi="Times New Roman"/>
          <w:sz w:val="18"/>
          <w:szCs w:val="18"/>
          <w:b w:val="1"/>
          <w:bCs w:val="1"/>
          <w:color w:val="auto"/>
        </w:rPr>
        <w:t>(4,138)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574040"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574040" cy="8890"/>
                    </a:xfrm>
                    <a:prstGeom prst="rect">
                      <a:avLst/>
                    </a:prstGeom>
                    <a:noFill/>
                  </pic:spPr>
                </pic:pic>
              </a:graphicData>
            </a:graphic>
          </wp:anchor>
        </w:drawing>
      </w:r>
    </w:p>
    <w:p>
      <w:pPr>
        <w:spacing w:after="0" w:line="1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120,626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574040"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574040" cy="8890"/>
                    </a:xfrm>
                    <a:prstGeom prst="rect">
                      <a:avLst/>
                    </a:prstGeom>
                    <a:noFill/>
                  </pic:spPr>
                </pic:pic>
              </a:graphicData>
            </a:graphic>
          </wp:anchor>
        </w:drawing>
      </w:r>
    </w:p>
    <w:p>
      <w:pPr>
        <w:spacing w:after="0" w:line="1095" w:lineRule="exact"/>
        <w:rPr>
          <w:sz w:val="20"/>
          <w:szCs w:val="20"/>
          <w:color w:val="auto"/>
        </w:rPr>
      </w:pPr>
    </w:p>
    <w:p>
      <w:pPr>
        <w:sectPr>
          <w:pgSz w:w="11900" w:h="16838" w:orient="portrait"/>
          <w:cols w:equalWidth="0" w:num="2">
            <w:col w:w="7640" w:space="720"/>
            <w:col w:w="2700"/>
          </w:cols>
          <w:pgMar w:left="320" w:top="455" w:right="519" w:bottom="1440" w:gutter="0" w:footer="0" w:header="0"/>
          <w:type w:val="continuous"/>
        </w:sectPr>
      </w:pPr>
    </w:p>
    <w:p>
      <w:pPr>
        <w:spacing w:after="0" w:line="46"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664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2021</w:t>
            </w:r>
          </w:p>
        </w:tc>
        <w:tc>
          <w:tcPr>
            <w:tcW w:w="380" w:type="dxa"/>
            <w:vAlign w:val="bottom"/>
            <w:tcBorders>
              <w:bottom w:val="single" w:sz="8" w:color="CCEEFF"/>
            </w:tcBorders>
          </w:tcPr>
          <w:p>
            <w:pPr>
              <w:spacing w:after="0"/>
              <w:rPr>
                <w:sz w:val="15"/>
                <w:szCs w:val="15"/>
                <w:color w:val="auto"/>
              </w:rPr>
            </w:pPr>
          </w:p>
        </w:tc>
        <w:tc>
          <w:tcPr>
            <w:tcW w:w="6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b w:val="1"/>
                <w:bCs w:val="1"/>
                <w:color w:val="auto"/>
              </w:rPr>
              <w:t>2020</w:t>
            </w:r>
          </w:p>
        </w:tc>
        <w:tc>
          <w:tcPr>
            <w:tcW w:w="38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CEEFF"/>
            </w:tcBorders>
          </w:tcPr>
          <w:p>
            <w:pPr>
              <w:spacing w:after="0"/>
              <w:rPr>
                <w:sz w:val="15"/>
                <w:szCs w:val="15"/>
                <w:color w:val="auto"/>
              </w:rPr>
            </w:pPr>
          </w:p>
        </w:tc>
      </w:tr>
      <w:tr>
        <w:trPr>
          <w:trHeight w:val="210"/>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income tax for the year</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(3,336)</w:t>
            </w:r>
          </w:p>
        </w:tc>
        <w:tc>
          <w:tcPr>
            <w:tcW w:w="380" w:type="dxa"/>
            <w:vAlign w:val="bottom"/>
            <w:shd w:val="clear" w:color="auto" w:fill="CCEEFF"/>
          </w:tcPr>
          <w:p>
            <w:pPr>
              <w:spacing w:after="0"/>
              <w:rPr>
                <w:sz w:val="18"/>
                <w:szCs w:val="18"/>
                <w:color w:val="auto"/>
              </w:rPr>
            </w:pPr>
          </w:p>
        </w:tc>
        <w:tc>
          <w:tcPr>
            <w:tcW w:w="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83"/>
              </w:rPr>
              <w:t>(1,966)</w:t>
            </w:r>
          </w:p>
        </w:tc>
        <w:tc>
          <w:tcPr>
            <w:tcW w:w="3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20" w:type="dxa"/>
            <w:vAlign w:val="bottom"/>
            <w:shd w:val="clear" w:color="auto" w:fill="CCEEFF"/>
          </w:tcPr>
          <w:p>
            <w:pPr>
              <w:spacing w:after="0"/>
              <w:rPr>
                <w:sz w:val="18"/>
                <w:szCs w:val="18"/>
                <w:color w:val="auto"/>
              </w:rPr>
            </w:pPr>
          </w:p>
        </w:tc>
      </w:tr>
      <w:tr>
        <w:trPr>
          <w:trHeight w:val="216"/>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Deferred taxes</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5,517</w:t>
            </w:r>
          </w:p>
        </w:tc>
        <w:tc>
          <w:tcPr>
            <w:tcW w:w="380" w:type="dxa"/>
            <w:vAlign w:val="bottom"/>
          </w:tcPr>
          <w:p>
            <w:pPr>
              <w:spacing w:after="0"/>
              <w:rPr>
                <w:sz w:val="18"/>
                <w:szCs w:val="18"/>
                <w:color w:val="auto"/>
              </w:rPr>
            </w:pPr>
          </w:p>
        </w:tc>
        <w:tc>
          <w:tcPr>
            <w:tcW w:w="10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(4,422)</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3,874</w:t>
            </w:r>
          </w:p>
        </w:tc>
        <w:tc>
          <w:tcPr>
            <w:tcW w:w="120" w:type="dxa"/>
            <w:vAlign w:val="bottom"/>
          </w:tcPr>
          <w:p>
            <w:pPr>
              <w:spacing w:after="0"/>
              <w:rPr>
                <w:sz w:val="18"/>
                <w:szCs w:val="18"/>
                <w:color w:val="auto"/>
              </w:rPr>
            </w:pPr>
          </w:p>
        </w:tc>
      </w:tr>
      <w:tr>
        <w:trPr>
          <w:trHeight w:val="216"/>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China withholding taxes</w:t>
            </w:r>
          </w:p>
        </w:tc>
        <w:tc>
          <w:tcPr>
            <w:tcW w:w="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(2,517)</w:t>
            </w:r>
          </w:p>
        </w:tc>
        <w:tc>
          <w:tcPr>
            <w:tcW w:w="10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(7,147)</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(5,796)</w:t>
            </w:r>
          </w:p>
        </w:tc>
      </w:tr>
      <w:tr>
        <w:trPr>
          <w:trHeight w:val="223"/>
        </w:trPr>
        <w:tc>
          <w:tcPr>
            <w:tcW w:w="6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(336)</w:t>
            </w:r>
          </w:p>
        </w:tc>
        <w:tc>
          <w:tcPr>
            <w:tcW w:w="380" w:type="dxa"/>
            <w:vAlign w:val="bottom"/>
          </w:tcPr>
          <w:p>
            <w:pPr>
              <w:spacing w:after="0"/>
              <w:rPr>
                <w:sz w:val="19"/>
                <w:szCs w:val="19"/>
                <w:color w:val="auto"/>
              </w:rPr>
            </w:pPr>
          </w:p>
        </w:tc>
        <w:tc>
          <w:tcPr>
            <w:tcW w:w="64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w w:val="97"/>
              </w:rPr>
              <w:t>(13,535</w:t>
            </w:r>
          </w:p>
        </w:tc>
        <w:tc>
          <w:tcPr>
            <w:tcW w:w="380" w:type="dxa"/>
            <w:vAlign w:val="bottom"/>
          </w:tcPr>
          <w:p>
            <w:pPr>
              <w:jc w:val="right"/>
              <w:ind w:right="24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(2,015)</w:t>
            </w:r>
          </w:p>
        </w:tc>
        <w:tc>
          <w:tcPr>
            <w:tcW w:w="120" w:type="dxa"/>
            <w:vAlign w:val="bottom"/>
          </w:tcPr>
          <w:p>
            <w:pPr>
              <w:spacing w:after="0"/>
              <w:rPr>
                <w:sz w:val="19"/>
                <w:szCs w:val="19"/>
                <w:color w:val="auto"/>
              </w:rPr>
            </w:pPr>
          </w:p>
        </w:tc>
      </w:tr>
    </w:tbl>
    <w:p>
      <w:pPr>
        <w:spacing w:after="0" w:line="2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Deferred taxes have been calculated applying tax rate per jurisdiction, and for group accounting entries a Hong Kong corporate income tax rate of</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16.5% in 2021 and 15.8 % in 2020 has been applied. For 2019, a Chinese tax rate of 25 % has been applied, see Note 3 - Common control transaction.</w:t>
      </w:r>
    </w:p>
    <w:p>
      <w:pPr>
        <w:spacing w:after="0" w:line="15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F-40</w:t>
      </w:r>
    </w:p>
    <w:p>
      <w:pPr>
        <w:sectPr>
          <w:pgSz w:w="11900" w:h="16838" w:orient="portrait"/>
          <w:cols w:equalWidth="0" w:num="1">
            <w:col w:w="11060"/>
          </w:cols>
          <w:pgMar w:left="320" w:top="455" w:right="519" w:bottom="1440" w:gutter="0" w:footer="0" w:header="0"/>
          <w:type w:val="continuous"/>
        </w:sectPr>
      </w:pPr>
    </w:p>
    <w:bookmarkStart w:id="275" w:name="page276"/>
    <w:bookmarkEnd w:id="2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p>
      <w:pPr>
        <w:spacing w:after="0" w:line="2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3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Information regarding current year income tax expense based on the applicable Hong Kong tax rate is as follows:</w:t>
      </w:r>
    </w:p>
    <w:p>
      <w:pPr>
        <w:spacing w:after="0" w:line="246"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590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2021</w:t>
            </w:r>
          </w:p>
        </w:tc>
        <w:tc>
          <w:tcPr>
            <w:tcW w:w="30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2020</w:t>
            </w:r>
          </w:p>
        </w:tc>
        <w:tc>
          <w:tcPr>
            <w:tcW w:w="30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40" w:type="dxa"/>
            <w:vAlign w:val="bottom"/>
            <w:tcBorders>
              <w:bottom w:val="single" w:sz="8" w:color="CCEEFF"/>
            </w:tcBorders>
          </w:tcPr>
          <w:p>
            <w:pPr>
              <w:spacing w:after="0"/>
              <w:rPr>
                <w:sz w:val="15"/>
                <w:szCs w:val="15"/>
                <w:color w:val="auto"/>
              </w:rPr>
            </w:pPr>
          </w:p>
        </w:tc>
      </w:tr>
      <w:tr>
        <w:trPr>
          <w:trHeight w:val="209"/>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tax for the year</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(1,007,118)</w:t>
            </w: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(471,323)</w:t>
            </w: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(195,960)</w:t>
            </w:r>
          </w:p>
        </w:tc>
        <w:tc>
          <w:tcPr>
            <w:tcW w:w="140" w:type="dxa"/>
            <w:vAlign w:val="bottom"/>
            <w:shd w:val="clear" w:color="auto" w:fill="CCEEFF"/>
          </w:tcPr>
          <w:p>
            <w:pPr>
              <w:spacing w:after="0"/>
              <w:rPr>
                <w:sz w:val="18"/>
                <w:szCs w:val="18"/>
                <w:color w:val="auto"/>
              </w:rPr>
            </w:pPr>
          </w:p>
        </w:tc>
      </w:tr>
      <w:tr>
        <w:trPr>
          <w:trHeight w:val="216"/>
        </w:trPr>
        <w:tc>
          <w:tcPr>
            <w:tcW w:w="590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Tax according to the applicable Hong Kong tax rate</w:t>
            </w:r>
            <w:r>
              <w:rPr>
                <w:rFonts w:ascii="Times New Roman" w:cs="Times New Roman" w:eastAsia="Times New Roman" w:hAnsi="Times New Roman"/>
                <w:sz w:val="25"/>
                <w:szCs w:val="25"/>
                <w:color w:val="auto"/>
                <w:vertAlign w:val="superscript"/>
              </w:rPr>
              <w:t>1</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166,174</w:t>
            </w: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74,449</w:t>
            </w: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48,989</w:t>
            </w:r>
          </w:p>
        </w:tc>
        <w:tc>
          <w:tcPr>
            <w:tcW w:w="140" w:type="dxa"/>
            <w:vAlign w:val="bottom"/>
          </w:tcPr>
          <w:p>
            <w:pPr>
              <w:spacing w:after="0"/>
              <w:rPr>
                <w:sz w:val="18"/>
                <w:szCs w:val="18"/>
                <w:color w:val="auto"/>
              </w:rPr>
            </w:pPr>
          </w:p>
        </w:tc>
      </w:tr>
      <w:tr>
        <w:trPr>
          <w:trHeight w:val="216"/>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income/costs, non-taxable</w:t>
            </w: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(5,407)</w:t>
            </w: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(2,178)</w:t>
            </w: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(2,060)</w:t>
            </w:r>
          </w:p>
        </w:tc>
      </w:tr>
      <w:tr>
        <w:trPr>
          <w:trHeight w:val="216"/>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Effect of different tax rates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64,384</w:t>
            </w: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34,700</w:t>
            </w:r>
          </w:p>
        </w:tc>
        <w:tc>
          <w:tcPr>
            <w:tcW w:w="30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(2,022)</w:t>
            </w:r>
          </w:p>
        </w:tc>
      </w:tr>
      <w:tr>
        <w:trPr>
          <w:trHeight w:val="216"/>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effect on deferred tax due to change of tax rate</w:t>
            </w:r>
          </w:p>
        </w:tc>
        <w:tc>
          <w:tcPr>
            <w:tcW w:w="12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(575)</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w:t>
            </w:r>
          </w:p>
        </w:tc>
        <w:tc>
          <w:tcPr>
            <w:tcW w:w="140" w:type="dxa"/>
            <w:vAlign w:val="bottom"/>
            <w:shd w:val="clear" w:color="auto" w:fill="CCEEFF"/>
          </w:tcPr>
          <w:p>
            <w:pPr>
              <w:spacing w:after="0"/>
              <w:rPr>
                <w:sz w:val="18"/>
                <w:szCs w:val="18"/>
                <w:color w:val="auto"/>
              </w:rPr>
            </w:pPr>
          </w:p>
        </w:tc>
      </w:tr>
      <w:tr>
        <w:trPr>
          <w:trHeight w:val="216"/>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Withholding tax</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(2,517)</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(7,147)</w:t>
            </w: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(5,796)</w:t>
            </w:r>
          </w:p>
        </w:tc>
      </w:tr>
      <w:tr>
        <w:trPr>
          <w:trHeight w:val="216"/>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Non-recognition of deferred tax assets on other temporary differences</w:t>
            </w: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(9,042)</w:t>
            </w: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(32,223)</w:t>
            </w: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(14,869)</w:t>
            </w:r>
          </w:p>
        </w:tc>
      </w:tr>
      <w:tr>
        <w:trPr>
          <w:trHeight w:val="216"/>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Not recognised tax loss carry-forward</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(213,928)</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(80,434)</w:t>
            </w: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(26,847)</w:t>
            </w:r>
          </w:p>
        </w:tc>
      </w:tr>
      <w:tr>
        <w:trPr>
          <w:trHeight w:val="216"/>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2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(127)</w:t>
            </w: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(403)</w:t>
            </w:r>
          </w:p>
        </w:tc>
      </w:tr>
      <w:tr>
        <w:trPr>
          <w:trHeight w:val="223"/>
        </w:trPr>
        <w:tc>
          <w:tcPr>
            <w:tcW w:w="5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(336)</w:t>
            </w:r>
          </w:p>
        </w:tc>
        <w:tc>
          <w:tcPr>
            <w:tcW w:w="30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(13,535)</w:t>
            </w:r>
          </w:p>
        </w:tc>
        <w:tc>
          <w:tcPr>
            <w:tcW w:w="30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(2,015)</w:t>
            </w:r>
          </w:p>
        </w:tc>
        <w:tc>
          <w:tcPr>
            <w:tcW w:w="140" w:type="dxa"/>
            <w:vAlign w:val="bottom"/>
          </w:tcPr>
          <w:p>
            <w:pPr>
              <w:spacing w:after="0"/>
              <w:rPr>
                <w:sz w:val="19"/>
                <w:szCs w:val="19"/>
                <w:color w:val="auto"/>
              </w:rPr>
            </w:pPr>
          </w:p>
        </w:tc>
      </w:tr>
    </w:tbl>
    <w:p>
      <w:pPr>
        <w:spacing w:after="0" w:line="23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1  – 2021: 16.5%, 2020: 15.8%, 2019: 25% (Chinese tax rate, see Note 3 – Common control transaction).</w:t>
      </w:r>
    </w:p>
    <w:p>
      <w:pPr>
        <w:spacing w:after="0" w:line="225"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Information regarding the income tax expense for 2019 is based on the applicable Chinese tax rate (25%). The shift from the applicable Chinese tax rate in 2019 to the applicable Hong Kong tax rate in 2020 is due to the change in group composition that occurred in September 2020. The restructuring represented a common control transaction and resulted in certain tax losses in Sweden of $30,418 to be forfeited. Refer to Note 3—Common control transaction for further discussion. The Hong Kong tax rate in the table above is reflective of the Inland Revenue (Amendment (No. 7) Bill 2017 (the “Bill”), which was passed by the Hong Kong Legislative Council in 2018. The Bill introduces the two-tiered profits tax rates regime, under which, the first 2,000,000 Hong Kong Dollar (“HKD”) of profits of the qualifying group entity will be taxed at 8.25%, and profits above 2,000,000 HKD will be taxed at 16.5%.</w:t>
      </w:r>
    </w:p>
    <w:p>
      <w:pPr>
        <w:spacing w:after="0" w:line="1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Information regarding the composition of recognised deferred tax assets is as follows:</w:t>
      </w:r>
    </w:p>
    <w:p>
      <w:pPr>
        <w:spacing w:after="0" w:line="246"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69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b w:val="1"/>
                <w:bCs w:val="1"/>
                <w:color w:val="auto"/>
              </w:rPr>
              <w:t>Specification of deferred tax assets</w:t>
            </w:r>
          </w:p>
        </w:tc>
        <w:tc>
          <w:tcPr>
            <w:tcW w:w="5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2021</w:t>
            </w:r>
          </w:p>
        </w:tc>
        <w:tc>
          <w:tcPr>
            <w:tcW w:w="30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2020</w:t>
            </w:r>
          </w:p>
        </w:tc>
        <w:tc>
          <w:tcPr>
            <w:tcW w:w="60" w:type="dxa"/>
            <w:vAlign w:val="bottom"/>
            <w:tcBorders>
              <w:bottom w:val="single" w:sz="8" w:color="CCEEFF"/>
            </w:tcBorders>
          </w:tcPr>
          <w:p>
            <w:pPr>
              <w:spacing w:after="0"/>
              <w:rPr>
                <w:sz w:val="15"/>
                <w:szCs w:val="15"/>
                <w:color w:val="auto"/>
              </w:rPr>
            </w:pPr>
          </w:p>
        </w:tc>
      </w:tr>
      <w:tr>
        <w:trPr>
          <w:trHeight w:val="210"/>
        </w:trPr>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Unutilised tax loss carry-forward</w:t>
            </w:r>
          </w:p>
        </w:tc>
        <w:tc>
          <w:tcPr>
            <w:tcW w:w="5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93"/>
              </w:rPr>
              <w:t>1,031</w:t>
            </w:r>
          </w:p>
        </w:tc>
        <w:tc>
          <w:tcPr>
            <w:tcW w:w="60" w:type="dxa"/>
            <w:vAlign w:val="bottom"/>
            <w:shd w:val="clear" w:color="auto" w:fill="CCEEFF"/>
          </w:tcPr>
          <w:p>
            <w:pPr>
              <w:spacing w:after="0"/>
              <w:rPr>
                <w:sz w:val="18"/>
                <w:szCs w:val="18"/>
                <w:color w:val="auto"/>
              </w:rPr>
            </w:pPr>
          </w:p>
        </w:tc>
      </w:tr>
      <w:tr>
        <w:trPr>
          <w:trHeight w:val="216"/>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Other temporary differences</w:t>
            </w:r>
          </w:p>
        </w:tc>
        <w:tc>
          <w:tcPr>
            <w:tcW w:w="8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3,850</w:t>
            </w:r>
          </w:p>
        </w:tc>
        <w:tc>
          <w:tcPr>
            <w:tcW w:w="6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1,126</w:t>
            </w:r>
          </w:p>
        </w:tc>
      </w:tr>
      <w:tr>
        <w:trPr>
          <w:trHeight w:val="27"/>
        </w:trPr>
        <w:tc>
          <w:tcPr>
            <w:tcW w:w="694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Recognised value of deferred tax assets as of December 31</w:t>
            </w:r>
          </w:p>
        </w:tc>
        <w:tc>
          <w:tcPr>
            <w:tcW w:w="8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3,850</w:t>
            </w:r>
          </w:p>
        </w:tc>
        <w:tc>
          <w:tcPr>
            <w:tcW w:w="6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2,157</w:t>
            </w:r>
          </w:p>
        </w:tc>
      </w:tr>
      <w:tr>
        <w:trPr>
          <w:trHeight w:val="20"/>
        </w:trPr>
        <w:tc>
          <w:tcPr>
            <w:tcW w:w="69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As of December 31, 2021 and 2020, deferred tax liabilities related to intangible assets amounted to $509 and $6,548, respectively.</w:t>
      </w:r>
    </w:p>
    <w:p>
      <w:pPr>
        <w:spacing w:after="0" w:line="225"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All changes in deferred tax assets and liabilities have been reported in the Consolidated Statement of Loss for the years ended December 31, 2021, 2020 and 2019, respectively.</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Information regarding unrecognised deferred tax assets:</w:t>
      </w:r>
    </w:p>
    <w:p>
      <w:pPr>
        <w:spacing w:after="0" w:line="225"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The Group recognises deferred tax assets to the extent that the Group believes that the likelihood of recognition is probable. In making such a determination, the Group considers reversals of existing taxable temporary differences, projected future taxable income, tax-planning strategies and the results of recent operations. As of December 31, 2021 and 2020, the Group made the judgement that there is not sufficient, objectively verifiable evidence available which would demonstrate that it is more likely than not that the Group would be able to</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F-41</w:t>
      </w:r>
    </w:p>
    <w:p>
      <w:pPr>
        <w:sectPr>
          <w:pgSz w:w="11900" w:h="16838" w:orient="portrait"/>
          <w:cols w:equalWidth="0" w:num="1">
            <w:col w:w="11080"/>
          </w:cols>
          <w:pgMar w:left="320" w:top="455" w:right="499" w:bottom="1440" w:gutter="0" w:footer="0" w:header="0"/>
        </w:sectPr>
      </w:pPr>
    </w:p>
    <w:bookmarkStart w:id="276" w:name="page277"/>
    <w:bookmarkEnd w:id="2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p>
      <w:pPr>
        <w:spacing w:after="0" w:line="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34"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realise all deferred tax assets in the future. This resulted in deferred tax assets not being recognised for a tax effected amount of $339,389 and $125,464 as of December 31, 2021 and 2020, respectively. Unrecognised deferred tax assets are reassessed at each reporting date and recognised to the extent that it has become probable that future taxable profits will be available against which they can be used. Significant management judgements and assumptions are required in determining the recognition of deferred tax assets related to tax losses and other temporary deductible differences. A change in judgement or assumption could have a material impact on the recognition of deferred tax assets.</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Tax loss carryforwards through the year of expiration are as follows:</w:t>
      </w:r>
    </w:p>
    <w:p>
      <w:pPr>
        <w:spacing w:after="0" w:line="246"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62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b w:val="1"/>
                <w:bCs w:val="1"/>
                <w:color w:val="auto"/>
              </w:rPr>
              <w:t>Due date</w:t>
            </w:r>
          </w:p>
        </w:tc>
        <w:tc>
          <w:tcPr>
            <w:tcW w:w="94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2021</w:t>
            </w:r>
          </w:p>
        </w:tc>
        <w:tc>
          <w:tcPr>
            <w:tcW w:w="300" w:type="dxa"/>
            <w:vAlign w:val="bottom"/>
            <w:tcBorders>
              <w:bottom w:val="single" w:sz="8" w:color="CCEEFF"/>
            </w:tcBorders>
          </w:tcPr>
          <w:p>
            <w:pPr>
              <w:spacing w:after="0"/>
              <w:rPr>
                <w:sz w:val="15"/>
                <w:szCs w:val="15"/>
                <w:color w:val="auto"/>
              </w:rPr>
            </w:pPr>
          </w:p>
        </w:tc>
        <w:tc>
          <w:tcPr>
            <w:tcW w:w="80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2020</w:t>
            </w:r>
          </w:p>
        </w:tc>
        <w:tc>
          <w:tcPr>
            <w:tcW w:w="60" w:type="dxa"/>
            <w:vAlign w:val="bottom"/>
            <w:tcBorders>
              <w:bottom w:val="single" w:sz="8" w:color="CCEEFF"/>
            </w:tcBorders>
          </w:tcPr>
          <w:p>
            <w:pPr>
              <w:spacing w:after="0"/>
              <w:rPr>
                <w:sz w:val="15"/>
                <w:szCs w:val="15"/>
                <w:color w:val="auto"/>
              </w:rPr>
            </w:pPr>
          </w:p>
        </w:tc>
      </w:tr>
      <w:tr>
        <w:trPr>
          <w:trHeight w:val="209"/>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2022</w:t>
            </w:r>
          </w:p>
        </w:tc>
        <w:tc>
          <w:tcPr>
            <w:tcW w:w="9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r>
      <w:tr>
        <w:trPr>
          <w:trHeight w:val="216"/>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12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12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74,736</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74,736</w:t>
            </w:r>
          </w:p>
        </w:tc>
      </w:tr>
      <w:tr>
        <w:trPr>
          <w:trHeight w:val="216"/>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12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193,596</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186,930</w:t>
            </w:r>
          </w:p>
        </w:tc>
      </w:tr>
      <w:tr>
        <w:trPr>
          <w:trHeight w:val="216"/>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12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158,427</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291,494</w:t>
            </w:r>
          </w:p>
        </w:tc>
      </w:tr>
      <w:tr>
        <w:trPr>
          <w:trHeight w:val="223"/>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2027 onwards</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1,126,554</w:t>
            </w:r>
          </w:p>
        </w:tc>
        <w:tc>
          <w:tcPr>
            <w:tcW w:w="300" w:type="dxa"/>
            <w:vAlign w:val="bottom"/>
          </w:tcPr>
          <w:p>
            <w:pPr>
              <w:spacing w:after="0"/>
              <w:rPr>
                <w:sz w:val="19"/>
                <w:szCs w:val="19"/>
                <w:color w:val="auto"/>
              </w:rPr>
            </w:pPr>
          </w:p>
        </w:tc>
        <w:tc>
          <w:tcPr>
            <w:tcW w:w="80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r>
      <w:tr>
        <w:trPr>
          <w:trHeight w:val="216"/>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Tax loss carryforwards as of December 31</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1,553,313</w:t>
            </w:r>
          </w:p>
        </w:tc>
        <w:tc>
          <w:tcPr>
            <w:tcW w:w="3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553,160</w:t>
            </w:r>
          </w:p>
        </w:tc>
      </w:tr>
      <w:tr>
        <w:trPr>
          <w:trHeight w:val="20"/>
        </w:trPr>
        <w:tc>
          <w:tcPr>
            <w:tcW w:w="62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120"/>
        <w:spacing w:after="0" w:line="261" w:lineRule="auto"/>
        <w:rPr>
          <w:sz w:val="20"/>
          <w:szCs w:val="20"/>
          <w:color w:val="auto"/>
        </w:rPr>
      </w:pPr>
      <w:r>
        <w:rPr>
          <w:rFonts w:ascii="Times New Roman" w:cs="Times New Roman" w:eastAsia="Times New Roman" w:hAnsi="Times New Roman"/>
          <w:sz w:val="18"/>
          <w:szCs w:val="18"/>
          <w:color w:val="auto"/>
        </w:rPr>
        <w:t>The increase in tax losses available for carryforward are mainly attributable to the decline in earnings as a consequence of the Group scaling headcount and research and development expenses to meet the demands of the growing business. Tax losses in Sweden of $1,113,842 have an indefinite carryforward period. Tax losses in China of $430,035 have a five-year carryforward period. Other deductible temporary differences with a tax value of $40,544 and $32,265 have not been recognized as of December 31, 2021 and 2020, respectively.</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11 – Net loss per share</w:t>
      </w:r>
    </w:p>
    <w:p>
      <w:pPr>
        <w:spacing w:after="0" w:line="121" w:lineRule="exact"/>
        <w:rPr>
          <w:sz w:val="20"/>
          <w:szCs w:val="20"/>
          <w:color w:val="auto"/>
        </w:rPr>
      </w:pPr>
    </w:p>
    <w:p>
      <w:pPr>
        <w:ind w:left="120" w:right="60"/>
        <w:spacing w:after="0" w:line="255" w:lineRule="auto"/>
        <w:rPr>
          <w:sz w:val="20"/>
          <w:szCs w:val="20"/>
          <w:color w:val="auto"/>
        </w:rPr>
      </w:pPr>
      <w:r>
        <w:rPr>
          <w:rFonts w:ascii="Times New Roman" w:cs="Times New Roman" w:eastAsia="Times New Roman" w:hAnsi="Times New Roman"/>
          <w:sz w:val="18"/>
          <w:szCs w:val="18"/>
          <w:color w:val="auto"/>
        </w:rPr>
        <w:t>Basic Net loss per share is calculated by dividing Net loss attributable to common shareholders by the weighted average number of shares outstanding during the year. Diluted Net loss per share takes into account the impact of events which increase the number of issued shares. For the year ended December 31, 2021, 4,306,466 shares issuable upon conversion of the convertible notes were excluded from the diluted weighted average number of ordinary shares calculation as their effect would have been anti-dilutive. Refer to Note 18 - Equity for further details related to the convertible notes. No dilutive event occurred for the years ended December 31, 2020 or 2019. Dilutive Net loss per share was the same as basic Net loss per share for all periods presented. The following table presents the computation of basic and diluted Net loss per share for the years ended December 31, 2021, 2020 and 2019:</w:t>
      </w:r>
    </w:p>
    <w:p>
      <w:pPr>
        <w:spacing w:after="0" w:line="209"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4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14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r>
      <w:tr>
        <w:trPr>
          <w:trHeight w:val="142"/>
        </w:trPr>
        <w:tc>
          <w:tcPr>
            <w:tcW w:w="2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12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2021</w:t>
            </w:r>
          </w:p>
        </w:tc>
        <w:tc>
          <w:tcPr>
            <w:tcW w:w="100" w:type="dxa"/>
            <w:vAlign w:val="bottom"/>
          </w:tcPr>
          <w:p>
            <w:pPr>
              <w:spacing w:after="0"/>
              <w:rPr>
                <w:sz w:val="12"/>
                <w:szCs w:val="12"/>
                <w:color w:val="auto"/>
              </w:rPr>
            </w:pPr>
          </w:p>
        </w:tc>
        <w:tc>
          <w:tcPr>
            <w:tcW w:w="1320" w:type="dxa"/>
            <w:vAlign w:val="bottom"/>
            <w:gridSpan w:val="2"/>
          </w:tcPr>
          <w:p>
            <w:pPr>
              <w:jc w:val="center"/>
              <w:ind w:left="77"/>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2020</w:t>
            </w: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2019</w:t>
            </w:r>
          </w:p>
        </w:tc>
        <w:tc>
          <w:tcPr>
            <w:tcW w:w="140" w:type="dxa"/>
            <w:vAlign w:val="bottom"/>
          </w:tcPr>
          <w:p>
            <w:pPr>
              <w:spacing w:after="0"/>
              <w:rPr>
                <w:sz w:val="12"/>
                <w:szCs w:val="12"/>
                <w:color w:val="auto"/>
              </w:rPr>
            </w:pPr>
          </w:p>
        </w:tc>
      </w:tr>
      <w:tr>
        <w:trPr>
          <w:trHeight w:val="117"/>
        </w:trPr>
        <w:tc>
          <w:tcPr>
            <w:tcW w:w="20" w:type="dxa"/>
            <w:vAlign w:val="bottom"/>
          </w:tcPr>
          <w:p>
            <w:pPr>
              <w:spacing w:after="0"/>
              <w:rPr>
                <w:sz w:val="10"/>
                <w:szCs w:val="10"/>
                <w:color w:val="auto"/>
              </w:rPr>
            </w:pPr>
          </w:p>
        </w:tc>
        <w:tc>
          <w:tcPr>
            <w:tcW w:w="44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12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Class A and B</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2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Class A</w:t>
            </w:r>
          </w:p>
        </w:tc>
        <w:tc>
          <w:tcPr>
            <w:tcW w:w="120" w:type="dxa"/>
            <w:vAlign w:val="bottom"/>
            <w:tcBorders>
              <w:right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114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Class A</w:t>
            </w:r>
          </w:p>
        </w:tc>
        <w:tc>
          <w:tcPr>
            <w:tcW w:w="140" w:type="dxa"/>
            <w:vAlign w:val="bottom"/>
          </w:tcPr>
          <w:p>
            <w:pPr>
              <w:spacing w:after="0"/>
              <w:rPr>
                <w:sz w:val="10"/>
                <w:szCs w:val="10"/>
                <w:color w:val="auto"/>
              </w:rPr>
            </w:pPr>
          </w:p>
        </w:tc>
      </w:tr>
      <w:tr>
        <w:trPr>
          <w:trHeight w:val="173"/>
        </w:trPr>
        <w:tc>
          <w:tcPr>
            <w:tcW w:w="20" w:type="dxa"/>
            <w:vAlign w:val="bottom"/>
          </w:tcPr>
          <w:p>
            <w:pPr>
              <w:spacing w:after="0"/>
              <w:rPr>
                <w:sz w:val="15"/>
                <w:szCs w:val="15"/>
                <w:color w:val="auto"/>
              </w:rPr>
            </w:pPr>
          </w:p>
        </w:tc>
        <w:tc>
          <w:tcPr>
            <w:tcW w:w="44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200" w:type="dxa"/>
            <w:vAlign w:val="bottom"/>
          </w:tcPr>
          <w:p>
            <w:pPr>
              <w:spacing w:after="0"/>
              <w:rPr>
                <w:sz w:val="15"/>
                <w:szCs w:val="15"/>
                <w:color w:val="auto"/>
              </w:rPr>
            </w:pPr>
          </w:p>
        </w:tc>
        <w:tc>
          <w:tcPr>
            <w:tcW w:w="1240" w:type="dxa"/>
            <w:vAlign w:val="bottom"/>
            <w:tcBorders>
              <w:right w:val="single" w:sz="8" w:color="auto"/>
            </w:tcBorders>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340" w:type="dxa"/>
            <w:vAlign w:val="bottom"/>
          </w:tcPr>
          <w:p>
            <w:pPr>
              <w:spacing w:after="0"/>
              <w:rPr>
                <w:sz w:val="15"/>
                <w:szCs w:val="15"/>
                <w:color w:val="auto"/>
              </w:rPr>
            </w:pPr>
          </w:p>
        </w:tc>
        <w:tc>
          <w:tcPr>
            <w:tcW w:w="12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Common</w:t>
            </w:r>
          </w:p>
        </w:tc>
      </w:tr>
      <w:tr>
        <w:trPr>
          <w:trHeight w:val="196"/>
        </w:trPr>
        <w:tc>
          <w:tcPr>
            <w:tcW w:w="20" w:type="dxa"/>
            <w:vAlign w:val="bottom"/>
          </w:tcPr>
          <w:p>
            <w:pPr>
              <w:spacing w:after="0"/>
              <w:rPr>
                <w:sz w:val="17"/>
                <w:szCs w:val="17"/>
                <w:color w:val="auto"/>
              </w:rPr>
            </w:pPr>
          </w:p>
        </w:tc>
        <w:tc>
          <w:tcPr>
            <w:tcW w:w="442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Numerator:</w:t>
            </w:r>
          </w:p>
        </w:tc>
        <w:tc>
          <w:tcPr>
            <w:tcW w:w="54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right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r>
      <w:tr>
        <w:trPr>
          <w:trHeight w:val="223"/>
        </w:trPr>
        <w:tc>
          <w:tcPr>
            <w:tcW w:w="20" w:type="dxa"/>
            <w:vAlign w:val="bottom"/>
          </w:tcPr>
          <w:p>
            <w:pPr>
              <w:spacing w:after="0"/>
              <w:rPr>
                <w:sz w:val="19"/>
                <w:szCs w:val="19"/>
                <w:color w:val="auto"/>
              </w:rPr>
            </w:pPr>
          </w:p>
        </w:tc>
        <w:tc>
          <w:tcPr>
            <w:tcW w:w="4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 attributable to common shareholders</w:t>
            </w:r>
          </w:p>
        </w:tc>
        <w:tc>
          <w:tcPr>
            <w:tcW w:w="17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(1,007,454)</w:t>
            </w:r>
          </w:p>
        </w:tc>
        <w:tc>
          <w:tcPr>
            <w:tcW w:w="1440" w:type="dxa"/>
            <w:vAlign w:val="bottom"/>
            <w:tcBorders>
              <w:right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(484,858)</w:t>
            </w:r>
          </w:p>
        </w:tc>
        <w:tc>
          <w:tcPr>
            <w:tcW w:w="340" w:type="dxa"/>
            <w:vAlign w:val="bottom"/>
          </w:tcPr>
          <w:p>
            <w:pPr>
              <w:spacing w:after="0"/>
              <w:rPr>
                <w:sz w:val="19"/>
                <w:szCs w:val="19"/>
                <w:color w:val="auto"/>
              </w:rPr>
            </w:pP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(197,975)</w:t>
            </w: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Denominator:</w:t>
            </w:r>
          </w:p>
        </w:tc>
        <w:tc>
          <w:tcPr>
            <w:tcW w:w="54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8"/>
              </w:rPr>
              <w:t>Weighted-average number of common shares outstanding</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229,341,491</w:t>
            </w:r>
          </w:p>
        </w:tc>
        <w:tc>
          <w:tcPr>
            <w:tcW w:w="100" w:type="dxa"/>
            <w:vAlign w:val="bottom"/>
          </w:tcPr>
          <w:p>
            <w:pPr>
              <w:spacing w:after="0"/>
              <w:rPr>
                <w:sz w:val="19"/>
                <w:szCs w:val="19"/>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201,727,758</w:t>
            </w:r>
          </w:p>
        </w:tc>
        <w:tc>
          <w:tcPr>
            <w:tcW w:w="120" w:type="dxa"/>
            <w:vAlign w:val="bottom"/>
            <w:tcBorders>
              <w:right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200,000,000</w:t>
            </w:r>
          </w:p>
        </w:tc>
        <w:tc>
          <w:tcPr>
            <w:tcW w:w="14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per share (in U.S. dollars):</w:t>
            </w:r>
          </w:p>
        </w:tc>
        <w:tc>
          <w:tcPr>
            <w:tcW w:w="54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36"/>
        </w:trPr>
        <w:tc>
          <w:tcPr>
            <w:tcW w:w="20" w:type="dxa"/>
            <w:vAlign w:val="bottom"/>
          </w:tcPr>
          <w:p>
            <w:pPr>
              <w:spacing w:after="0"/>
              <w:rPr>
                <w:sz w:val="20"/>
                <w:szCs w:val="20"/>
                <w:color w:val="auto"/>
              </w:rPr>
            </w:pPr>
          </w:p>
        </w:tc>
        <w:tc>
          <w:tcPr>
            <w:tcW w:w="4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Basic and diluted</w:t>
            </w:r>
          </w:p>
        </w:tc>
        <w:tc>
          <w:tcPr>
            <w:tcW w:w="540" w:type="dxa"/>
            <w:vAlign w:val="bottom"/>
          </w:tcPr>
          <w:p>
            <w:pPr>
              <w:spacing w:after="0"/>
              <w:rPr>
                <w:sz w:val="20"/>
                <w:szCs w:val="20"/>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(4.39)</w:t>
            </w:r>
          </w:p>
        </w:tc>
        <w:tc>
          <w:tcPr>
            <w:tcW w:w="1440" w:type="dxa"/>
            <w:vAlign w:val="bottom"/>
            <w:tcBorders>
              <w:right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(2.40)</w:t>
            </w:r>
          </w:p>
        </w:tc>
        <w:tc>
          <w:tcPr>
            <w:tcW w:w="340" w:type="dxa"/>
            <w:vAlign w:val="bottom"/>
          </w:tcPr>
          <w:p>
            <w:pPr>
              <w:spacing w:after="0"/>
              <w:rPr>
                <w:sz w:val="20"/>
                <w:szCs w:val="20"/>
                <w:color w:val="auto"/>
              </w:rPr>
            </w:pP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(0.99)</w:t>
            </w:r>
          </w:p>
        </w:tc>
      </w:tr>
      <w:tr>
        <w:trPr>
          <w:trHeight w:val="352"/>
        </w:trPr>
        <w:tc>
          <w:tcPr>
            <w:tcW w:w="2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F-42</w:t>
            </w:r>
          </w:p>
        </w:tc>
        <w:tc>
          <w:tcPr>
            <w:tcW w:w="11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r>
    </w:tbl>
    <w:p>
      <w:pPr>
        <w:sectPr>
          <w:pgSz w:w="11900" w:h="16838" w:orient="portrait"/>
          <w:cols w:equalWidth="0" w:num="1">
            <w:col w:w="11120"/>
          </w:cols>
          <w:pgMar w:left="320" w:top="455" w:right="459" w:bottom="1440" w:gutter="0" w:footer="0" w:header="0"/>
        </w:sectPr>
      </w:pPr>
    </w:p>
    <w:bookmarkStart w:id="277" w:name="page278"/>
    <w:bookmarkEnd w:id="2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p>
      <w:pPr>
        <w:spacing w:after="0" w:line="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34"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On September 14, 2020 as part of the common control transaction described in Note 3 - Common control transaction, 200,000,000 shares were issued to existing owners. For the purposes of calculating basic and diluted net loss per share, these shares are treated as issued and outstanding from January 1, 2019 through December 31, 2020.</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Refer to Note 18 - Equity for more details on the rights of Class A and B common shareholders.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12 – Intangible assets and goodwill</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Intangible assets were as follows:</w:t>
      </w:r>
    </w:p>
    <w:p>
      <w:pPr>
        <w:spacing w:after="0" w:line="233" w:lineRule="exact"/>
        <w:rPr>
          <w:sz w:val="20"/>
          <w:szCs w:val="20"/>
          <w:color w:val="auto"/>
        </w:rPr>
      </w:pPr>
    </w:p>
    <w:tbl>
      <w:tblPr>
        <w:tblLayout w:type="fixed"/>
        <w:tblInd w:w="560" w:type="dxa"/>
        <w:tblCellMar>
          <w:top w:w="0" w:type="dxa"/>
          <w:left w:w="0" w:type="dxa"/>
          <w:bottom w:w="0" w:type="dxa"/>
          <w:right w:w="0" w:type="dxa"/>
        </w:tblCellMar>
      </w:tblPr>
      <w:tr>
        <w:trPr>
          <w:trHeight w:val="37"/>
        </w:trPr>
        <w:tc>
          <w:tcPr>
            <w:tcW w:w="20" w:type="dxa"/>
            <w:vAlign w:val="bottom"/>
          </w:tcPr>
          <w:p>
            <w:pPr>
              <w:spacing w:after="0"/>
              <w:rPr>
                <w:sz w:val="3"/>
                <w:szCs w:val="3"/>
                <w:color w:val="auto"/>
              </w:rPr>
            </w:pPr>
          </w:p>
        </w:tc>
        <w:tc>
          <w:tcPr>
            <w:tcW w:w="5640" w:type="dxa"/>
            <w:vAlign w:val="bottom"/>
          </w:tcPr>
          <w:p>
            <w:pPr>
              <w:spacing w:after="0"/>
              <w:rPr>
                <w:sz w:val="3"/>
                <w:szCs w:val="3"/>
                <w:color w:val="auto"/>
              </w:rPr>
            </w:pPr>
          </w:p>
        </w:tc>
        <w:tc>
          <w:tcPr>
            <w:tcW w:w="1240" w:type="dxa"/>
            <w:vAlign w:val="bottom"/>
            <w:gridSpan w:val="2"/>
            <w:vMerge w:val="restart"/>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Internally</w:t>
            </w:r>
          </w:p>
        </w:tc>
        <w:tc>
          <w:tcPr>
            <w:tcW w:w="90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Software</w:t>
            </w:r>
          </w:p>
        </w:tc>
        <w:tc>
          <w:tcPr>
            <w:tcW w:w="9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Acquired IP</w:t>
            </w:r>
          </w:p>
        </w:tc>
        <w:tc>
          <w:tcPr>
            <w:tcW w:w="400" w:type="dxa"/>
            <w:vAlign w:val="bottom"/>
          </w:tcPr>
          <w:p>
            <w:pPr>
              <w:spacing w:after="0"/>
              <w:rPr>
                <w:sz w:val="3"/>
                <w:szCs w:val="3"/>
                <w:color w:val="auto"/>
              </w:rPr>
            </w:pPr>
          </w:p>
        </w:tc>
        <w:tc>
          <w:tcPr>
            <w:tcW w:w="98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5640" w:type="dxa"/>
            <w:vAlign w:val="bottom"/>
          </w:tcPr>
          <w:p>
            <w:pPr>
              <w:spacing w:after="0"/>
              <w:rPr>
                <w:sz w:val="10"/>
                <w:szCs w:val="10"/>
                <w:color w:val="auto"/>
              </w:rPr>
            </w:pPr>
          </w:p>
        </w:tc>
        <w:tc>
          <w:tcPr>
            <w:tcW w:w="1240" w:type="dxa"/>
            <w:vAlign w:val="bottom"/>
            <w:gridSpan w:val="2"/>
            <w:vMerge w:val="continue"/>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400" w:type="dxa"/>
            <w:vAlign w:val="bottom"/>
            <w:tcBorders>
              <w:left w:val="single" w:sz="8" w:color="auto"/>
            </w:tcBorders>
          </w:tcPr>
          <w:p>
            <w:pPr>
              <w:spacing w:after="0"/>
              <w:rPr>
                <w:sz w:val="10"/>
                <w:szCs w:val="10"/>
                <w:color w:val="auto"/>
              </w:rPr>
            </w:pPr>
          </w:p>
        </w:tc>
        <w:tc>
          <w:tcPr>
            <w:tcW w:w="9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640" w:type="dxa"/>
            <w:vAlign w:val="bottom"/>
          </w:tcPr>
          <w:p>
            <w:pPr>
              <w:spacing w:after="0"/>
              <w:rPr>
                <w:sz w:val="15"/>
                <w:szCs w:val="15"/>
                <w:color w:val="auto"/>
              </w:rPr>
            </w:pPr>
          </w:p>
        </w:tc>
        <w:tc>
          <w:tcPr>
            <w:tcW w:w="124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developed IP</w:t>
            </w:r>
          </w:p>
        </w:tc>
        <w:tc>
          <w:tcPr>
            <w:tcW w:w="900" w:type="dxa"/>
            <w:vAlign w:val="bottom"/>
            <w:gridSpan w:val="2"/>
            <w:vMerge w:val="continue"/>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400" w:type="dxa"/>
            <w:vAlign w:val="bottom"/>
            <w:tcBorders>
              <w:left w:val="single" w:sz="8" w:color="auto"/>
            </w:tcBorders>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6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Acquisition cost</w:t>
            </w:r>
          </w:p>
        </w:tc>
        <w:tc>
          <w:tcPr>
            <w:tcW w:w="84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left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left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Balance as of January 1, 2020</w:t>
            </w:r>
          </w:p>
        </w:tc>
        <w:tc>
          <w:tcPr>
            <w:tcW w:w="12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15,314</w:t>
            </w: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215</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859,345</w:t>
            </w:r>
          </w:p>
        </w:tc>
        <w:tc>
          <w:tcPr>
            <w:tcW w:w="400" w:type="dxa"/>
            <w:vAlign w:val="bottom"/>
            <w:tcBorders>
              <w:left w:val="single" w:sz="8" w:color="auto"/>
            </w:tcBorders>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874,874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Additions</w:t>
            </w:r>
          </w:p>
        </w:tc>
        <w:tc>
          <w:tcPr>
            <w:tcW w:w="12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25,557</w:t>
            </w: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990</w:t>
            </w: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311,546</w:t>
            </w:r>
          </w:p>
        </w:tc>
        <w:tc>
          <w:tcPr>
            <w:tcW w:w="400" w:type="dxa"/>
            <w:vAlign w:val="bottom"/>
            <w:tcBorders>
              <w:left w:val="single" w:sz="8" w:color="auto"/>
            </w:tcBorders>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338,093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Effect of foreign currency exchange rate differences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3,131</w:t>
            </w:r>
          </w:p>
        </w:tc>
        <w:tc>
          <w:tcPr>
            <w:tcW w:w="40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138</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102,423</w:t>
            </w:r>
          </w:p>
        </w:tc>
        <w:tc>
          <w:tcPr>
            <w:tcW w:w="400" w:type="dxa"/>
            <w:vAlign w:val="bottom"/>
            <w:tcBorders>
              <w:left w:val="single" w:sz="8" w:color="auto"/>
            </w:tcBorders>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105,692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64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left w:val="single" w:sz="8" w:color="auto"/>
            </w:tcBorders>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2020</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44,002</w:t>
            </w:r>
          </w:p>
        </w:tc>
        <w:tc>
          <w:tcPr>
            <w:tcW w:w="400" w:type="dxa"/>
            <w:vAlign w:val="bottom"/>
            <w:tcBorders>
              <w:left w:val="single" w:sz="8" w:color="CCEEFF"/>
            </w:tcBorders>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1,343</w:t>
            </w: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1,273,314</w:t>
            </w:r>
          </w:p>
        </w:tc>
        <w:tc>
          <w:tcPr>
            <w:tcW w:w="400" w:type="dxa"/>
            <w:vAlign w:val="bottom"/>
            <w:tcBorders>
              <w:left w:val="single" w:sz="8" w:color="auto"/>
            </w:tcBorders>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1,318,659</w:t>
            </w:r>
          </w:p>
        </w:tc>
        <w:tc>
          <w:tcPr>
            <w:tcW w:w="0" w:type="dxa"/>
            <w:vAlign w:val="bottom"/>
          </w:tcPr>
          <w:p>
            <w:pPr>
              <w:spacing w:after="0"/>
              <w:rPr>
                <w:sz w:val="1"/>
                <w:szCs w:val="1"/>
                <w:color w:val="auto"/>
              </w:rPr>
            </w:pPr>
          </w:p>
        </w:tc>
      </w:tr>
      <w:tr>
        <w:trPr>
          <w:trHeight w:val="223"/>
        </w:trPr>
        <w:tc>
          <w:tcPr>
            <w:tcW w:w="5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Additions</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112,844</w:t>
            </w:r>
          </w:p>
        </w:tc>
        <w:tc>
          <w:tcPr>
            <w:tcW w:w="40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320" w:type="dxa"/>
            <w:vAlign w:val="bottom"/>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349,876</w:t>
            </w:r>
          </w:p>
        </w:tc>
        <w:tc>
          <w:tcPr>
            <w:tcW w:w="120" w:type="dxa"/>
            <w:vAlign w:val="bottom"/>
          </w:tcPr>
          <w:p>
            <w:pPr>
              <w:spacing w:after="0"/>
              <w:rPr>
                <w:sz w:val="19"/>
                <w:szCs w:val="19"/>
                <w:color w:val="auto"/>
              </w:rPr>
            </w:pPr>
          </w:p>
        </w:tc>
        <w:tc>
          <w:tcPr>
            <w:tcW w:w="400" w:type="dxa"/>
            <w:vAlign w:val="bottom"/>
            <w:tcBorders>
              <w:left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462,731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foreign currency exchange rate differences</w:t>
            </w:r>
          </w:p>
        </w:tc>
        <w:tc>
          <w:tcPr>
            <w:tcW w:w="12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(4,962)</w:t>
            </w: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(87)</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(81,335)</w:t>
            </w:r>
          </w:p>
        </w:tc>
        <w:tc>
          <w:tcPr>
            <w:tcW w:w="400" w:type="dxa"/>
            <w:vAlign w:val="bottom"/>
            <w:tcBorders>
              <w:left w:val="single" w:sz="8" w:color="auto"/>
            </w:tcBorders>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(86,384)</w:t>
            </w:r>
          </w:p>
        </w:tc>
        <w:tc>
          <w:tcPr>
            <w:tcW w:w="0" w:type="dxa"/>
            <w:vAlign w:val="bottom"/>
          </w:tcPr>
          <w:p>
            <w:pPr>
              <w:spacing w:after="0"/>
              <w:rPr>
                <w:sz w:val="1"/>
                <w:szCs w:val="1"/>
                <w:color w:val="auto"/>
              </w:rPr>
            </w:pPr>
          </w:p>
        </w:tc>
      </w:tr>
      <w:tr>
        <w:trPr>
          <w:trHeight w:val="223"/>
        </w:trPr>
        <w:tc>
          <w:tcPr>
            <w:tcW w:w="56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2021</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151,884</w:t>
            </w:r>
          </w:p>
        </w:tc>
        <w:tc>
          <w:tcPr>
            <w:tcW w:w="40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1,267</w:t>
            </w:r>
          </w:p>
        </w:tc>
        <w:tc>
          <w:tcPr>
            <w:tcW w:w="32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1,541,855</w:t>
            </w:r>
          </w:p>
        </w:tc>
        <w:tc>
          <w:tcPr>
            <w:tcW w:w="120" w:type="dxa"/>
            <w:vAlign w:val="bottom"/>
          </w:tcPr>
          <w:p>
            <w:pPr>
              <w:spacing w:after="0"/>
              <w:rPr>
                <w:sz w:val="19"/>
                <w:szCs w:val="19"/>
                <w:color w:val="auto"/>
              </w:rPr>
            </w:pPr>
          </w:p>
        </w:tc>
        <w:tc>
          <w:tcPr>
            <w:tcW w:w="400" w:type="dxa"/>
            <w:vAlign w:val="bottom"/>
            <w:tcBorders>
              <w:left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1,695,006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56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Borders>
              <w:left w:val="single" w:sz="8" w:color="auto"/>
            </w:tcBorders>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Accumulated amortisation and impairment</w:t>
            </w:r>
          </w:p>
        </w:tc>
        <w:tc>
          <w:tcPr>
            <w:tcW w:w="840" w:type="dxa"/>
            <w:vAlign w:val="bottom"/>
            <w:shd w:val="clear" w:color="auto" w:fill="CCEEFF"/>
          </w:tcPr>
          <w:p>
            <w:pPr>
              <w:spacing w:after="0"/>
              <w:rPr>
                <w:sz w:val="18"/>
                <w:szCs w:val="18"/>
                <w:color w:val="auto"/>
              </w:rPr>
            </w:pPr>
          </w:p>
        </w:tc>
        <w:tc>
          <w:tcPr>
            <w:tcW w:w="400" w:type="dxa"/>
            <w:vAlign w:val="bottom"/>
            <w:tcBorders>
              <w:left w:val="single" w:sz="8" w:color="CCEEFF"/>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tcBorders>
              <w:left w:val="single" w:sz="8" w:color="auto"/>
            </w:tcBorders>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Balance as of January 1, 2020</w:t>
            </w:r>
          </w:p>
        </w:tc>
        <w:tc>
          <w:tcPr>
            <w:tcW w:w="12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(13,202)</w:t>
            </w:r>
          </w:p>
        </w:tc>
        <w:tc>
          <w:tcPr>
            <w:tcW w:w="9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(19,984)</w:t>
            </w:r>
          </w:p>
        </w:tc>
        <w:tc>
          <w:tcPr>
            <w:tcW w:w="400" w:type="dxa"/>
            <w:vAlign w:val="bottom"/>
            <w:tcBorders>
              <w:left w:val="single" w:sz="8" w:color="auto"/>
            </w:tcBorders>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(33,186)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Amortisation expense</w:t>
            </w:r>
          </w:p>
        </w:tc>
        <w:tc>
          <w:tcPr>
            <w:tcW w:w="12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(1,143)</w:t>
            </w: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(133)</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(165,610)</w:t>
            </w:r>
          </w:p>
        </w:tc>
        <w:tc>
          <w:tcPr>
            <w:tcW w:w="400" w:type="dxa"/>
            <w:vAlign w:val="bottom"/>
            <w:tcBorders>
              <w:left w:val="single" w:sz="8" w:color="auto"/>
            </w:tcBorders>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(166,886)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Effect of foreign currency exchange rate differences</w:t>
            </w:r>
          </w:p>
        </w:tc>
        <w:tc>
          <w:tcPr>
            <w:tcW w:w="12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(1,901)</w:t>
            </w: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(7,410)</w:t>
            </w:r>
          </w:p>
        </w:tc>
        <w:tc>
          <w:tcPr>
            <w:tcW w:w="400" w:type="dxa"/>
            <w:vAlign w:val="bottom"/>
            <w:tcBorders>
              <w:left w:val="single" w:sz="8" w:color="auto"/>
            </w:tcBorders>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(9,316)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64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left w:val="single" w:sz="8" w:color="auto"/>
            </w:tcBorders>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2020</w:t>
            </w:r>
          </w:p>
        </w:tc>
        <w:tc>
          <w:tcPr>
            <w:tcW w:w="12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(16,246)</w:t>
            </w: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(138)</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(193,004)</w:t>
            </w:r>
          </w:p>
        </w:tc>
        <w:tc>
          <w:tcPr>
            <w:tcW w:w="400" w:type="dxa"/>
            <w:vAlign w:val="bottom"/>
            <w:tcBorders>
              <w:left w:val="single" w:sz="8" w:color="auto"/>
            </w:tcBorders>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(209,388)</w:t>
            </w:r>
          </w:p>
        </w:tc>
        <w:tc>
          <w:tcPr>
            <w:tcW w:w="0" w:type="dxa"/>
            <w:vAlign w:val="bottom"/>
          </w:tcPr>
          <w:p>
            <w:pPr>
              <w:spacing w:after="0"/>
              <w:rPr>
                <w:sz w:val="1"/>
                <w:szCs w:val="1"/>
                <w:color w:val="auto"/>
              </w:rPr>
            </w:pPr>
          </w:p>
        </w:tc>
      </w:tr>
      <w:tr>
        <w:trPr>
          <w:trHeight w:val="223"/>
        </w:trPr>
        <w:tc>
          <w:tcPr>
            <w:tcW w:w="5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Amortisation expense</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(1,025)</w:t>
            </w:r>
          </w:p>
        </w:tc>
        <w:tc>
          <w:tcPr>
            <w:tcW w:w="40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320" w:type="dxa"/>
            <w:vAlign w:val="bottom"/>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(187,194)</w:t>
            </w:r>
          </w:p>
        </w:tc>
        <w:tc>
          <w:tcPr>
            <w:tcW w:w="120" w:type="dxa"/>
            <w:vAlign w:val="bottom"/>
          </w:tcPr>
          <w:p>
            <w:pPr>
              <w:spacing w:after="0"/>
              <w:rPr>
                <w:sz w:val="19"/>
                <w:szCs w:val="19"/>
                <w:color w:val="auto"/>
              </w:rPr>
            </w:pPr>
          </w:p>
        </w:tc>
        <w:tc>
          <w:tcPr>
            <w:tcW w:w="400" w:type="dxa"/>
            <w:vAlign w:val="bottom"/>
            <w:tcBorders>
              <w:left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(188,376)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foreign currency exchange rate differences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1,612</w:t>
            </w:r>
          </w:p>
        </w:tc>
        <w:tc>
          <w:tcPr>
            <w:tcW w:w="400" w:type="dxa"/>
            <w:vAlign w:val="bottom"/>
            <w:tcBorders>
              <w:left w:val="single" w:sz="8" w:color="CCEEFF"/>
            </w:tcBorders>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12</w:t>
            </w: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13,561</w:t>
            </w:r>
          </w:p>
        </w:tc>
        <w:tc>
          <w:tcPr>
            <w:tcW w:w="400" w:type="dxa"/>
            <w:vAlign w:val="bottom"/>
            <w:tcBorders>
              <w:left w:val="single" w:sz="8" w:color="auto"/>
            </w:tcBorders>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15,185</w:t>
            </w:r>
          </w:p>
        </w:tc>
        <w:tc>
          <w:tcPr>
            <w:tcW w:w="0" w:type="dxa"/>
            <w:vAlign w:val="bottom"/>
          </w:tcPr>
          <w:p>
            <w:pPr>
              <w:spacing w:after="0"/>
              <w:rPr>
                <w:sz w:val="1"/>
                <w:szCs w:val="1"/>
                <w:color w:val="auto"/>
              </w:rPr>
            </w:pPr>
          </w:p>
        </w:tc>
      </w:tr>
      <w:tr>
        <w:trPr>
          <w:trHeight w:val="230"/>
        </w:trPr>
        <w:tc>
          <w:tcPr>
            <w:tcW w:w="56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2021</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(15,659)</w:t>
            </w:r>
          </w:p>
        </w:tc>
        <w:tc>
          <w:tcPr>
            <w:tcW w:w="400" w:type="dxa"/>
            <w:vAlign w:val="bottom"/>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(283)</w:t>
            </w:r>
          </w:p>
        </w:tc>
        <w:tc>
          <w:tcPr>
            <w:tcW w:w="320" w:type="dxa"/>
            <w:vAlign w:val="bottom"/>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(366,637)</w:t>
            </w:r>
          </w:p>
        </w:tc>
        <w:tc>
          <w:tcPr>
            <w:tcW w:w="120" w:type="dxa"/>
            <w:vAlign w:val="bottom"/>
          </w:tcPr>
          <w:p>
            <w:pPr>
              <w:spacing w:after="0"/>
              <w:rPr>
                <w:sz w:val="20"/>
                <w:szCs w:val="20"/>
                <w:color w:val="auto"/>
              </w:rPr>
            </w:pPr>
          </w:p>
        </w:tc>
        <w:tc>
          <w:tcPr>
            <w:tcW w:w="400" w:type="dxa"/>
            <w:vAlign w:val="bottom"/>
            <w:tcBorders>
              <w:left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(382,579)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Carrying amount as of December 31, 2020</w:t>
            </w:r>
          </w:p>
        </w:tc>
        <w:tc>
          <w:tcPr>
            <w:tcW w:w="12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27,756</w:t>
            </w: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1,205</w:t>
            </w: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1,080,310</w:t>
            </w:r>
          </w:p>
        </w:tc>
        <w:tc>
          <w:tcPr>
            <w:tcW w:w="400" w:type="dxa"/>
            <w:vAlign w:val="bottom"/>
            <w:tcBorders>
              <w:left w:val="single" w:sz="8" w:color="auto"/>
            </w:tcBorders>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1,109,271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Carrying amount as of December 31, 2021</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136,225</w:t>
            </w:r>
          </w:p>
        </w:tc>
        <w:tc>
          <w:tcPr>
            <w:tcW w:w="40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984</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1,175,218</w:t>
            </w:r>
          </w:p>
        </w:tc>
        <w:tc>
          <w:tcPr>
            <w:tcW w:w="400" w:type="dxa"/>
            <w:vAlign w:val="bottom"/>
            <w:tcBorders>
              <w:left w:val="single" w:sz="8" w:color="auto"/>
            </w:tcBorders>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1,312,427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64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00" w:type="dxa"/>
            <w:vAlign w:val="bottom"/>
            <w:tcBorders>
              <w:left w:val="single" w:sz="8" w:color="auto"/>
            </w:tcBorders>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left w:val="single" w:sz="8" w:color="auto"/>
            </w:tcBorders>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Additions to internally developed IP were primarily related to the Polestar Precept and various other internal programs for the years ended December 31, 2021, 2020 and 2019. Additions of acquired IP during the years ended December 31, 2021, 2020 and 2019 were related to acquisitions of PS2 and Polestar 3 (“PS3”) IP from Volvo Cars. During the year ended December 31, 2021, Polestar also acquired IP related to the Polestar 4 (“PS4”) from Geely.</w:t>
      </w:r>
    </w:p>
    <w:p>
      <w:pPr>
        <w:spacing w:after="0" w:line="180"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The July 2015 acquisition of Polestar Performance AB by Volvo Cars and subsequent acquisition of Polestar Performance AB and Polestar Holding AB by Polestar Automotive (Shanghai) Co. Ltd. generated goodwill of $55,991</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As of December 31, 2021 and 2020, the balance of goodwill amounted to $53,282 and $59,129,</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F-43</w:t>
      </w:r>
    </w:p>
    <w:p>
      <w:pPr>
        <w:sectPr>
          <w:pgSz w:w="11900" w:h="16838" w:orient="portrait"/>
          <w:cols w:equalWidth="0" w:num="1">
            <w:col w:w="11120"/>
          </w:cols>
          <w:pgMar w:left="320" w:top="455" w:right="459" w:bottom="1440" w:gutter="0" w:footer="0" w:header="0"/>
        </w:sectPr>
      </w:pPr>
    </w:p>
    <w:bookmarkStart w:id="278" w:name="page279"/>
    <w:bookmarkEnd w:id="2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p>
      <w:pPr>
        <w:spacing w:after="0" w:line="2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34" w:lineRule="exact"/>
        <w:rPr>
          <w:sz w:val="20"/>
          <w:szCs w:val="20"/>
          <w:color w:val="auto"/>
        </w:rPr>
      </w:pPr>
    </w:p>
    <w:p>
      <w:pPr>
        <w:ind w:left="120" w:right="240"/>
        <w:spacing w:after="0" w:line="282" w:lineRule="auto"/>
        <w:rPr>
          <w:sz w:val="20"/>
          <w:szCs w:val="20"/>
          <w:color w:val="auto"/>
        </w:rPr>
      </w:pPr>
      <w:r>
        <w:rPr>
          <w:rFonts w:ascii="Times New Roman" w:cs="Times New Roman" w:eastAsia="Times New Roman" w:hAnsi="Times New Roman"/>
          <w:sz w:val="18"/>
          <w:szCs w:val="18"/>
          <w:color w:val="auto"/>
        </w:rPr>
        <w:t>respectively. The balance of trademarks as of December 31, 2021 and 2020 amounted to $2,647 and $2,937, respectively. The changes to the carrying amount of goodwill and trademarks were as follows:</w:t>
      </w:r>
    </w:p>
    <w:p>
      <w:pPr>
        <w:spacing w:after="0" w:line="182"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6240" w:type="dxa"/>
            <w:vAlign w:val="bottom"/>
          </w:tcPr>
          <w:p>
            <w:pPr>
              <w:spacing w:after="0"/>
              <w:rPr>
                <w:sz w:val="15"/>
                <w:szCs w:val="15"/>
                <w:color w:val="auto"/>
              </w:rPr>
            </w:pPr>
          </w:p>
        </w:tc>
        <w:tc>
          <w:tcPr>
            <w:tcW w:w="12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Goodwill</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w w:val="99"/>
              </w:rPr>
              <w:t>Trademarks</w:t>
            </w:r>
          </w:p>
        </w:tc>
      </w:tr>
      <w:tr>
        <w:trPr>
          <w:trHeight w:val="209"/>
        </w:trPr>
        <w:tc>
          <w:tcPr>
            <w:tcW w:w="6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January 1, 2020</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51,834</w:t>
            </w:r>
          </w:p>
        </w:tc>
        <w:tc>
          <w:tcPr>
            <w:tcW w:w="68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Effect of foreign currency exchange rate differences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7,295</w:t>
            </w:r>
          </w:p>
        </w:tc>
        <w:tc>
          <w:tcPr>
            <w:tcW w:w="6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362</w:t>
            </w:r>
          </w:p>
        </w:tc>
      </w:tr>
      <w:tr>
        <w:trPr>
          <w:trHeight w:val="27"/>
        </w:trPr>
        <w:tc>
          <w:tcPr>
            <w:tcW w:w="62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2020</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59,129</w:t>
            </w:r>
          </w:p>
        </w:tc>
        <w:tc>
          <w:tcPr>
            <w:tcW w:w="6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2,937</w:t>
            </w:r>
          </w:p>
        </w:tc>
      </w:tr>
      <w:tr>
        <w:trPr>
          <w:trHeight w:val="230"/>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Effect of foreign currency exchange rate differences</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(5,847)</w:t>
            </w:r>
          </w:p>
        </w:tc>
        <w:tc>
          <w:tcPr>
            <w:tcW w:w="680" w:type="dxa"/>
            <w:vAlign w:val="bottom"/>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100" w:type="dxa"/>
            <w:vAlign w:val="bottom"/>
          </w:tcPr>
          <w:p>
            <w:pPr>
              <w:spacing w:after="0"/>
              <w:rPr>
                <w:sz w:val="20"/>
                <w:szCs w:val="20"/>
                <w:color w:val="auto"/>
              </w:rPr>
            </w:pPr>
          </w:p>
        </w:tc>
      </w:tr>
      <w:tr>
        <w:trPr>
          <w:trHeight w:val="216"/>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2021</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53,282</w:t>
            </w:r>
          </w:p>
        </w:tc>
        <w:tc>
          <w:tcPr>
            <w:tcW w:w="6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2,647</w:t>
            </w:r>
          </w:p>
        </w:tc>
      </w:tr>
      <w:tr>
        <w:trPr>
          <w:trHeight w:val="20"/>
        </w:trPr>
        <w:tc>
          <w:tcPr>
            <w:tcW w:w="62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13 – Property, plant and equipment</w:t>
      </w:r>
    </w:p>
    <w:p>
      <w:pPr>
        <w:spacing w:after="0" w:line="121" w:lineRule="exact"/>
        <w:rPr>
          <w:sz w:val="20"/>
          <w:szCs w:val="20"/>
          <w:color w:val="auto"/>
        </w:rPr>
      </w:pPr>
    </w:p>
    <w:p>
      <w:pPr>
        <w:ind w:left="120" w:right="340"/>
        <w:spacing w:after="0" w:line="261" w:lineRule="auto"/>
        <w:rPr>
          <w:sz w:val="20"/>
          <w:szCs w:val="20"/>
          <w:color w:val="auto"/>
        </w:rPr>
      </w:pPr>
      <w:r>
        <w:rPr>
          <w:rFonts w:ascii="Times New Roman" w:cs="Times New Roman" w:eastAsia="Times New Roman" w:hAnsi="Times New Roman"/>
          <w:sz w:val="18"/>
          <w:szCs w:val="18"/>
          <w:color w:val="auto"/>
        </w:rPr>
        <w:t>As of December 31, 2021 and 2020, PPE are recognised in the Consolidated Statement of Financial Position with carrying amounts of $208,193 and $201,671, respectively. Of these amounts, $34,954 and $29,769 is related to ROU assets for leased buildings and land, and $34,652 and $42,108 is related to ROU assets for leased machinery and equipment, respectively. Refer to Note 9 – Leases for more details on the Groups ROU assets and operating leases.</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Property, plant and equipment was as follows:</w:t>
      </w:r>
    </w:p>
    <w:p>
      <w:pPr>
        <w:spacing w:after="0" w:line="233" w:lineRule="exact"/>
        <w:rPr>
          <w:sz w:val="20"/>
          <w:szCs w:val="20"/>
          <w:color w:val="auto"/>
        </w:rPr>
      </w:pPr>
    </w:p>
    <w:tbl>
      <w:tblPr>
        <w:tblLayout w:type="fixed"/>
        <w:tblInd w:w="120" w:type="dxa"/>
        <w:tblCellMar>
          <w:top w:w="0" w:type="dxa"/>
          <w:left w:w="0" w:type="dxa"/>
          <w:bottom w:w="0" w:type="dxa"/>
          <w:right w:w="0" w:type="dxa"/>
        </w:tblCellMar>
      </w:tblPr>
      <w:tr>
        <w:trPr>
          <w:trHeight w:val="37"/>
        </w:trPr>
        <w:tc>
          <w:tcPr>
            <w:tcW w:w="454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00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Buildings</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Buildings</w:t>
            </w:r>
          </w:p>
        </w:tc>
        <w:tc>
          <w:tcPr>
            <w:tcW w:w="360" w:type="dxa"/>
            <w:vAlign w:val="bottom"/>
          </w:tcPr>
          <w:p>
            <w:pPr>
              <w:spacing w:after="0"/>
              <w:rPr>
                <w:sz w:val="3"/>
                <w:szCs w:val="3"/>
                <w:color w:val="auto"/>
              </w:rPr>
            </w:pPr>
          </w:p>
        </w:tc>
        <w:tc>
          <w:tcPr>
            <w:tcW w:w="8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Machinery</w:t>
            </w:r>
          </w:p>
        </w:tc>
        <w:tc>
          <w:tcPr>
            <w:tcW w:w="10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Machinery</w:t>
            </w:r>
          </w:p>
        </w:tc>
        <w:tc>
          <w:tcPr>
            <w:tcW w:w="20" w:type="dxa"/>
            <w:vAlign w:val="bottom"/>
          </w:tcPr>
          <w:p>
            <w:pPr>
              <w:spacing w:after="0"/>
              <w:rPr>
                <w:sz w:val="3"/>
                <w:szCs w:val="3"/>
                <w:color w:val="auto"/>
              </w:rPr>
            </w:pPr>
          </w:p>
        </w:tc>
        <w:tc>
          <w:tcPr>
            <w:tcW w:w="280" w:type="dxa"/>
            <w:vAlign w:val="bottom"/>
            <w:vMerge w:val="restart"/>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454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800" w:type="dxa"/>
            <w:vAlign w:val="bottom"/>
            <w:vMerge w:val="continue"/>
          </w:tcPr>
          <w:p>
            <w:pPr>
              <w:spacing w:after="0"/>
              <w:rPr>
                <w:sz w:val="10"/>
                <w:szCs w:val="10"/>
                <w:color w:val="auto"/>
              </w:rPr>
            </w:pPr>
          </w:p>
        </w:tc>
        <w:tc>
          <w:tcPr>
            <w:tcW w:w="360" w:type="dxa"/>
            <w:vAlign w:val="bottom"/>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1020" w:type="dxa"/>
            <w:vAlign w:val="bottom"/>
            <w:gridSpan w:val="2"/>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280" w:type="dxa"/>
            <w:vAlign w:val="bottom"/>
            <w:vMerge w:val="continue"/>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5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under</w:t>
            </w:r>
          </w:p>
        </w:tc>
        <w:tc>
          <w:tcPr>
            <w:tcW w:w="360" w:type="dxa"/>
            <w:vAlign w:val="bottom"/>
          </w:tcPr>
          <w:p>
            <w:pPr>
              <w:spacing w:after="0"/>
              <w:rPr>
                <w:sz w:val="12"/>
                <w:szCs w:val="12"/>
                <w:color w:val="auto"/>
              </w:rPr>
            </w:pPr>
          </w:p>
        </w:tc>
        <w:tc>
          <w:tcPr>
            <w:tcW w:w="8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w w:val="97"/>
              </w:rPr>
              <w:t>and</w:t>
            </w:r>
          </w:p>
        </w:tc>
        <w:tc>
          <w:tcPr>
            <w:tcW w:w="10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under</w:t>
            </w:r>
          </w:p>
        </w:tc>
        <w:tc>
          <w:tcPr>
            <w:tcW w:w="20" w:type="dxa"/>
            <w:vAlign w:val="bottom"/>
            <w:shd w:val="clear" w:color="auto" w:fill="000000"/>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45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and land</w:t>
            </w: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development</w:t>
            </w:r>
          </w:p>
        </w:tc>
        <w:tc>
          <w:tcPr>
            <w:tcW w:w="360" w:type="dxa"/>
            <w:vAlign w:val="bottom"/>
          </w:tcPr>
          <w:p>
            <w:pPr>
              <w:spacing w:after="0"/>
              <w:rPr>
                <w:sz w:val="15"/>
                <w:szCs w:val="15"/>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equipment</w:t>
            </w: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development</w:t>
            </w:r>
          </w:p>
        </w:tc>
        <w:tc>
          <w:tcPr>
            <w:tcW w:w="20" w:type="dxa"/>
            <w:vAlign w:val="bottom"/>
            <w:shd w:val="clear" w:color="auto" w:fill="000000"/>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5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Acquisition cost</w:t>
            </w:r>
          </w:p>
        </w:tc>
        <w:tc>
          <w:tcPr>
            <w:tcW w:w="136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000000"/>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Balance as of January 1, 2020</w:t>
            </w:r>
          </w:p>
        </w:tc>
        <w:tc>
          <w:tcPr>
            <w:tcW w:w="236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45,138</w:t>
            </w:r>
          </w:p>
        </w:tc>
        <w:tc>
          <w:tcPr>
            <w:tcW w:w="8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65,384</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1,012</w:t>
            </w:r>
          </w:p>
        </w:tc>
        <w:tc>
          <w:tcPr>
            <w:tcW w:w="20" w:type="dxa"/>
            <w:vAlign w:val="bottom"/>
            <w:shd w:val="clear" w:color="auto" w:fill="000000"/>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111,534</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Additions</w:t>
            </w:r>
          </w:p>
        </w:tc>
        <w:tc>
          <w:tcPr>
            <w:tcW w:w="236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904</w:t>
            </w:r>
          </w:p>
        </w:tc>
        <w:tc>
          <w:tcPr>
            <w:tcW w:w="8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61,000</w:t>
            </w:r>
          </w:p>
        </w:tc>
        <w:tc>
          <w:tcPr>
            <w:tcW w:w="102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796</w:t>
            </w:r>
          </w:p>
        </w:tc>
        <w:tc>
          <w:tcPr>
            <w:tcW w:w="20" w:type="dxa"/>
            <w:vAlign w:val="bottom"/>
            <w:shd w:val="clear" w:color="auto" w:fill="000000"/>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62,700</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Divestments and disposals</w:t>
            </w:r>
          </w:p>
        </w:tc>
        <w:tc>
          <w:tcPr>
            <w:tcW w:w="236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(86)</w:t>
            </w:r>
          </w:p>
        </w:tc>
        <w:tc>
          <w:tcPr>
            <w:tcW w:w="8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000000"/>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foreign currency exchange rate differences</w:t>
            </w:r>
          </w:p>
        </w:tc>
        <w:tc>
          <w:tcPr>
            <w:tcW w:w="236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2,864</w:t>
            </w:r>
          </w:p>
        </w:tc>
        <w:tc>
          <w:tcPr>
            <w:tcW w:w="8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5,095</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70</w:t>
            </w:r>
          </w:p>
        </w:tc>
        <w:tc>
          <w:tcPr>
            <w:tcW w:w="20" w:type="dxa"/>
            <w:vAlign w:val="bottom"/>
            <w:shd w:val="clear" w:color="auto" w:fill="000000"/>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8,029</w:t>
            </w:r>
          </w:p>
        </w:tc>
        <w:tc>
          <w:tcPr>
            <w:tcW w:w="0" w:type="dxa"/>
            <w:vAlign w:val="bottom"/>
          </w:tcPr>
          <w:p>
            <w:pPr>
              <w:spacing w:after="0"/>
              <w:rPr>
                <w:sz w:val="1"/>
                <w:szCs w:val="1"/>
                <w:color w:val="auto"/>
              </w:rPr>
            </w:pPr>
          </w:p>
        </w:tc>
      </w:tr>
      <w:tr>
        <w:trPr>
          <w:trHeight w:val="230"/>
        </w:trPr>
        <w:tc>
          <w:tcPr>
            <w:tcW w:w="4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2020</w:t>
            </w:r>
          </w:p>
        </w:tc>
        <w:tc>
          <w:tcPr>
            <w:tcW w:w="1360" w:type="dxa"/>
            <w:vAlign w:val="bottom"/>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48,820</w:t>
            </w:r>
          </w:p>
        </w:tc>
        <w:tc>
          <w:tcPr>
            <w:tcW w:w="400" w:type="dxa"/>
            <w:vAlign w:val="bottom"/>
          </w:tcPr>
          <w:p>
            <w:pPr>
              <w:spacing w:after="0"/>
              <w:rPr>
                <w:sz w:val="20"/>
                <w:szCs w:val="20"/>
                <w:color w:val="auto"/>
              </w:rPr>
            </w:pPr>
          </w:p>
        </w:tc>
        <w:tc>
          <w:tcPr>
            <w:tcW w:w="800" w:type="dxa"/>
            <w:vAlign w:val="bottom"/>
            <w:tcBorders>
              <w:top w:val="single" w:sz="8" w:color="auto"/>
              <w:bottom w:val="single" w:sz="8" w:color="auto"/>
            </w:tcBorders>
          </w:tcPr>
          <w:p>
            <w:pPr>
              <w:ind w:left="540"/>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131,479</w:t>
            </w:r>
          </w:p>
        </w:tc>
        <w:tc>
          <w:tcPr>
            <w:tcW w:w="200" w:type="dxa"/>
            <w:vAlign w:val="bottom"/>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1,878</w:t>
            </w:r>
          </w:p>
        </w:tc>
        <w:tc>
          <w:tcPr>
            <w:tcW w:w="220" w:type="dxa"/>
            <w:vAlign w:val="bottom"/>
          </w:tcPr>
          <w:p>
            <w:pPr>
              <w:spacing w:after="0"/>
              <w:rPr>
                <w:sz w:val="20"/>
                <w:szCs w:val="20"/>
                <w:color w:val="auto"/>
              </w:rPr>
            </w:pPr>
          </w:p>
        </w:tc>
        <w:tc>
          <w:tcPr>
            <w:tcW w:w="20" w:type="dxa"/>
            <w:vAlign w:val="bottom"/>
            <w:tcBorders>
              <w:top w:val="single" w:sz="8" w:color="auto"/>
              <w:bottom w:val="single" w:sz="8" w:color="auto"/>
            </w:tcBorders>
            <w:shd w:val="clear" w:color="auto" w:fill="000000"/>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182,177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Additions</w:t>
            </w:r>
          </w:p>
        </w:tc>
        <w:tc>
          <w:tcPr>
            <w:tcW w:w="236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2,106</w:t>
            </w:r>
          </w:p>
        </w:tc>
        <w:tc>
          <w:tcPr>
            <w:tcW w:w="8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6,315</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33,622</w:t>
            </w:r>
          </w:p>
        </w:tc>
        <w:tc>
          <w:tcPr>
            <w:tcW w:w="20" w:type="dxa"/>
            <w:vAlign w:val="bottom"/>
            <w:shd w:val="clear" w:color="auto" w:fill="000000"/>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42,043</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Reclassifications</w:t>
            </w:r>
          </w:p>
        </w:tc>
        <w:tc>
          <w:tcPr>
            <w:tcW w:w="1360" w:type="dxa"/>
            <w:vAlign w:val="bottom"/>
          </w:tcPr>
          <w:p>
            <w:pPr>
              <w:spacing w:after="0"/>
              <w:rPr>
                <w:sz w:val="18"/>
                <w:szCs w:val="18"/>
                <w:color w:val="auto"/>
              </w:rPr>
            </w:pPr>
          </w:p>
        </w:tc>
        <w:tc>
          <w:tcPr>
            <w:tcW w:w="10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7,977</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(7,977)</w:t>
            </w:r>
          </w:p>
        </w:tc>
        <w:tc>
          <w:tcPr>
            <w:tcW w:w="20" w:type="dxa"/>
            <w:vAlign w:val="bottom"/>
            <w:shd w:val="clear" w:color="auto" w:fill="000000"/>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foreign currency exchange rate differences</w:t>
            </w:r>
          </w:p>
        </w:tc>
        <w:tc>
          <w:tcPr>
            <w:tcW w:w="236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1,304</w:t>
            </w:r>
          </w:p>
        </w:tc>
        <w:tc>
          <w:tcPr>
            <w:tcW w:w="8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2,206</w:t>
            </w:r>
          </w:p>
        </w:tc>
        <w:tc>
          <w:tcPr>
            <w:tcW w:w="102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143</w:t>
            </w:r>
          </w:p>
        </w:tc>
        <w:tc>
          <w:tcPr>
            <w:tcW w:w="20" w:type="dxa"/>
            <w:vAlign w:val="bottom"/>
            <w:shd w:val="clear" w:color="auto" w:fill="000000"/>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3,653</w:t>
            </w:r>
          </w:p>
        </w:tc>
        <w:tc>
          <w:tcPr>
            <w:tcW w:w="0" w:type="dxa"/>
            <w:vAlign w:val="bottom"/>
          </w:tcPr>
          <w:p>
            <w:pPr>
              <w:spacing w:after="0"/>
              <w:rPr>
                <w:sz w:val="1"/>
                <w:szCs w:val="1"/>
                <w:color w:val="auto"/>
              </w:rPr>
            </w:pPr>
          </w:p>
        </w:tc>
      </w:tr>
      <w:tr>
        <w:trPr>
          <w:trHeight w:val="230"/>
        </w:trPr>
        <w:tc>
          <w:tcPr>
            <w:tcW w:w="4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2021</w:t>
            </w:r>
          </w:p>
        </w:tc>
        <w:tc>
          <w:tcPr>
            <w:tcW w:w="1360" w:type="dxa"/>
            <w:vAlign w:val="bottom"/>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52,230</w:t>
            </w:r>
          </w:p>
        </w:tc>
        <w:tc>
          <w:tcPr>
            <w:tcW w:w="400" w:type="dxa"/>
            <w:vAlign w:val="bottom"/>
          </w:tcPr>
          <w:p>
            <w:pPr>
              <w:spacing w:after="0"/>
              <w:rPr>
                <w:sz w:val="20"/>
                <w:szCs w:val="20"/>
                <w:color w:val="auto"/>
              </w:rPr>
            </w:pPr>
          </w:p>
        </w:tc>
        <w:tc>
          <w:tcPr>
            <w:tcW w:w="800" w:type="dxa"/>
            <w:vAlign w:val="bottom"/>
            <w:tcBorders>
              <w:top w:val="single" w:sz="8" w:color="auto"/>
              <w:bottom w:val="single" w:sz="8" w:color="auto"/>
            </w:tcBorders>
          </w:tcPr>
          <w:p>
            <w:pPr>
              <w:ind w:left="540"/>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147,977</w:t>
            </w:r>
          </w:p>
        </w:tc>
        <w:tc>
          <w:tcPr>
            <w:tcW w:w="200" w:type="dxa"/>
            <w:vAlign w:val="bottom"/>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27,666</w:t>
            </w:r>
          </w:p>
        </w:tc>
        <w:tc>
          <w:tcPr>
            <w:tcW w:w="220" w:type="dxa"/>
            <w:vAlign w:val="bottom"/>
          </w:tcPr>
          <w:p>
            <w:pPr>
              <w:spacing w:after="0"/>
              <w:rPr>
                <w:sz w:val="20"/>
                <w:szCs w:val="20"/>
                <w:color w:val="auto"/>
              </w:rPr>
            </w:pPr>
          </w:p>
        </w:tc>
        <w:tc>
          <w:tcPr>
            <w:tcW w:w="20" w:type="dxa"/>
            <w:vAlign w:val="bottom"/>
            <w:tcBorders>
              <w:top w:val="single" w:sz="8" w:color="auto"/>
              <w:bottom w:val="single" w:sz="8" w:color="auto"/>
            </w:tcBorders>
            <w:shd w:val="clear" w:color="auto" w:fill="000000"/>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227,873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Depreciation and impairment</w:t>
            </w:r>
          </w:p>
        </w:tc>
        <w:tc>
          <w:tcPr>
            <w:tcW w:w="1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January 1, 2020</w:t>
            </w:r>
          </w:p>
        </w:tc>
        <w:tc>
          <w:tcPr>
            <w:tcW w:w="236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(646)</w:t>
            </w:r>
          </w:p>
        </w:tc>
        <w:tc>
          <w:tcPr>
            <w:tcW w:w="8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(8,267)</w:t>
            </w:r>
          </w:p>
        </w:tc>
        <w:tc>
          <w:tcPr>
            <w:tcW w:w="102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000000"/>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(8,913)</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expense</w:t>
            </w:r>
          </w:p>
        </w:tc>
        <w:tc>
          <w:tcPr>
            <w:tcW w:w="236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(1,744)</w:t>
            </w:r>
          </w:p>
        </w:tc>
        <w:tc>
          <w:tcPr>
            <w:tcW w:w="8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(38,329)</w:t>
            </w:r>
          </w:p>
        </w:tc>
        <w:tc>
          <w:tcPr>
            <w:tcW w:w="102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000000"/>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(40,073)</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Divestments and disposal</w:t>
            </w:r>
          </w:p>
        </w:tc>
        <w:tc>
          <w:tcPr>
            <w:tcW w:w="236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69</w:t>
            </w:r>
          </w:p>
        </w:tc>
        <w:tc>
          <w:tcPr>
            <w:tcW w:w="8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000000"/>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Effect of foreign currency exchange rate differences</w:t>
            </w:r>
          </w:p>
        </w:tc>
        <w:tc>
          <w:tcPr>
            <w:tcW w:w="1360" w:type="dxa"/>
            <w:vAlign w:val="bottom"/>
          </w:tcPr>
          <w:p>
            <w:pPr>
              <w:spacing w:after="0"/>
              <w:rPr>
                <w:sz w:val="18"/>
                <w:szCs w:val="18"/>
                <w:color w:val="auto"/>
              </w:rPr>
            </w:pPr>
          </w:p>
        </w:tc>
        <w:tc>
          <w:tcPr>
            <w:tcW w:w="10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(55)</w:t>
            </w:r>
          </w:p>
        </w:tc>
        <w:tc>
          <w:tcPr>
            <w:tcW w:w="8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(3,411)</w:t>
            </w:r>
          </w:p>
        </w:tc>
        <w:tc>
          <w:tcPr>
            <w:tcW w:w="102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000000"/>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(3,466)</w:t>
            </w: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2020</w:t>
            </w:r>
          </w:p>
        </w:tc>
        <w:tc>
          <w:tcPr>
            <w:tcW w:w="1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(2,376)</w:t>
            </w:r>
          </w:p>
        </w:tc>
        <w:tc>
          <w:tcPr>
            <w:tcW w:w="8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(50,007)</w:t>
            </w:r>
          </w:p>
        </w:tc>
        <w:tc>
          <w:tcPr>
            <w:tcW w:w="102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shd w:val="clear" w:color="auto" w:fill="000000"/>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(52,383)</w:t>
            </w:r>
          </w:p>
        </w:tc>
        <w:tc>
          <w:tcPr>
            <w:tcW w:w="0" w:type="dxa"/>
            <w:vAlign w:val="bottom"/>
          </w:tcPr>
          <w:p>
            <w:pPr>
              <w:spacing w:after="0"/>
              <w:rPr>
                <w:sz w:val="1"/>
                <w:szCs w:val="1"/>
                <w:color w:val="auto"/>
              </w:rPr>
            </w:pPr>
          </w:p>
        </w:tc>
      </w:tr>
      <w:tr>
        <w:trPr>
          <w:trHeight w:val="223"/>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expense</w:t>
            </w:r>
          </w:p>
        </w:tc>
        <w:tc>
          <w:tcPr>
            <w:tcW w:w="1360" w:type="dxa"/>
            <w:vAlign w:val="bottom"/>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(2,266)</w:t>
            </w:r>
          </w:p>
        </w:tc>
        <w:tc>
          <w:tcPr>
            <w:tcW w:w="400" w:type="dxa"/>
            <w:vAlign w:val="bottom"/>
          </w:tcPr>
          <w:p>
            <w:pPr>
              <w:spacing w:after="0"/>
              <w:rPr>
                <w:sz w:val="19"/>
                <w:szCs w:val="19"/>
                <w:color w:val="auto"/>
              </w:rPr>
            </w:pPr>
          </w:p>
        </w:tc>
        <w:tc>
          <w:tcPr>
            <w:tcW w:w="800" w:type="dxa"/>
            <w:vAlign w:val="bottom"/>
            <w:tcBorders>
              <w:top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(33,910)</w:t>
            </w:r>
          </w:p>
        </w:tc>
        <w:tc>
          <w:tcPr>
            <w:tcW w:w="200" w:type="dxa"/>
            <w:vAlign w:val="bottom"/>
          </w:tcPr>
          <w:p>
            <w:pPr>
              <w:spacing w:after="0"/>
              <w:rPr>
                <w:sz w:val="19"/>
                <w:szCs w:val="19"/>
                <w:color w:val="auto"/>
              </w:rPr>
            </w:pPr>
          </w:p>
        </w:tc>
        <w:tc>
          <w:tcPr>
            <w:tcW w:w="800" w:type="dxa"/>
            <w:vAlign w:val="bottom"/>
            <w:tcBorders>
              <w:top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20" w:type="dxa"/>
            <w:vAlign w:val="bottom"/>
            <w:tcBorders>
              <w:top w:val="single" w:sz="8" w:color="auto"/>
            </w:tcBorders>
            <w:shd w:val="clear" w:color="auto" w:fill="000000"/>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(36,176)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foreign currency exchange rate differences</w:t>
            </w:r>
          </w:p>
        </w:tc>
        <w:tc>
          <w:tcPr>
            <w:tcW w:w="236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(70)</w:t>
            </w:r>
          </w:p>
        </w:tc>
        <w:tc>
          <w:tcPr>
            <w:tcW w:w="8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(657)</w:t>
            </w:r>
          </w:p>
        </w:tc>
        <w:tc>
          <w:tcPr>
            <w:tcW w:w="102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000000"/>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(727)</w:t>
            </w:r>
          </w:p>
        </w:tc>
        <w:tc>
          <w:tcPr>
            <w:tcW w:w="0" w:type="dxa"/>
            <w:vAlign w:val="bottom"/>
          </w:tcPr>
          <w:p>
            <w:pPr>
              <w:spacing w:after="0"/>
              <w:rPr>
                <w:sz w:val="1"/>
                <w:szCs w:val="1"/>
                <w:color w:val="auto"/>
              </w:rPr>
            </w:pPr>
          </w:p>
        </w:tc>
      </w:tr>
      <w:tr>
        <w:trPr>
          <w:trHeight w:val="230"/>
        </w:trPr>
        <w:tc>
          <w:tcPr>
            <w:tcW w:w="4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2021</w:t>
            </w:r>
          </w:p>
        </w:tc>
        <w:tc>
          <w:tcPr>
            <w:tcW w:w="1360" w:type="dxa"/>
            <w:vAlign w:val="bottom"/>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(4,712)</w:t>
            </w:r>
          </w:p>
        </w:tc>
        <w:tc>
          <w:tcPr>
            <w:tcW w:w="400" w:type="dxa"/>
            <w:vAlign w:val="bottom"/>
          </w:tcPr>
          <w:p>
            <w:pPr>
              <w:spacing w:after="0"/>
              <w:rPr>
                <w:sz w:val="20"/>
                <w:szCs w:val="20"/>
                <w:color w:val="auto"/>
              </w:rPr>
            </w:pPr>
          </w:p>
        </w:tc>
        <w:tc>
          <w:tcPr>
            <w:tcW w:w="800" w:type="dxa"/>
            <w:vAlign w:val="bottom"/>
            <w:tcBorders>
              <w:top w:val="single" w:sz="8" w:color="auto"/>
              <w:bottom w:val="single" w:sz="8" w:color="auto"/>
            </w:tcBorders>
          </w:tcPr>
          <w:p>
            <w:pPr>
              <w:ind w:left="540"/>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(84,574)</w:t>
            </w:r>
          </w:p>
        </w:tc>
        <w:tc>
          <w:tcPr>
            <w:tcW w:w="200" w:type="dxa"/>
            <w:vAlign w:val="bottom"/>
          </w:tcPr>
          <w:p>
            <w:pPr>
              <w:spacing w:after="0"/>
              <w:rPr>
                <w:sz w:val="20"/>
                <w:szCs w:val="20"/>
                <w:color w:val="auto"/>
              </w:rPr>
            </w:pPr>
          </w:p>
        </w:tc>
        <w:tc>
          <w:tcPr>
            <w:tcW w:w="800" w:type="dxa"/>
            <w:vAlign w:val="bottom"/>
            <w:tcBorders>
              <w:top w:val="single" w:sz="8" w:color="auto"/>
              <w:bottom w:val="single" w:sz="8" w:color="auto"/>
            </w:tcBorders>
          </w:tcPr>
          <w:p>
            <w:pPr>
              <w:ind w:left="54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0"/>
                <w:szCs w:val="20"/>
                <w:color w:val="auto"/>
              </w:rPr>
            </w:pPr>
          </w:p>
        </w:tc>
        <w:tc>
          <w:tcPr>
            <w:tcW w:w="20" w:type="dxa"/>
            <w:vAlign w:val="bottom"/>
            <w:tcBorders>
              <w:top w:val="single" w:sz="8" w:color="auto"/>
              <w:bottom w:val="single" w:sz="8" w:color="auto"/>
            </w:tcBorders>
            <w:shd w:val="clear" w:color="auto" w:fill="000000"/>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(89,286)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Carrying amount as of December 31, 2020</w:t>
            </w:r>
          </w:p>
        </w:tc>
        <w:tc>
          <w:tcPr>
            <w:tcW w:w="236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46,444</w:t>
            </w:r>
          </w:p>
        </w:tc>
        <w:tc>
          <w:tcPr>
            <w:tcW w:w="8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81,472</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1,878</w:t>
            </w:r>
          </w:p>
        </w:tc>
        <w:tc>
          <w:tcPr>
            <w:tcW w:w="20" w:type="dxa"/>
            <w:vAlign w:val="bottom"/>
            <w:shd w:val="clear" w:color="auto" w:fill="000000"/>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129,794</w:t>
            </w:r>
          </w:p>
        </w:tc>
        <w:tc>
          <w:tcPr>
            <w:tcW w:w="0" w:type="dxa"/>
            <w:vAlign w:val="bottom"/>
          </w:tcPr>
          <w:p>
            <w:pPr>
              <w:spacing w:after="0"/>
              <w:rPr>
                <w:sz w:val="1"/>
                <w:szCs w:val="1"/>
                <w:color w:val="auto"/>
              </w:rPr>
            </w:pPr>
          </w:p>
        </w:tc>
      </w:tr>
      <w:tr>
        <w:trPr>
          <w:trHeight w:val="243"/>
        </w:trPr>
        <w:tc>
          <w:tcPr>
            <w:tcW w:w="4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Carrying amount as of December 31, 2021</w:t>
            </w:r>
          </w:p>
        </w:tc>
        <w:tc>
          <w:tcPr>
            <w:tcW w:w="1360" w:type="dxa"/>
            <w:vAlign w:val="bottom"/>
          </w:tcPr>
          <w:p>
            <w:pPr>
              <w:spacing w:after="0"/>
              <w:rPr>
                <w:sz w:val="21"/>
                <w:szCs w:val="21"/>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47,518</w:t>
            </w:r>
          </w:p>
        </w:tc>
        <w:tc>
          <w:tcPr>
            <w:tcW w:w="400" w:type="dxa"/>
            <w:vAlign w:val="bottom"/>
          </w:tcPr>
          <w:p>
            <w:pPr>
              <w:spacing w:after="0"/>
              <w:rPr>
                <w:sz w:val="21"/>
                <w:szCs w:val="21"/>
                <w:color w:val="auto"/>
              </w:rPr>
            </w:pPr>
          </w:p>
        </w:tc>
        <w:tc>
          <w:tcPr>
            <w:tcW w:w="800" w:type="dxa"/>
            <w:vAlign w:val="bottom"/>
            <w:tcBorders>
              <w:top w:val="single" w:sz="8" w:color="auto"/>
              <w:bottom w:val="single" w:sz="8" w:color="auto"/>
            </w:tcBorders>
          </w:tcPr>
          <w:p>
            <w:pPr>
              <w:ind w:left="540"/>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tcPr>
          <w:p>
            <w:pPr>
              <w:spacing w:after="0"/>
              <w:rPr>
                <w:sz w:val="21"/>
                <w:szCs w:val="21"/>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63,403</w:t>
            </w:r>
          </w:p>
        </w:tc>
        <w:tc>
          <w:tcPr>
            <w:tcW w:w="200" w:type="dxa"/>
            <w:vAlign w:val="bottom"/>
          </w:tcPr>
          <w:p>
            <w:pPr>
              <w:spacing w:after="0"/>
              <w:rPr>
                <w:sz w:val="21"/>
                <w:szCs w:val="21"/>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27,666</w:t>
            </w:r>
          </w:p>
        </w:tc>
        <w:tc>
          <w:tcPr>
            <w:tcW w:w="220" w:type="dxa"/>
            <w:vAlign w:val="bottom"/>
          </w:tcPr>
          <w:p>
            <w:pPr>
              <w:spacing w:after="0"/>
              <w:rPr>
                <w:sz w:val="21"/>
                <w:szCs w:val="21"/>
                <w:color w:val="auto"/>
              </w:rPr>
            </w:pPr>
          </w:p>
        </w:tc>
        <w:tc>
          <w:tcPr>
            <w:tcW w:w="20" w:type="dxa"/>
            <w:vAlign w:val="bottom"/>
            <w:tcBorders>
              <w:top w:val="single" w:sz="8" w:color="auto"/>
              <w:bottom w:val="single" w:sz="8" w:color="auto"/>
            </w:tcBorders>
            <w:shd w:val="clear" w:color="auto" w:fill="000000"/>
          </w:tcPr>
          <w:p>
            <w:pPr>
              <w:spacing w:after="0"/>
              <w:rPr>
                <w:sz w:val="21"/>
                <w:szCs w:val="21"/>
                <w:color w:val="auto"/>
              </w:rPr>
            </w:pPr>
          </w:p>
        </w:tc>
        <w:tc>
          <w:tcPr>
            <w:tcW w:w="280" w:type="dxa"/>
            <w:vAlign w:val="bottom"/>
          </w:tcPr>
          <w:p>
            <w:pPr>
              <w:spacing w:after="0"/>
              <w:rPr>
                <w:sz w:val="21"/>
                <w:szCs w:val="21"/>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138,587</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52"/>
        </w:trPr>
        <w:tc>
          <w:tcPr>
            <w:tcW w:w="4540" w:type="dxa"/>
            <w:vAlign w:val="bottom"/>
          </w:tcPr>
          <w:p>
            <w:pPr>
              <w:spacing w:after="0"/>
              <w:rPr>
                <w:sz w:val="24"/>
                <w:szCs w:val="24"/>
                <w:color w:val="auto"/>
              </w:rPr>
            </w:pPr>
          </w:p>
        </w:tc>
        <w:tc>
          <w:tcPr>
            <w:tcW w:w="2360" w:type="dxa"/>
            <w:vAlign w:val="bottom"/>
            <w:gridSpan w:val="3"/>
          </w:tcPr>
          <w:p>
            <w:pPr>
              <w:jc w:val="right"/>
              <w:ind w:right="1220"/>
              <w:spacing w:after="0"/>
              <w:rPr>
                <w:sz w:val="20"/>
                <w:szCs w:val="20"/>
                <w:color w:val="auto"/>
              </w:rPr>
            </w:pPr>
            <w:r>
              <w:rPr>
                <w:rFonts w:ascii="Times New Roman" w:cs="Times New Roman" w:eastAsia="Times New Roman" w:hAnsi="Times New Roman"/>
                <w:sz w:val="18"/>
                <w:szCs w:val="18"/>
                <w:color w:val="auto"/>
              </w:rPr>
              <w:t>F-44</w:t>
            </w: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279" w:name="page280"/>
    <w:bookmarkEnd w:id="2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p>
      <w:pPr>
        <w:spacing w:after="0" w:line="27"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14 – Financial instruments</w:t>
      </w:r>
    </w:p>
    <w:p>
      <w:pPr>
        <w:spacing w:after="0" w:line="121"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For both financial instruments carried at fair value and financial instruments measured at amortised cost, there was no difference between fair value and carrying amount. The following table shows the carrying amounts of financial assets measured at fair value on a recurring basis:</w:t>
      </w:r>
    </w:p>
    <w:p>
      <w:pPr>
        <w:spacing w:after="0" w:line="182"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70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Financial instruments carried at FVTPL</w:t>
            </w:r>
          </w:p>
        </w:tc>
        <w:tc>
          <w:tcPr>
            <w:tcW w:w="5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2021</w:t>
            </w:r>
          </w:p>
        </w:tc>
        <w:tc>
          <w:tcPr>
            <w:tcW w:w="38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40" w:type="dxa"/>
            <w:vAlign w:val="bottom"/>
          </w:tcPr>
          <w:p>
            <w:pPr>
              <w:spacing w:after="0"/>
              <w:rPr>
                <w:sz w:val="15"/>
                <w:szCs w:val="15"/>
                <w:color w:val="auto"/>
              </w:rPr>
            </w:pPr>
          </w:p>
        </w:tc>
      </w:tr>
      <w:tr>
        <w:trPr>
          <w:trHeight w:val="142"/>
        </w:trPr>
        <w:tc>
          <w:tcPr>
            <w:tcW w:w="7020" w:type="dxa"/>
            <w:vAlign w:val="bottom"/>
            <w:tcBorders>
              <w:bottom w:val="single" w:sz="8" w:color="CCEEFF"/>
            </w:tcBorders>
          </w:tcPr>
          <w:p>
            <w:pPr>
              <w:spacing w:after="0"/>
              <w:rPr>
                <w:sz w:val="12"/>
                <w:szCs w:val="12"/>
                <w:color w:val="auto"/>
              </w:rPr>
            </w:pPr>
          </w:p>
        </w:tc>
        <w:tc>
          <w:tcPr>
            <w:tcW w:w="1300" w:type="dxa"/>
            <w:vAlign w:val="bottom"/>
            <w:tcBorders>
              <w:bottom w:val="single" w:sz="8" w:color="auto"/>
            </w:tcBorders>
            <w:gridSpan w:val="3"/>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Carrying amount</w:t>
            </w:r>
          </w:p>
        </w:tc>
        <w:tc>
          <w:tcPr>
            <w:tcW w:w="40" w:type="dxa"/>
            <w:vAlign w:val="bottom"/>
            <w:tcBorders>
              <w:bottom w:val="single" w:sz="8" w:color="CCEEFF"/>
            </w:tcBorders>
          </w:tcPr>
          <w:p>
            <w:pPr>
              <w:spacing w:after="0"/>
              <w:rPr>
                <w:sz w:val="12"/>
                <w:szCs w:val="12"/>
                <w:color w:val="auto"/>
              </w:rPr>
            </w:pPr>
          </w:p>
        </w:tc>
      </w:tr>
      <w:tr>
        <w:trPr>
          <w:trHeight w:val="209"/>
        </w:trPr>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Financial assets</w:t>
            </w:r>
          </w:p>
        </w:tc>
        <w:tc>
          <w:tcPr>
            <w:tcW w:w="5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Marketable securities</w:t>
            </w:r>
          </w:p>
        </w:tc>
        <w:tc>
          <w:tcPr>
            <w:tcW w:w="9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1,258</w:t>
            </w:r>
          </w:p>
        </w:tc>
        <w:tc>
          <w:tcPr>
            <w:tcW w:w="44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9"/>
              </w:rPr>
              <w:t>—</w:t>
            </w:r>
          </w:p>
        </w:tc>
      </w:tr>
      <w:tr>
        <w:trPr>
          <w:trHeight w:val="27"/>
        </w:trPr>
        <w:tc>
          <w:tcPr>
            <w:tcW w:w="702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9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1,258</w:t>
            </w:r>
          </w:p>
        </w:tc>
        <w:tc>
          <w:tcPr>
            <w:tcW w:w="440" w:type="dxa"/>
            <w:vAlign w:val="bottom"/>
            <w:gridSpan w:val="2"/>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w:t>
            </w:r>
          </w:p>
        </w:tc>
      </w:tr>
      <w:tr>
        <w:trPr>
          <w:trHeight w:val="20"/>
        </w:trPr>
        <w:tc>
          <w:tcPr>
            <w:tcW w:w="70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660"/>
        <w:spacing w:after="0" w:line="282" w:lineRule="auto"/>
        <w:rPr>
          <w:sz w:val="20"/>
          <w:szCs w:val="20"/>
          <w:color w:val="auto"/>
        </w:rPr>
      </w:pPr>
      <w:r>
        <w:rPr>
          <w:rFonts w:ascii="Times New Roman" w:cs="Times New Roman" w:eastAsia="Times New Roman" w:hAnsi="Times New Roman"/>
          <w:sz w:val="18"/>
          <w:szCs w:val="18"/>
          <w:color w:val="auto"/>
        </w:rPr>
        <w:t>As of December 31, 2019, the Group carried a derivative asset and liability at fair value on a recurring basis, in the amounts of $101 and $352, respectively. These derivatives were financial instruments carried at FVTPL.</w:t>
      </w:r>
    </w:p>
    <w:p>
      <w:pPr>
        <w:spacing w:after="0" w:line="162" w:lineRule="exact"/>
        <w:rPr>
          <w:sz w:val="20"/>
          <w:szCs w:val="20"/>
          <w:color w:val="auto"/>
        </w:rPr>
      </w:pPr>
    </w:p>
    <w:p>
      <w:pPr>
        <w:ind w:left="120" w:right="340"/>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2021 and 2020, the realised loss on derivatives was nil and $554, respectively. For the year ended December 31, 2019, the realised gain on derivatives was $16,615.</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table shows the carrying amounts of financial assets and liabilities measured at amortised cost:</w:t>
      </w:r>
    </w:p>
    <w:p>
      <w:pPr>
        <w:spacing w:after="0" w:line="246" w:lineRule="exact"/>
        <w:rPr>
          <w:sz w:val="20"/>
          <w:szCs w:val="20"/>
          <w:color w:val="auto"/>
        </w:rPr>
      </w:pPr>
    </w:p>
    <w:tbl>
      <w:tblPr>
        <w:tblLayout w:type="fixed"/>
        <w:tblInd w:w="1880" w:type="dxa"/>
        <w:tblCellMar>
          <w:top w:w="0" w:type="dxa"/>
          <w:left w:w="0" w:type="dxa"/>
          <w:bottom w:w="0" w:type="dxa"/>
          <w:right w:w="0" w:type="dxa"/>
        </w:tblCellMar>
      </w:tblPr>
      <w:tr>
        <w:trPr>
          <w:trHeight w:val="173"/>
        </w:trPr>
        <w:tc>
          <w:tcPr>
            <w:tcW w:w="51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Financial instruments carried at amortised cost</w:t>
            </w:r>
          </w:p>
        </w:tc>
        <w:tc>
          <w:tcPr>
            <w:tcW w:w="100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2020</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20" w:type="dxa"/>
            <w:vAlign w:val="bottom"/>
            <w:tcBorders>
              <w:bottom w:val="single" w:sz="8" w:color="CCEEFF"/>
            </w:tcBorders>
          </w:tcPr>
          <w:p>
            <w:pPr>
              <w:spacing w:after="0"/>
              <w:rPr>
                <w:sz w:val="12"/>
                <w:szCs w:val="12"/>
                <w:color w:val="auto"/>
              </w:rPr>
            </w:pPr>
          </w:p>
        </w:tc>
        <w:tc>
          <w:tcPr>
            <w:tcW w:w="2260" w:type="dxa"/>
            <w:vAlign w:val="bottom"/>
            <w:tcBorders>
              <w:bottom w:val="single" w:sz="8" w:color="auto"/>
            </w:tcBorders>
            <w:gridSpan w:val="4"/>
          </w:tcPr>
          <w:p>
            <w:pPr>
              <w:jc w:val="right"/>
              <w:ind w:right="491"/>
              <w:spacing w:after="0" w:line="142" w:lineRule="exact"/>
              <w:rPr>
                <w:sz w:val="20"/>
                <w:szCs w:val="20"/>
                <w:color w:val="auto"/>
              </w:rPr>
            </w:pPr>
            <w:r>
              <w:rPr>
                <w:rFonts w:ascii="Times New Roman" w:cs="Times New Roman" w:eastAsia="Times New Roman" w:hAnsi="Times New Roman"/>
                <w:sz w:val="14"/>
                <w:szCs w:val="14"/>
                <w:b w:val="1"/>
                <w:bCs w:val="1"/>
                <w:color w:val="auto"/>
              </w:rPr>
              <w:t>Carrying amount</w:t>
            </w: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Financial assets</w:t>
            </w: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Trade receivables and trade receivables - related parties</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172,441</w:t>
            </w:r>
          </w:p>
        </w:tc>
        <w:tc>
          <w:tcPr>
            <w:tcW w:w="26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307,694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756,677</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316,424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28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50,206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current receivables</w:t>
            </w: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38,741</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2,676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receivables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1,682</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316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2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969,541</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677,316</w:t>
            </w:r>
          </w:p>
        </w:tc>
        <w:tc>
          <w:tcPr>
            <w:tcW w:w="0" w:type="dxa"/>
            <w:vAlign w:val="bottom"/>
          </w:tcPr>
          <w:p>
            <w:pPr>
              <w:spacing w:after="0"/>
              <w:rPr>
                <w:sz w:val="1"/>
                <w:szCs w:val="1"/>
                <w:color w:val="auto"/>
              </w:rPr>
            </w:pPr>
          </w:p>
        </w:tc>
      </w:tr>
      <w:tr>
        <w:trPr>
          <w:trHeight w:val="223"/>
        </w:trPr>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Financial liabilities</w:t>
            </w:r>
          </w:p>
        </w:tc>
        <w:tc>
          <w:tcPr>
            <w:tcW w:w="100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payables and trade payables - related parties</w:t>
            </w: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1,541,974</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1,145,408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Liabilities to credit institutions</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642,338</w:t>
            </w:r>
          </w:p>
        </w:tc>
        <w:tc>
          <w:tcPr>
            <w:tcW w:w="26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363,490</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1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6"/>
                <w:szCs w:val="16"/>
                <w:color w:val="auto"/>
              </w:rPr>
              <w:t>Interest-bearing current liabilities</w:t>
            </w:r>
            <w:r>
              <w:rPr>
                <w:rFonts w:ascii="Times New Roman" w:cs="Times New Roman" w:eastAsia="Times New Roman" w:hAnsi="Times New Roman"/>
                <w:sz w:val="22"/>
                <w:szCs w:val="22"/>
                <w:color w:val="auto"/>
                <w:vertAlign w:val="superscript"/>
              </w:rPr>
              <w:t>1</w:t>
            </w:r>
            <w:r>
              <w:rPr>
                <w:rFonts w:ascii="Times New Roman" w:cs="Times New Roman" w:eastAsia="Times New Roman" w:hAnsi="Times New Roman"/>
                <w:sz w:val="16"/>
                <w:szCs w:val="16"/>
                <w:color w:val="auto"/>
              </w:rPr>
              <w:t xml:space="preserve"> and interest-bearing current</w:t>
            </w:r>
          </w:p>
        </w:tc>
        <w:tc>
          <w:tcPr>
            <w:tcW w:w="10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1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liabilities - related parties</w:t>
            </w: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24,072</w:t>
            </w:r>
          </w:p>
        </w:tc>
        <w:tc>
          <w:tcPr>
            <w:tcW w:w="2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11,187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11,764</w:t>
            </w:r>
          </w:p>
        </w:tc>
        <w:tc>
          <w:tcPr>
            <w:tcW w:w="26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expenses and accrued expenses - related parties</w:t>
            </w: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502,809</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203,107</w:t>
            </w:r>
          </w:p>
        </w:tc>
        <w:tc>
          <w:tcPr>
            <w:tcW w:w="0" w:type="dxa"/>
            <w:vAlign w:val="bottom"/>
          </w:tcPr>
          <w:p>
            <w:pPr>
              <w:spacing w:after="0"/>
              <w:rPr>
                <w:sz w:val="1"/>
                <w:szCs w:val="1"/>
                <w:color w:val="auto"/>
              </w:rPr>
            </w:pPr>
          </w:p>
        </w:tc>
      </w:tr>
      <w:tr>
        <w:trPr>
          <w:trHeight w:val="223"/>
        </w:trPr>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2,722,957</w:t>
            </w:r>
          </w:p>
        </w:tc>
        <w:tc>
          <w:tcPr>
            <w:tcW w:w="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1,723,504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1  – The Group’s short-term lease liability is presented separately in Note 9 – Leases.</w:t>
      </w:r>
    </w:p>
    <w:p>
      <w:pPr>
        <w:spacing w:after="0" w:line="225"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Total interest income arising on financial assets measured at amortised cost related mainly to cash and cash equivalents as of December 31, 2021, 2020 and 2019, and amounted to $1,396, $3,199 and $13,286, respectively. Total interest expense arising on financial liabilities measured at amortised cost related mainly to liabilities to credit institutions and other financing obligations as of December 31, 2021, 2020 and 2019, and amounted to $42,482, $24,379 and $17,850, respectively.</w:t>
      </w:r>
    </w:p>
    <w:p>
      <w:pPr>
        <w:spacing w:after="0" w:line="11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F-45</w:t>
      </w:r>
    </w:p>
    <w:p>
      <w:pPr>
        <w:sectPr>
          <w:pgSz w:w="11900" w:h="16838" w:orient="portrait"/>
          <w:cols w:equalWidth="0" w:num="1">
            <w:col w:w="11040"/>
          </w:cols>
          <w:pgMar w:left="320" w:top="455" w:right="539" w:bottom="1440" w:gutter="0" w:footer="0" w:header="0"/>
        </w:sectPr>
      </w:pPr>
    </w:p>
    <w:bookmarkStart w:id="280" w:name="page281"/>
    <w:bookmarkEnd w:id="2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p>
      <w:pPr>
        <w:spacing w:after="0" w:line="27"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3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table shows the maturities for the Group’s financial assets and liabilities as of December 31, 2021:</w:t>
      </w:r>
    </w:p>
    <w:p>
      <w:pPr>
        <w:spacing w:after="0" w:line="246"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920" w:type="dxa"/>
            <w:vAlign w:val="bottom"/>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3"/>
          </w:tcPr>
          <w:p>
            <w:pPr>
              <w:ind w:left="780"/>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5920" w:type="dxa"/>
            <w:vAlign w:val="bottom"/>
          </w:tcPr>
          <w:p>
            <w:pPr>
              <w:spacing w:after="0"/>
              <w:rPr>
                <w:sz w:val="10"/>
                <w:szCs w:val="10"/>
                <w:color w:val="auto"/>
              </w:rPr>
            </w:pPr>
          </w:p>
        </w:tc>
        <w:tc>
          <w:tcPr>
            <w:tcW w:w="1140" w:type="dxa"/>
            <w:vAlign w:val="bottom"/>
            <w:gridSpan w:val="2"/>
          </w:tcPr>
          <w:p>
            <w:pPr>
              <w:jc w:val="right"/>
              <w:ind w:right="400"/>
              <w:spacing w:after="0" w:line="118" w:lineRule="exact"/>
              <w:rPr>
                <w:sz w:val="20"/>
                <w:szCs w:val="20"/>
                <w:color w:val="auto"/>
              </w:rPr>
            </w:pPr>
            <w:r>
              <w:rPr>
                <w:rFonts w:ascii="Times New Roman" w:cs="Times New Roman" w:eastAsia="Times New Roman" w:hAnsi="Times New Roman"/>
                <w:sz w:val="13"/>
                <w:szCs w:val="13"/>
                <w:b w:val="1"/>
                <w:bCs w:val="1"/>
                <w:color w:val="auto"/>
              </w:rPr>
              <w:t>Due within</w:t>
            </w:r>
          </w:p>
        </w:tc>
        <w:tc>
          <w:tcPr>
            <w:tcW w:w="960" w:type="dxa"/>
            <w:vAlign w:val="bottom"/>
            <w:gridSpan w:val="2"/>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Due between</w:t>
            </w:r>
          </w:p>
        </w:tc>
        <w:tc>
          <w:tcPr>
            <w:tcW w:w="740" w:type="dxa"/>
            <w:vAlign w:val="bottom"/>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Due beyond</w:t>
            </w:r>
          </w:p>
        </w:tc>
        <w:tc>
          <w:tcPr>
            <w:tcW w:w="240" w:type="dxa"/>
            <w:vAlign w:val="bottom"/>
            <w:tcBorders>
              <w:right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84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920" w:type="dxa"/>
            <w:vAlign w:val="bottom"/>
          </w:tcPr>
          <w:p>
            <w:pPr>
              <w:spacing w:after="0"/>
              <w:rPr>
                <w:sz w:val="15"/>
                <w:szCs w:val="15"/>
                <w:color w:val="auto"/>
              </w:rPr>
            </w:pPr>
          </w:p>
        </w:tc>
        <w:tc>
          <w:tcPr>
            <w:tcW w:w="114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1 year</w:t>
            </w:r>
          </w:p>
        </w:tc>
        <w:tc>
          <w:tcPr>
            <w:tcW w:w="9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1 and 5 years</w:t>
            </w:r>
          </w:p>
        </w:tc>
        <w:tc>
          <w:tcPr>
            <w:tcW w:w="74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5 years</w:t>
            </w:r>
          </w:p>
        </w:tc>
        <w:tc>
          <w:tcPr>
            <w:tcW w:w="240" w:type="dxa"/>
            <w:vAlign w:val="bottom"/>
            <w:tcBorders>
              <w:right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92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Financial assets</w:t>
            </w:r>
          </w:p>
        </w:tc>
        <w:tc>
          <w:tcPr>
            <w:tcW w:w="78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right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Trade receivables and trade receivables - related parties</w:t>
            </w:r>
          </w:p>
        </w:tc>
        <w:tc>
          <w:tcPr>
            <w:tcW w:w="11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172,441</w:t>
            </w:r>
          </w:p>
        </w:tc>
        <w:tc>
          <w:tcPr>
            <w:tcW w:w="96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right w:val="single" w:sz="8" w:color="auto"/>
            </w:tcBorders>
          </w:tcPr>
          <w:p>
            <w:pPr>
              <w:spacing w:after="0"/>
              <w:rPr>
                <w:sz w:val="18"/>
                <w:szCs w:val="18"/>
                <w:color w:val="auto"/>
              </w:rPr>
            </w:pPr>
          </w:p>
        </w:tc>
        <w:tc>
          <w:tcPr>
            <w:tcW w:w="11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172,441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1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756,677</w:t>
            </w:r>
          </w:p>
        </w:tc>
        <w:tc>
          <w:tcPr>
            <w:tcW w:w="96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right w:val="single" w:sz="8" w:color="auto"/>
            </w:tcBorders>
            <w:shd w:val="clear" w:color="auto" w:fill="CCEEFF"/>
          </w:tcPr>
          <w:p>
            <w:pPr>
              <w:spacing w:after="0"/>
              <w:rPr>
                <w:sz w:val="18"/>
                <w:szCs w:val="18"/>
                <w:color w:val="auto"/>
              </w:rPr>
            </w:pPr>
          </w:p>
        </w:tc>
        <w:tc>
          <w:tcPr>
            <w:tcW w:w="11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756,677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Marketable securities</w:t>
            </w:r>
          </w:p>
        </w:tc>
        <w:tc>
          <w:tcPr>
            <w:tcW w:w="11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1,258</w:t>
            </w:r>
          </w:p>
        </w:tc>
        <w:tc>
          <w:tcPr>
            <w:tcW w:w="96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right w:val="single" w:sz="8" w:color="auto"/>
            </w:tcBorders>
          </w:tcPr>
          <w:p>
            <w:pPr>
              <w:spacing w:after="0"/>
              <w:rPr>
                <w:sz w:val="18"/>
                <w:szCs w:val="18"/>
                <w:color w:val="auto"/>
              </w:rPr>
            </w:pPr>
          </w:p>
        </w:tc>
        <w:tc>
          <w:tcPr>
            <w:tcW w:w="11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1,258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1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right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Other current receivables</w:t>
            </w:r>
          </w:p>
        </w:tc>
        <w:tc>
          <w:tcPr>
            <w:tcW w:w="11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38,741</w:t>
            </w:r>
          </w:p>
        </w:tc>
        <w:tc>
          <w:tcPr>
            <w:tcW w:w="96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right w:val="single" w:sz="8" w:color="auto"/>
            </w:tcBorders>
          </w:tcPr>
          <w:p>
            <w:pPr>
              <w:spacing w:after="0"/>
              <w:rPr>
                <w:sz w:val="18"/>
                <w:szCs w:val="18"/>
                <w:color w:val="auto"/>
              </w:rPr>
            </w:pPr>
          </w:p>
        </w:tc>
        <w:tc>
          <w:tcPr>
            <w:tcW w:w="11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38,741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non-current receivables</w:t>
            </w:r>
          </w:p>
        </w:tc>
        <w:tc>
          <w:tcPr>
            <w:tcW w:w="11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1,682</w:t>
            </w:r>
          </w:p>
        </w:tc>
        <w:tc>
          <w:tcPr>
            <w:tcW w:w="7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right w:val="single" w:sz="8" w:color="auto"/>
            </w:tcBorders>
            <w:shd w:val="clear" w:color="auto" w:fill="CCEEFF"/>
          </w:tcPr>
          <w:p>
            <w:pPr>
              <w:spacing w:after="0"/>
              <w:rPr>
                <w:sz w:val="18"/>
                <w:szCs w:val="18"/>
                <w:color w:val="auto"/>
              </w:rPr>
            </w:pPr>
          </w:p>
        </w:tc>
        <w:tc>
          <w:tcPr>
            <w:tcW w:w="11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1,682</w:t>
            </w:r>
          </w:p>
        </w:tc>
        <w:tc>
          <w:tcPr>
            <w:tcW w:w="0" w:type="dxa"/>
            <w:vAlign w:val="bottom"/>
          </w:tcPr>
          <w:p>
            <w:pPr>
              <w:spacing w:after="0"/>
              <w:rPr>
                <w:sz w:val="1"/>
                <w:szCs w:val="1"/>
                <w:color w:val="auto"/>
              </w:rPr>
            </w:pPr>
          </w:p>
        </w:tc>
      </w:tr>
      <w:tr>
        <w:trPr>
          <w:trHeight w:val="230"/>
        </w:trPr>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969,117</w:t>
            </w:r>
          </w:p>
        </w:tc>
        <w:tc>
          <w:tcPr>
            <w:tcW w:w="360" w:type="dxa"/>
            <w:vAlign w:val="bottom"/>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1,682</w:t>
            </w:r>
          </w:p>
        </w:tc>
        <w:tc>
          <w:tcPr>
            <w:tcW w:w="140" w:type="dxa"/>
            <w:vAlign w:val="bottom"/>
          </w:tcPr>
          <w:p>
            <w:pPr>
              <w:spacing w:after="0"/>
              <w:rPr>
                <w:sz w:val="20"/>
                <w:szCs w:val="20"/>
                <w:color w:val="auto"/>
              </w:rPr>
            </w:pPr>
          </w:p>
        </w:tc>
        <w:tc>
          <w:tcPr>
            <w:tcW w:w="740" w:type="dxa"/>
            <w:vAlign w:val="bottom"/>
            <w:tcBorders>
              <w:top w:val="single" w:sz="8" w:color="auto"/>
              <w:bottom w:val="single" w:sz="8" w:color="auto"/>
            </w:tcBorders>
          </w:tcPr>
          <w:p>
            <w:pPr>
              <w:ind w:left="48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970,799</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Financial liabilities</w:t>
            </w: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tcBorders>
              <w:right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Trade payables and trade payables - related parties</w:t>
            </w:r>
          </w:p>
        </w:tc>
        <w:tc>
          <w:tcPr>
            <w:tcW w:w="11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1,541,974</w:t>
            </w:r>
          </w:p>
        </w:tc>
        <w:tc>
          <w:tcPr>
            <w:tcW w:w="96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right w:val="single" w:sz="8" w:color="auto"/>
            </w:tcBorders>
          </w:tcPr>
          <w:p>
            <w:pPr>
              <w:spacing w:after="0"/>
              <w:rPr>
                <w:sz w:val="18"/>
                <w:szCs w:val="18"/>
                <w:color w:val="auto"/>
              </w:rPr>
            </w:pPr>
          </w:p>
        </w:tc>
        <w:tc>
          <w:tcPr>
            <w:tcW w:w="11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1,541,974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 to credit institutions</w:t>
            </w:r>
          </w:p>
        </w:tc>
        <w:tc>
          <w:tcPr>
            <w:tcW w:w="11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642,338</w:t>
            </w:r>
          </w:p>
        </w:tc>
        <w:tc>
          <w:tcPr>
            <w:tcW w:w="96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right w:val="single" w:sz="8" w:color="auto"/>
            </w:tcBorders>
            <w:shd w:val="clear" w:color="auto" w:fill="CCEEFF"/>
          </w:tcPr>
          <w:p>
            <w:pPr>
              <w:spacing w:after="0"/>
              <w:rPr>
                <w:sz w:val="18"/>
                <w:szCs w:val="18"/>
                <w:color w:val="auto"/>
              </w:rPr>
            </w:pPr>
          </w:p>
        </w:tc>
        <w:tc>
          <w:tcPr>
            <w:tcW w:w="11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642,338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 and accrued expenses - related parties</w:t>
            </w:r>
          </w:p>
        </w:tc>
        <w:tc>
          <w:tcPr>
            <w:tcW w:w="11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502,809</w:t>
            </w:r>
          </w:p>
        </w:tc>
        <w:tc>
          <w:tcPr>
            <w:tcW w:w="96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right w:val="single" w:sz="8" w:color="auto"/>
            </w:tcBorders>
          </w:tcPr>
          <w:p>
            <w:pPr>
              <w:spacing w:after="0"/>
              <w:rPr>
                <w:sz w:val="18"/>
                <w:szCs w:val="18"/>
                <w:color w:val="auto"/>
              </w:rPr>
            </w:pPr>
          </w:p>
        </w:tc>
        <w:tc>
          <w:tcPr>
            <w:tcW w:w="11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502,809</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9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6"/>
                <w:szCs w:val="16"/>
                <w:color w:val="auto"/>
              </w:rPr>
              <w:t>Interest-bearing current liabilities</w:t>
            </w:r>
            <w:r>
              <w:rPr>
                <w:rFonts w:ascii="Times New Roman" w:cs="Times New Roman" w:eastAsia="Times New Roman" w:hAnsi="Times New Roman"/>
                <w:sz w:val="22"/>
                <w:szCs w:val="22"/>
                <w:color w:val="auto"/>
                <w:vertAlign w:val="superscript"/>
              </w:rPr>
              <w:t>1</w:t>
            </w:r>
            <w:r>
              <w:rPr>
                <w:rFonts w:ascii="Times New Roman" w:cs="Times New Roman" w:eastAsia="Times New Roman" w:hAnsi="Times New Roman"/>
                <w:sz w:val="16"/>
                <w:szCs w:val="16"/>
                <w:color w:val="auto"/>
              </w:rPr>
              <w:t xml:space="preserve"> and interest-bearing current liabilities -</w:t>
            </w:r>
          </w:p>
        </w:tc>
        <w:tc>
          <w:tcPr>
            <w:tcW w:w="7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40" w:type="dxa"/>
            <w:vAlign w:val="bottom"/>
            <w:tcBorders>
              <w:right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9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related parties</w:t>
            </w:r>
          </w:p>
        </w:tc>
        <w:tc>
          <w:tcPr>
            <w:tcW w:w="11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24,072</w:t>
            </w:r>
          </w:p>
        </w:tc>
        <w:tc>
          <w:tcPr>
            <w:tcW w:w="96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right w:val="single" w:sz="8" w:color="auto"/>
            </w:tcBorders>
            <w:shd w:val="clear" w:color="auto" w:fill="CCEEFF"/>
          </w:tcPr>
          <w:p>
            <w:pPr>
              <w:spacing w:after="0"/>
              <w:rPr>
                <w:sz w:val="20"/>
                <w:szCs w:val="20"/>
                <w:color w:val="auto"/>
              </w:rPr>
            </w:pPr>
          </w:p>
        </w:tc>
        <w:tc>
          <w:tcPr>
            <w:tcW w:w="11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24,072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11,764</w:t>
            </w:r>
          </w:p>
        </w:tc>
        <w:tc>
          <w:tcPr>
            <w:tcW w:w="140" w:type="dxa"/>
            <w:vAlign w:val="bottom"/>
          </w:tcPr>
          <w:p>
            <w:pPr>
              <w:spacing w:after="0"/>
              <w:rPr>
                <w:sz w:val="19"/>
                <w:szCs w:val="19"/>
                <w:color w:val="auto"/>
              </w:rPr>
            </w:pPr>
          </w:p>
        </w:tc>
        <w:tc>
          <w:tcPr>
            <w:tcW w:w="74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right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11,764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1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2,711,193</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11,764</w:t>
            </w:r>
          </w:p>
        </w:tc>
        <w:tc>
          <w:tcPr>
            <w:tcW w:w="7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Borders>
              <w:right w:val="single" w:sz="8" w:color="auto"/>
            </w:tcBorders>
            <w:shd w:val="clear" w:color="auto" w:fill="CCEEFF"/>
          </w:tcPr>
          <w:p>
            <w:pPr>
              <w:spacing w:after="0"/>
              <w:rPr>
                <w:sz w:val="18"/>
                <w:szCs w:val="18"/>
                <w:color w:val="auto"/>
              </w:rPr>
            </w:pPr>
          </w:p>
        </w:tc>
        <w:tc>
          <w:tcPr>
            <w:tcW w:w="11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2,722,957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780" w:type="dxa"/>
            <w:vAlign w:val="bottom"/>
            <w:tcBorders>
              <w:top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top w:val="single" w:sz="8" w:color="auto"/>
            </w:tcBorders>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1  – The Group’s short-term lease liability is presented separately in Note 9 – Leases.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table shows the maturities for the Group’s financial assets and liabilities as of December 31, 2020:</w:t>
      </w:r>
    </w:p>
    <w:p>
      <w:pPr>
        <w:spacing w:after="0" w:line="246"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940" w:type="dxa"/>
            <w:vAlign w:val="bottom"/>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3"/>
          </w:tcPr>
          <w:p>
            <w:pPr>
              <w:ind w:left="800"/>
              <w:spacing w:after="0"/>
              <w:rPr>
                <w:sz w:val="20"/>
                <w:szCs w:val="20"/>
                <w:color w:val="auto"/>
              </w:rPr>
            </w:pPr>
            <w:r>
              <w:rPr>
                <w:rFonts w:ascii="Times New Roman" w:cs="Times New Roman" w:eastAsia="Times New Roman" w:hAnsi="Times New Roman"/>
                <w:sz w:val="14"/>
                <w:szCs w:val="14"/>
                <w:b w:val="1"/>
                <w:bCs w:val="1"/>
                <w:color w:val="auto"/>
              </w:rPr>
              <w:t>2020</w:t>
            </w:r>
          </w:p>
        </w:tc>
        <w:tc>
          <w:tcPr>
            <w:tcW w:w="2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5940" w:type="dxa"/>
            <w:vAlign w:val="bottom"/>
          </w:tcPr>
          <w:p>
            <w:pPr>
              <w:spacing w:after="0"/>
              <w:rPr>
                <w:sz w:val="10"/>
                <w:szCs w:val="10"/>
                <w:color w:val="auto"/>
              </w:rPr>
            </w:pPr>
          </w:p>
        </w:tc>
        <w:tc>
          <w:tcPr>
            <w:tcW w:w="1120" w:type="dxa"/>
            <w:vAlign w:val="bottom"/>
            <w:gridSpan w:val="2"/>
          </w:tcPr>
          <w:p>
            <w:pPr>
              <w:jc w:val="center"/>
              <w:ind w:right="320"/>
              <w:spacing w:after="0" w:line="118" w:lineRule="exact"/>
              <w:rPr>
                <w:sz w:val="20"/>
                <w:szCs w:val="20"/>
                <w:color w:val="auto"/>
              </w:rPr>
            </w:pPr>
            <w:r>
              <w:rPr>
                <w:rFonts w:ascii="Times New Roman" w:cs="Times New Roman" w:eastAsia="Times New Roman" w:hAnsi="Times New Roman"/>
                <w:sz w:val="13"/>
                <w:szCs w:val="13"/>
                <w:b w:val="1"/>
                <w:bCs w:val="1"/>
                <w:color w:val="auto"/>
              </w:rPr>
              <w:t>Due within</w:t>
            </w:r>
          </w:p>
        </w:tc>
        <w:tc>
          <w:tcPr>
            <w:tcW w:w="980" w:type="dxa"/>
            <w:vAlign w:val="bottom"/>
            <w:gridSpan w:val="2"/>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Due between</w:t>
            </w:r>
          </w:p>
        </w:tc>
        <w:tc>
          <w:tcPr>
            <w:tcW w:w="960" w:type="dxa"/>
            <w:vAlign w:val="bottom"/>
            <w:tcBorders>
              <w:right w:val="single" w:sz="8" w:color="auto"/>
            </w:tcBorders>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Due beyond</w:t>
            </w:r>
          </w:p>
        </w:tc>
        <w:tc>
          <w:tcPr>
            <w:tcW w:w="260" w:type="dxa"/>
            <w:vAlign w:val="bottom"/>
          </w:tcPr>
          <w:p>
            <w:pPr>
              <w:spacing w:after="0"/>
              <w:rPr>
                <w:sz w:val="10"/>
                <w:szCs w:val="10"/>
                <w:color w:val="auto"/>
              </w:rPr>
            </w:pPr>
          </w:p>
        </w:tc>
        <w:tc>
          <w:tcPr>
            <w:tcW w:w="84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940" w:type="dxa"/>
            <w:vAlign w:val="bottom"/>
          </w:tcPr>
          <w:p>
            <w:pPr>
              <w:spacing w:after="0"/>
              <w:rPr>
                <w:sz w:val="15"/>
                <w:szCs w:val="15"/>
                <w:color w:val="auto"/>
              </w:rPr>
            </w:pPr>
          </w:p>
        </w:tc>
        <w:tc>
          <w:tcPr>
            <w:tcW w:w="11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7"/>
              </w:rPr>
              <w:t>1 year</w:t>
            </w:r>
          </w:p>
        </w:tc>
        <w:tc>
          <w:tcPr>
            <w:tcW w:w="9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1 and 5 years</w:t>
            </w:r>
          </w:p>
        </w:tc>
        <w:tc>
          <w:tcPr>
            <w:tcW w:w="960" w:type="dxa"/>
            <w:vAlign w:val="bottom"/>
            <w:tcBorders>
              <w:right w:val="single" w:sz="8" w:color="auto"/>
            </w:tcBorders>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5 years</w:t>
            </w:r>
          </w:p>
        </w:tc>
        <w:tc>
          <w:tcPr>
            <w:tcW w:w="26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9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Financial assets</w:t>
            </w:r>
          </w:p>
        </w:tc>
        <w:tc>
          <w:tcPr>
            <w:tcW w:w="80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right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Trade receivables and trade receivables - related parties</w:t>
            </w:r>
          </w:p>
        </w:tc>
        <w:tc>
          <w:tcPr>
            <w:tcW w:w="11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307,694</w:t>
            </w:r>
          </w:p>
        </w:tc>
        <w:tc>
          <w:tcPr>
            <w:tcW w:w="98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right w:val="single" w:sz="8" w:color="auto"/>
            </w:tcBorders>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307,694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1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316,424</w:t>
            </w:r>
          </w:p>
        </w:tc>
        <w:tc>
          <w:tcPr>
            <w:tcW w:w="9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right w:val="single" w:sz="8" w:color="auto"/>
            </w:tcBorders>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316,424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1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50,206</w:t>
            </w:r>
          </w:p>
        </w:tc>
        <w:tc>
          <w:tcPr>
            <w:tcW w:w="98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right w:val="single" w:sz="8" w:color="auto"/>
            </w:tcBorders>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50,206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current receivables</w:t>
            </w:r>
          </w:p>
        </w:tc>
        <w:tc>
          <w:tcPr>
            <w:tcW w:w="11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2,676</w:t>
            </w:r>
          </w:p>
        </w:tc>
        <w:tc>
          <w:tcPr>
            <w:tcW w:w="9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right w:val="single" w:sz="8" w:color="auto"/>
            </w:tcBorders>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receivables</w:t>
            </w:r>
          </w:p>
        </w:tc>
        <w:tc>
          <w:tcPr>
            <w:tcW w:w="8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8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60" w:type="dxa"/>
            <w:vAlign w:val="bottom"/>
            <w:tcBorders>
              <w:right w:val="single" w:sz="8" w:color="auto"/>
            </w:tcBorders>
            <w:gridSpan w:val="2"/>
          </w:tcPr>
          <w:p>
            <w:pPr>
              <w:ind w:left="480"/>
              <w:spacing w:after="0"/>
              <w:rPr>
                <w:sz w:val="20"/>
                <w:szCs w:val="20"/>
                <w:color w:val="auto"/>
              </w:rPr>
            </w:pPr>
            <w:r>
              <w:rPr>
                <w:rFonts w:ascii="Times New Roman" w:cs="Times New Roman" w:eastAsia="Times New Roman" w:hAnsi="Times New Roman"/>
                <w:sz w:val="18"/>
                <w:szCs w:val="18"/>
                <w:color w:val="auto"/>
              </w:rPr>
              <w:t>316</w:t>
            </w:r>
          </w:p>
        </w:tc>
        <w:tc>
          <w:tcPr>
            <w:tcW w:w="26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9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Borders>
              <w:right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677,000</w:t>
            </w: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shd w:val="clear" w:color="auto" w:fill="CCEEFF"/>
          </w:tcPr>
          <w:p>
            <w:pPr>
              <w:spacing w:after="0"/>
              <w:rPr>
                <w:sz w:val="18"/>
                <w:szCs w:val="18"/>
                <w:color w:val="auto"/>
              </w:rPr>
            </w:pPr>
          </w:p>
        </w:tc>
        <w:tc>
          <w:tcPr>
            <w:tcW w:w="960" w:type="dxa"/>
            <w:vAlign w:val="bottom"/>
            <w:tcBorders>
              <w:right w:val="single" w:sz="8" w:color="auto"/>
            </w:tcBorders>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b w:val="1"/>
                <w:bCs w:val="1"/>
                <w:color w:val="auto"/>
              </w:rPr>
              <w:t>316</w:t>
            </w: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677,316</w:t>
            </w:r>
          </w:p>
        </w:tc>
        <w:tc>
          <w:tcPr>
            <w:tcW w:w="0" w:type="dxa"/>
            <w:vAlign w:val="bottom"/>
          </w:tcPr>
          <w:p>
            <w:pPr>
              <w:spacing w:after="0"/>
              <w:rPr>
                <w:sz w:val="1"/>
                <w:szCs w:val="1"/>
                <w:color w:val="auto"/>
              </w:rPr>
            </w:pPr>
          </w:p>
        </w:tc>
      </w:tr>
      <w:tr>
        <w:trPr>
          <w:trHeight w:val="223"/>
        </w:trPr>
        <w:tc>
          <w:tcPr>
            <w:tcW w:w="59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Financial liabilities</w:t>
            </w:r>
          </w:p>
        </w:tc>
        <w:tc>
          <w:tcPr>
            <w:tcW w:w="80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220" w:type="dxa"/>
            <w:vAlign w:val="bottom"/>
            <w:tcBorders>
              <w:right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payables and trade payables - related parties</w:t>
            </w:r>
          </w:p>
        </w:tc>
        <w:tc>
          <w:tcPr>
            <w:tcW w:w="11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1,145,408</w:t>
            </w:r>
          </w:p>
        </w:tc>
        <w:tc>
          <w:tcPr>
            <w:tcW w:w="9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right w:val="single" w:sz="8" w:color="auto"/>
            </w:tcBorders>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1,145,408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Liabilities to credit institutions</w:t>
            </w:r>
          </w:p>
        </w:tc>
        <w:tc>
          <w:tcPr>
            <w:tcW w:w="11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363,490</w:t>
            </w:r>
          </w:p>
        </w:tc>
        <w:tc>
          <w:tcPr>
            <w:tcW w:w="98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right w:val="single" w:sz="8" w:color="auto"/>
            </w:tcBorders>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363,490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expenses and accrued expenses - related parties</w:t>
            </w:r>
          </w:p>
        </w:tc>
        <w:tc>
          <w:tcPr>
            <w:tcW w:w="11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203,107</w:t>
            </w:r>
          </w:p>
        </w:tc>
        <w:tc>
          <w:tcPr>
            <w:tcW w:w="9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right w:val="single" w:sz="8" w:color="auto"/>
            </w:tcBorders>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203,107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80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84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w w:val="96"/>
              </w:rPr>
              <w:t>312</w:t>
            </w:r>
          </w:p>
        </w:tc>
        <w:tc>
          <w:tcPr>
            <w:tcW w:w="140" w:type="dxa"/>
            <w:vAlign w:val="bottom"/>
          </w:tcPr>
          <w:p>
            <w:pPr>
              <w:spacing w:after="0"/>
              <w:rPr>
                <w:sz w:val="19"/>
                <w:szCs w:val="19"/>
                <w:color w:val="auto"/>
              </w:rPr>
            </w:pPr>
          </w:p>
        </w:tc>
        <w:tc>
          <w:tcPr>
            <w:tcW w:w="74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right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1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1,712,005</w:t>
            </w:r>
          </w:p>
        </w:tc>
        <w:tc>
          <w:tcPr>
            <w:tcW w:w="9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b w:val="1"/>
                <w:bCs w:val="1"/>
                <w:color w:val="auto"/>
              </w:rPr>
              <w:t>312</w:t>
            </w:r>
          </w:p>
        </w:tc>
        <w:tc>
          <w:tcPr>
            <w:tcW w:w="960" w:type="dxa"/>
            <w:vAlign w:val="bottom"/>
            <w:tcBorders>
              <w:right w:val="single" w:sz="8" w:color="auto"/>
            </w:tcBorders>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1,712,317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800" w:type="dxa"/>
            <w:vAlign w:val="bottom"/>
            <w:tcBorders>
              <w:top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top w:val="single" w:sz="8" w:color="auto"/>
            </w:tcBorders>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 financial instruments were offset by the Group.</w:t>
      </w:r>
    </w:p>
    <w:p>
      <w:pPr>
        <w:spacing w:after="0" w:line="158"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F-46</w:t>
      </w:r>
    </w:p>
    <w:p>
      <w:pPr>
        <w:sectPr>
          <w:pgSz w:w="11900" w:h="16838" w:orient="portrait"/>
          <w:cols w:equalWidth="0" w:num="1">
            <w:col w:w="10680"/>
          </w:cols>
          <w:pgMar w:left="320" w:top="455" w:right="899" w:bottom="1440" w:gutter="0" w:footer="0" w:header="0"/>
        </w:sectPr>
      </w:pPr>
    </w:p>
    <w:bookmarkStart w:id="281" w:name="page282"/>
    <w:bookmarkEnd w:id="2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p>
      <w:pPr>
        <w:spacing w:after="0" w:line="2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15 – Trade receivables</w:t>
      </w:r>
    </w:p>
    <w:p>
      <w:pPr>
        <w:spacing w:after="0" w:line="121"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Trade receivables from contracts with customers represent sales transactions, conducted via sales units, within the markets in which the Group operates. The average credit term to finance service providers and fleet customers is two weeks. Trade receivables – related parties were comprised of sales transactions with related parties in relation to sale of R&amp;D services, software and performance engineered kits.</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table details the aging analysis of the trade receivables:</w:t>
      </w:r>
    </w:p>
    <w:p>
      <w:pPr>
        <w:spacing w:after="0" w:line="233" w:lineRule="exact"/>
        <w:rPr>
          <w:sz w:val="20"/>
          <w:szCs w:val="20"/>
          <w:color w:val="auto"/>
        </w:rPr>
      </w:pPr>
    </w:p>
    <w:tbl>
      <w:tblPr>
        <w:tblLayout w:type="fixed"/>
        <w:tblInd w:w="120" w:type="dxa"/>
        <w:tblCellMar>
          <w:top w:w="0" w:type="dxa"/>
          <w:left w:w="0" w:type="dxa"/>
          <w:bottom w:w="0" w:type="dxa"/>
          <w:right w:w="0" w:type="dxa"/>
        </w:tblCellMar>
      </w:tblPr>
      <w:tr>
        <w:trPr>
          <w:trHeight w:val="37"/>
        </w:trPr>
        <w:tc>
          <w:tcPr>
            <w:tcW w:w="7120" w:type="dxa"/>
            <w:vAlign w:val="bottom"/>
          </w:tcPr>
          <w:p>
            <w:pPr>
              <w:spacing w:after="0"/>
              <w:rPr>
                <w:sz w:val="3"/>
                <w:szCs w:val="3"/>
                <w:color w:val="auto"/>
              </w:rPr>
            </w:pPr>
          </w:p>
        </w:tc>
        <w:tc>
          <w:tcPr>
            <w:tcW w:w="9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Not overdue</w:t>
            </w:r>
          </w:p>
        </w:tc>
        <w:tc>
          <w:tcPr>
            <w:tcW w:w="7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w w:val="99"/>
              </w:rPr>
              <w:t>1-30 days</w:t>
            </w:r>
          </w:p>
        </w:tc>
        <w:tc>
          <w:tcPr>
            <w:tcW w:w="7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30-90 days</w:t>
            </w:r>
          </w:p>
        </w:tc>
        <w:tc>
          <w:tcPr>
            <w:tcW w:w="6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&gt;90 days</w:t>
            </w:r>
          </w:p>
        </w:tc>
        <w:tc>
          <w:tcPr>
            <w:tcW w:w="20" w:type="dxa"/>
            <w:vAlign w:val="bottom"/>
          </w:tcPr>
          <w:p>
            <w:pPr>
              <w:spacing w:after="0"/>
              <w:rPr>
                <w:sz w:val="3"/>
                <w:szCs w:val="3"/>
                <w:color w:val="auto"/>
              </w:rPr>
            </w:pPr>
          </w:p>
        </w:tc>
        <w:tc>
          <w:tcPr>
            <w:tcW w:w="80" w:type="dxa"/>
            <w:vAlign w:val="bottom"/>
            <w:vMerge w:val="restart"/>
          </w:tcPr>
          <w:p>
            <w:pPr>
              <w:spacing w:after="0"/>
              <w:rPr>
                <w:sz w:val="3"/>
                <w:szCs w:val="3"/>
                <w:color w:val="auto"/>
              </w:rPr>
            </w:pPr>
          </w:p>
        </w:tc>
        <w:tc>
          <w:tcPr>
            <w:tcW w:w="72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line="20" w:lineRule="exact"/>
              <w:rPr>
                <w:sz w:val="1"/>
                <w:szCs w:val="1"/>
                <w:color w:val="auto"/>
              </w:rPr>
            </w:pPr>
          </w:p>
        </w:tc>
      </w:tr>
      <w:tr>
        <w:trPr>
          <w:trHeight w:val="124"/>
        </w:trPr>
        <w:tc>
          <w:tcPr>
            <w:tcW w:w="7120" w:type="dxa"/>
            <w:vAlign w:val="bottom"/>
          </w:tcPr>
          <w:p>
            <w:pPr>
              <w:spacing w:after="0"/>
              <w:rPr>
                <w:sz w:val="10"/>
                <w:szCs w:val="10"/>
                <w:color w:val="auto"/>
              </w:rPr>
            </w:pPr>
          </w:p>
        </w:tc>
        <w:tc>
          <w:tcPr>
            <w:tcW w:w="900" w:type="dxa"/>
            <w:vAlign w:val="bottom"/>
            <w:gridSpan w:val="3"/>
            <w:vMerge w:val="continue"/>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660" w:type="dxa"/>
            <w:vAlign w:val="bottom"/>
            <w:gridSpan w:val="2"/>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80" w:type="dxa"/>
            <w:vAlign w:val="bottom"/>
            <w:vMerge w:val="continue"/>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7120" w:type="dxa"/>
            <w:vAlign w:val="bottom"/>
          </w:tcPr>
          <w:p>
            <w:pPr>
              <w:spacing w:after="0"/>
              <w:rPr>
                <w:sz w:val="15"/>
                <w:szCs w:val="15"/>
                <w:color w:val="auto"/>
              </w:rPr>
            </w:pPr>
          </w:p>
        </w:tc>
        <w:tc>
          <w:tcPr>
            <w:tcW w:w="900" w:type="dxa"/>
            <w:vAlign w:val="bottom"/>
            <w:gridSpan w:val="3"/>
            <w:vMerge w:val="continue"/>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overdue</w:t>
            </w:r>
          </w:p>
        </w:tc>
        <w:tc>
          <w:tcPr>
            <w:tcW w:w="7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overdue</w:t>
            </w:r>
          </w:p>
        </w:tc>
        <w:tc>
          <w:tcPr>
            <w:tcW w:w="6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overdue</w:t>
            </w:r>
          </w:p>
        </w:tc>
        <w:tc>
          <w:tcPr>
            <w:tcW w:w="20" w:type="dxa"/>
            <w:vAlign w:val="bottom"/>
            <w:shd w:val="clear" w:color="auto" w:fill="000000"/>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712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2021</w:t>
            </w:r>
          </w:p>
        </w:tc>
        <w:tc>
          <w:tcPr>
            <w:tcW w:w="7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000000"/>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Gross trade receivables</w:t>
            </w: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89,348</w:t>
            </w:r>
          </w:p>
        </w:tc>
        <w:tc>
          <w:tcPr>
            <w:tcW w:w="140" w:type="dxa"/>
            <w:vAlign w:val="bottom"/>
          </w:tcPr>
          <w:p>
            <w:pPr>
              <w:spacing w:after="0"/>
              <w:rPr>
                <w:sz w:val="18"/>
                <w:szCs w:val="18"/>
                <w:color w:val="auto"/>
              </w:rPr>
            </w:pPr>
          </w:p>
        </w:tc>
        <w:tc>
          <w:tcPr>
            <w:tcW w:w="7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53,289</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14,403</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713</w:t>
            </w:r>
          </w:p>
        </w:tc>
        <w:tc>
          <w:tcPr>
            <w:tcW w:w="20" w:type="dxa"/>
            <w:vAlign w:val="bottom"/>
            <w:shd w:val="clear" w:color="auto" w:fill="000000"/>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157,753</w:t>
            </w:r>
          </w:p>
        </w:tc>
        <w:tc>
          <w:tcPr>
            <w:tcW w:w="0" w:type="dxa"/>
            <w:vAlign w:val="bottom"/>
          </w:tcPr>
          <w:p>
            <w:pPr>
              <w:spacing w:after="0"/>
              <w:rPr>
                <w:sz w:val="1"/>
                <w:szCs w:val="1"/>
                <w:color w:val="auto"/>
              </w:rPr>
            </w:pPr>
          </w:p>
        </w:tc>
      </w:tr>
      <w:tr>
        <w:trPr>
          <w:trHeight w:val="216"/>
        </w:trPr>
        <w:tc>
          <w:tcPr>
            <w:tcW w:w="7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receivables – related parties</w:t>
            </w: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7,210</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7,310</w:t>
            </w:r>
          </w:p>
        </w:tc>
        <w:tc>
          <w:tcPr>
            <w:tcW w:w="76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168</w:t>
            </w:r>
          </w:p>
        </w:tc>
        <w:tc>
          <w:tcPr>
            <w:tcW w:w="20" w:type="dxa"/>
            <w:vAlign w:val="bottom"/>
            <w:shd w:val="clear" w:color="auto" w:fill="000000"/>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14,688</w:t>
            </w:r>
          </w:p>
        </w:tc>
        <w:tc>
          <w:tcPr>
            <w:tcW w:w="0" w:type="dxa"/>
            <w:vAlign w:val="bottom"/>
          </w:tcPr>
          <w:p>
            <w:pPr>
              <w:spacing w:after="0"/>
              <w:rPr>
                <w:sz w:val="1"/>
                <w:szCs w:val="1"/>
                <w:color w:val="auto"/>
              </w:rPr>
            </w:pPr>
          </w:p>
        </w:tc>
      </w:tr>
      <w:tr>
        <w:trPr>
          <w:trHeight w:val="230"/>
        </w:trPr>
        <w:tc>
          <w:tcPr>
            <w:tcW w:w="7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trade receivables</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96,558</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Borders>
              <w:top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w w:val="92"/>
              </w:rPr>
              <w:t>60,599</w:t>
            </w:r>
          </w:p>
        </w:tc>
        <w:tc>
          <w:tcPr>
            <w:tcW w:w="18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14,403</w:t>
            </w:r>
          </w:p>
        </w:tc>
        <w:tc>
          <w:tcPr>
            <w:tcW w:w="100" w:type="dxa"/>
            <w:vAlign w:val="bottom"/>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881</w:t>
            </w:r>
          </w:p>
        </w:tc>
        <w:tc>
          <w:tcPr>
            <w:tcW w:w="100" w:type="dxa"/>
            <w:vAlign w:val="bottom"/>
          </w:tcPr>
          <w:p>
            <w:pPr>
              <w:spacing w:after="0"/>
              <w:rPr>
                <w:sz w:val="20"/>
                <w:szCs w:val="20"/>
                <w:color w:val="auto"/>
              </w:rPr>
            </w:pPr>
          </w:p>
        </w:tc>
        <w:tc>
          <w:tcPr>
            <w:tcW w:w="20" w:type="dxa"/>
            <w:vAlign w:val="bottom"/>
            <w:tcBorders>
              <w:top w:val="single" w:sz="8" w:color="auto"/>
              <w:bottom w:val="single" w:sz="8" w:color="auto"/>
            </w:tcBorders>
            <w:shd w:val="clear" w:color="auto" w:fill="000000"/>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172,441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2020</w:t>
            </w: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Gross trade receivables</w:t>
            </w: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54,354</w:t>
            </w:r>
          </w:p>
        </w:tc>
        <w:tc>
          <w:tcPr>
            <w:tcW w:w="140" w:type="dxa"/>
            <w:vAlign w:val="bottom"/>
          </w:tcPr>
          <w:p>
            <w:pPr>
              <w:spacing w:after="0"/>
              <w:rPr>
                <w:sz w:val="18"/>
                <w:szCs w:val="18"/>
                <w:color w:val="auto"/>
              </w:rPr>
            </w:pPr>
          </w:p>
        </w:tc>
        <w:tc>
          <w:tcPr>
            <w:tcW w:w="7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32,382</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9,879</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2,635</w:t>
            </w:r>
          </w:p>
        </w:tc>
        <w:tc>
          <w:tcPr>
            <w:tcW w:w="20" w:type="dxa"/>
            <w:vAlign w:val="bottom"/>
            <w:shd w:val="clear" w:color="auto" w:fill="000000"/>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99,250</w:t>
            </w:r>
          </w:p>
        </w:tc>
        <w:tc>
          <w:tcPr>
            <w:tcW w:w="0" w:type="dxa"/>
            <w:vAlign w:val="bottom"/>
          </w:tcPr>
          <w:p>
            <w:pPr>
              <w:spacing w:after="0"/>
              <w:rPr>
                <w:sz w:val="1"/>
                <w:szCs w:val="1"/>
                <w:color w:val="auto"/>
              </w:rPr>
            </w:pPr>
          </w:p>
        </w:tc>
      </w:tr>
      <w:tr>
        <w:trPr>
          <w:trHeight w:val="216"/>
        </w:trPr>
        <w:tc>
          <w:tcPr>
            <w:tcW w:w="7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receivables – related parties</w:t>
            </w: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194,891</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12,745</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405</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403</w:t>
            </w:r>
          </w:p>
        </w:tc>
        <w:tc>
          <w:tcPr>
            <w:tcW w:w="20" w:type="dxa"/>
            <w:vAlign w:val="bottom"/>
            <w:shd w:val="clear" w:color="auto" w:fill="000000"/>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208,444</w:t>
            </w:r>
          </w:p>
        </w:tc>
        <w:tc>
          <w:tcPr>
            <w:tcW w:w="0" w:type="dxa"/>
            <w:vAlign w:val="bottom"/>
          </w:tcPr>
          <w:p>
            <w:pPr>
              <w:spacing w:after="0"/>
              <w:rPr>
                <w:sz w:val="1"/>
                <w:szCs w:val="1"/>
                <w:color w:val="auto"/>
              </w:rPr>
            </w:pPr>
          </w:p>
        </w:tc>
      </w:tr>
      <w:tr>
        <w:trPr>
          <w:trHeight w:val="230"/>
        </w:trPr>
        <w:tc>
          <w:tcPr>
            <w:tcW w:w="7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trade receivables</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249,245</w:t>
            </w:r>
          </w:p>
        </w:tc>
        <w:tc>
          <w:tcPr>
            <w:tcW w:w="2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Borders>
              <w:top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w w:val="92"/>
              </w:rPr>
              <w:t>45,127</w:t>
            </w:r>
          </w:p>
        </w:tc>
        <w:tc>
          <w:tcPr>
            <w:tcW w:w="18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10,284</w:t>
            </w:r>
          </w:p>
        </w:tc>
        <w:tc>
          <w:tcPr>
            <w:tcW w:w="100" w:type="dxa"/>
            <w:vAlign w:val="bottom"/>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3,038</w:t>
            </w:r>
          </w:p>
        </w:tc>
        <w:tc>
          <w:tcPr>
            <w:tcW w:w="100" w:type="dxa"/>
            <w:vAlign w:val="bottom"/>
          </w:tcPr>
          <w:p>
            <w:pPr>
              <w:spacing w:after="0"/>
              <w:rPr>
                <w:sz w:val="20"/>
                <w:szCs w:val="20"/>
                <w:color w:val="auto"/>
              </w:rPr>
            </w:pPr>
          </w:p>
        </w:tc>
        <w:tc>
          <w:tcPr>
            <w:tcW w:w="20" w:type="dxa"/>
            <w:vAlign w:val="bottom"/>
            <w:tcBorders>
              <w:top w:val="single" w:sz="8" w:color="auto"/>
              <w:bottom w:val="single" w:sz="8" w:color="auto"/>
            </w:tcBorders>
            <w:shd w:val="clear" w:color="auto" w:fill="000000"/>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307,694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20" w:right="120"/>
        <w:spacing w:after="0" w:line="261" w:lineRule="auto"/>
        <w:rPr>
          <w:sz w:val="20"/>
          <w:szCs w:val="20"/>
          <w:color w:val="auto"/>
        </w:rPr>
      </w:pPr>
      <w:r>
        <w:rPr>
          <w:rFonts w:ascii="Times New Roman" w:cs="Times New Roman" w:eastAsia="Times New Roman" w:hAnsi="Times New Roman"/>
          <w:sz w:val="18"/>
          <w:szCs w:val="18"/>
          <w:color w:val="auto"/>
        </w:rPr>
        <w:t>Management determines that a receivable is written off once reasonable means of collection have been unsuccessful and the Group has no reasonable expectations of recovering the entire contractual cash flows, or a portion thereof. Historically, the Group has had no credit losses. As of December 31, 2021 and 2020, Polestar Group has performed an ECL assessment and found no significant effects resulting from the analysis; no write-offs were made for trade receivables.</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Further information on credit risks for trade receivables is included in Note 2 – Financial risk management.</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16 – Inventories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Group’s inventory primarily consisted of vehicles as follows:</w:t>
      </w:r>
    </w:p>
    <w:p>
      <w:pPr>
        <w:spacing w:after="0" w:line="246"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6420" w:type="dxa"/>
            <w:vAlign w:val="bottom"/>
            <w:tcBorders>
              <w:bottom w:val="single" w:sz="8" w:color="CCEEFF"/>
            </w:tcBorders>
          </w:tcPr>
          <w:p>
            <w:pPr>
              <w:spacing w:after="0"/>
              <w:rPr>
                <w:sz w:val="15"/>
                <w:szCs w:val="15"/>
                <w:color w:val="auto"/>
              </w:rPr>
            </w:pPr>
          </w:p>
        </w:tc>
        <w:tc>
          <w:tcPr>
            <w:tcW w:w="7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Borders>
              <w:bottom w:val="single" w:sz="8" w:color="CCEEFF"/>
            </w:tcBorders>
          </w:tcPr>
          <w:p>
            <w:pPr>
              <w:spacing w:after="0"/>
              <w:rPr>
                <w:sz w:val="15"/>
                <w:szCs w:val="15"/>
                <w:color w:val="auto"/>
              </w:rPr>
            </w:pPr>
          </w:p>
        </w:tc>
        <w:tc>
          <w:tcPr>
            <w:tcW w:w="340" w:type="dxa"/>
            <w:vAlign w:val="bottom"/>
            <w:tcBorders>
              <w:bottom w:val="single" w:sz="8" w:color="CCEEFF"/>
            </w:tcBorders>
          </w:tcPr>
          <w:p>
            <w:pPr>
              <w:spacing w:after="0"/>
              <w:rPr>
                <w:sz w:val="15"/>
                <w:szCs w:val="15"/>
                <w:color w:val="auto"/>
              </w:rPr>
            </w:pPr>
          </w:p>
        </w:tc>
        <w:tc>
          <w:tcPr>
            <w:tcW w:w="74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bottom w:val="single" w:sz="8" w:color="CCEEFF"/>
            </w:tcBorders>
          </w:tcPr>
          <w:p>
            <w:pPr>
              <w:spacing w:after="0"/>
              <w:rPr>
                <w:sz w:val="15"/>
                <w:szCs w:val="15"/>
                <w:color w:val="auto"/>
              </w:rPr>
            </w:pPr>
          </w:p>
        </w:tc>
      </w:tr>
      <w:tr>
        <w:trPr>
          <w:trHeight w:val="210"/>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Work in progress</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3,586</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7,723</w:t>
            </w:r>
          </w:p>
        </w:tc>
        <w:tc>
          <w:tcPr>
            <w:tcW w:w="120" w:type="dxa"/>
            <w:vAlign w:val="bottom"/>
            <w:shd w:val="clear" w:color="auto" w:fill="CCEEFF"/>
          </w:tcPr>
          <w:p>
            <w:pPr>
              <w:spacing w:after="0"/>
              <w:rPr>
                <w:sz w:val="18"/>
                <w:szCs w:val="18"/>
                <w:color w:val="auto"/>
              </w:rPr>
            </w:pPr>
          </w:p>
        </w:tc>
      </w:tr>
      <w:tr>
        <w:trPr>
          <w:trHeight w:val="216"/>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Finished goods and good for resale</w:t>
            </w: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610,124</w:t>
            </w:r>
          </w:p>
        </w:tc>
        <w:tc>
          <w:tcPr>
            <w:tcW w:w="34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460,792</w:t>
            </w:r>
          </w:p>
        </w:tc>
      </w:tr>
      <w:tr>
        <w:trPr>
          <w:trHeight w:val="216"/>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impairment</w:t>
            </w:r>
          </w:p>
        </w:tc>
        <w:tc>
          <w:tcPr>
            <w:tcW w:w="108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(67,967)</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(35,984)</w:t>
            </w:r>
          </w:p>
        </w:tc>
      </w:tr>
      <w:tr>
        <w:trPr>
          <w:trHeight w:val="223"/>
        </w:trPr>
        <w:tc>
          <w:tcPr>
            <w:tcW w:w="6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545,743</w:t>
            </w:r>
          </w:p>
        </w:tc>
        <w:tc>
          <w:tcPr>
            <w:tcW w:w="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432,531</w:t>
            </w:r>
          </w:p>
        </w:tc>
        <w:tc>
          <w:tcPr>
            <w:tcW w:w="120" w:type="dxa"/>
            <w:vAlign w:val="bottom"/>
          </w:tcPr>
          <w:p>
            <w:pPr>
              <w:spacing w:after="0"/>
              <w:rPr>
                <w:sz w:val="19"/>
                <w:szCs w:val="19"/>
                <w:color w:val="auto"/>
              </w:rPr>
            </w:pPr>
          </w:p>
        </w:tc>
      </w:tr>
    </w:tbl>
    <w:p>
      <w:pPr>
        <w:spacing w:after="0" w:line="211" w:lineRule="exact"/>
        <w:rPr>
          <w:sz w:val="20"/>
          <w:szCs w:val="20"/>
          <w:color w:val="auto"/>
        </w:rPr>
      </w:pPr>
    </w:p>
    <w:p>
      <w:pPr>
        <w:ind w:left="120" w:right="520"/>
        <w:spacing w:after="0" w:line="282" w:lineRule="auto"/>
        <w:rPr>
          <w:sz w:val="20"/>
          <w:szCs w:val="20"/>
          <w:color w:val="auto"/>
        </w:rPr>
      </w:pPr>
      <w:r>
        <w:rPr>
          <w:rFonts w:ascii="Times New Roman" w:cs="Times New Roman" w:eastAsia="Times New Roman" w:hAnsi="Times New Roman"/>
          <w:sz w:val="18"/>
          <w:szCs w:val="18"/>
          <w:color w:val="auto"/>
        </w:rPr>
        <w:t>Inventories recognised as an expense during the years ended December 31, 2021, 2020 and 2019 amounted to $1,234,062, $551,508 and $33,771, respectively and were included in Cost of sales.</w:t>
      </w:r>
    </w:p>
    <w:p>
      <w:pPr>
        <w:spacing w:after="0" w:line="162" w:lineRule="exact"/>
        <w:rPr>
          <w:sz w:val="20"/>
          <w:szCs w:val="20"/>
          <w:color w:val="auto"/>
        </w:rPr>
      </w:pPr>
    </w:p>
    <w:p>
      <w:pPr>
        <w:jc w:val="both"/>
        <w:ind w:left="120" w:right="140"/>
        <w:spacing w:after="0" w:line="266" w:lineRule="auto"/>
        <w:rPr>
          <w:sz w:val="20"/>
          <w:szCs w:val="20"/>
          <w:color w:val="auto"/>
        </w:rPr>
      </w:pPr>
      <w:r>
        <w:rPr>
          <w:rFonts w:ascii="Times New Roman" w:cs="Times New Roman" w:eastAsia="Times New Roman" w:hAnsi="Times New Roman"/>
          <w:sz w:val="18"/>
          <w:szCs w:val="18"/>
          <w:color w:val="auto"/>
        </w:rPr>
        <w:t>As of December 31, 2021 and 2020, write-downs of inventories to net realisable value amounted to $67,967 and $35,984, respectively. The write down was recognised as an expense during the years ended December 31, 2021 and 2020 and was included in Cost of sales in the Consolidated Statement of Loss.</w:t>
      </w:r>
    </w:p>
    <w:p>
      <w:pPr>
        <w:spacing w:after="0" w:line="10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F-47</w:t>
      </w:r>
    </w:p>
    <w:p>
      <w:pPr>
        <w:sectPr>
          <w:pgSz w:w="11900" w:h="16838" w:orient="portrait"/>
          <w:cols w:equalWidth="0" w:num="1">
            <w:col w:w="11140"/>
          </w:cols>
          <w:pgMar w:left="320" w:top="455" w:right="439" w:bottom="1440" w:gutter="0" w:footer="0" w:header="0"/>
        </w:sectPr>
      </w:pPr>
    </w:p>
    <w:bookmarkStart w:id="282" w:name="page283"/>
    <w:bookmarkEnd w:id="28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p>
      <w:pPr>
        <w:spacing w:after="0" w:line="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17 – Other current assets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Other current assets for the Group were as follows:</w:t>
      </w:r>
    </w:p>
    <w:p>
      <w:pPr>
        <w:spacing w:after="0" w:line="246"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6600" w:type="dxa"/>
            <w:vAlign w:val="bottom"/>
            <w:tcBorders>
              <w:bottom w:val="single" w:sz="8" w:color="CCEEFF"/>
            </w:tcBorders>
          </w:tcPr>
          <w:p>
            <w:pPr>
              <w:spacing w:after="0"/>
              <w:rPr>
                <w:sz w:val="15"/>
                <w:szCs w:val="15"/>
                <w:color w:val="auto"/>
              </w:rPr>
            </w:pPr>
          </w:p>
        </w:tc>
        <w:tc>
          <w:tcPr>
            <w:tcW w:w="74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2021</w:t>
            </w:r>
          </w:p>
        </w:tc>
        <w:tc>
          <w:tcPr>
            <w:tcW w:w="300" w:type="dxa"/>
            <w:vAlign w:val="bottom"/>
            <w:tcBorders>
              <w:bottom w:val="single" w:sz="8" w:color="CCEEFF"/>
            </w:tcBorders>
          </w:tcPr>
          <w:p>
            <w:pPr>
              <w:spacing w:after="0"/>
              <w:rPr>
                <w:sz w:val="15"/>
                <w:szCs w:val="15"/>
                <w:color w:val="auto"/>
              </w:rPr>
            </w:pPr>
          </w:p>
        </w:tc>
        <w:tc>
          <w:tcPr>
            <w:tcW w:w="66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2020</w:t>
            </w:r>
          </w:p>
        </w:tc>
        <w:tc>
          <w:tcPr>
            <w:tcW w:w="60" w:type="dxa"/>
            <w:vAlign w:val="bottom"/>
            <w:tcBorders>
              <w:bottom w:val="single" w:sz="8" w:color="CCEEFF"/>
            </w:tcBorders>
          </w:tcPr>
          <w:p>
            <w:pPr>
              <w:spacing w:after="0"/>
              <w:rPr>
                <w:sz w:val="15"/>
                <w:szCs w:val="15"/>
                <w:color w:val="auto"/>
              </w:rPr>
            </w:pPr>
          </w:p>
        </w:tc>
      </w:tr>
      <w:tr>
        <w:trPr>
          <w:trHeight w:val="209"/>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Value added tax receivables</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63,698</w:t>
            </w: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44,660</w:t>
            </w:r>
          </w:p>
        </w:tc>
        <w:tc>
          <w:tcPr>
            <w:tcW w:w="60" w:type="dxa"/>
            <w:vAlign w:val="bottom"/>
            <w:shd w:val="clear" w:color="auto" w:fill="CCEEFF"/>
          </w:tcPr>
          <w:p>
            <w:pPr>
              <w:spacing w:after="0"/>
              <w:rPr>
                <w:sz w:val="18"/>
                <w:szCs w:val="18"/>
                <w:color w:val="auto"/>
              </w:rPr>
            </w:pP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 and accrued income</w:t>
            </w:r>
          </w:p>
        </w:tc>
        <w:tc>
          <w:tcPr>
            <w:tcW w:w="10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40,077</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9,926</w:t>
            </w:r>
          </w:p>
        </w:tc>
      </w:tr>
      <w:tr>
        <w:trPr>
          <w:trHeight w:val="216"/>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Advances to suppliers</w:t>
            </w:r>
          </w:p>
        </w:tc>
        <w:tc>
          <w:tcPr>
            <w:tcW w:w="10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6,424</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3,072</w:t>
            </w: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10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10,003</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2,673</w:t>
            </w:r>
          </w:p>
        </w:tc>
      </w:tr>
      <w:tr>
        <w:trPr>
          <w:trHeight w:val="27"/>
        </w:trPr>
        <w:tc>
          <w:tcPr>
            <w:tcW w:w="66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120,202</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60,331</w:t>
            </w:r>
          </w:p>
        </w:tc>
      </w:tr>
      <w:tr>
        <w:trPr>
          <w:trHeight w:val="20"/>
        </w:trPr>
        <w:tc>
          <w:tcPr>
            <w:tcW w:w="66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ind w:left="120" w:right="520"/>
        <w:spacing w:after="0" w:line="266" w:lineRule="auto"/>
        <w:rPr>
          <w:sz w:val="20"/>
          <w:szCs w:val="20"/>
          <w:color w:val="auto"/>
        </w:rPr>
      </w:pPr>
      <w:r>
        <w:rPr>
          <w:rFonts w:ascii="Times New Roman" w:cs="Times New Roman" w:eastAsia="Times New Roman" w:hAnsi="Times New Roman"/>
          <w:sz w:val="18"/>
          <w:szCs w:val="18"/>
          <w:color w:val="auto"/>
        </w:rPr>
        <w:t>As of December 31, 2021, prepaid expenses and accrued interest income consisted primarily of accrued transaction costs related to the proposed business transaction with Gores Guggenheim Inc. As of December 31, 2020, prepaid expenses and accrued interest income consisted primarily of prepaid expenses related to marketing and accrued interest income.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18 – Equity</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Share capital</w:t>
      </w:r>
    </w:p>
    <w:p>
      <w:pPr>
        <w:spacing w:after="0" w:line="121"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As presented in Note 3 – Common control transaction, the concept of share capital did not exist under the Old Parent’s limited company structure and was introduced under the New Parent’s private company limited structure. As of December 31, 2020, share capital consisted of Class A common shares which were fully paid, authorised, issued and outstanding.</w:t>
      </w:r>
    </w:p>
    <w:p>
      <w:pPr>
        <w:spacing w:after="0" w:line="176" w:lineRule="exact"/>
        <w:rPr>
          <w:sz w:val="20"/>
          <w:szCs w:val="20"/>
          <w:color w:val="auto"/>
        </w:rPr>
      </w:pPr>
    </w:p>
    <w:p>
      <w:pPr>
        <w:ind w:left="120" w:right="520"/>
        <w:spacing w:after="0" w:line="282" w:lineRule="auto"/>
        <w:rPr>
          <w:sz w:val="20"/>
          <w:szCs w:val="20"/>
          <w:color w:val="auto"/>
        </w:rPr>
      </w:pPr>
      <w:r>
        <w:rPr>
          <w:rFonts w:ascii="Times New Roman" w:cs="Times New Roman" w:eastAsia="Times New Roman" w:hAnsi="Times New Roman"/>
          <w:sz w:val="18"/>
          <w:szCs w:val="18"/>
          <w:color w:val="auto"/>
        </w:rPr>
        <w:t>After the issuance of 14,371,808 Class A common shares in December 2020, total common shares issued and outstanding were 214,371,808 as of December 31, 2020, with each common share valued at $6.15 (in ones). Class A common shares were issued at no par value.</w:t>
      </w:r>
    </w:p>
    <w:p>
      <w:pPr>
        <w:spacing w:after="0" w:line="162"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In March 2021, the Group’s Board of Directors distributed 18,032,787 shares of newly authorised Class B common shares at $30.50 (in ones) a share for proceeds of $550,000; related issuance costs amounted to $2,843. Of the 18,032,787 shares issued, 4,262,295 were issued to Geely. In July 2021, 17,345,079 Class A common shares were converted to Class B common shares. Following these events, total Class A and Class B common shares issued and outstanding were 232,404,595, with each share valued at $8.04 (in ones). Class A and B common shares were both issued with no par value.</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As of December 31, 2021, share capital consists of Class A and Class B common shares which were fully paid, authorised, issued and outstanding.</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Changes to the number of common shares issued and outstanding were as follows:</w:t>
      </w:r>
    </w:p>
    <w:p>
      <w:pPr>
        <w:spacing w:after="0" w:line="227"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5420" w:type="dxa"/>
            <w:vAlign w:val="bottom"/>
          </w:tcPr>
          <w:p>
            <w:pPr>
              <w:spacing w:after="0"/>
              <w:rPr>
                <w:sz w:val="15"/>
                <w:szCs w:val="15"/>
                <w:color w:val="auto"/>
              </w:rPr>
            </w:pPr>
          </w:p>
        </w:tc>
        <w:tc>
          <w:tcPr>
            <w:tcW w:w="1540" w:type="dxa"/>
            <w:vAlign w:val="bottom"/>
            <w:gridSpan w:val="3"/>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140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Class B</w:t>
            </w:r>
          </w:p>
        </w:tc>
      </w:tr>
      <w:tr>
        <w:trPr>
          <w:trHeight w:val="209"/>
        </w:trPr>
        <w:tc>
          <w:tcPr>
            <w:tcW w:w="5420" w:type="dxa"/>
            <w:vAlign w:val="bottom"/>
            <w:tcBorders>
              <w:top w:val="single" w:sz="8" w:color="CCEEFF"/>
            </w:tcBorders>
            <w:shd w:val="clear" w:color="auto" w:fill="CCEEFF"/>
          </w:tcPr>
          <w:p>
            <w:pPr>
              <w:spacing w:after="0" w:line="210" w:lineRule="exact"/>
              <w:rPr>
                <w:sz w:val="20"/>
                <w:szCs w:val="20"/>
                <w:color w:val="auto"/>
              </w:rPr>
            </w:pPr>
            <w:r>
              <w:rPr>
                <w:rFonts w:ascii="Times New Roman" w:cs="Times New Roman" w:eastAsia="Times New Roman" w:hAnsi="Times New Roman"/>
                <w:sz w:val="17"/>
                <w:szCs w:val="17"/>
                <w:b w:val="1"/>
                <w:bCs w:val="1"/>
                <w:color w:val="auto"/>
              </w:rPr>
              <w:t>Balance as of September 14, 2020</w:t>
            </w:r>
            <w:r>
              <w:rPr>
                <w:rFonts w:ascii="Times New Roman" w:cs="Times New Roman" w:eastAsia="Times New Roman" w:hAnsi="Times New Roman"/>
                <w:sz w:val="24"/>
                <w:szCs w:val="24"/>
                <w:b w:val="1"/>
                <w:bCs w:val="1"/>
                <w:color w:val="auto"/>
                <w:vertAlign w:val="superscript"/>
              </w:rPr>
              <w:t>1</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200,000,000</w:t>
            </w:r>
          </w:p>
        </w:tc>
        <w:tc>
          <w:tcPr>
            <w:tcW w:w="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Borders>
              <w:top w:val="single" w:sz="8" w:color="CCEEFF"/>
            </w:tcBorders>
            <w:shd w:val="clear" w:color="auto" w:fill="CCEEFF"/>
          </w:tcPr>
          <w:p>
            <w:pPr>
              <w:spacing w:after="0"/>
              <w:rPr>
                <w:sz w:val="18"/>
                <w:szCs w:val="18"/>
                <w:color w:val="auto"/>
              </w:rPr>
            </w:pPr>
          </w:p>
        </w:tc>
      </w:tr>
      <w:tr>
        <w:trPr>
          <w:trHeight w:val="223"/>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Issuance during the year</w:t>
            </w:r>
          </w:p>
        </w:tc>
        <w:tc>
          <w:tcPr>
            <w:tcW w:w="154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14,371,808</w:t>
            </w: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2020</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214,371,808</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shd w:val="clear" w:color="auto" w:fill="CCEEFF"/>
          </w:tcPr>
          <w:p>
            <w:pPr>
              <w:spacing w:after="0"/>
              <w:rPr>
                <w:sz w:val="18"/>
                <w:szCs w:val="18"/>
                <w:color w:val="auto"/>
              </w:rPr>
            </w:pPr>
          </w:p>
        </w:tc>
      </w:tr>
      <w:tr>
        <w:trPr>
          <w:trHeight w:val="223"/>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Issuance during the year</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18,032,787</w:t>
            </w:r>
          </w:p>
        </w:tc>
        <w:tc>
          <w:tcPr>
            <w:tcW w:w="60" w:type="dxa"/>
            <w:vAlign w:val="bottom"/>
          </w:tcPr>
          <w:p>
            <w:pPr>
              <w:spacing w:after="0"/>
              <w:rPr>
                <w:sz w:val="19"/>
                <w:szCs w:val="19"/>
                <w:color w:val="auto"/>
              </w:rPr>
            </w:pPr>
          </w:p>
        </w:tc>
      </w:tr>
      <w:tr>
        <w:trPr>
          <w:trHeight w:val="216"/>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Conversion from Class A to Class B</w:t>
            </w:r>
          </w:p>
        </w:tc>
        <w:tc>
          <w:tcPr>
            <w:tcW w:w="154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(17,345,079)</w:t>
            </w:r>
          </w:p>
        </w:tc>
        <w:tc>
          <w:tcPr>
            <w:tcW w:w="14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17,345,079</w:t>
            </w:r>
          </w:p>
        </w:tc>
      </w:tr>
      <w:tr>
        <w:trPr>
          <w:trHeight w:val="223"/>
        </w:trPr>
        <w:tc>
          <w:tcPr>
            <w:tcW w:w="5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2021</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197,026,729</w:t>
            </w:r>
          </w:p>
        </w:tc>
        <w:tc>
          <w:tcPr>
            <w:tcW w:w="2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35,377,866.00</w:t>
            </w:r>
          </w:p>
        </w:tc>
        <w:tc>
          <w:tcPr>
            <w:tcW w:w="60" w:type="dxa"/>
            <w:vAlign w:val="bottom"/>
          </w:tcPr>
          <w:p>
            <w:pPr>
              <w:spacing w:after="0"/>
              <w:rPr>
                <w:sz w:val="19"/>
                <w:szCs w:val="19"/>
                <w:color w:val="auto"/>
              </w:rPr>
            </w:pPr>
          </w:p>
        </w:tc>
      </w:tr>
    </w:tbl>
    <w:p>
      <w:pPr>
        <w:spacing w:after="0" w:line="117" w:lineRule="exact"/>
        <w:rPr>
          <w:sz w:val="20"/>
          <w:szCs w:val="20"/>
          <w:color w:val="auto"/>
        </w:rPr>
      </w:pPr>
    </w:p>
    <w:p>
      <w:pPr>
        <w:ind w:left="5460" w:right="1120" w:hanging="5344"/>
        <w:spacing w:after="0" w:line="454" w:lineRule="auto"/>
        <w:tabs>
          <w:tab w:leader="none" w:pos="338"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September 14, 2020 is the date of the common control transaction. Refer to Note 3 – Common control transaction for further details. F-48</w:t>
      </w:r>
    </w:p>
    <w:p>
      <w:pPr>
        <w:sectPr>
          <w:pgSz w:w="11900" w:h="16838" w:orient="portrait"/>
          <w:cols w:equalWidth="0" w:num="1">
            <w:col w:w="11120"/>
          </w:cols>
          <w:pgMar w:left="320" w:top="455" w:right="459" w:bottom="1440" w:gutter="0" w:footer="0" w:header="0"/>
        </w:sectPr>
      </w:pPr>
    </w:p>
    <w:bookmarkStart w:id="283" w:name="page284"/>
    <w:bookmarkEnd w:id="28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p>
      <w:pPr>
        <w:spacing w:after="0" w:line="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3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rights of Class A and Class B common shareholders are identical, except with respect to voting rights as specified below.</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Voting rights</w:t>
      </w:r>
    </w:p>
    <w:p>
      <w:pPr>
        <w:spacing w:after="0" w:line="119"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Polestar Group has two classes of common shares which carry no right to fixed income. On any matter presented to the shareholders of the Group at any meeting of the shareholders, the holders of Class A common shares are entitled to ten votes per share; holders of Class B common shares are entitled to one vote per share.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Convertible note</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 July 2021, Geely and two other third-parties invested in non-interest-bearing convertible notes of $35,231 from Polestar Group. Of the $35,231,</w:t>
      </w:r>
    </w:p>
    <w:p>
      <w:pPr>
        <w:spacing w:after="0" w:line="27" w:lineRule="exact"/>
        <w:rPr>
          <w:sz w:val="20"/>
          <w:szCs w:val="20"/>
          <w:color w:val="auto"/>
        </w:rPr>
      </w:pPr>
    </w:p>
    <w:p>
      <w:pPr>
        <w:jc w:val="both"/>
        <w:ind w:left="120"/>
        <w:spacing w:after="0" w:line="255" w:lineRule="auto"/>
        <w:rPr>
          <w:sz w:val="20"/>
          <w:szCs w:val="20"/>
          <w:color w:val="auto"/>
        </w:rPr>
      </w:pPr>
      <w:r>
        <w:rPr>
          <w:rFonts w:ascii="Times New Roman" w:cs="Times New Roman" w:eastAsia="Times New Roman" w:hAnsi="Times New Roman"/>
          <w:sz w:val="18"/>
          <w:szCs w:val="18"/>
          <w:color w:val="auto"/>
        </w:rPr>
        <w:t>$9,531 is held by Geely. The convertible notes (“Notes”) are non-interest bearing and not eligible to receive a coupon or dividend for the first 24 months after issuance, at which point in time the convertible notes will be eligible to receive dividends equivalent to Class B common shares, pending approval from the Board of Directors.</w:t>
      </w:r>
    </w:p>
    <w:p>
      <w:pPr>
        <w:spacing w:after="0" w:line="186" w:lineRule="exact"/>
        <w:rPr>
          <w:sz w:val="20"/>
          <w:szCs w:val="20"/>
          <w:color w:val="auto"/>
        </w:rPr>
      </w:pPr>
    </w:p>
    <w:p>
      <w:pPr>
        <w:jc w:val="both"/>
        <w:ind w:left="120" w:right="100"/>
        <w:spacing w:after="0" w:line="261" w:lineRule="auto"/>
        <w:rPr>
          <w:sz w:val="20"/>
          <w:szCs w:val="20"/>
          <w:color w:val="auto"/>
        </w:rPr>
      </w:pPr>
      <w:r>
        <w:rPr>
          <w:rFonts w:ascii="Times New Roman" w:cs="Times New Roman" w:eastAsia="Times New Roman" w:hAnsi="Times New Roman"/>
          <w:sz w:val="18"/>
          <w:szCs w:val="18"/>
          <w:color w:val="auto"/>
        </w:rPr>
        <w:t>The convertible notes will be automatically converted into Class B common shares upon (1) an issuance of equity securities in an amount greater than $50,000 to any entity that owns more than 35% voting power in the Polestar Group, (2) the occurrence of an initial public offering, combination with a special purpose acquisition company, or direct listing of the Polestar Group, (3) a liquidation of the Polestar Group, or (4) the non-occurrence of any of the preceding events by the 24-month anniversary of the issuance of the convertible note (i.e., each a qualifying conversion event).</w:t>
      </w:r>
    </w:p>
    <w:p>
      <w:pPr>
        <w:spacing w:after="0" w:line="180"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Except in liquidation, the conversion price of a qualifying conversion event is dependent upon the per share price of the corresponding equity securities offered and may be subject to a discount, depending on the time elapsed since the issuance of the convertible note. In liquidation, the convertible notes are converted to Class B common shares at a fixed conversion price. Additionally, the Polestar Group has the ability to convert the convertible note to Class B common shares for a fixed conversion price at will prior to the occurrence of a qualifying conversion event. The convertible notes may only be settled via the issuance of equity, regardless of whether or not a qualifying conversion event occurs.</w:t>
      </w:r>
    </w:p>
    <w:p>
      <w:pPr>
        <w:spacing w:after="0" w:line="183" w:lineRule="exact"/>
        <w:rPr>
          <w:sz w:val="20"/>
          <w:szCs w:val="20"/>
          <w:color w:val="auto"/>
        </w:rPr>
      </w:pPr>
    </w:p>
    <w:p>
      <w:pPr>
        <w:ind w:left="120" w:right="140"/>
        <w:spacing w:after="0" w:line="266" w:lineRule="auto"/>
        <w:rPr>
          <w:sz w:val="20"/>
          <w:szCs w:val="20"/>
          <w:color w:val="auto"/>
        </w:rPr>
      </w:pPr>
      <w:r>
        <w:rPr>
          <w:rFonts w:ascii="Times New Roman" w:cs="Times New Roman" w:eastAsia="Times New Roman" w:hAnsi="Times New Roman"/>
          <w:sz w:val="18"/>
          <w:szCs w:val="18"/>
          <w:color w:val="auto"/>
        </w:rPr>
        <w:t>Accordingly, the Group accounted for the convertible notes as equity upon issuance and classified them within other contributed capital. As of December 31, 2021 all $35,231 of the convertible notes remained outstanding as none of the convertible notes had been converted to Class B common shares.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Currency translation reserve</w:t>
      </w:r>
    </w:p>
    <w:p>
      <w:pPr>
        <w:spacing w:after="0" w:line="121" w:lineRule="exact"/>
        <w:rPr>
          <w:sz w:val="20"/>
          <w:szCs w:val="20"/>
          <w:color w:val="auto"/>
        </w:rPr>
      </w:pPr>
    </w:p>
    <w:p>
      <w:pPr>
        <w:ind w:left="120" w:right="200"/>
        <w:spacing w:after="0" w:line="282" w:lineRule="auto"/>
        <w:rPr>
          <w:sz w:val="20"/>
          <w:szCs w:val="20"/>
          <w:color w:val="auto"/>
        </w:rPr>
      </w:pPr>
      <w:r>
        <w:rPr>
          <w:rFonts w:ascii="Times New Roman" w:cs="Times New Roman" w:eastAsia="Times New Roman" w:hAnsi="Times New Roman"/>
          <w:sz w:val="18"/>
          <w:szCs w:val="18"/>
          <w:color w:val="auto"/>
        </w:rPr>
        <w:t>The currency translation reserve comprises exchange rate differences resulting from the translation of financial reports of foreign operations that have prepared their financial reports in a currency other than Polestar Group’s reporting currency.</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Accumulated deficit</w:t>
      </w:r>
    </w:p>
    <w:p>
      <w:pPr>
        <w:spacing w:after="0" w:line="121" w:lineRule="exact"/>
        <w:rPr>
          <w:sz w:val="20"/>
          <w:szCs w:val="20"/>
          <w:color w:val="auto"/>
        </w:rPr>
      </w:pPr>
    </w:p>
    <w:p>
      <w:pPr>
        <w:ind w:left="120" w:right="300"/>
        <w:spacing w:after="0" w:line="282" w:lineRule="auto"/>
        <w:rPr>
          <w:sz w:val="20"/>
          <w:szCs w:val="20"/>
          <w:color w:val="auto"/>
        </w:rPr>
      </w:pPr>
      <w:r>
        <w:rPr>
          <w:rFonts w:ascii="Times New Roman" w:cs="Times New Roman" w:eastAsia="Times New Roman" w:hAnsi="Times New Roman"/>
          <w:sz w:val="18"/>
          <w:szCs w:val="18"/>
          <w:color w:val="auto"/>
        </w:rPr>
        <w:t>Accumulated deficit comprises Net loss for the year and preceding years less any profits distributed. Accumulated deficit also includes the effects of business combinations under common control within Polestar Group.</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F-49</w:t>
      </w:r>
    </w:p>
    <w:p>
      <w:pPr>
        <w:sectPr>
          <w:pgSz w:w="11900" w:h="16838" w:orient="portrait"/>
          <w:cols w:equalWidth="0" w:num="1">
            <w:col w:w="11100"/>
          </w:cols>
          <w:pgMar w:left="320" w:top="455" w:right="479" w:bottom="1440" w:gutter="0" w:footer="0" w:header="0"/>
        </w:sectPr>
      </w:pPr>
    </w:p>
    <w:bookmarkStart w:id="284" w:name="page285"/>
    <w:bookmarkEnd w:id="28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p>
      <w:pPr>
        <w:spacing w:after="0" w:line="27"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19 – Current and non-current provisions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changes in the Group’s current and non-current provisions were as follows:</w:t>
      </w:r>
    </w:p>
    <w:p>
      <w:pPr>
        <w:spacing w:after="0" w:line="233" w:lineRule="exact"/>
        <w:rPr>
          <w:sz w:val="20"/>
          <w:szCs w:val="20"/>
          <w:color w:val="auto"/>
        </w:rPr>
      </w:pPr>
    </w:p>
    <w:tbl>
      <w:tblPr>
        <w:tblLayout w:type="fixed"/>
        <w:tblInd w:w="560" w:type="dxa"/>
        <w:tblCellMar>
          <w:top w:w="0" w:type="dxa"/>
          <w:left w:w="0" w:type="dxa"/>
          <w:bottom w:w="0" w:type="dxa"/>
          <w:right w:w="0" w:type="dxa"/>
        </w:tblCellMar>
      </w:tblPr>
      <w:tr>
        <w:trPr>
          <w:trHeight w:val="37"/>
        </w:trPr>
        <w:tc>
          <w:tcPr>
            <w:tcW w:w="20" w:type="dxa"/>
            <w:vAlign w:val="bottom"/>
          </w:tcPr>
          <w:p>
            <w:pPr>
              <w:spacing w:after="0"/>
              <w:rPr>
                <w:sz w:val="3"/>
                <w:szCs w:val="3"/>
                <w:color w:val="auto"/>
              </w:rPr>
            </w:pPr>
          </w:p>
        </w:tc>
        <w:tc>
          <w:tcPr>
            <w:tcW w:w="6400" w:type="dxa"/>
            <w:vAlign w:val="bottom"/>
          </w:tcPr>
          <w:p>
            <w:pPr>
              <w:spacing w:after="0"/>
              <w:rPr>
                <w:sz w:val="3"/>
                <w:szCs w:val="3"/>
                <w:color w:val="auto"/>
              </w:rPr>
            </w:pPr>
          </w:p>
        </w:tc>
        <w:tc>
          <w:tcPr>
            <w:tcW w:w="7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Provision for</w:t>
            </w:r>
          </w:p>
        </w:tc>
        <w:tc>
          <w:tcPr>
            <w:tcW w:w="7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64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20" w:type="dxa"/>
            <w:vAlign w:val="bottom"/>
            <w:gridSpan w:val="2"/>
            <w:vMerge w:val="continue"/>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200" w:type="dxa"/>
            <w:vAlign w:val="bottom"/>
            <w:tcBorders>
              <w:left w:val="single" w:sz="8" w:color="auto"/>
            </w:tcBorders>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00" w:type="dxa"/>
            <w:vAlign w:val="bottom"/>
          </w:tcPr>
          <w:p>
            <w:pPr>
              <w:spacing w:after="0"/>
              <w:rPr>
                <w:sz w:val="12"/>
                <w:szCs w:val="12"/>
                <w:color w:val="auto"/>
              </w:rPr>
            </w:pPr>
          </w:p>
        </w:tc>
        <w:tc>
          <w:tcPr>
            <w:tcW w:w="102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w w:val="99"/>
              </w:rPr>
              <w:t>Warranties</w:t>
            </w:r>
          </w:p>
        </w:tc>
        <w:tc>
          <w:tcPr>
            <w:tcW w:w="10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employee</w:t>
            </w:r>
          </w:p>
        </w:tc>
        <w:tc>
          <w:tcPr>
            <w:tcW w:w="740" w:type="dxa"/>
            <w:vAlign w:val="bottom"/>
            <w:gridSpan w:val="2"/>
            <w:vMerge w:val="continue"/>
          </w:tcPr>
          <w:p>
            <w:pPr>
              <w:spacing w:after="0"/>
              <w:rPr>
                <w:sz w:val="12"/>
                <w:szCs w:val="12"/>
                <w:color w:val="auto"/>
              </w:rPr>
            </w:pPr>
          </w:p>
        </w:tc>
        <w:tc>
          <w:tcPr>
            <w:tcW w:w="200" w:type="dxa"/>
            <w:vAlign w:val="bottom"/>
            <w:tcBorders>
              <w:left w:val="single" w:sz="8" w:color="auto"/>
            </w:tcBorders>
          </w:tcPr>
          <w:p>
            <w:pPr>
              <w:spacing w:after="0"/>
              <w:rPr>
                <w:sz w:val="12"/>
                <w:szCs w:val="12"/>
                <w:color w:val="auto"/>
              </w:rPr>
            </w:pPr>
          </w:p>
        </w:tc>
        <w:tc>
          <w:tcPr>
            <w:tcW w:w="72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40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benefits</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w w:val="97"/>
              </w:rPr>
              <w:t>provisions</w:t>
            </w:r>
          </w:p>
        </w:tc>
        <w:tc>
          <w:tcPr>
            <w:tcW w:w="200" w:type="dxa"/>
            <w:vAlign w:val="bottom"/>
            <w:tcBorders>
              <w:left w:val="single" w:sz="8" w:color="auto"/>
            </w:tcBorders>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4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January 1, 2020</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3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w w:val="93"/>
              </w:rPr>
              <w:t>3,533</w:t>
            </w:r>
          </w:p>
        </w:tc>
        <w:tc>
          <w:tcPr>
            <w:tcW w:w="2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2,230</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left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Additions</w:t>
            </w: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58,651</w:t>
            </w:r>
          </w:p>
        </w:tc>
        <w:tc>
          <w:tcPr>
            <w:tcW w:w="102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1,595</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12,453</w:t>
            </w:r>
          </w:p>
        </w:tc>
        <w:tc>
          <w:tcPr>
            <w:tcW w:w="200" w:type="dxa"/>
            <w:vAlign w:val="bottom"/>
            <w:tcBorders>
              <w:left w:val="single" w:sz="8" w:color="auto"/>
            </w:tcBorders>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72,699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Utilisation</w:t>
            </w: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(24,348)</w:t>
            </w:r>
          </w:p>
        </w:tc>
        <w:tc>
          <w:tcPr>
            <w:tcW w:w="102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Borders>
              <w:left w:val="single" w:sz="8" w:color="auto"/>
            </w:tcBorders>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(24,348)</w:t>
            </w:r>
          </w:p>
        </w:tc>
        <w:tc>
          <w:tcPr>
            <w:tcW w:w="0" w:type="dxa"/>
            <w:vAlign w:val="bottom"/>
          </w:tcPr>
          <w:p>
            <w:pPr>
              <w:spacing w:after="0"/>
              <w:rPr>
                <w:sz w:val="1"/>
                <w:szCs w:val="1"/>
                <w:color w:val="auto"/>
              </w:rPr>
            </w:pPr>
          </w:p>
        </w:tc>
      </w:tr>
      <w:tr>
        <w:trPr>
          <w:trHeight w:val="230"/>
        </w:trPr>
        <w:tc>
          <w:tcPr>
            <w:tcW w:w="64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2020</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34,305</w:t>
            </w:r>
          </w:p>
        </w:tc>
        <w:tc>
          <w:tcPr>
            <w:tcW w:w="320" w:type="dxa"/>
            <w:vAlign w:val="bottom"/>
          </w:tcPr>
          <w:p>
            <w:pPr>
              <w:spacing w:after="0"/>
              <w:rPr>
                <w:sz w:val="20"/>
                <w:szCs w:val="20"/>
                <w:color w:val="auto"/>
              </w:rPr>
            </w:pPr>
          </w:p>
        </w:tc>
        <w:tc>
          <w:tcPr>
            <w:tcW w:w="800" w:type="dxa"/>
            <w:vAlign w:val="bottom"/>
            <w:tcBorders>
              <w:top w:val="single" w:sz="8" w:color="auto"/>
              <w:bottom w:val="single" w:sz="8" w:color="auto"/>
            </w:tcBorders>
          </w:tcPr>
          <w:p>
            <w:pPr>
              <w:ind w:left="400"/>
              <w:spacing w:after="0"/>
              <w:rPr>
                <w:sz w:val="20"/>
                <w:szCs w:val="20"/>
                <w:color w:val="auto"/>
              </w:rPr>
            </w:pPr>
            <w:r>
              <w:rPr>
                <w:rFonts w:ascii="Times New Roman" w:cs="Times New Roman" w:eastAsia="Times New Roman" w:hAnsi="Times New Roman"/>
                <w:sz w:val="18"/>
                <w:szCs w:val="18"/>
                <w:b w:val="1"/>
                <w:bCs w:val="1"/>
                <w:color w:val="auto"/>
                <w:w w:val="93"/>
              </w:rPr>
              <w:t>5,128</w:t>
            </w:r>
          </w:p>
        </w:tc>
        <w:tc>
          <w:tcPr>
            <w:tcW w:w="220" w:type="dxa"/>
            <w:vAlign w:val="bottom"/>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14,683</w:t>
            </w:r>
          </w:p>
        </w:tc>
        <w:tc>
          <w:tcPr>
            <w:tcW w:w="120" w:type="dxa"/>
            <w:vAlign w:val="bottom"/>
          </w:tcPr>
          <w:p>
            <w:pPr>
              <w:spacing w:after="0"/>
              <w:rPr>
                <w:sz w:val="20"/>
                <w:szCs w:val="20"/>
                <w:color w:val="auto"/>
              </w:rPr>
            </w:pPr>
          </w:p>
        </w:tc>
        <w:tc>
          <w:tcPr>
            <w:tcW w:w="200" w:type="dxa"/>
            <w:vAlign w:val="bottom"/>
            <w:tcBorders>
              <w:left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54,116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 which current</w:t>
            </w:r>
          </w:p>
        </w:tc>
        <w:tc>
          <w:tcPr>
            <w:tcW w:w="10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18,759</w:t>
            </w:r>
          </w:p>
        </w:tc>
        <w:tc>
          <w:tcPr>
            <w:tcW w:w="10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3,928</w:t>
            </w: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12,892</w:t>
            </w:r>
          </w:p>
        </w:tc>
        <w:tc>
          <w:tcPr>
            <w:tcW w:w="200" w:type="dxa"/>
            <w:vAlign w:val="bottom"/>
            <w:tcBorders>
              <w:left w:val="single" w:sz="8" w:color="auto"/>
            </w:tcBorders>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35,579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of which non-current</w:t>
            </w: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15,546</w:t>
            </w:r>
          </w:p>
        </w:tc>
        <w:tc>
          <w:tcPr>
            <w:tcW w:w="102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1,200</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1,791</w:t>
            </w:r>
          </w:p>
        </w:tc>
        <w:tc>
          <w:tcPr>
            <w:tcW w:w="200" w:type="dxa"/>
            <w:vAlign w:val="bottom"/>
            <w:tcBorders>
              <w:left w:val="single" w:sz="8" w:color="auto"/>
            </w:tcBorders>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18,537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January 1, 2021</w:t>
            </w:r>
          </w:p>
        </w:tc>
        <w:tc>
          <w:tcPr>
            <w:tcW w:w="10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34,305</w:t>
            </w:r>
          </w:p>
        </w:tc>
        <w:tc>
          <w:tcPr>
            <w:tcW w:w="10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5,128</w:t>
            </w: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14,683</w:t>
            </w:r>
          </w:p>
        </w:tc>
        <w:tc>
          <w:tcPr>
            <w:tcW w:w="200" w:type="dxa"/>
            <w:vAlign w:val="bottom"/>
            <w:tcBorders>
              <w:left w:val="single" w:sz="8" w:color="auto"/>
            </w:tcBorders>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54,116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Additions</w:t>
            </w: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68,081</w:t>
            </w:r>
          </w:p>
        </w:tc>
        <w:tc>
          <w:tcPr>
            <w:tcW w:w="102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6,867</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4,853</w:t>
            </w:r>
          </w:p>
        </w:tc>
        <w:tc>
          <w:tcPr>
            <w:tcW w:w="200" w:type="dxa"/>
            <w:vAlign w:val="bottom"/>
            <w:tcBorders>
              <w:left w:val="single" w:sz="8" w:color="auto"/>
            </w:tcBorders>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79,801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Utilisation</w:t>
            </w: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(33,332)</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(4,207)</w:t>
            </w: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(8,498)</w:t>
            </w:r>
          </w:p>
        </w:tc>
        <w:tc>
          <w:tcPr>
            <w:tcW w:w="200" w:type="dxa"/>
            <w:vAlign w:val="bottom"/>
            <w:tcBorders>
              <w:left w:val="single" w:sz="8" w:color="auto"/>
            </w:tcBorders>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(46,037)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Reversals</w:t>
            </w: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(4,967)</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(160)</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left w:val="single" w:sz="8" w:color="auto"/>
            </w:tcBorders>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(5,127)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4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left w:val="single" w:sz="8" w:color="auto"/>
            </w:tcBorders>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2021</w:t>
            </w:r>
          </w:p>
        </w:tc>
        <w:tc>
          <w:tcPr>
            <w:tcW w:w="10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64,087</w:t>
            </w:r>
          </w:p>
        </w:tc>
        <w:tc>
          <w:tcPr>
            <w:tcW w:w="10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b w:val="1"/>
                <w:bCs w:val="1"/>
                <w:color w:val="auto"/>
              </w:rPr>
              <w:t>7,628</w:t>
            </w: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11,038</w:t>
            </w:r>
          </w:p>
        </w:tc>
        <w:tc>
          <w:tcPr>
            <w:tcW w:w="200" w:type="dxa"/>
            <w:vAlign w:val="bottom"/>
            <w:tcBorders>
              <w:left w:val="single" w:sz="8" w:color="auto"/>
            </w:tcBorders>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82,753</w:t>
            </w:r>
          </w:p>
        </w:tc>
        <w:tc>
          <w:tcPr>
            <w:tcW w:w="0" w:type="dxa"/>
            <w:vAlign w:val="bottom"/>
          </w:tcPr>
          <w:p>
            <w:pPr>
              <w:spacing w:after="0"/>
              <w:rPr>
                <w:sz w:val="1"/>
                <w:szCs w:val="1"/>
                <w:color w:val="auto"/>
              </w:rPr>
            </w:pPr>
          </w:p>
        </w:tc>
      </w:tr>
      <w:tr>
        <w:trPr>
          <w:trHeight w:val="223"/>
        </w:trPr>
        <w:tc>
          <w:tcPr>
            <w:tcW w:w="6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of which current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28,660</w:t>
            </w:r>
          </w:p>
        </w:tc>
        <w:tc>
          <w:tcPr>
            <w:tcW w:w="320" w:type="dxa"/>
            <w:vAlign w:val="bottom"/>
          </w:tcPr>
          <w:p>
            <w:pPr>
              <w:spacing w:after="0"/>
              <w:rPr>
                <w:sz w:val="19"/>
                <w:szCs w:val="19"/>
                <w:color w:val="auto"/>
              </w:rPr>
            </w:pPr>
          </w:p>
        </w:tc>
        <w:tc>
          <w:tcPr>
            <w:tcW w:w="800" w:type="dxa"/>
            <w:vAlign w:val="bottom"/>
            <w:tcBorders>
              <w:top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w w:val="93"/>
              </w:rPr>
              <w:t>6,325</w:t>
            </w:r>
          </w:p>
        </w:tc>
        <w:tc>
          <w:tcPr>
            <w:tcW w:w="220" w:type="dxa"/>
            <w:vAlign w:val="bottom"/>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9,057</w:t>
            </w:r>
          </w:p>
        </w:tc>
        <w:tc>
          <w:tcPr>
            <w:tcW w:w="120" w:type="dxa"/>
            <w:vAlign w:val="bottom"/>
          </w:tcPr>
          <w:p>
            <w:pPr>
              <w:spacing w:after="0"/>
              <w:rPr>
                <w:sz w:val="19"/>
                <w:szCs w:val="19"/>
                <w:color w:val="auto"/>
              </w:rPr>
            </w:pPr>
          </w:p>
        </w:tc>
        <w:tc>
          <w:tcPr>
            <w:tcW w:w="200" w:type="dxa"/>
            <w:vAlign w:val="bottom"/>
            <w:tcBorders>
              <w:left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44,042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 which non-current</w:t>
            </w:r>
          </w:p>
        </w:tc>
        <w:tc>
          <w:tcPr>
            <w:tcW w:w="10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35,427</w:t>
            </w:r>
          </w:p>
        </w:tc>
        <w:tc>
          <w:tcPr>
            <w:tcW w:w="10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1,303</w:t>
            </w: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1,981</w:t>
            </w:r>
          </w:p>
        </w:tc>
        <w:tc>
          <w:tcPr>
            <w:tcW w:w="200" w:type="dxa"/>
            <w:vAlign w:val="bottom"/>
            <w:tcBorders>
              <w:left w:val="single" w:sz="8" w:color="auto"/>
            </w:tcBorders>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38,711</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Provision for employee benefits relates to the Group’s short-term incentive plan and LTVP. Refer to Note 6 – Employee benefits for more details.</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Warranty campaign</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During the year ended December 31, 2021, the Group did not initiate any safety recalls or service campaigns.</w:t>
      </w:r>
    </w:p>
    <w:p>
      <w:pPr>
        <w:spacing w:after="0" w:line="225"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In the fourth quarter of 2020, Polestar performed a safety recall and service campaign related to the PS2 to replace defective power inverters and high voltage coolant heaters (“HVCH”). Polestar is engaged in a sourcing level agreement with Volvo Cars related to the PS2 where Volvo Cars is the party having a relationship with the ultimate supplier. Volvo Cars subsequently compensated Polestar for the recalls, in full, in the amount of $78,978 for the faulty inverters and HVCH. Vehicles affected by the recall included those that had been sold to end customers as well as those still in inventory as of year-end, which were subsequently repaired before being sold to end customers. As of December 31, 2020, the Group has recovered all costs associated with the recall and service campaign.</w:t>
      </w:r>
    </w:p>
    <w:p>
      <w:pPr>
        <w:spacing w:after="0" w:line="187" w:lineRule="exact"/>
        <w:rPr>
          <w:sz w:val="20"/>
          <w:szCs w:val="20"/>
          <w:color w:val="auto"/>
        </w:rPr>
      </w:pPr>
    </w:p>
    <w:p>
      <w:pPr>
        <w:ind w:left="120" w:right="100"/>
        <w:spacing w:after="0" w:line="312" w:lineRule="auto"/>
        <w:rPr>
          <w:sz w:val="20"/>
          <w:szCs w:val="20"/>
          <w:color w:val="auto"/>
        </w:rPr>
      </w:pPr>
      <w:r>
        <w:rPr>
          <w:rFonts w:ascii="Times New Roman" w:cs="Times New Roman" w:eastAsia="Times New Roman" w:hAnsi="Times New Roman"/>
          <w:sz w:val="17"/>
          <w:szCs w:val="17"/>
          <w:color w:val="auto"/>
        </w:rPr>
        <w:t>To the extent vehicles had not been sold to end customers as of year-end, no warranty provision has been recognised for those vehicles. Costs for these vehicles are initially recognised in inventory as vehicles are repaired and subsequently reported as cost of goods sold upon sale to end customers.</w:t>
      </w:r>
    </w:p>
    <w:p>
      <w:pPr>
        <w:spacing w:after="0" w:line="7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F-50</w:t>
      </w:r>
    </w:p>
    <w:p>
      <w:pPr>
        <w:sectPr>
          <w:pgSz w:w="11900" w:h="16838" w:orient="portrait"/>
          <w:cols w:equalWidth="0" w:num="1">
            <w:col w:w="11060"/>
          </w:cols>
          <w:pgMar w:left="320" w:top="455" w:right="519" w:bottom="1440" w:gutter="0" w:footer="0" w:header="0"/>
        </w:sectPr>
      </w:pPr>
    </w:p>
    <w:bookmarkStart w:id="285" w:name="page286"/>
    <w:bookmarkEnd w:id="28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p>
      <w:pPr>
        <w:spacing w:after="0" w:line="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20 – Other current liabilities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Other current liabilities for the Group were as follows:</w:t>
      </w:r>
    </w:p>
    <w:p>
      <w:pPr>
        <w:spacing w:after="0" w:line="246"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642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2021</w:t>
            </w:r>
          </w:p>
        </w:tc>
        <w:tc>
          <w:tcPr>
            <w:tcW w:w="300" w:type="dxa"/>
            <w:vAlign w:val="bottom"/>
            <w:tcBorders>
              <w:bottom w:val="single" w:sz="8" w:color="CCEEFF"/>
            </w:tcBorders>
          </w:tcPr>
          <w:p>
            <w:pPr>
              <w:spacing w:after="0"/>
              <w:rPr>
                <w:sz w:val="15"/>
                <w:szCs w:val="15"/>
                <w:color w:val="auto"/>
              </w:rPr>
            </w:pPr>
          </w:p>
        </w:tc>
        <w:tc>
          <w:tcPr>
            <w:tcW w:w="80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2020</w:t>
            </w:r>
          </w:p>
        </w:tc>
        <w:tc>
          <w:tcPr>
            <w:tcW w:w="60" w:type="dxa"/>
            <w:vAlign w:val="bottom"/>
            <w:tcBorders>
              <w:bottom w:val="single" w:sz="8" w:color="CCEEFF"/>
            </w:tcBorders>
          </w:tcPr>
          <w:p>
            <w:pPr>
              <w:spacing w:after="0"/>
              <w:rPr>
                <w:sz w:val="15"/>
                <w:szCs w:val="15"/>
                <w:color w:val="auto"/>
              </w:rPr>
            </w:pPr>
          </w:p>
        </w:tc>
      </w:tr>
      <w:tr>
        <w:trPr>
          <w:trHeight w:val="209"/>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expenses and prepaid income</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186,748</w:t>
            </w: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97,620</w:t>
            </w:r>
          </w:p>
        </w:tc>
        <w:tc>
          <w:tcPr>
            <w:tcW w:w="60" w:type="dxa"/>
            <w:vAlign w:val="bottom"/>
            <w:shd w:val="clear" w:color="auto" w:fill="CCEEFF"/>
          </w:tcPr>
          <w:p>
            <w:pPr>
              <w:spacing w:after="0"/>
              <w:rPr>
                <w:sz w:val="18"/>
                <w:szCs w:val="18"/>
                <w:color w:val="auto"/>
              </w:rPr>
            </w:pPr>
          </w:p>
        </w:tc>
      </w:tr>
      <w:tr>
        <w:trPr>
          <w:trHeight w:val="216"/>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Accrued interest</w:t>
            </w:r>
          </w:p>
        </w:tc>
        <w:tc>
          <w:tcPr>
            <w:tcW w:w="10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305</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490</w:t>
            </w:r>
          </w:p>
        </w:tc>
      </w:tr>
      <w:tr>
        <w:trPr>
          <w:trHeight w:val="216"/>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Personnel related liabilities</w:t>
            </w:r>
          </w:p>
        </w:tc>
        <w:tc>
          <w:tcPr>
            <w:tcW w:w="10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19,642</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13,090</w:t>
            </w:r>
          </w:p>
        </w:tc>
      </w:tr>
      <w:tr>
        <w:trPr>
          <w:trHeight w:val="216"/>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Value added tax payable</w:t>
            </w:r>
          </w:p>
        </w:tc>
        <w:tc>
          <w:tcPr>
            <w:tcW w:w="10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46,464</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55,965</w:t>
            </w:r>
          </w:p>
        </w:tc>
      </w:tr>
      <w:tr>
        <w:trPr>
          <w:trHeight w:val="216"/>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10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19,082</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461</w:t>
            </w:r>
          </w:p>
        </w:tc>
      </w:tr>
      <w:tr>
        <w:trPr>
          <w:trHeight w:val="223"/>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Liabilities related to repurchase obligations</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92,421</w:t>
            </w:r>
          </w:p>
        </w:tc>
        <w:tc>
          <w:tcPr>
            <w:tcW w:w="30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spacing w:after="0"/>
              <w:rPr>
                <w:sz w:val="19"/>
                <w:szCs w:val="19"/>
                <w:color w:val="auto"/>
              </w:rPr>
            </w:pPr>
          </w:p>
        </w:tc>
      </w:tr>
      <w:tr>
        <w:trPr>
          <w:trHeight w:val="216"/>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364,662</w:t>
            </w:r>
          </w:p>
        </w:tc>
        <w:tc>
          <w:tcPr>
            <w:tcW w:w="3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167,626</w:t>
            </w:r>
          </w:p>
        </w:tc>
      </w:tr>
      <w:tr>
        <w:trPr>
          <w:trHeight w:val="20"/>
        </w:trPr>
        <w:tc>
          <w:tcPr>
            <w:tcW w:w="64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620"/>
        <w:spacing w:after="0" w:line="282" w:lineRule="auto"/>
        <w:rPr>
          <w:sz w:val="20"/>
          <w:szCs w:val="20"/>
          <w:color w:val="auto"/>
        </w:rPr>
      </w:pPr>
      <w:r>
        <w:rPr>
          <w:rFonts w:ascii="Times New Roman" w:cs="Times New Roman" w:eastAsia="Times New Roman" w:hAnsi="Times New Roman"/>
          <w:sz w:val="18"/>
          <w:szCs w:val="18"/>
          <w:color w:val="auto"/>
        </w:rPr>
        <w:t>Accrued expenses and prepaid income consisted of primarily accrued expenses related to marketing and product development; personnel related liabilities consisted of wages, salaries, and other benefits payable.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21 – Liabilities to credit institutions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carrying amount of Polestar Group’s borrowings as of December 31, 2021 are as follows:</w:t>
      </w:r>
    </w:p>
    <w:p>
      <w:pPr>
        <w:spacing w:after="0" w:line="23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2260" w:type="dxa"/>
            <w:vAlign w:val="bottom"/>
            <w:gridSpan w:val="2"/>
            <w:vMerge w:val="restart"/>
          </w:tcPr>
          <w:p>
            <w:pPr>
              <w:ind w:left="1660"/>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2580" w:type="dxa"/>
            <w:vAlign w:val="bottom"/>
          </w:tcPr>
          <w:p>
            <w:pPr>
              <w:spacing w:after="0"/>
              <w:rPr>
                <w:sz w:val="13"/>
                <w:szCs w:val="13"/>
                <w:color w:val="auto"/>
              </w:rPr>
            </w:pPr>
          </w:p>
        </w:tc>
        <w:tc>
          <w:tcPr>
            <w:tcW w:w="2820" w:type="dxa"/>
            <w:vAlign w:val="bottom"/>
            <w:gridSpan w:val="2"/>
          </w:tcPr>
          <w:p>
            <w:pPr>
              <w:jc w:val="right"/>
              <w:ind w:right="980"/>
              <w:spacing w:after="0"/>
              <w:rPr>
                <w:sz w:val="20"/>
                <w:szCs w:val="20"/>
                <w:color w:val="auto"/>
              </w:rPr>
            </w:pPr>
            <w:r>
              <w:rPr>
                <w:rFonts w:ascii="Times New Roman" w:cs="Times New Roman" w:eastAsia="Times New Roman" w:hAnsi="Times New Roman"/>
                <w:sz w:val="14"/>
                <w:szCs w:val="14"/>
                <w:b w:val="1"/>
                <w:bCs w:val="1"/>
                <w:color w:val="auto"/>
              </w:rPr>
              <w:t>Nominal amount in respective</w:t>
            </w:r>
          </w:p>
        </w:tc>
        <w:tc>
          <w:tcPr>
            <w:tcW w:w="700" w:type="dxa"/>
            <w:vAlign w:val="bottom"/>
            <w:gridSpan w:val="3"/>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TUSD</w:t>
            </w:r>
          </w:p>
        </w:tc>
        <w:tc>
          <w:tcPr>
            <w:tcW w:w="0" w:type="dxa"/>
            <w:vAlign w:val="bottom"/>
          </w:tcPr>
          <w:p>
            <w:pPr>
              <w:spacing w:after="0"/>
              <w:rPr>
                <w:sz w:val="1"/>
                <w:szCs w:val="1"/>
                <w:color w:val="auto"/>
              </w:rPr>
            </w:pPr>
          </w:p>
        </w:tc>
      </w:tr>
      <w:tr>
        <w:trPr>
          <w:trHeight w:val="180"/>
        </w:trPr>
        <w:tc>
          <w:tcPr>
            <w:tcW w:w="2260" w:type="dxa"/>
            <w:vAlign w:val="bottom"/>
            <w:gridSpan w:val="2"/>
            <w:vMerge w:val="continue"/>
          </w:tcPr>
          <w:p>
            <w:pPr>
              <w:spacing w:after="0"/>
              <w:rPr>
                <w:sz w:val="15"/>
                <w:szCs w:val="15"/>
                <w:color w:val="auto"/>
              </w:rPr>
            </w:pPr>
          </w:p>
        </w:tc>
        <w:tc>
          <w:tcPr>
            <w:tcW w:w="2580" w:type="dxa"/>
            <w:vAlign w:val="bottom"/>
          </w:tcPr>
          <w:p>
            <w:pPr>
              <w:spacing w:after="0"/>
              <w:rPr>
                <w:sz w:val="15"/>
                <w:szCs w:val="15"/>
                <w:color w:val="auto"/>
              </w:rPr>
            </w:pPr>
          </w:p>
        </w:tc>
        <w:tc>
          <w:tcPr>
            <w:tcW w:w="2820" w:type="dxa"/>
            <w:vAlign w:val="bottom"/>
            <w:gridSpan w:val="2"/>
          </w:tcPr>
          <w:p>
            <w:pPr>
              <w:jc w:val="right"/>
              <w:ind w:right="1260"/>
              <w:spacing w:after="0" w:line="160" w:lineRule="exact"/>
              <w:rPr>
                <w:sz w:val="20"/>
                <w:szCs w:val="20"/>
                <w:color w:val="auto"/>
              </w:rPr>
            </w:pPr>
            <w:r>
              <w:rPr>
                <w:rFonts w:ascii="Times New Roman" w:cs="Times New Roman" w:eastAsia="Times New Roman" w:hAnsi="Times New Roman"/>
                <w:sz w:val="14"/>
                <w:szCs w:val="14"/>
                <w:b w:val="1"/>
                <w:bCs w:val="1"/>
                <w:color w:val="auto"/>
              </w:rPr>
              <w:t>currency (thousands)</w:t>
            </w:r>
          </w:p>
        </w:tc>
        <w:tc>
          <w:tcPr>
            <w:tcW w:w="70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660" w:type="dxa"/>
            <w:vAlign w:val="bottom"/>
            <w:tcBorders>
              <w:top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USD</w:t>
            </w:r>
          </w:p>
        </w:tc>
        <w:tc>
          <w:tcPr>
            <w:tcW w:w="600" w:type="dxa"/>
            <w:vAlign w:val="bottom"/>
            <w:tcBorders>
              <w:top w:val="single" w:sz="8" w:color="auto"/>
            </w:tcBorders>
            <w:shd w:val="clear" w:color="auto" w:fill="CCEEFF"/>
          </w:tcPr>
          <w:p>
            <w:pPr>
              <w:spacing w:after="0"/>
              <w:rPr>
                <w:sz w:val="17"/>
                <w:szCs w:val="17"/>
                <w:color w:val="auto"/>
              </w:rPr>
            </w:pPr>
          </w:p>
        </w:tc>
        <w:tc>
          <w:tcPr>
            <w:tcW w:w="2580" w:type="dxa"/>
            <w:vAlign w:val="bottom"/>
            <w:tcBorders>
              <w:top w:val="single" w:sz="8" w:color="CCEEFF"/>
            </w:tcBorders>
            <w:shd w:val="clear" w:color="auto" w:fill="CCEEFF"/>
          </w:tcPr>
          <w:p>
            <w:pPr>
              <w:spacing w:after="0"/>
              <w:rPr>
                <w:sz w:val="17"/>
                <w:szCs w:val="17"/>
                <w:color w:val="auto"/>
              </w:rPr>
            </w:pPr>
          </w:p>
        </w:tc>
        <w:tc>
          <w:tcPr>
            <w:tcW w:w="18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400,000</w:t>
            </w:r>
          </w:p>
        </w:tc>
        <w:tc>
          <w:tcPr>
            <w:tcW w:w="98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400,000</w:t>
            </w: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CNY</w:t>
            </w:r>
          </w:p>
        </w:tc>
        <w:tc>
          <w:tcPr>
            <w:tcW w:w="5400" w:type="dxa"/>
            <w:vAlign w:val="bottom"/>
            <w:gridSpan w:val="3"/>
          </w:tcPr>
          <w:p>
            <w:pPr>
              <w:jc w:val="right"/>
              <w:ind w:right="980"/>
              <w:spacing w:after="0"/>
              <w:rPr>
                <w:sz w:val="20"/>
                <w:szCs w:val="20"/>
                <w:color w:val="auto"/>
              </w:rPr>
            </w:pPr>
            <w:r>
              <w:rPr>
                <w:rFonts w:ascii="Times New Roman" w:cs="Times New Roman" w:eastAsia="Times New Roman" w:hAnsi="Times New Roman"/>
                <w:sz w:val="18"/>
                <w:szCs w:val="18"/>
                <w:color w:val="auto"/>
              </w:rPr>
              <w:t>830,000</w:t>
            </w: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130,559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CNY</w:t>
            </w:r>
          </w:p>
        </w:tc>
        <w:tc>
          <w:tcPr>
            <w:tcW w:w="5400" w:type="dxa"/>
            <w:vAlign w:val="bottom"/>
            <w:gridSpan w:val="3"/>
            <w:shd w:val="clear" w:color="auto" w:fill="CCEEFF"/>
          </w:tcPr>
          <w:p>
            <w:pPr>
              <w:jc w:val="right"/>
              <w:ind w:right="980"/>
              <w:spacing w:after="0"/>
              <w:rPr>
                <w:sz w:val="20"/>
                <w:szCs w:val="20"/>
                <w:color w:val="auto"/>
              </w:rPr>
            </w:pPr>
            <w:r>
              <w:rPr>
                <w:rFonts w:ascii="Times New Roman" w:cs="Times New Roman" w:eastAsia="Times New Roman" w:hAnsi="Times New Roman"/>
                <w:sz w:val="18"/>
                <w:szCs w:val="18"/>
                <w:color w:val="auto"/>
              </w:rPr>
              <w:t>500,000</w:t>
            </w:r>
          </w:p>
        </w:tc>
        <w:tc>
          <w:tcPr>
            <w:tcW w:w="7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78,650</w:t>
            </w:r>
          </w:p>
        </w:tc>
        <w:tc>
          <w:tcPr>
            <w:tcW w:w="0" w:type="dxa"/>
            <w:vAlign w:val="bottom"/>
          </w:tcPr>
          <w:p>
            <w:pPr>
              <w:spacing w:after="0"/>
              <w:rPr>
                <w:sz w:val="1"/>
                <w:szCs w:val="1"/>
                <w:color w:val="auto"/>
              </w:rPr>
            </w:pPr>
          </w:p>
        </w:tc>
      </w:tr>
      <w:tr>
        <w:trPr>
          <w:trHeight w:val="223"/>
        </w:trPr>
        <w:tc>
          <w:tcPr>
            <w:tcW w:w="2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58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609,209</w:t>
            </w:r>
          </w:p>
        </w:tc>
        <w:tc>
          <w:tcPr>
            <w:tcW w:w="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carrying amount of Polestar Group’s unsecured borrowings as of December 31, 2020 are as follows:</w:t>
      </w:r>
    </w:p>
    <w:p>
      <w:pPr>
        <w:spacing w:after="0" w:line="23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2260" w:type="dxa"/>
            <w:vAlign w:val="bottom"/>
            <w:gridSpan w:val="2"/>
            <w:vMerge w:val="restart"/>
          </w:tcPr>
          <w:p>
            <w:pPr>
              <w:ind w:left="1660"/>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2580" w:type="dxa"/>
            <w:vAlign w:val="bottom"/>
          </w:tcPr>
          <w:p>
            <w:pPr>
              <w:spacing w:after="0"/>
              <w:rPr>
                <w:sz w:val="13"/>
                <w:szCs w:val="13"/>
                <w:color w:val="auto"/>
              </w:rPr>
            </w:pPr>
          </w:p>
        </w:tc>
        <w:tc>
          <w:tcPr>
            <w:tcW w:w="2820" w:type="dxa"/>
            <w:vAlign w:val="bottom"/>
            <w:gridSpan w:val="2"/>
          </w:tcPr>
          <w:p>
            <w:pPr>
              <w:jc w:val="right"/>
              <w:ind w:right="980"/>
              <w:spacing w:after="0"/>
              <w:rPr>
                <w:sz w:val="20"/>
                <w:szCs w:val="20"/>
                <w:color w:val="auto"/>
              </w:rPr>
            </w:pPr>
            <w:r>
              <w:rPr>
                <w:rFonts w:ascii="Times New Roman" w:cs="Times New Roman" w:eastAsia="Times New Roman" w:hAnsi="Times New Roman"/>
                <w:sz w:val="14"/>
                <w:szCs w:val="14"/>
                <w:b w:val="1"/>
                <w:bCs w:val="1"/>
                <w:color w:val="auto"/>
              </w:rPr>
              <w:t>Nominal amount in respective</w:t>
            </w:r>
          </w:p>
        </w:tc>
        <w:tc>
          <w:tcPr>
            <w:tcW w:w="700" w:type="dxa"/>
            <w:vAlign w:val="bottom"/>
            <w:gridSpan w:val="3"/>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TUSD</w:t>
            </w:r>
          </w:p>
        </w:tc>
        <w:tc>
          <w:tcPr>
            <w:tcW w:w="0" w:type="dxa"/>
            <w:vAlign w:val="bottom"/>
          </w:tcPr>
          <w:p>
            <w:pPr>
              <w:spacing w:after="0"/>
              <w:rPr>
                <w:sz w:val="1"/>
                <w:szCs w:val="1"/>
                <w:color w:val="auto"/>
              </w:rPr>
            </w:pPr>
          </w:p>
        </w:tc>
      </w:tr>
      <w:tr>
        <w:trPr>
          <w:trHeight w:val="180"/>
        </w:trPr>
        <w:tc>
          <w:tcPr>
            <w:tcW w:w="2260" w:type="dxa"/>
            <w:vAlign w:val="bottom"/>
            <w:gridSpan w:val="2"/>
            <w:vMerge w:val="continue"/>
          </w:tcPr>
          <w:p>
            <w:pPr>
              <w:spacing w:after="0"/>
              <w:rPr>
                <w:sz w:val="15"/>
                <w:szCs w:val="15"/>
                <w:color w:val="auto"/>
              </w:rPr>
            </w:pPr>
          </w:p>
        </w:tc>
        <w:tc>
          <w:tcPr>
            <w:tcW w:w="2580" w:type="dxa"/>
            <w:vAlign w:val="bottom"/>
          </w:tcPr>
          <w:p>
            <w:pPr>
              <w:spacing w:after="0"/>
              <w:rPr>
                <w:sz w:val="15"/>
                <w:szCs w:val="15"/>
                <w:color w:val="auto"/>
              </w:rPr>
            </w:pPr>
          </w:p>
        </w:tc>
        <w:tc>
          <w:tcPr>
            <w:tcW w:w="2820" w:type="dxa"/>
            <w:vAlign w:val="bottom"/>
            <w:gridSpan w:val="2"/>
          </w:tcPr>
          <w:p>
            <w:pPr>
              <w:jc w:val="right"/>
              <w:ind w:right="1260"/>
              <w:spacing w:after="0" w:line="160" w:lineRule="exact"/>
              <w:rPr>
                <w:sz w:val="20"/>
                <w:szCs w:val="20"/>
                <w:color w:val="auto"/>
              </w:rPr>
            </w:pPr>
            <w:r>
              <w:rPr>
                <w:rFonts w:ascii="Times New Roman" w:cs="Times New Roman" w:eastAsia="Times New Roman" w:hAnsi="Times New Roman"/>
                <w:sz w:val="14"/>
                <w:szCs w:val="14"/>
                <w:b w:val="1"/>
                <w:bCs w:val="1"/>
                <w:color w:val="auto"/>
              </w:rPr>
              <w:t>currency (thousands)</w:t>
            </w:r>
          </w:p>
        </w:tc>
        <w:tc>
          <w:tcPr>
            <w:tcW w:w="70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660" w:type="dxa"/>
            <w:vAlign w:val="bottom"/>
            <w:tcBorders>
              <w:top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CNY</w:t>
            </w:r>
          </w:p>
        </w:tc>
        <w:tc>
          <w:tcPr>
            <w:tcW w:w="600" w:type="dxa"/>
            <w:vAlign w:val="bottom"/>
            <w:tcBorders>
              <w:top w:val="single" w:sz="8" w:color="auto"/>
            </w:tcBorders>
            <w:shd w:val="clear" w:color="auto" w:fill="CCEEFF"/>
          </w:tcPr>
          <w:p>
            <w:pPr>
              <w:spacing w:after="0"/>
              <w:rPr>
                <w:sz w:val="17"/>
                <w:szCs w:val="17"/>
                <w:color w:val="auto"/>
              </w:rPr>
            </w:pPr>
          </w:p>
        </w:tc>
        <w:tc>
          <w:tcPr>
            <w:tcW w:w="2580" w:type="dxa"/>
            <w:vAlign w:val="bottom"/>
            <w:tcBorders>
              <w:top w:val="single" w:sz="8" w:color="CCEEFF"/>
            </w:tcBorders>
            <w:shd w:val="clear" w:color="auto" w:fill="CCEEFF"/>
          </w:tcPr>
          <w:p>
            <w:pPr>
              <w:spacing w:after="0"/>
              <w:rPr>
                <w:sz w:val="17"/>
                <w:szCs w:val="17"/>
                <w:color w:val="auto"/>
              </w:rPr>
            </w:pPr>
          </w:p>
        </w:tc>
        <w:tc>
          <w:tcPr>
            <w:tcW w:w="18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984,551</w:t>
            </w:r>
          </w:p>
        </w:tc>
        <w:tc>
          <w:tcPr>
            <w:tcW w:w="98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150,735</w:t>
            </w: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CNY</w:t>
            </w:r>
          </w:p>
        </w:tc>
        <w:tc>
          <w:tcPr>
            <w:tcW w:w="5400" w:type="dxa"/>
            <w:vAlign w:val="bottom"/>
            <w:gridSpan w:val="3"/>
          </w:tcPr>
          <w:p>
            <w:pPr>
              <w:jc w:val="right"/>
              <w:ind w:right="980"/>
              <w:spacing w:after="0"/>
              <w:rPr>
                <w:sz w:val="20"/>
                <w:szCs w:val="20"/>
                <w:color w:val="auto"/>
              </w:rPr>
            </w:pPr>
            <w:r>
              <w:rPr>
                <w:rFonts w:ascii="Times New Roman" w:cs="Times New Roman" w:eastAsia="Times New Roman" w:hAnsi="Times New Roman"/>
                <w:sz w:val="18"/>
                <w:szCs w:val="18"/>
                <w:color w:val="auto"/>
              </w:rPr>
              <w:t>300,000</w:t>
            </w:r>
          </w:p>
        </w:tc>
        <w:tc>
          <w:tcPr>
            <w:tcW w:w="7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45,930</w:t>
            </w:r>
          </w:p>
        </w:tc>
        <w:tc>
          <w:tcPr>
            <w:tcW w:w="0" w:type="dxa"/>
            <w:vAlign w:val="bottom"/>
          </w:tcPr>
          <w:p>
            <w:pPr>
              <w:spacing w:after="0"/>
              <w:rPr>
                <w:sz w:val="1"/>
                <w:szCs w:val="1"/>
                <w:color w:val="auto"/>
              </w:rPr>
            </w:pPr>
          </w:p>
        </w:tc>
      </w:tr>
      <w:tr>
        <w:trPr>
          <w:trHeight w:val="216"/>
        </w:trPr>
        <w:tc>
          <w:tcPr>
            <w:tcW w:w="2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EUR</w:t>
            </w:r>
          </w:p>
        </w:tc>
        <w:tc>
          <w:tcPr>
            <w:tcW w:w="5400" w:type="dxa"/>
            <w:vAlign w:val="bottom"/>
            <w:gridSpan w:val="3"/>
            <w:shd w:val="clear" w:color="auto" w:fill="CCEEFF"/>
          </w:tcPr>
          <w:p>
            <w:pPr>
              <w:jc w:val="right"/>
              <w:ind w:right="980"/>
              <w:spacing w:after="0"/>
              <w:rPr>
                <w:sz w:val="20"/>
                <w:szCs w:val="20"/>
                <w:color w:val="auto"/>
              </w:rPr>
            </w:pPr>
            <w:r>
              <w:rPr>
                <w:rFonts w:ascii="Times New Roman" w:cs="Times New Roman" w:eastAsia="Times New Roman" w:hAnsi="Times New Roman"/>
                <w:sz w:val="18"/>
                <w:szCs w:val="18"/>
                <w:color w:val="auto"/>
              </w:rPr>
              <w:t>120,700</w:t>
            </w: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148,082</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58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344,747</w:t>
            </w:r>
          </w:p>
        </w:tc>
        <w:tc>
          <w:tcPr>
            <w:tcW w:w="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As of December 31, 2021, the Group had the following outstanding bank loans:</w:t>
      </w:r>
    </w:p>
    <w:p>
      <w:pPr>
        <w:spacing w:after="0" w:line="225" w:lineRule="exact"/>
        <w:rPr>
          <w:sz w:val="20"/>
          <w:szCs w:val="20"/>
          <w:color w:val="auto"/>
        </w:rPr>
      </w:pPr>
    </w:p>
    <w:p>
      <w:pPr>
        <w:ind w:left="120" w:right="60" w:hanging="4"/>
        <w:spacing w:after="0" w:line="289" w:lineRule="auto"/>
        <w:tabs>
          <w:tab w:leader="none" w:pos="305" w:val="left"/>
        </w:tabs>
        <w:numPr>
          <w:ilvl w:val="0"/>
          <w:numId w:val="1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working capital loan agreement with a bank in China. The loan is secured on certain assets equal to approximately 70% of its value and benefits from a subsidiary guarantee from Polestar Shanghai as well as letters of keep well from both Volvo Cars and Geely. Polestar does not anticipate needing to rely on these letters. The outstanding principal balance as of December 31, 2021 was $400,000. The loan carries interest at a fixed rate of 1.883%.</w:t>
      </w:r>
    </w:p>
    <w:p>
      <w:pPr>
        <w:spacing w:after="0" w:line="157" w:lineRule="exact"/>
        <w:rPr>
          <w:rFonts w:ascii="Times New Roman" w:cs="Times New Roman" w:eastAsia="Times New Roman" w:hAnsi="Times New Roman"/>
          <w:sz w:val="17"/>
          <w:szCs w:val="17"/>
          <w:color w:val="auto"/>
        </w:rPr>
      </w:pPr>
    </w:p>
    <w:p>
      <w:pPr>
        <w:ind w:left="120" w:hanging="4"/>
        <w:spacing w:after="0" w:line="266" w:lineRule="auto"/>
        <w:tabs>
          <w:tab w:leader="none" w:pos="315"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unsecured working capital loan from a bank in China. The outstanding balance as of December 31, 2021 was $130,559. This loan was agreed to in July 2021; part of this loan was funded in July 2021 and part was funded in September 2021, with an overall expiry of July 2022. The loan carries interest at a rate of 3.915% per annum.</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F-51</w:t>
      </w:r>
    </w:p>
    <w:p>
      <w:pPr>
        <w:sectPr>
          <w:pgSz w:w="11900" w:h="16838" w:orient="portrait"/>
          <w:cols w:equalWidth="0" w:num="1">
            <w:col w:w="11120"/>
          </w:cols>
          <w:pgMar w:left="320" w:top="455" w:right="459" w:bottom="1440" w:gutter="0" w:footer="0" w:header="0"/>
        </w:sectPr>
      </w:pPr>
    </w:p>
    <w:bookmarkStart w:id="286" w:name="page287"/>
    <w:bookmarkEnd w:id="28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p>
      <w:pPr>
        <w:spacing w:after="0" w:line="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34" w:lineRule="exact"/>
        <w:rPr>
          <w:sz w:val="20"/>
          <w:szCs w:val="20"/>
          <w:color w:val="auto"/>
        </w:rPr>
      </w:pPr>
    </w:p>
    <w:p>
      <w:pPr>
        <w:ind w:left="120" w:right="120" w:hanging="4"/>
        <w:spacing w:after="0" w:line="282" w:lineRule="auto"/>
        <w:tabs>
          <w:tab w:leader="none" w:pos="305"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unsecured working capital loan from a bank in China. The outstanding balance as of December 31, 2021 was $78,650. This loan was agreed to in June 2021 with an expiry of June 2022</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loan carries interest at the latest 12-month national interbank offered rate plus 1.1%.</w:t>
      </w:r>
    </w:p>
    <w:p>
      <w:pPr>
        <w:spacing w:after="0" w:line="162"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In the ordinary course of business, Polestar, on a market-by-market basis, enters into multiple low-value working capital credit facilities with various financial service providers to ensure the Group can meet vehicle demand and fund operations related to vehicle sales. These facilities provide access to credit for 1-4 years, with the option to renew as mutually determined by Polestar Group and the financial service provider. As of December 31, 2021 and 2020, the aggregate amount outstanding under these arrangements was $32,453 and $1,345, respectively. Of the $32,453 outstanding as of December 31, 2021, $13,789 was related to the working capital loan with Volvo Cars, further detailed in Note 23 – Related party transactions.</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As of December 31, 2020, the Group had the following outstanding bank loans:</w:t>
      </w:r>
    </w:p>
    <w:p>
      <w:pPr>
        <w:spacing w:after="0" w:line="225" w:lineRule="exact"/>
        <w:rPr>
          <w:sz w:val="20"/>
          <w:szCs w:val="20"/>
          <w:color w:val="auto"/>
        </w:rPr>
      </w:pPr>
    </w:p>
    <w:p>
      <w:pPr>
        <w:ind w:left="120" w:right="20" w:hanging="4"/>
        <w:spacing w:after="0" w:line="282" w:lineRule="auto"/>
        <w:tabs>
          <w:tab w:leader="none" w:pos="305"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unsecured working capital loan from a bank in China. The outstanding balance as of December 31, 2020 was $150,735. This loan was agreed to in June 2020 with an expiry of June 2021. The loan carries interest at the interbank loan prime rate plus 0.065%, settled either monthly or quarterly.</w:t>
      </w:r>
    </w:p>
    <w:p>
      <w:pPr>
        <w:spacing w:after="0" w:line="161" w:lineRule="exact"/>
        <w:rPr>
          <w:rFonts w:ascii="Times New Roman" w:cs="Times New Roman" w:eastAsia="Times New Roman" w:hAnsi="Times New Roman"/>
          <w:sz w:val="18"/>
          <w:szCs w:val="18"/>
          <w:color w:val="auto"/>
        </w:rPr>
      </w:pPr>
    </w:p>
    <w:p>
      <w:pPr>
        <w:ind w:left="120" w:right="100" w:hanging="4"/>
        <w:spacing w:after="0" w:line="282" w:lineRule="auto"/>
        <w:tabs>
          <w:tab w:leader="none" w:pos="315"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unsecured working capital loan from a bank in China. The outstanding balance as of December 31, 2020 was $45,930. This loan was agreed to in December 2020 with an expiry of May 2021. The loan carries interest at the latest 12-month national interbank rate minus 0.37%, settled quarterly.</w:t>
      </w:r>
    </w:p>
    <w:p>
      <w:pPr>
        <w:spacing w:after="0" w:line="161" w:lineRule="exact"/>
        <w:rPr>
          <w:rFonts w:ascii="Times New Roman" w:cs="Times New Roman" w:eastAsia="Times New Roman" w:hAnsi="Times New Roman"/>
          <w:sz w:val="18"/>
          <w:szCs w:val="18"/>
          <w:color w:val="auto"/>
        </w:rPr>
      </w:pPr>
    </w:p>
    <w:p>
      <w:pPr>
        <w:ind w:left="120" w:right="100" w:hanging="4"/>
        <w:spacing w:after="0" w:line="266" w:lineRule="auto"/>
        <w:tabs>
          <w:tab w:leader="none" w:pos="305"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uncommitted facility from a bank in the United Kingdom. The outstanding balance as of December 31, 2020 was $148,082. This loan was agreed to in December 2020 with an expiry of June 2021. The loan carries interest at 2.1% per annum over the relevant interbank offered rate, plus a flat arrangement fee of 0.25% to be paid on the value of the facility payable. Interest is to be paid at the end of the agreed upon financing term.</w:t>
      </w:r>
    </w:p>
    <w:p>
      <w:pPr>
        <w:spacing w:after="0" w:line="176" w:lineRule="exact"/>
        <w:rPr>
          <w:sz w:val="20"/>
          <w:szCs w:val="20"/>
          <w:color w:val="auto"/>
        </w:rPr>
      </w:pPr>
    </w:p>
    <w:p>
      <w:pPr>
        <w:ind w:left="120" w:right="200"/>
        <w:spacing w:after="0" w:line="266" w:lineRule="auto"/>
        <w:rPr>
          <w:sz w:val="20"/>
          <w:szCs w:val="20"/>
          <w:color w:val="auto"/>
        </w:rPr>
      </w:pPr>
      <w:r>
        <w:rPr>
          <w:rFonts w:ascii="Times New Roman" w:cs="Times New Roman" w:eastAsia="Times New Roman" w:hAnsi="Times New Roman"/>
          <w:sz w:val="18"/>
          <w:szCs w:val="18"/>
          <w:color w:val="auto"/>
        </w:rPr>
        <w:t>Since all of the above identified contracts are short-term with terms of twelve months or less, the carrying amount of each contract is deemed to be a reasonable approximation of fair value. The Group’s risk management policies related to its debt instruments are further detailed in Note 2 – Financial risk management.</w:t>
      </w:r>
    </w:p>
    <w:p>
      <w:pPr>
        <w:spacing w:after="0" w:line="176" w:lineRule="exact"/>
        <w:rPr>
          <w:sz w:val="20"/>
          <w:szCs w:val="20"/>
          <w:color w:val="auto"/>
        </w:rPr>
      </w:pPr>
    </w:p>
    <w:p>
      <w:pPr>
        <w:ind w:left="120" w:right="180"/>
        <w:spacing w:after="0" w:line="282" w:lineRule="auto"/>
        <w:rPr>
          <w:sz w:val="20"/>
          <w:szCs w:val="20"/>
          <w:color w:val="auto"/>
        </w:rPr>
      </w:pPr>
      <w:r>
        <w:rPr>
          <w:rFonts w:ascii="Times New Roman" w:cs="Times New Roman" w:eastAsia="Times New Roman" w:hAnsi="Times New Roman"/>
          <w:sz w:val="18"/>
          <w:szCs w:val="18"/>
          <w:color w:val="auto"/>
        </w:rPr>
        <w:t>The Group’s creditors do not require Polestar to maintain any material debt covenants. Unless the Group is unable to make its debt payments, there are no events, financial or otherwise, which trigger default under the debt contracts.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Financing obligations</w:t>
      </w:r>
    </w:p>
    <w:p>
      <w:pPr>
        <w:spacing w:after="0" w:line="121" w:lineRule="exact"/>
        <w:rPr>
          <w:sz w:val="20"/>
          <w:szCs w:val="20"/>
          <w:color w:val="auto"/>
        </w:rPr>
      </w:pPr>
    </w:p>
    <w:p>
      <w:pPr>
        <w:ind w:left="120" w:right="340"/>
        <w:spacing w:after="0" w:line="258" w:lineRule="auto"/>
        <w:rPr>
          <w:sz w:val="20"/>
          <w:szCs w:val="20"/>
          <w:color w:val="auto"/>
        </w:rPr>
      </w:pPr>
      <w:r>
        <w:rPr>
          <w:rFonts w:ascii="Times New Roman" w:cs="Times New Roman" w:eastAsia="Times New Roman" w:hAnsi="Times New Roman"/>
          <w:sz w:val="18"/>
          <w:szCs w:val="18"/>
          <w:color w:val="auto"/>
        </w:rPr>
        <w:t>Polestar has entered into contracts to sell vehicles and then lease such vehicles back for a period of up to twelve months. At the end of the leaseback period, Polestar is obligated to repurchase the vehicles. Accordingly, the consideration received for these transactions was recorded as a financing transaction. As of December 31, 2021 and 2020, $14,465 and $17,398 of this financing obligation was outstanding, respectively, and had accrued interest of $1,679 and $301, respectively. As the financing obligation is short-term in nature, the total outstanding amount is reflected in liabilities to credit institutions in the Consolidated Statement of Financial Position.</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F-52</w:t>
      </w:r>
    </w:p>
    <w:p>
      <w:pPr>
        <w:sectPr>
          <w:pgSz w:w="11900" w:h="16838" w:orient="portrait"/>
          <w:cols w:equalWidth="0" w:num="1">
            <w:col w:w="11140"/>
          </w:cols>
          <w:pgMar w:left="320" w:top="455" w:right="439" w:bottom="1440" w:gutter="0" w:footer="0" w:header="0"/>
        </w:sectPr>
      </w:pPr>
    </w:p>
    <w:bookmarkStart w:id="287" w:name="page288"/>
    <w:bookmarkEnd w:id="28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p>
      <w:pPr>
        <w:spacing w:after="0" w:line="2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22 – Supplemental cash flow information</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Supplemental cash flow information was as follows:</w:t>
      </w:r>
    </w:p>
    <w:p>
      <w:pPr>
        <w:spacing w:after="0" w:line="246"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6200" w:type="dxa"/>
            <w:vAlign w:val="bottom"/>
          </w:tcPr>
          <w:p>
            <w:pPr>
              <w:spacing w:after="0"/>
              <w:rPr>
                <w:sz w:val="15"/>
                <w:szCs w:val="15"/>
                <w:color w:val="auto"/>
              </w:rPr>
            </w:pPr>
          </w:p>
        </w:tc>
        <w:tc>
          <w:tcPr>
            <w:tcW w:w="1140" w:type="dxa"/>
            <w:vAlign w:val="bottom"/>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20" w:type="dxa"/>
            <w:vAlign w:val="bottom"/>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2020</w:t>
            </w:r>
          </w:p>
        </w:tc>
        <w:tc>
          <w:tcPr>
            <w:tcW w:w="900" w:type="dxa"/>
            <w:vAlign w:val="bottom"/>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16"/>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Non-cash investing and financing activities</w:t>
            </w:r>
          </w:p>
        </w:tc>
        <w:tc>
          <w:tcPr>
            <w:tcW w:w="1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198"/>
        </w:trPr>
        <w:tc>
          <w:tcPr>
            <w:tcW w:w="620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Purchases of intangible assets in trade payables – related parties and accrued</w:t>
            </w:r>
          </w:p>
        </w:tc>
        <w:tc>
          <w:tcPr>
            <w:tcW w:w="1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34"/>
        </w:trPr>
        <w:tc>
          <w:tcPr>
            <w:tcW w:w="62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expenses – related parties</w:t>
            </w:r>
          </w:p>
        </w:tc>
        <w:tc>
          <w:tcPr>
            <w:tcW w:w="114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357,760</w:t>
            </w:r>
          </w:p>
        </w:tc>
        <w:tc>
          <w:tcPr>
            <w:tcW w:w="102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143,986</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135,989</w:t>
            </w:r>
          </w:p>
        </w:tc>
      </w:tr>
      <w:tr>
        <w:trPr>
          <w:trHeight w:val="216"/>
        </w:trPr>
        <w:tc>
          <w:tcPr>
            <w:tcW w:w="6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Initial recognition of ROU assets and liabilities</w:t>
            </w:r>
          </w:p>
        </w:tc>
        <w:tc>
          <w:tcPr>
            <w:tcW w:w="114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12,376</w:t>
            </w:r>
          </w:p>
        </w:tc>
        <w:tc>
          <w:tcPr>
            <w:tcW w:w="102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61,529</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4,484</w:t>
            </w:r>
          </w:p>
        </w:tc>
      </w:tr>
      <w:tr>
        <w:trPr>
          <w:trHeight w:val="234"/>
        </w:trPr>
        <w:tc>
          <w:tcPr>
            <w:tcW w:w="6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Purchases of property, plant and equipment in trade payables</w:t>
            </w:r>
          </w:p>
        </w:tc>
        <w:tc>
          <w:tcPr>
            <w:tcW w:w="114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17,341</w:t>
            </w:r>
          </w:p>
        </w:tc>
        <w:tc>
          <w:tcPr>
            <w:tcW w:w="102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13,101</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3,626</w:t>
            </w:r>
          </w:p>
        </w:tc>
      </w:tr>
    </w:tbl>
    <w:p>
      <w:pPr>
        <w:spacing w:after="0" w:line="2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23 – Related party transactions</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Related parties are as follows:</w:t>
      </w:r>
    </w:p>
    <w:p>
      <w:pPr>
        <w:spacing w:after="0" w:line="225" w:lineRule="exact"/>
        <w:rPr>
          <w:sz w:val="20"/>
          <w:szCs w:val="20"/>
          <w:color w:val="auto"/>
        </w:rPr>
      </w:pPr>
    </w:p>
    <w:p>
      <w:pPr>
        <w:ind w:left="300" w:hanging="184"/>
        <w:spacing w:after="0"/>
        <w:tabs>
          <w:tab w:leader="none" w:pos="30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member of the board of directors, CEO and other key management employees in any Polestar entity;</w:t>
      </w:r>
    </w:p>
    <w:p>
      <w:pPr>
        <w:spacing w:after="0" w:line="225" w:lineRule="exact"/>
        <w:rPr>
          <w:rFonts w:ascii="Times New Roman" w:cs="Times New Roman" w:eastAsia="Times New Roman" w:hAnsi="Times New Roman"/>
          <w:sz w:val="18"/>
          <w:szCs w:val="18"/>
          <w:color w:val="auto"/>
        </w:rPr>
      </w:pPr>
    </w:p>
    <w:p>
      <w:pPr>
        <w:ind w:left="320" w:hanging="204"/>
        <w:spacing w:after="0"/>
        <w:tabs>
          <w:tab w:leader="none" w:pos="32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spouse or co-habitee of, or a person under the custody of, any person referred to in “a)” above;</w:t>
      </w:r>
    </w:p>
    <w:p>
      <w:pPr>
        <w:spacing w:after="0" w:line="225" w:lineRule="exact"/>
        <w:rPr>
          <w:rFonts w:ascii="Times New Roman" w:cs="Times New Roman" w:eastAsia="Times New Roman" w:hAnsi="Times New Roman"/>
          <w:sz w:val="18"/>
          <w:szCs w:val="18"/>
          <w:color w:val="auto"/>
        </w:rPr>
      </w:pPr>
    </w:p>
    <w:p>
      <w:pPr>
        <w:ind w:left="300" w:hanging="184"/>
        <w:spacing w:after="0"/>
        <w:tabs>
          <w:tab w:leader="none" w:pos="30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entities controlled by any person, alone or jointly, referred to under “a)” and “b)” above;</w:t>
      </w:r>
    </w:p>
    <w:p>
      <w:pPr>
        <w:spacing w:after="0" w:line="225" w:lineRule="exact"/>
        <w:rPr>
          <w:rFonts w:ascii="Times New Roman" w:cs="Times New Roman" w:eastAsia="Times New Roman" w:hAnsi="Times New Roman"/>
          <w:sz w:val="18"/>
          <w:szCs w:val="18"/>
          <w:color w:val="auto"/>
        </w:rPr>
      </w:pPr>
    </w:p>
    <w:p>
      <w:pPr>
        <w:ind w:left="320" w:hanging="204"/>
        <w:spacing w:after="0"/>
        <w:tabs>
          <w:tab w:leader="none" w:pos="32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legal entity that is a parent company, subsidiary, joint venture, or associate within Geely and Volvo Cars;</w:t>
      </w:r>
    </w:p>
    <w:p>
      <w:pPr>
        <w:spacing w:after="0" w:line="225" w:lineRule="exact"/>
        <w:rPr>
          <w:rFonts w:ascii="Times New Roman" w:cs="Times New Roman" w:eastAsia="Times New Roman" w:hAnsi="Times New Roman"/>
          <w:sz w:val="18"/>
          <w:szCs w:val="18"/>
          <w:color w:val="auto"/>
        </w:rPr>
      </w:pPr>
    </w:p>
    <w:p>
      <w:pPr>
        <w:ind w:left="120" w:right="120" w:hanging="4"/>
        <w:spacing w:after="0" w:line="282" w:lineRule="auto"/>
        <w:tabs>
          <w:tab w:leader="none" w:pos="305"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legal entity in which a company within the Polestar Group holds, or otherwise controls, between 20-50 % (i.e., an associate or joint venture of any company within the Polestar Group); or</w:t>
      </w:r>
    </w:p>
    <w:p>
      <w:pPr>
        <w:spacing w:after="0" w:line="161" w:lineRule="exact"/>
        <w:rPr>
          <w:rFonts w:ascii="Times New Roman" w:cs="Times New Roman" w:eastAsia="Times New Roman" w:hAnsi="Times New Roman"/>
          <w:sz w:val="18"/>
          <w:szCs w:val="18"/>
          <w:color w:val="auto"/>
        </w:rPr>
      </w:pPr>
    </w:p>
    <w:p>
      <w:pPr>
        <w:ind w:left="120" w:hanging="4"/>
        <w:spacing w:after="0" w:line="282" w:lineRule="auto"/>
        <w:tabs>
          <w:tab w:leader="none" w:pos="285"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or a close family member of such person, that has direct or indirect control or joint control of a Polestar entity, has significant influence over a Polestar entity or is a member of the key management of Polestar Group.</w:t>
      </w:r>
    </w:p>
    <w:p>
      <w:pPr>
        <w:spacing w:after="0" w:line="162" w:lineRule="exact"/>
        <w:rPr>
          <w:sz w:val="20"/>
          <w:szCs w:val="20"/>
          <w:color w:val="auto"/>
        </w:rPr>
      </w:pPr>
    </w:p>
    <w:p>
      <w:pPr>
        <w:ind w:left="120" w:right="180"/>
        <w:spacing w:after="0" w:line="261" w:lineRule="auto"/>
        <w:rPr>
          <w:sz w:val="20"/>
          <w:szCs w:val="20"/>
          <w:color w:val="auto"/>
        </w:rPr>
      </w:pPr>
      <w:r>
        <w:rPr>
          <w:rFonts w:ascii="Times New Roman" w:cs="Times New Roman" w:eastAsia="Times New Roman" w:hAnsi="Times New Roman"/>
          <w:sz w:val="18"/>
          <w:szCs w:val="18"/>
          <w:color w:val="auto"/>
        </w:rPr>
        <w:t>Historically, Polestar Group existed as a joint venture between Geely and Volvo Cars. Geely is primarily owned and operated by Mr. Li Shufu. Geely, through a combination of wholly owned and partially owned entities, owns a controlling number of equity interests in Volvo Cars. Therefore, Mr. Li Shufu, as a controlling equity interest holder in Geely, effectively controls Geely and Volvo Cars. All transactions with either Geely or Volvo Cars are considered related party transactions.</w:t>
      </w:r>
    </w:p>
    <w:p>
      <w:pPr>
        <w:spacing w:after="0" w:line="180"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The Group’s relationship with Geely and Volvo Cars assisted in the development of favorable agreements with both parties at arm’s length reach. The primary agreement between Geely/Volvo Cars and the Group was a contract manufacturing agreement to produce the PS2; the primary agreements between Volvo Cars and the Group related to the acquisition of technology developed by Volvo Cars and various services provided by Volvo Cars. Such agreements provided advantages for the Group, including cost management and go-to-market efficiency.</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All agreements with related parties are on an arm’s length basis.</w:t>
      </w:r>
    </w:p>
    <w:p>
      <w:pPr>
        <w:spacing w:after="0" w:line="15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F-53</w:t>
      </w:r>
    </w:p>
    <w:p>
      <w:pPr>
        <w:sectPr>
          <w:pgSz w:w="11900" w:h="16838" w:orient="portrait"/>
          <w:cols w:equalWidth="0" w:num="1">
            <w:col w:w="11080"/>
          </w:cols>
          <w:pgMar w:left="320" w:top="455" w:right="499" w:bottom="1440" w:gutter="0" w:footer="0" w:header="0"/>
        </w:sectPr>
      </w:pPr>
    </w:p>
    <w:bookmarkStart w:id="288" w:name="page289"/>
    <w:bookmarkEnd w:id="28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p>
      <w:pPr>
        <w:spacing w:after="0" w:line="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3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As of December 31, 2021, the Group has related party agreements in the following functions: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Product development</w:t>
      </w:r>
    </w:p>
    <w:p>
      <w:pPr>
        <w:spacing w:after="0" w:line="121" w:lineRule="exact"/>
        <w:rPr>
          <w:sz w:val="20"/>
          <w:szCs w:val="20"/>
          <w:color w:val="auto"/>
        </w:rPr>
      </w:pPr>
    </w:p>
    <w:p>
      <w:pPr>
        <w:jc w:val="both"/>
        <w:ind w:left="120" w:right="400"/>
        <w:spacing w:after="0" w:line="266" w:lineRule="auto"/>
        <w:rPr>
          <w:sz w:val="20"/>
          <w:szCs w:val="20"/>
          <w:color w:val="auto"/>
        </w:rPr>
      </w:pPr>
      <w:r>
        <w:rPr>
          <w:rFonts w:ascii="Times New Roman" w:cs="Times New Roman" w:eastAsia="Times New Roman" w:hAnsi="Times New Roman"/>
          <w:sz w:val="18"/>
          <w:szCs w:val="18"/>
          <w:color w:val="auto"/>
        </w:rPr>
        <w:t>The agreements in place to support the Group’s product development includes license and intellectual property, patents, R&amp;D services, design, and technology agreements with Volvo Cars and Geely. The Group owns its developed Polestar Unique technology, which was created using purchased R&amp;D, design services, and licenses to critical common technology from Volvo Cars.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Procurement</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Group entered into Service Agreements with Volvo Cars regarding the procurement of direct (production related) materials.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Manufacturing</w:t>
      </w:r>
    </w:p>
    <w:p>
      <w:pPr>
        <w:spacing w:after="0" w:line="121"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In the fourth quarter of 2021, Polestar entered into a unique vendor tooling agreement with Geely whereby Geely agrees to provide manufacturing OEM services for the Polestar model 4 vehicle (“PS4”). Refer to Note 24 – Commitments and contingencies for further details regarding this unique vendor tooling agreement.</w:t>
      </w:r>
    </w:p>
    <w:p>
      <w:pPr>
        <w:spacing w:after="0" w:line="176" w:lineRule="exact"/>
        <w:rPr>
          <w:sz w:val="20"/>
          <w:szCs w:val="20"/>
          <w:color w:val="auto"/>
        </w:rPr>
      </w:pPr>
    </w:p>
    <w:p>
      <w:pPr>
        <w:ind w:left="120" w:right="120"/>
        <w:spacing w:after="0" w:line="282" w:lineRule="auto"/>
        <w:rPr>
          <w:sz w:val="20"/>
          <w:szCs w:val="20"/>
          <w:color w:val="auto"/>
        </w:rPr>
      </w:pPr>
      <w:r>
        <w:rPr>
          <w:rFonts w:ascii="Times New Roman" w:cs="Times New Roman" w:eastAsia="Times New Roman" w:hAnsi="Times New Roman"/>
          <w:sz w:val="18"/>
          <w:szCs w:val="18"/>
          <w:color w:val="auto"/>
        </w:rPr>
        <w:t>The Group purchased contract manufacturing services, manufacturing and logistics engineering services, and entered into tool sharing agreements with related parties.</w:t>
      </w:r>
    </w:p>
    <w:p>
      <w:pPr>
        <w:spacing w:after="0" w:line="162" w:lineRule="exact"/>
        <w:rPr>
          <w:sz w:val="20"/>
          <w:szCs w:val="20"/>
          <w:color w:val="auto"/>
        </w:rPr>
      </w:pPr>
    </w:p>
    <w:p>
      <w:pPr>
        <w:ind w:left="120" w:right="120"/>
        <w:spacing w:after="0" w:line="282" w:lineRule="auto"/>
        <w:rPr>
          <w:sz w:val="20"/>
          <w:szCs w:val="20"/>
          <w:color w:val="auto"/>
        </w:rPr>
      </w:pPr>
      <w:r>
        <w:rPr>
          <w:rFonts w:ascii="Times New Roman" w:cs="Times New Roman" w:eastAsia="Times New Roman" w:hAnsi="Times New Roman"/>
          <w:sz w:val="18"/>
          <w:szCs w:val="18"/>
          <w:color w:val="auto"/>
        </w:rPr>
        <w:t>Until November 2021, production of the PS2 was executed at the Geely owned Luqiao plant through contract manufacturing agreements. In November 2021, ownership transferred to Volvo Cars and the plant was renamed to Taizhou.</w:t>
      </w:r>
    </w:p>
    <w:p>
      <w:pPr>
        <w:spacing w:after="0" w:line="162" w:lineRule="exact"/>
        <w:rPr>
          <w:sz w:val="20"/>
          <w:szCs w:val="20"/>
          <w:color w:val="auto"/>
        </w:rPr>
      </w:pPr>
    </w:p>
    <w:p>
      <w:pPr>
        <w:ind w:left="120" w:right="140"/>
        <w:spacing w:after="0" w:line="266" w:lineRule="auto"/>
        <w:rPr>
          <w:sz w:val="20"/>
          <w:szCs w:val="20"/>
          <w:color w:val="auto"/>
        </w:rPr>
      </w:pPr>
      <w:r>
        <w:rPr>
          <w:rFonts w:ascii="Times New Roman" w:cs="Times New Roman" w:eastAsia="Times New Roman" w:hAnsi="Times New Roman"/>
          <w:sz w:val="18"/>
          <w:szCs w:val="18"/>
          <w:color w:val="auto"/>
        </w:rPr>
        <w:t>Manufacturing engineering includes activities related to the development of the production process (i.e., deciding which manufacturing equipment should be utilised and where equipment should be situated to ensure an efficient production process), rather than development of the vehicle itself. The Group outsourced the manufacturing engineering for the production process of the PS1, PS2, and PS3 to Volvo Cars.</w:t>
      </w:r>
    </w:p>
    <w:p>
      <w:pPr>
        <w:spacing w:after="0" w:line="176"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Activities related to logistics engineering (i.e., activities related to the determination of how different components are delivered to the production sites) were outsourced to Volvo Cars for the PS1, PS2, and PS3.</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Tool sharing occurs when the Group purchases production tools, together with Volvo Cars, to obtain synergies from utilising the same tools.</w:t>
      </w:r>
    </w:p>
    <w:p>
      <w:pPr>
        <w:spacing w:after="0" w:line="225"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Polestar enters into machinery and equipment lease arrangements with Geely and certain building lease agreements with Volvo Cars. Refer to Note 9 – Leases for more information on Polestar’s leasing arrangements.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Sales and distribution</w:t>
      </w:r>
    </w:p>
    <w:p>
      <w:pPr>
        <w:spacing w:after="0" w:line="121"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Prior to entering the commercial space in the third quarter of 2020, the Group’s principal operations related to the sale of R&amp;D services, software, and performance engineered kits to Volvo Cars. Additionally, in 2020, the Group sold and delivered prototype engines to Geely and commercial vehicles and carbon credits to Volvo Cars. Refer to Note 4 – Revenue for further discussion on revenue recognised in accordance with IFRS 15.</w:t>
      </w:r>
    </w:p>
    <w:p>
      <w:pPr>
        <w:spacing w:after="0" w:line="176" w:lineRule="exact"/>
        <w:rPr>
          <w:sz w:val="20"/>
          <w:szCs w:val="20"/>
          <w:color w:val="auto"/>
        </w:rPr>
      </w:pPr>
    </w:p>
    <w:p>
      <w:pPr>
        <w:ind w:left="120" w:right="260"/>
        <w:spacing w:after="0" w:line="282" w:lineRule="auto"/>
        <w:rPr>
          <w:sz w:val="20"/>
          <w:szCs w:val="20"/>
          <w:color w:val="auto"/>
        </w:rPr>
      </w:pPr>
      <w:r>
        <w:rPr>
          <w:rFonts w:ascii="Times New Roman" w:cs="Times New Roman" w:eastAsia="Times New Roman" w:hAnsi="Times New Roman"/>
          <w:sz w:val="18"/>
          <w:szCs w:val="18"/>
          <w:color w:val="auto"/>
        </w:rPr>
        <w:t>Polestar Group sells vehicles to related parties, Volvo Cars and Volvofinans Bank AB (“Volvofinans Bank”). Volvofinans Bank sells these vehicles to end customers when the end customers choose to finance the vehicles via Volvofinans Bank.</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F-54</w:t>
      </w:r>
    </w:p>
    <w:p>
      <w:pPr>
        <w:sectPr>
          <w:pgSz w:w="11900" w:h="16838" w:orient="portrait"/>
          <w:cols w:equalWidth="0" w:num="1">
            <w:col w:w="11120"/>
          </w:cols>
          <w:pgMar w:left="320" w:top="455" w:right="459" w:bottom="1440" w:gutter="0" w:footer="0" w:header="0"/>
        </w:sectPr>
      </w:pPr>
    </w:p>
    <w:bookmarkStart w:id="289" w:name="page290"/>
    <w:bookmarkEnd w:id="28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p>
      <w:pPr>
        <w:spacing w:after="0" w:line="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34"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Polestar Group and Volvo Car Financial Services, doing business as Polestar Financial Services (“PFS”), entered into residual value guarantee agreements with Bank of America, National Association (“BANA”) in the US. BANA sought to obtain economic protection against degradations in the residual value of leased vehicles it funds, and Polestar USA agreed to provide such protection as a service for a fee.</w:t>
      </w:r>
    </w:p>
    <w:p>
      <w:pPr>
        <w:spacing w:after="0" w:line="176"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The Group purchases sales and distribution services from Volvo Cars related to distribution and outbound logistics, market research, delivery of vehicles and other products and global customer service.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Information technology</w:t>
      </w:r>
    </w:p>
    <w:p>
      <w:pPr>
        <w:spacing w:after="0" w:line="121" w:lineRule="exact"/>
        <w:rPr>
          <w:sz w:val="20"/>
          <w:szCs w:val="20"/>
          <w:color w:val="auto"/>
        </w:rPr>
      </w:pPr>
    </w:p>
    <w:p>
      <w:pPr>
        <w:ind w:left="120" w:right="160"/>
        <w:spacing w:after="0" w:line="266" w:lineRule="auto"/>
        <w:rPr>
          <w:sz w:val="20"/>
          <w:szCs w:val="20"/>
          <w:color w:val="auto"/>
        </w:rPr>
      </w:pPr>
      <w:r>
        <w:rPr>
          <w:rFonts w:ascii="Times New Roman" w:cs="Times New Roman" w:eastAsia="Times New Roman" w:hAnsi="Times New Roman"/>
          <w:sz w:val="18"/>
          <w:szCs w:val="18"/>
          <w:color w:val="auto"/>
        </w:rPr>
        <w:t>While the Group has its own information technology (“IT”) department, to a certain extent it operates in a shared IT environment with Volvo Cars and purchases service and software license agreements related to resource planning systems, operations, infrastructure, networking, communications, collaboration, integration and application hosting.</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Other support</w:t>
      </w:r>
    </w:p>
    <w:p>
      <w:pPr>
        <w:spacing w:after="0" w:line="121" w:lineRule="exact"/>
        <w:rPr>
          <w:sz w:val="20"/>
          <w:szCs w:val="20"/>
          <w:color w:val="auto"/>
        </w:rPr>
      </w:pPr>
    </w:p>
    <w:p>
      <w:pPr>
        <w:ind w:left="120" w:right="560"/>
        <w:spacing w:after="0" w:line="282" w:lineRule="auto"/>
        <w:rPr>
          <w:sz w:val="20"/>
          <w:szCs w:val="20"/>
          <w:color w:val="auto"/>
        </w:rPr>
      </w:pPr>
      <w:r>
        <w:rPr>
          <w:rFonts w:ascii="Times New Roman" w:cs="Times New Roman" w:eastAsia="Times New Roman" w:hAnsi="Times New Roman"/>
          <w:sz w:val="18"/>
          <w:szCs w:val="18"/>
          <w:color w:val="auto"/>
        </w:rPr>
        <w:t>Other related party agreements in place with Volvo Cars primarily relate to service agreements to support corporate and/or back-office functions, including human resources (“HR”), legal, accounting, and other functions.</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HR support services relate to activities associated with payroll administration, training and workforce administration.</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Legal support services include routine work associated with patent and brand registrations and competition law.</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Accounting and finance support services include finance administration, local legal entity accounting and financial reporting.</w:t>
      </w:r>
    </w:p>
    <w:p>
      <w:pPr>
        <w:spacing w:after="0" w:line="225" w:lineRule="exact"/>
        <w:rPr>
          <w:sz w:val="20"/>
          <w:szCs w:val="20"/>
          <w:color w:val="auto"/>
        </w:rPr>
      </w:pPr>
    </w:p>
    <w:p>
      <w:pPr>
        <w:ind w:left="120" w:right="200"/>
        <w:spacing w:after="0" w:line="261" w:lineRule="auto"/>
        <w:rPr>
          <w:sz w:val="20"/>
          <w:szCs w:val="20"/>
          <w:color w:val="auto"/>
        </w:rPr>
      </w:pPr>
      <w:r>
        <w:rPr>
          <w:rFonts w:ascii="Times New Roman" w:cs="Times New Roman" w:eastAsia="Times New Roman" w:hAnsi="Times New Roman"/>
          <w:sz w:val="18"/>
          <w:szCs w:val="18"/>
          <w:color w:val="auto"/>
        </w:rPr>
        <w:t>Polestar outsources inbound and outbound logistics to Volvo Cars as the Group’s and Volvo Cars’ vehicles are typically manufactured at the same production sites. Inbound logistics relate to supplier shipments to various production sites; outbound logistics relate to the transport of vehicles to end customers. The Group outsources customs handling to Volvo Cars as it does not currently have its own customs department. Warranty provision calculations and claims handling are also outsourced to Volvo Cars.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Financing</w:t>
      </w:r>
    </w:p>
    <w:p>
      <w:pPr>
        <w:spacing w:after="0" w:line="121" w:lineRule="exact"/>
        <w:rPr>
          <w:sz w:val="20"/>
          <w:szCs w:val="20"/>
          <w:color w:val="auto"/>
        </w:rPr>
      </w:pPr>
    </w:p>
    <w:p>
      <w:pPr>
        <w:ind w:left="120" w:right="460"/>
        <w:spacing w:after="0" w:line="282" w:lineRule="auto"/>
        <w:rPr>
          <w:sz w:val="20"/>
          <w:szCs w:val="20"/>
          <w:color w:val="auto"/>
        </w:rPr>
      </w:pPr>
      <w:r>
        <w:rPr>
          <w:rFonts w:ascii="Times New Roman" w:cs="Times New Roman" w:eastAsia="Times New Roman" w:hAnsi="Times New Roman"/>
          <w:sz w:val="18"/>
          <w:szCs w:val="18"/>
          <w:color w:val="auto"/>
        </w:rPr>
        <w:t>In May 2021, the Group entered into a working capital credit facility with Volvo Cars and subsequently borrowed $13,789 of the line, which has a maturity of one year. As of December 31, 2021, the entire amount of this financing arrangement remained outstanding.</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Working capital loans</w:t>
      </w:r>
    </w:p>
    <w:p>
      <w:pPr>
        <w:spacing w:after="0" w:line="119" w:lineRule="exact"/>
        <w:rPr>
          <w:sz w:val="20"/>
          <w:szCs w:val="20"/>
          <w:color w:val="auto"/>
        </w:rPr>
      </w:pPr>
    </w:p>
    <w:p>
      <w:pPr>
        <w:ind w:left="120" w:right="80"/>
        <w:spacing w:after="0" w:line="256" w:lineRule="auto"/>
        <w:rPr>
          <w:sz w:val="20"/>
          <w:szCs w:val="20"/>
          <w:color w:val="auto"/>
        </w:rPr>
      </w:pPr>
      <w:r>
        <w:rPr>
          <w:rFonts w:ascii="Times New Roman" w:cs="Times New Roman" w:eastAsia="Times New Roman" w:hAnsi="Times New Roman"/>
          <w:sz w:val="18"/>
          <w:szCs w:val="18"/>
          <w:color w:val="auto"/>
        </w:rPr>
        <w:t>In 2020, the Group entered into two working capital loans with Volvo Car (Asia Pacific) Investment Holdings Co., Ltd. The first loan was for $143,600 and was amended seven times, where each amendment served to extend the term of the loan. The loan commenced in July 2018 with an original maturity of July 2019 and an amended maturity of December 2020. The second loan was for $214,950 and was amended two times, where each amendment served to extend the term of the loan. The loan commenced in July 2020 with an original maturity of September 2020 and an amended maturity of December 2020, where the Group paid the loan back in full. The Group did not incur any fees associated with the amendments on either loan.</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F-55</w:t>
      </w:r>
    </w:p>
    <w:p>
      <w:pPr>
        <w:sectPr>
          <w:pgSz w:w="11900" w:h="16838" w:orient="portrait"/>
          <w:cols w:equalWidth="0" w:num="1">
            <w:col w:w="11100"/>
          </w:cols>
          <w:pgMar w:left="320" w:top="455" w:right="479" w:bottom="1440" w:gutter="0" w:footer="0" w:header="0"/>
        </w:sectPr>
      </w:pPr>
    </w:p>
    <w:bookmarkStart w:id="290" w:name="page291"/>
    <w:bookmarkEnd w:id="29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p>
      <w:pPr>
        <w:spacing w:after="0" w:line="2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34" w:lineRule="exact"/>
        <w:rPr>
          <w:sz w:val="20"/>
          <w:szCs w:val="20"/>
          <w:color w:val="auto"/>
        </w:rPr>
      </w:pPr>
    </w:p>
    <w:p>
      <w:pPr>
        <w:ind w:left="120" w:right="340"/>
        <w:spacing w:after="0" w:line="266" w:lineRule="auto"/>
        <w:rPr>
          <w:sz w:val="20"/>
          <w:szCs w:val="20"/>
          <w:color w:val="auto"/>
        </w:rPr>
      </w:pPr>
      <w:r>
        <w:rPr>
          <w:rFonts w:ascii="Times New Roman" w:cs="Times New Roman" w:eastAsia="Times New Roman" w:hAnsi="Times New Roman"/>
          <w:sz w:val="18"/>
          <w:szCs w:val="18"/>
          <w:color w:val="auto"/>
        </w:rPr>
        <w:t>The interest rates for the loans with Volvo Car (Asia Pacific) that commenced in July 2018 and July 2020 were 3.45% and 3.48%, respectively. The Group repaid each loan in a lump sum together with all the principal and interest at the date of maturity in December 2020. For the years ended December 31, 2021, December 31, 2020 and 2019, interest expense for these loans was nil, $8,684 and $5,037, respectively.</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Convertible notes</w:t>
      </w:r>
    </w:p>
    <w:p>
      <w:pPr>
        <w:spacing w:after="0" w:line="119"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Of the $35,231 in convertible notes issued on July 28, 2021, $9,531 is related to Geely. As of December 31, 2021, all $9,531 of the Notes related to Geely are outstanding as none of the Notes had been converted to shares of Class B common shares. Refer to Note 18 – Equity for further details on the Notes.</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Share issuances</w:t>
      </w:r>
    </w:p>
    <w:p>
      <w:pPr>
        <w:spacing w:after="0" w:line="119"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Of the 14,371,808 Class A common shares issued in December 2020 to raise $438,340 in capital, 7,185,904 Class A common shares were issued to Snita Holding B.V., a subsidiary of Volvo Cars, representing $219,170 of the total capital raised. 7,185,904 Class A common shares were issued to PSD Investment Limited, representing $219,170 of the total capital raised.</w:t>
      </w:r>
    </w:p>
    <w:p>
      <w:pPr>
        <w:spacing w:after="0" w:line="176" w:lineRule="exact"/>
        <w:rPr>
          <w:sz w:val="20"/>
          <w:szCs w:val="20"/>
          <w:color w:val="auto"/>
        </w:rPr>
      </w:pPr>
    </w:p>
    <w:p>
      <w:pPr>
        <w:ind w:left="120" w:right="120"/>
        <w:spacing w:after="0" w:line="282" w:lineRule="auto"/>
        <w:rPr>
          <w:sz w:val="20"/>
          <w:szCs w:val="20"/>
          <w:color w:val="auto"/>
        </w:rPr>
      </w:pPr>
      <w:r>
        <w:rPr>
          <w:rFonts w:ascii="Times New Roman" w:cs="Times New Roman" w:eastAsia="Times New Roman" w:hAnsi="Times New Roman"/>
          <w:sz w:val="18"/>
          <w:szCs w:val="18"/>
          <w:color w:val="auto"/>
        </w:rPr>
        <w:t>Of the 18,032,787 Class B common shares issued in March 2021 to raise $550,000 in capital, 4,262,295 Class B common shares were issued to Geely, representing $130,000 of the total capital raised. Refer to Note 18 - Equity for further details on these share issuances.</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agreements discussed above impact the Group’s financial statements as follows: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Sale of goods, services and other</w:t>
      </w:r>
    </w:p>
    <w:p>
      <w:pPr>
        <w:spacing w:after="0" w:line="121" w:lineRule="exact"/>
        <w:rPr>
          <w:sz w:val="20"/>
          <w:szCs w:val="20"/>
          <w:color w:val="auto"/>
        </w:rPr>
      </w:pPr>
    </w:p>
    <w:p>
      <w:pPr>
        <w:ind w:left="120" w:right="180"/>
        <w:spacing w:after="0" w:line="282" w:lineRule="auto"/>
        <w:rPr>
          <w:sz w:val="20"/>
          <w:szCs w:val="20"/>
          <w:color w:val="auto"/>
        </w:rPr>
      </w:pPr>
      <w:r>
        <w:rPr>
          <w:rFonts w:ascii="Times New Roman" w:cs="Times New Roman" w:eastAsia="Times New Roman" w:hAnsi="Times New Roman"/>
          <w:sz w:val="18"/>
          <w:szCs w:val="18"/>
          <w:color w:val="auto"/>
        </w:rPr>
        <w:t>Related party revenue transactions relate to product development and sales and distribution agreements discussed above. Total revenue recognised for each related party is as follows:</w:t>
      </w:r>
    </w:p>
    <w:p>
      <w:pPr>
        <w:spacing w:after="0" w:line="182"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6380" w:type="dxa"/>
            <w:vAlign w:val="bottom"/>
          </w:tcPr>
          <w:p>
            <w:pPr>
              <w:spacing w:after="0"/>
              <w:rPr>
                <w:sz w:val="15"/>
                <w:szCs w:val="15"/>
                <w:color w:val="auto"/>
              </w:rPr>
            </w:pPr>
          </w:p>
        </w:tc>
        <w:tc>
          <w:tcPr>
            <w:tcW w:w="740" w:type="dxa"/>
            <w:vAlign w:val="bottom"/>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80" w:type="dxa"/>
            <w:vAlign w:val="bottom"/>
            <w:gridSpan w:val="2"/>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2020</w:t>
            </w:r>
          </w:p>
        </w:tc>
        <w:tc>
          <w:tcPr>
            <w:tcW w:w="980" w:type="dxa"/>
            <w:vAlign w:val="bottom"/>
            <w:gridSpan w:val="2"/>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2019</w:t>
            </w:r>
          </w:p>
        </w:tc>
        <w:tc>
          <w:tcPr>
            <w:tcW w:w="80" w:type="dxa"/>
            <w:vAlign w:val="bottom"/>
          </w:tcPr>
          <w:p>
            <w:pPr>
              <w:spacing w:after="0"/>
              <w:rPr>
                <w:sz w:val="15"/>
                <w:szCs w:val="15"/>
                <w:color w:val="auto"/>
              </w:rPr>
            </w:pPr>
          </w:p>
        </w:tc>
      </w:tr>
      <w:tr>
        <w:trPr>
          <w:trHeight w:val="210"/>
        </w:trPr>
        <w:tc>
          <w:tcPr>
            <w:tcW w:w="63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Volvo Cars</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73,660</w:t>
            </w:r>
          </w:p>
        </w:tc>
        <w:tc>
          <w:tcPr>
            <w:tcW w:w="3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107,948</w:t>
            </w:r>
          </w:p>
        </w:tc>
        <w:tc>
          <w:tcPr>
            <w:tcW w:w="3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91,092</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Volvofinans Bank AB</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52,973</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30,167</w:t>
            </w:r>
          </w:p>
        </w:tc>
        <w:tc>
          <w:tcPr>
            <w:tcW w:w="320" w:type="dxa"/>
            <w:vAlign w:val="bottom"/>
          </w:tcPr>
          <w:p>
            <w:pPr>
              <w:spacing w:after="0"/>
              <w:rPr>
                <w:sz w:val="18"/>
                <w:szCs w:val="18"/>
                <w:color w:val="auto"/>
              </w:rPr>
            </w:pPr>
          </w:p>
        </w:tc>
        <w:tc>
          <w:tcPr>
            <w:tcW w:w="7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Geely</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2,347</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9,340</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1,295</w:t>
            </w:r>
          </w:p>
        </w:tc>
        <w:tc>
          <w:tcPr>
            <w:tcW w:w="80" w:type="dxa"/>
            <w:vAlign w:val="bottom"/>
            <w:shd w:val="clear" w:color="auto" w:fill="CCEEFF"/>
          </w:tcPr>
          <w:p>
            <w:pPr>
              <w:spacing w:after="0"/>
              <w:rPr>
                <w:sz w:val="18"/>
                <w:szCs w:val="18"/>
                <w:color w:val="auto"/>
              </w:rPr>
            </w:pPr>
          </w:p>
        </w:tc>
      </w:tr>
      <w:tr>
        <w:trPr>
          <w:trHeight w:val="223"/>
        </w:trPr>
        <w:tc>
          <w:tcPr>
            <w:tcW w:w="6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128,980</w:t>
            </w:r>
          </w:p>
        </w:tc>
        <w:tc>
          <w:tcPr>
            <w:tcW w:w="32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147,455</w:t>
            </w:r>
          </w:p>
        </w:tc>
        <w:tc>
          <w:tcPr>
            <w:tcW w:w="32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92,387</w:t>
            </w:r>
          </w:p>
        </w:tc>
        <w:tc>
          <w:tcPr>
            <w:tcW w:w="80" w:type="dxa"/>
            <w:vAlign w:val="bottom"/>
          </w:tcPr>
          <w:p>
            <w:pPr>
              <w:spacing w:after="0"/>
              <w:rPr>
                <w:sz w:val="19"/>
                <w:szCs w:val="19"/>
                <w:color w:val="auto"/>
              </w:rPr>
            </w:pPr>
          </w:p>
        </w:tc>
      </w:tr>
    </w:tbl>
    <w:p>
      <w:pPr>
        <w:spacing w:after="0" w:line="211" w:lineRule="exact"/>
        <w:rPr>
          <w:sz w:val="20"/>
          <w:szCs w:val="20"/>
          <w:color w:val="auto"/>
        </w:rPr>
      </w:pPr>
    </w:p>
    <w:p>
      <w:pPr>
        <w:jc w:val="both"/>
        <w:ind w:left="120" w:right="20"/>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2021, revenue from related parties amounted to $128,980 or 9.65% of total revenue. For the year ended December 31, 2020, revenue from related parties amounted to $147,455 or 24.16% of total revenue. For the year ended December 31, 2019, related party revenue was $92,387 or 99.97% of total revenue.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Purchases of goods, services and other</w:t>
      </w:r>
    </w:p>
    <w:p>
      <w:pPr>
        <w:spacing w:after="0" w:line="121"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Purchases from related parties include agreements related to product development, procurement, manufacturing, IT, licenses to intellectual property, and other agreements as discussed above.</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F-56</w:t>
      </w:r>
    </w:p>
    <w:p>
      <w:pPr>
        <w:sectPr>
          <w:pgSz w:w="11900" w:h="16838" w:orient="portrait"/>
          <w:cols w:equalWidth="0" w:num="1">
            <w:col w:w="11080"/>
          </w:cols>
          <w:pgMar w:left="320" w:top="455" w:right="499" w:bottom="1440" w:gutter="0" w:footer="0" w:header="0"/>
        </w:sectPr>
      </w:pPr>
    </w:p>
    <w:bookmarkStart w:id="291" w:name="page292"/>
    <w:bookmarkEnd w:id="29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p>
      <w:pPr>
        <w:spacing w:after="0" w:line="2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3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Purchases of PS2 vehicles were from Geely until the change in plant ownership in November 2021; purchases and their related payables were from</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Volvo Cars subsequent to this event. The total purchases of goods, services and other for each related party was as follows:</w:t>
      </w:r>
    </w:p>
    <w:p>
      <w:pPr>
        <w:spacing w:after="0" w:line="227"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6000" w:type="dxa"/>
            <w:vAlign w:val="bottom"/>
          </w:tcPr>
          <w:p>
            <w:pPr>
              <w:spacing w:after="0"/>
              <w:rPr>
                <w:sz w:val="15"/>
                <w:szCs w:val="15"/>
                <w:color w:val="auto"/>
              </w:rPr>
            </w:pPr>
          </w:p>
        </w:tc>
        <w:tc>
          <w:tcPr>
            <w:tcW w:w="940" w:type="dxa"/>
            <w:vAlign w:val="bottom"/>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0" w:type="dxa"/>
            <w:vAlign w:val="bottom"/>
            <w:gridSpan w:val="2"/>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40" w:type="dxa"/>
            <w:vAlign w:val="bottom"/>
            <w:gridSpan w:val="2"/>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2019</w:t>
            </w:r>
          </w:p>
        </w:tc>
        <w:tc>
          <w:tcPr>
            <w:tcW w:w="80" w:type="dxa"/>
            <w:vAlign w:val="bottom"/>
          </w:tcPr>
          <w:p>
            <w:pPr>
              <w:spacing w:after="0"/>
              <w:rPr>
                <w:sz w:val="15"/>
                <w:szCs w:val="15"/>
                <w:color w:val="auto"/>
              </w:rPr>
            </w:pPr>
          </w:p>
        </w:tc>
      </w:tr>
      <w:tr>
        <w:trPr>
          <w:trHeight w:val="210"/>
        </w:trPr>
        <w:tc>
          <w:tcPr>
            <w:tcW w:w="6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Volvo Cars</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570,429</w:t>
            </w:r>
          </w:p>
        </w:tc>
        <w:tc>
          <w:tcPr>
            <w:tcW w:w="24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276,849</w:t>
            </w:r>
          </w:p>
        </w:tc>
        <w:tc>
          <w:tcPr>
            <w:tcW w:w="2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383,255</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Geely</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1,200,295</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782,864</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3,926</w:t>
            </w:r>
          </w:p>
        </w:tc>
        <w:tc>
          <w:tcPr>
            <w:tcW w:w="80" w:type="dxa"/>
            <w:vAlign w:val="bottom"/>
          </w:tcPr>
          <w:p>
            <w:pPr>
              <w:spacing w:after="0"/>
              <w:rPr>
                <w:sz w:val="18"/>
                <w:szCs w:val="18"/>
                <w:color w:val="auto"/>
              </w:rPr>
            </w:pPr>
          </w:p>
        </w:tc>
      </w:tr>
      <w:tr>
        <w:trPr>
          <w:trHeight w:val="216"/>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Volvofinans Bank AB</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5,748</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1,776,472</w:t>
            </w:r>
          </w:p>
        </w:tc>
        <w:tc>
          <w:tcPr>
            <w:tcW w:w="24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1,059,713</w:t>
            </w:r>
          </w:p>
        </w:tc>
        <w:tc>
          <w:tcPr>
            <w:tcW w:w="24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387,181</w:t>
            </w:r>
          </w:p>
        </w:tc>
        <w:tc>
          <w:tcPr>
            <w:tcW w:w="80" w:type="dxa"/>
            <w:vAlign w:val="bottom"/>
          </w:tcPr>
          <w:p>
            <w:pPr>
              <w:spacing w:after="0"/>
              <w:rPr>
                <w:sz w:val="19"/>
                <w:szCs w:val="19"/>
                <w:color w:val="auto"/>
              </w:rPr>
            </w:pPr>
          </w:p>
        </w:tc>
      </w:tr>
    </w:tbl>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Cost of R&amp;D and intellectual property</w:t>
      </w:r>
    </w:p>
    <w:p>
      <w:pPr>
        <w:spacing w:after="0" w:line="121"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In 2021, Polestar Group entered into agreements with Volvo Cars and Geely to acquire technology leveraged in the development of the PS2, PS3, and PS4. In 2020, the Group entered into similar agreements with Volvo Cars to acquire technology leveraged in the development of the PS1, PS2, and PS3. The Group is in control of the developed product either through a license or through ownership of the IP and the recognised asset reflects the relevant proportion of Polestar Group’s interest. The recognised asset associated with these agreements as of December 31, 2021 was $1,175,218, of which acquisitions attributable to 2021 were $349,876. The recognised asset associated with these agreements as of December 31, 2020 was $1,080,308, of which acquisitions attributable to 2020 were $311,546.</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Amounts due to related parties</w:t>
      </w:r>
    </w:p>
    <w:p>
      <w:pPr>
        <w:spacing w:after="0" w:line="121"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Amounts due to related parties include transactions from agreements associated with purchases of intangible assets, sales and distribution, procurement, manufacturing and other support with Volvo Cars and Geely.</w:t>
      </w:r>
    </w:p>
    <w:p>
      <w:pPr>
        <w:spacing w:after="0" w:line="170"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61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Trade payables – related parties and accrued expenses – related</w:t>
            </w:r>
          </w:p>
        </w:tc>
        <w:tc>
          <w:tcPr>
            <w:tcW w:w="940" w:type="dxa"/>
            <w:vAlign w:val="bottom"/>
            <w:vMerge w:val="restart"/>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vMerge w:val="restart"/>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2020</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61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b w:val="1"/>
                <w:bCs w:val="1"/>
                <w:color w:val="auto"/>
              </w:rPr>
              <w:t>parties</w:t>
            </w:r>
          </w:p>
        </w:tc>
        <w:tc>
          <w:tcPr>
            <w:tcW w:w="940" w:type="dxa"/>
            <w:vAlign w:val="bottom"/>
            <w:tcBorders>
              <w:bottom w:val="single" w:sz="8" w:color="auto"/>
            </w:tcBorders>
            <w:vMerge w:val="continue"/>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26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Volvo Cars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1,507,308</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554,676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Geely</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235,622</w:t>
            </w:r>
          </w:p>
        </w:tc>
        <w:tc>
          <w:tcPr>
            <w:tcW w:w="26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627,729</w:t>
            </w:r>
          </w:p>
        </w:tc>
        <w:tc>
          <w:tcPr>
            <w:tcW w:w="0" w:type="dxa"/>
            <w:vAlign w:val="bottom"/>
          </w:tcPr>
          <w:p>
            <w:pPr>
              <w:spacing w:after="0"/>
              <w:rPr>
                <w:sz w:val="1"/>
                <w:szCs w:val="1"/>
                <w:color w:val="auto"/>
              </w:rPr>
            </w:pPr>
          </w:p>
        </w:tc>
      </w:tr>
      <w:tr>
        <w:trPr>
          <w:trHeight w:val="216"/>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Volvofinans Bank AB</w:t>
            </w: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504</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23"/>
        </w:trPr>
        <w:tc>
          <w:tcPr>
            <w:tcW w:w="6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1,743,434</w:t>
            </w:r>
          </w:p>
        </w:tc>
        <w:tc>
          <w:tcPr>
            <w:tcW w:w="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1,182,420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120" w:right="300"/>
        <w:spacing w:after="0" w:line="266" w:lineRule="auto"/>
        <w:rPr>
          <w:sz w:val="20"/>
          <w:szCs w:val="20"/>
          <w:color w:val="auto"/>
        </w:rPr>
      </w:pPr>
      <w:r>
        <w:rPr>
          <w:rFonts w:ascii="Times New Roman" w:cs="Times New Roman" w:eastAsia="Times New Roman" w:hAnsi="Times New Roman"/>
          <w:sz w:val="18"/>
          <w:szCs w:val="18"/>
          <w:color w:val="auto"/>
        </w:rPr>
        <w:t>The Group’s interest expense on current liabilities due to Volvo Cars for the years ended December 31, 2021 and 2020 was $11,521 and $11,210, respectively. The Group’s interest expense on current liabilities due to Geely for the years ended December 31, 2021 and 2020 was $19,280 and nil, respectively.</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Amounts due from related parties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Amounts due from related parties include transactions related to product development and sales and distribution agreements discussed above.</w:t>
      </w:r>
    </w:p>
    <w:p>
      <w:pPr>
        <w:spacing w:after="0" w:line="246"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66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b w:val="1"/>
                <w:bCs w:val="1"/>
                <w:color w:val="auto"/>
              </w:rPr>
              <w:t>Trade receivables – related parties and accrued income – related parties</w:t>
            </w:r>
          </w:p>
        </w:tc>
        <w:tc>
          <w:tcPr>
            <w:tcW w:w="64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2021</w:t>
            </w:r>
          </w:p>
        </w:tc>
        <w:tc>
          <w:tcPr>
            <w:tcW w:w="30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2020</w:t>
            </w:r>
          </w:p>
        </w:tc>
        <w:tc>
          <w:tcPr>
            <w:tcW w:w="60" w:type="dxa"/>
            <w:vAlign w:val="bottom"/>
            <w:tcBorders>
              <w:bottom w:val="single" w:sz="8" w:color="CCEEFF"/>
            </w:tcBorders>
          </w:tcPr>
          <w:p>
            <w:pPr>
              <w:spacing w:after="0"/>
              <w:rPr>
                <w:sz w:val="15"/>
                <w:szCs w:val="15"/>
                <w:color w:val="auto"/>
              </w:rPr>
            </w:pPr>
          </w:p>
        </w:tc>
      </w:tr>
      <w:tr>
        <w:trPr>
          <w:trHeight w:val="210"/>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Volvo Cars</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15,457</w:t>
            </w: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194,503</w:t>
            </w:r>
          </w:p>
        </w:tc>
        <w:tc>
          <w:tcPr>
            <w:tcW w:w="60" w:type="dxa"/>
            <w:vAlign w:val="bottom"/>
            <w:shd w:val="clear" w:color="auto" w:fill="CCEEFF"/>
          </w:tcPr>
          <w:p>
            <w:pPr>
              <w:spacing w:after="0"/>
              <w:rPr>
                <w:sz w:val="18"/>
                <w:szCs w:val="18"/>
                <w:color w:val="auto"/>
              </w:rPr>
            </w:pP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Geely</w:t>
            </w:r>
          </w:p>
        </w:tc>
        <w:tc>
          <w:tcPr>
            <w:tcW w:w="9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4,025</w:t>
            </w: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13,319</w:t>
            </w:r>
          </w:p>
        </w:tc>
      </w:tr>
      <w:tr>
        <w:trPr>
          <w:trHeight w:val="216"/>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Volvofinans Bank AB</w:t>
            </w:r>
          </w:p>
        </w:tc>
        <w:tc>
          <w:tcPr>
            <w:tcW w:w="9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309</w:t>
            </w: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622</w:t>
            </w:r>
          </w:p>
        </w:tc>
      </w:tr>
      <w:tr>
        <w:trPr>
          <w:trHeight w:val="223"/>
        </w:trPr>
        <w:tc>
          <w:tcPr>
            <w:tcW w:w="6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19,791</w:t>
            </w:r>
          </w:p>
        </w:tc>
        <w:tc>
          <w:tcPr>
            <w:tcW w:w="30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208,444</w:t>
            </w:r>
          </w:p>
        </w:tc>
        <w:tc>
          <w:tcPr>
            <w:tcW w:w="60" w:type="dxa"/>
            <w:vAlign w:val="bottom"/>
          </w:tcPr>
          <w:p>
            <w:pPr>
              <w:spacing w:after="0"/>
              <w:rPr>
                <w:sz w:val="19"/>
                <w:szCs w:val="19"/>
                <w:color w:val="auto"/>
              </w:rPr>
            </w:pPr>
          </w:p>
        </w:tc>
      </w:tr>
      <w:tr>
        <w:trPr>
          <w:trHeight w:val="372"/>
        </w:trPr>
        <w:tc>
          <w:tcPr>
            <w:tcW w:w="6600" w:type="dxa"/>
            <w:vAlign w:val="bottom"/>
          </w:tcPr>
          <w:p>
            <w:pPr>
              <w:ind w:left="4020"/>
              <w:spacing w:after="0"/>
              <w:rPr>
                <w:sz w:val="20"/>
                <w:szCs w:val="20"/>
                <w:color w:val="auto"/>
              </w:rPr>
            </w:pPr>
            <w:r>
              <w:rPr>
                <w:rFonts w:ascii="Times New Roman" w:cs="Times New Roman" w:eastAsia="Times New Roman" w:hAnsi="Times New Roman"/>
                <w:sz w:val="18"/>
                <w:szCs w:val="18"/>
                <w:color w:val="auto"/>
              </w:rPr>
              <w:t>F-57</w:t>
            </w: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060"/>
          </w:cols>
          <w:pgMar w:left="320" w:top="455" w:right="519" w:bottom="1440" w:gutter="0" w:footer="0" w:header="0"/>
        </w:sectPr>
      </w:pPr>
    </w:p>
    <w:bookmarkStart w:id="292" w:name="page293"/>
    <w:bookmarkEnd w:id="29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p>
      <w:pPr>
        <w:spacing w:after="0" w:line="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Incentives to key management personnel</w:t>
      </w:r>
    </w:p>
    <w:p>
      <w:pPr>
        <w:spacing w:after="0" w:line="121"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During the year-ended December 31, 2019, Volvo Cars provided an equity-based investment opportunity for certain members of the Group’s management team. The Polestar Investment Plan was launched to incentivise the retention of key personnel with pivotal roles in the development of the Group into a successful standalone company. Each participant was offered the opportunity to purchase shares in Polestar Investment AB (“PSINV AB”), a subsidiary of Volvo Cars. Accordingly, participants of the Polestar Investment Plan are indirectly minority owners of the Group. In accordance with external valuation, the investment in PSINV AB was made at fair market value.</w:t>
      </w:r>
    </w:p>
    <w:p>
      <w:pPr>
        <w:spacing w:after="0" w:line="183" w:lineRule="exact"/>
        <w:rPr>
          <w:sz w:val="20"/>
          <w:szCs w:val="20"/>
          <w:color w:val="auto"/>
        </w:rPr>
      </w:pPr>
    </w:p>
    <w:p>
      <w:pPr>
        <w:ind w:left="120" w:right="60"/>
        <w:spacing w:after="0" w:line="254" w:lineRule="auto"/>
        <w:rPr>
          <w:sz w:val="20"/>
          <w:szCs w:val="20"/>
          <w:color w:val="auto"/>
        </w:rPr>
      </w:pPr>
      <w:r>
        <w:rPr>
          <w:rFonts w:ascii="Times New Roman" w:cs="Times New Roman" w:eastAsia="Times New Roman" w:hAnsi="Times New Roman"/>
          <w:sz w:val="18"/>
          <w:szCs w:val="18"/>
          <w:color w:val="auto"/>
        </w:rPr>
        <w:t>The total ownership interest of the Group’s members of management who hold shares in PSINV AB is 45.25% of total shares issued under Volvo Car’s Polestar Investment Plan. Management evaluated the Polestar Investment Plan to determine whether it qualified as an equity-settled share-based payment transaction within the scope of IFRS 2, as the participants receive shares of equity in exchange for their investment and more than one entity is involved in delivering the benefit to the participants. Given Polestar Group does not receive identifiable or unidentifiable goods or services in exchange for the equity purchase of PSINV AB, the transaction is not within the scope of IFRS 2. Furthermore, the Polestar Investment Plan is an agreement with Volvo Cars and individual members of Polestar Group’s prior EMT, as participants were given the option to purchase equity shares in PSINV AB, an entity outside of the legal entity structure of Polestar Group. Therefore, the Polestar Investment Plan is not a share-based payment transaction in the scope of IFRS 2 and there is no financial statement impact on the Group.</w:t>
      </w:r>
    </w:p>
    <w:p>
      <w:pPr>
        <w:spacing w:after="0" w:line="1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Refer to Note 6 - Employee benefits for details on compensation to the EMT and managing directors at the Group’s sales units.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Share capital</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Related party share ownership as of December 31, 2021 and 2020 was as follows:</w:t>
      </w:r>
    </w:p>
    <w:p>
      <w:pPr>
        <w:spacing w:after="0" w:line="246"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55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1200" w:type="dxa"/>
            <w:vAlign w:val="bottom"/>
            <w:tcBorders>
              <w:bottom w:val="single" w:sz="8" w:color="auto"/>
            </w:tcBorders>
            <w:gridSpan w:val="2"/>
          </w:tcPr>
          <w:p>
            <w:pPr>
              <w:jc w:val="right"/>
              <w:ind w:right="370"/>
              <w:spacing w:after="0"/>
              <w:rPr>
                <w:sz w:val="20"/>
                <w:szCs w:val="20"/>
                <w:color w:val="auto"/>
              </w:rPr>
            </w:pPr>
            <w:r>
              <w:rPr>
                <w:rFonts w:ascii="Times New Roman" w:cs="Times New Roman" w:eastAsia="Times New Roman" w:hAnsi="Times New Roman"/>
                <w:sz w:val="14"/>
                <w:szCs w:val="14"/>
                <w:b w:val="1"/>
                <w:bCs w:val="1"/>
                <w:color w:val="auto"/>
              </w:rPr>
              <w:t>2021</w:t>
            </w:r>
          </w:p>
        </w:tc>
        <w:tc>
          <w:tcPr>
            <w:tcW w:w="26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2020</w:t>
            </w:r>
          </w:p>
        </w:tc>
        <w:tc>
          <w:tcPr>
            <w:tcW w:w="360" w:type="dxa"/>
            <w:vAlign w:val="bottom"/>
            <w:tcBorders>
              <w:bottom w:val="single" w:sz="8" w:color="auto"/>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r>
      <w:tr>
        <w:trPr>
          <w:trHeight w:val="209"/>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Snita Holding B.V.</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95,961,904</w:t>
            </w: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20" w:type="dxa"/>
            <w:vAlign w:val="bottom"/>
            <w:tcBorders>
              <w:right w:val="single" w:sz="8" w:color="CCEEFF"/>
            </w:tcBorders>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w w:val="97"/>
              </w:rPr>
              <w:t>105,461,904</w:t>
            </w:r>
          </w:p>
        </w:tc>
        <w:tc>
          <w:tcPr>
            <w:tcW w:w="60" w:type="dxa"/>
            <w:vAlign w:val="bottom"/>
            <w:shd w:val="clear" w:color="auto" w:fill="CCEEFF"/>
          </w:tcPr>
          <w:p>
            <w:pPr>
              <w:spacing w:after="0"/>
              <w:rPr>
                <w:sz w:val="18"/>
                <w:szCs w:val="18"/>
                <w:color w:val="auto"/>
              </w:rPr>
            </w:pPr>
          </w:p>
        </w:tc>
      </w:tr>
      <w:tr>
        <w:trPr>
          <w:trHeight w:val="216"/>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PSD Investment Limited</w:t>
            </w:r>
          </w:p>
        </w:tc>
        <w:tc>
          <w:tcPr>
            <w:tcW w:w="146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99,340,825</w:t>
            </w:r>
          </w:p>
        </w:tc>
        <w:tc>
          <w:tcPr>
            <w:tcW w:w="40" w:type="dxa"/>
            <w:vAlign w:val="bottom"/>
          </w:tcPr>
          <w:p>
            <w:pPr>
              <w:spacing w:after="0"/>
              <w:rPr>
                <w:sz w:val="18"/>
                <w:szCs w:val="18"/>
                <w:color w:val="auto"/>
              </w:rPr>
            </w:pPr>
          </w:p>
        </w:tc>
        <w:tc>
          <w:tcPr>
            <w:tcW w:w="122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w w:val="97"/>
              </w:rPr>
              <w:t>107,185,904</w:t>
            </w:r>
          </w:p>
        </w:tc>
        <w:tc>
          <w:tcPr>
            <w:tcW w:w="60" w:type="dxa"/>
            <w:vAlign w:val="bottom"/>
          </w:tcPr>
          <w:p>
            <w:pPr>
              <w:spacing w:after="0"/>
              <w:rPr>
                <w:sz w:val="18"/>
                <w:szCs w:val="18"/>
                <w:color w:val="auto"/>
              </w:rPr>
            </w:pPr>
          </w:p>
        </w:tc>
      </w:tr>
      <w:tr>
        <w:trPr>
          <w:trHeight w:val="216"/>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PS Investment AB</w:t>
            </w:r>
          </w:p>
        </w:tc>
        <w:tc>
          <w:tcPr>
            <w:tcW w:w="146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1,724,000</w:t>
            </w:r>
          </w:p>
        </w:tc>
        <w:tc>
          <w:tcPr>
            <w:tcW w:w="40" w:type="dxa"/>
            <w:vAlign w:val="bottom"/>
            <w:shd w:val="clear" w:color="auto" w:fill="CCEEFF"/>
          </w:tcPr>
          <w:p>
            <w:pPr>
              <w:spacing w:after="0"/>
              <w:rPr>
                <w:sz w:val="18"/>
                <w:szCs w:val="18"/>
                <w:color w:val="auto"/>
              </w:rPr>
            </w:pPr>
          </w:p>
        </w:tc>
        <w:tc>
          <w:tcPr>
            <w:tcW w:w="122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1,724,000</w:t>
            </w:r>
          </w:p>
        </w:tc>
        <w:tc>
          <w:tcPr>
            <w:tcW w:w="60" w:type="dxa"/>
            <w:vAlign w:val="bottom"/>
            <w:shd w:val="clear" w:color="auto" w:fill="CCEEFF"/>
          </w:tcPr>
          <w:p>
            <w:pPr>
              <w:spacing w:after="0"/>
              <w:rPr>
                <w:sz w:val="18"/>
                <w:szCs w:val="18"/>
                <w:color w:val="auto"/>
              </w:rPr>
            </w:pPr>
          </w:p>
        </w:tc>
      </w:tr>
      <w:tr>
        <w:trPr>
          <w:trHeight w:val="223"/>
        </w:trPr>
        <w:tc>
          <w:tcPr>
            <w:tcW w:w="5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197,026,729</w:t>
            </w: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20" w:type="dxa"/>
            <w:vAlign w:val="bottom"/>
            <w:tcBorders>
              <w:top w:val="single" w:sz="8" w:color="auto"/>
              <w:bottom w:val="single" w:sz="8" w:color="auto"/>
            </w:tcBorders>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w w:val="97"/>
              </w:rPr>
              <w:t>214,371,808</w:t>
            </w:r>
          </w:p>
        </w:tc>
        <w:tc>
          <w:tcPr>
            <w:tcW w:w="60" w:type="dxa"/>
            <w:vAlign w:val="bottom"/>
          </w:tcPr>
          <w:p>
            <w:pPr>
              <w:spacing w:after="0"/>
              <w:rPr>
                <w:sz w:val="19"/>
                <w:szCs w:val="19"/>
                <w:color w:val="auto"/>
              </w:rPr>
            </w:pPr>
          </w:p>
        </w:tc>
      </w:tr>
      <w:tr>
        <w:trPr>
          <w:trHeight w:val="399"/>
        </w:trPr>
        <w:tc>
          <w:tcPr>
            <w:tcW w:w="55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20" w:type="dxa"/>
            <w:vAlign w:val="bottom"/>
            <w:gridSpan w:val="2"/>
          </w:tcPr>
          <w:p>
            <w:pPr>
              <w:jc w:val="center"/>
              <w:ind w:left="776"/>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60" w:type="dxa"/>
            <w:vAlign w:val="bottom"/>
          </w:tcPr>
          <w:p>
            <w:pPr>
              <w:spacing w:after="0"/>
              <w:rPr>
                <w:sz w:val="24"/>
                <w:szCs w:val="24"/>
                <w:color w:val="auto"/>
              </w:rPr>
            </w:pPr>
          </w:p>
        </w:tc>
      </w:tr>
      <w:tr>
        <w:trPr>
          <w:trHeight w:val="209"/>
        </w:trPr>
        <w:tc>
          <w:tcPr>
            <w:tcW w:w="55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Snita Holding B.V.</w:t>
            </w:r>
          </w:p>
        </w:tc>
        <w:tc>
          <w:tcPr>
            <w:tcW w:w="52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17,345,079</w:t>
            </w:r>
          </w:p>
        </w:tc>
        <w:tc>
          <w:tcPr>
            <w:tcW w:w="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Geely</w:t>
            </w:r>
          </w:p>
        </w:tc>
        <w:tc>
          <w:tcPr>
            <w:tcW w:w="520" w:type="dxa"/>
            <w:vAlign w:val="bottom"/>
          </w:tcPr>
          <w:p>
            <w:pPr>
              <w:spacing w:after="0"/>
              <w:rPr>
                <w:sz w:val="18"/>
                <w:szCs w:val="18"/>
                <w:color w:val="auto"/>
              </w:rPr>
            </w:pPr>
          </w:p>
        </w:tc>
        <w:tc>
          <w:tcPr>
            <w:tcW w:w="9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4,262,295</w:t>
            </w:r>
          </w:p>
        </w:tc>
        <w:tc>
          <w:tcPr>
            <w:tcW w:w="860" w:type="dxa"/>
            <w:vAlign w:val="bottom"/>
          </w:tcPr>
          <w:p>
            <w:pPr>
              <w:spacing w:after="0"/>
              <w:rPr>
                <w:sz w:val="18"/>
                <w:szCs w:val="18"/>
                <w:color w:val="auto"/>
              </w:rPr>
            </w:pPr>
          </w:p>
        </w:tc>
        <w:tc>
          <w:tcPr>
            <w:tcW w:w="42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9"/>
              </w:rPr>
              <w:t>—</w:t>
            </w:r>
          </w:p>
        </w:tc>
      </w:tr>
      <w:tr>
        <w:trPr>
          <w:trHeight w:val="27"/>
        </w:trPr>
        <w:tc>
          <w:tcPr>
            <w:tcW w:w="5580" w:type="dxa"/>
            <w:vAlign w:val="bottom"/>
          </w:tcPr>
          <w:p>
            <w:pPr>
              <w:spacing w:after="0"/>
              <w:rPr>
                <w:sz w:val="2"/>
                <w:szCs w:val="2"/>
                <w:color w:val="auto"/>
              </w:rPr>
            </w:pPr>
          </w:p>
        </w:tc>
        <w:tc>
          <w:tcPr>
            <w:tcW w:w="5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60" w:type="dxa"/>
            <w:vAlign w:val="bottom"/>
            <w:tcBorders>
              <w:right w:val="single" w:sz="8" w:color="auto"/>
            </w:tcBorders>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52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21,607,374</w:t>
            </w:r>
          </w:p>
        </w:tc>
        <w:tc>
          <w:tcPr>
            <w:tcW w:w="8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w:t>
            </w:r>
          </w:p>
        </w:tc>
      </w:tr>
      <w:tr>
        <w:trPr>
          <w:trHeight w:val="20"/>
        </w:trPr>
        <w:tc>
          <w:tcPr>
            <w:tcW w:w="5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280"/>
        <w:spacing w:after="0" w:line="282" w:lineRule="auto"/>
        <w:rPr>
          <w:sz w:val="20"/>
          <w:szCs w:val="20"/>
          <w:color w:val="auto"/>
        </w:rPr>
      </w:pPr>
      <w:r>
        <w:rPr>
          <w:rFonts w:ascii="Times New Roman" w:cs="Times New Roman" w:eastAsia="Times New Roman" w:hAnsi="Times New Roman"/>
          <w:sz w:val="18"/>
          <w:szCs w:val="18"/>
          <w:color w:val="auto"/>
        </w:rPr>
        <w:t>As of December 31, 2019, related parties collectively owned 200,000,000 Class A common shares, of which Volvo Cars (China) Investment Co., Ltd held 100,000,000 shares and Zhejiang Geely Holding Group Co., Ltd held 100,000,000 shares.</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Refer to Note 18 – Equity for further details.</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F-58</w:t>
      </w:r>
    </w:p>
    <w:p>
      <w:pPr>
        <w:sectPr>
          <w:pgSz w:w="11900" w:h="16838" w:orient="portrait"/>
          <w:cols w:equalWidth="0" w:num="1">
            <w:col w:w="11120"/>
          </w:cols>
          <w:pgMar w:left="320" w:top="455" w:right="459" w:bottom="1440" w:gutter="0" w:footer="0" w:header="0"/>
        </w:sectPr>
      </w:pPr>
    </w:p>
    <w:bookmarkStart w:id="293" w:name="page294"/>
    <w:bookmarkEnd w:id="29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p>
      <w:pPr>
        <w:spacing w:after="0" w:line="2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24 – Commitments and contingencies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Commitments</w:t>
      </w:r>
    </w:p>
    <w:p>
      <w:pPr>
        <w:spacing w:after="0" w:line="121"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In December 2021, Polestar entered into a unique vendor tooling agreement and a unique in-house tooling and equipment agreement for the PS4. These agreements were entered into as part of Polestar’s and Geely’s intent to enter into a more detailed agreement related to manufacturing OEM services for the PS4 prior to the commencement of production. Aggregate payments Polestar will make to Geely under this agreement and the amounts of future commitments are $137,382 as of December 31, 2021.</w:t>
      </w:r>
    </w:p>
    <w:p>
      <w:pPr>
        <w:spacing w:after="0" w:line="180"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Around the same time, Polestar Group also entered into agreements with Geely to acquire technology and related services leveraged in the development of the PS4. Under these agreements, Geely will perform development services in pursuit of achieving project milestones through 2025 for which the Group will make certain milestone payments to Geely, totaling an aggregate amount of $414,055. Future commitments related to these agreements as of December 31, 2021 were $329,216. The agreements also obligate Polestar to make certain royalty payments per vehicle sold once the PS4 reaches commercialisation.</w:t>
      </w:r>
    </w:p>
    <w:p>
      <w:pPr>
        <w:spacing w:after="0" w:line="183" w:lineRule="exact"/>
        <w:rPr>
          <w:sz w:val="20"/>
          <w:szCs w:val="20"/>
          <w:color w:val="auto"/>
        </w:rPr>
      </w:pPr>
    </w:p>
    <w:p>
      <w:pPr>
        <w:ind w:left="120" w:right="160"/>
        <w:spacing w:after="0" w:line="266" w:lineRule="auto"/>
        <w:rPr>
          <w:sz w:val="20"/>
          <w:szCs w:val="20"/>
          <w:color w:val="auto"/>
        </w:rPr>
      </w:pPr>
      <w:r>
        <w:rPr>
          <w:rFonts w:ascii="Times New Roman" w:cs="Times New Roman" w:eastAsia="Times New Roman" w:hAnsi="Times New Roman"/>
          <w:sz w:val="18"/>
          <w:szCs w:val="18"/>
          <w:color w:val="auto"/>
        </w:rPr>
        <w:t>In 2019, Polestar Group entered into a type bound and unique equipment agreement for the PS3. In addition, Polestar Group entered into volume commitments related to common technology shared with Volvo Cars. If Polestar’s share of Volvo Cars investment in common tooling is not recovered by Volvo Cars, Polestar will reimburse Volvo Cars such costs.</w:t>
      </w:r>
    </w:p>
    <w:p>
      <w:pPr>
        <w:spacing w:after="0" w:line="176" w:lineRule="exact"/>
        <w:rPr>
          <w:sz w:val="20"/>
          <w:szCs w:val="20"/>
          <w:color w:val="auto"/>
        </w:rPr>
      </w:pPr>
    </w:p>
    <w:p>
      <w:pPr>
        <w:ind w:left="120" w:right="320"/>
        <w:spacing w:after="0" w:line="282" w:lineRule="auto"/>
        <w:rPr>
          <w:sz w:val="20"/>
          <w:szCs w:val="20"/>
          <w:color w:val="auto"/>
        </w:rPr>
      </w:pPr>
      <w:r>
        <w:rPr>
          <w:rFonts w:ascii="Times New Roman" w:cs="Times New Roman" w:eastAsia="Times New Roman" w:hAnsi="Times New Roman"/>
          <w:sz w:val="18"/>
          <w:szCs w:val="18"/>
          <w:color w:val="auto"/>
        </w:rPr>
        <w:t>As of December 31, 2021, commitments to acquire PPE and intangible assets were $235,573 and $501,207, respectively. As of December 31, 2020, commitments to acquire PPE and intangible assets were $79,365 and $313,675, respectively.</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Contingencies</w:t>
      </w:r>
    </w:p>
    <w:p>
      <w:pPr>
        <w:spacing w:after="0" w:line="121"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In the normal course of business, the Group is subject to contingencies related to legal proceedings and claims and assessments that cover a wide range of matters. Liabilities for such contingencies are recorded to the extent that it is probable the liability is incurred, and the amount is reasonably estimable. Associated legal costs related to such contingencies are expensed as incurred.</w:t>
      </w:r>
    </w:p>
    <w:p>
      <w:pPr>
        <w:spacing w:after="0" w:line="176"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In March 2021, a Swedish investment firm specialising in class action lawsuits, initiated class action activities in Norway against Polestar Norway. The class action suit alleges the Polestar Norway issued misleading statements regarding the range of the PS2 vehicle, which Polestar Norway rejects. As of the date these financial statements were issued, these class action activities consisted of the initial steps of soliciting individuals who purchased a PS2 vehicle in Norway to join the class action suit against Polestar Norway; no claim has been filed in court. The Swedish investment firm refers to a potential total claim of $2,530. Simultaneously, a Norwegian automobile association for car owners (“NAF”) has sent separate claim letters to Polestar Norway on behalf of a few members, on the same grounds as the class action lawsuit. These claims have also been rejected by Polestar Norway.</w:t>
      </w:r>
    </w:p>
    <w:p>
      <w:pPr>
        <w:spacing w:after="0" w:line="1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Group did not have any liabilities related to such contingencies as of December 31, 2021 and 2020.</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25 – Subsequent events</w:t>
      </w:r>
    </w:p>
    <w:p>
      <w:pPr>
        <w:spacing w:after="0" w:line="121"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Management has evaluated events subsequent to December 31, 2021 and through April 21, 2022, the date these Consolidated Financial Statements were authorised for issuance by the Board of Directors. The following events which occurred subsequent to December 31, 2021 merited disclosure in these Consolidated Financial Statements. Management determined that no adjustments were required to the figures presented as a result of these events.</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F-59</w:t>
      </w:r>
    </w:p>
    <w:p>
      <w:pPr>
        <w:sectPr>
          <w:pgSz w:w="11900" w:h="16838" w:orient="portrait"/>
          <w:cols w:equalWidth="0" w:num="1">
            <w:col w:w="11080"/>
          </w:cols>
          <w:pgMar w:left="320" w:top="455" w:right="499" w:bottom="1440" w:gutter="0" w:footer="0" w:header="0"/>
        </w:sectPr>
      </w:pPr>
    </w:p>
    <w:bookmarkStart w:id="294" w:name="page295"/>
    <w:bookmarkEnd w:id="29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p>
      <w:pPr>
        <w:spacing w:after="0" w:line="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34"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On February 28, 2022, Polestar entered into a 12-month single currency, green trade facility with an aggregate principal amount of EUR 350,000,000 with Standard Chartered Bank, Nordea Bank ABP, Citibank Europe PLC and ING Belgium SA. Polestar has the option to extend this facility by an additional 12 months and request an accordion increase for an additional principal amount of EUR 250,000,000. On March 24, 2022, Polestar made a drawdown of EUR 86,634,703, or approximately $94,500. This loan carries interest at the relevant interbank offered rate plus 2.1% per annum and has a repayment period of 90 days.</w:t>
      </w:r>
    </w:p>
    <w:p>
      <w:pPr>
        <w:spacing w:after="0" w:line="183" w:lineRule="exact"/>
        <w:rPr>
          <w:sz w:val="20"/>
          <w:szCs w:val="20"/>
          <w:color w:val="auto"/>
        </w:rPr>
      </w:pPr>
    </w:p>
    <w:p>
      <w:pPr>
        <w:ind w:left="120" w:right="220"/>
        <w:spacing w:after="0" w:line="266" w:lineRule="auto"/>
        <w:rPr>
          <w:sz w:val="20"/>
          <w:szCs w:val="20"/>
          <w:color w:val="auto"/>
        </w:rPr>
      </w:pPr>
      <w:r>
        <w:rPr>
          <w:rFonts w:ascii="Times New Roman" w:cs="Times New Roman" w:eastAsia="Times New Roman" w:hAnsi="Times New Roman"/>
          <w:sz w:val="18"/>
          <w:szCs w:val="18"/>
          <w:color w:val="auto"/>
        </w:rPr>
        <w:t>On March 3, 2022, Snita B.V. and PSD Investment Ltd. each issued official declarations of intent that set forth their intention to fund Polestar’s continued growth under the Group’s current business plan. Both parties intend to subscribe to their pro rata share of any future equity or equity-linked securities issued by Polestar.</w:t>
      </w:r>
    </w:p>
    <w:p>
      <w:pPr>
        <w:spacing w:after="0" w:line="176"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On March 11, 2022, Polestar entered into a letter of intent with The Hertz Corporation (“Hertz”) pursuant to which Hertz intends to commit to purchase 65,000 or more Polestar vehicles during a 5-year period beginning in 2022. Polestar and Hertz intend to sign four regional purchase agreements covering the United States, Canada, Europe, and Australia. The new global strategic partnership was announced by Polestar and Hertz Global Holdings, Inc. on April 4, 2022. Availability of vehicles is expected to begin in Spring 2022 in Europe and late 2022 in North America and Australia. Under the partnership, Hertz is expected to initially order PS2s.</w:t>
      </w:r>
    </w:p>
    <w:p>
      <w:pPr>
        <w:spacing w:after="0" w:line="183"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In March 2022, Polestar signed two agreements with Geely for Polestar to license technology from Geely related to the development and manufacturing of the PS4. The duration of these agreements is through 2024.</w:t>
      </w:r>
    </w:p>
    <w:p>
      <w:pPr>
        <w:spacing w:after="0" w:line="162"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On April 14, 2022, Volvo Cars and Polestar entered into a letter of agreement to extend the terms of SEK 5,046,000,000, or the equivalent of $528,064, in related party trade payables due from Polestar as part of Volvo Cars’ ongoing support of Polestar and its growth strategy. These related party trade payables are now due to Volvo Cars on June 30, 2023.</w:t>
      </w:r>
    </w:p>
    <w:p>
      <w:pPr>
        <w:spacing w:after="0" w:line="176"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In June 2021, four new employee incentive plans were approved by the Board of Directors. All four of the programs are expected to go into effect in 2022 upon the completion of the business combination with Gores Guggenheim Inc. The new incentive plans awarded to the EMT and select management team members include (1) a one-time issuance of restricted shares of Class A common shares in a value equal to a certain percentage of the awardee’s base salary. Upon issuance, one third of these shares vest immediately, while the remaining shares vest in equal installments on the 12-month and 24-month anniversary of the original issuance and (2) a replacement of the current LTVP in the form of an annual issuance of restricted shares and performance shares of Class A common shares equal to a certain percentage of the awardee’s base salary, depending on awardee’s position at the Polestar Group, with a 3-year vesting period. The new incentive plans awarded to all employees include (3) a one-time issuance of Class A common shares in a value equal to 4% of the awardee’s base salary and (4) an annual share matching program whereby the awardee is offered the opportunity to invest up to 2% of their base salary of the Polestar Group and receive the issuance of Class A common shares in equal value for free.</w:t>
      </w:r>
    </w:p>
    <w:p>
      <w:pPr>
        <w:spacing w:after="0" w:line="188" w:lineRule="exact"/>
        <w:rPr>
          <w:sz w:val="20"/>
          <w:szCs w:val="20"/>
          <w:color w:val="auto"/>
        </w:rPr>
      </w:pPr>
    </w:p>
    <w:p>
      <w:pPr>
        <w:ind w:left="120" w:right="120"/>
        <w:spacing w:after="0" w:line="255" w:lineRule="auto"/>
        <w:rPr>
          <w:sz w:val="20"/>
          <w:szCs w:val="20"/>
          <w:color w:val="auto"/>
        </w:rPr>
      </w:pPr>
      <w:r>
        <w:rPr>
          <w:rFonts w:ascii="Times New Roman" w:cs="Times New Roman" w:eastAsia="Times New Roman" w:hAnsi="Times New Roman"/>
          <w:sz w:val="18"/>
          <w:szCs w:val="18"/>
          <w:color w:val="auto"/>
        </w:rPr>
        <w:t>In connection with the business combination agreement with Gores Guggenheim Inc. as described in Note 1 – Significant accounting policies and judgements, Volvo Cars entered into an agreement with Polestar Group, which was subsequently amended in March 2022, to subscribe for mandatory convertible preference shares in Polestar Automotive Holding UK Limited. Concurrently with the closing of the business combination agreement with Gores Guggenheim Inc., the preference shares will be issued in consideration of the payment by Volvo Cars of a cash amount totaling $588,826, which will be used to repay outstanding payables owed to Volvo Cars. Each preference share will be convertible into Class A common shares at a conversion price of $10.00 per Polestar Automotive Holding UK Limited Ordinary Share. The execution of this agreement is contingent on the closing of the business combination with Gores Guggenheim Inc.</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F-60</w:t>
      </w:r>
    </w:p>
    <w:p>
      <w:pPr>
        <w:sectPr>
          <w:pgSz w:w="11900" w:h="16838" w:orient="portrait"/>
          <w:cols w:equalWidth="0" w:num="1">
            <w:col w:w="11120"/>
          </w:cols>
          <w:pgMar w:left="320" w:top="455" w:right="459" w:bottom="1440" w:gutter="0" w:footer="0" w:header="0"/>
        </w:sectPr>
      </w:pPr>
    </w:p>
    <w:bookmarkStart w:id="295" w:name="page296"/>
    <w:bookmarkEnd w:id="29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left="1240"/>
        <w:spacing w:after="0" w:line="286" w:lineRule="auto"/>
        <w:rPr>
          <w:sz w:val="20"/>
          <w:szCs w:val="20"/>
          <w:color w:val="auto"/>
        </w:rPr>
      </w:pPr>
      <w:r>
        <w:rPr>
          <w:rFonts w:ascii="Times New Roman" w:cs="Times New Roman" w:eastAsia="Times New Roman" w:hAnsi="Times New Roman"/>
          <w:sz w:val="21"/>
          <w:szCs w:val="21"/>
          <w:b w:val="1"/>
          <w:bCs w:val="1"/>
          <w:color w:val="auto"/>
        </w:rPr>
        <w:t>Polestar Automotive Holding UK PLC (formerly known as Polestar Automotive Holding UK Limited) Consolidated Financial Statements for the period September 15, 2021 to December 31, 2021</w:t>
      </w:r>
    </w:p>
    <w:p>
      <w:pPr>
        <w:spacing w:after="0" w:line="72"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F-61</w:t>
      </w:r>
    </w:p>
    <w:p>
      <w:pPr>
        <w:sectPr>
          <w:pgSz w:w="11900" w:h="16838" w:orient="portrait"/>
          <w:cols w:equalWidth="0" w:num="1">
            <w:col w:w="10320"/>
          </w:cols>
          <w:pgMar w:left="320" w:top="455" w:right="1259" w:bottom="1440" w:gutter="0" w:footer="0" w:header="0"/>
        </w:sectPr>
      </w:pPr>
    </w:p>
    <w:bookmarkStart w:id="296" w:name="page297"/>
    <w:bookmarkEnd w:id="29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To the shareholders and the Board of Director of Polestar Automotive Holding UK PLC (formerly known as Polestar Automotive Holding UK Limited)</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21"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consolidated statements of financial position of Polestar Automotive Holding UK PLC (formerly known as Polestar Automotive Holding UK Limited) (the “Company”) as of September 15, 2021 and December 31, 2021, the related statement of changes in equity for the period September 15, 2021 to December 31, 2021, and the related notes (collectively referred to as the “financial statements”). In our opinion, the financial statements present fairly, in all material respects, the financial position of the Company as of September 15, 2021 and December 31, 2021, in conformity with International Financial Reporting Standards as issued by the International Accounting Standards Board.</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21"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3" w:lineRule="exact"/>
        <w:rPr>
          <w:sz w:val="20"/>
          <w:szCs w:val="20"/>
          <w:color w:val="auto"/>
        </w:rPr>
      </w:pPr>
    </w:p>
    <w:p>
      <w:pPr>
        <w:ind w:left="120" w:right="60"/>
        <w:spacing w:after="0" w:line="281" w:lineRule="auto"/>
        <w:rPr>
          <w:sz w:val="20"/>
          <w:szCs w:val="20"/>
          <w:color w:val="auto"/>
        </w:rPr>
      </w:pPr>
      <w:r>
        <w:rPr>
          <w:rFonts w:ascii="Times New Roman" w:cs="Times New Roman" w:eastAsia="Times New Roman" w:hAnsi="Times New Roman"/>
          <w:sz w:val="17"/>
          <w:szCs w:val="17"/>
          <w:color w:val="auto"/>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Critical Audit Matters</w:t>
      </w:r>
    </w:p>
    <w:p>
      <w:pPr>
        <w:spacing w:after="0" w:line="121" w:lineRule="exact"/>
        <w:rPr>
          <w:sz w:val="20"/>
          <w:szCs w:val="20"/>
          <w:color w:val="auto"/>
        </w:rPr>
      </w:pPr>
    </w:p>
    <w:p>
      <w:pPr>
        <w:ind w:left="120" w:right="400"/>
        <w:spacing w:after="0" w:line="266" w:lineRule="auto"/>
        <w:rPr>
          <w:sz w:val="20"/>
          <w:szCs w:val="20"/>
          <w:color w:val="auto"/>
        </w:rPr>
      </w:pPr>
      <w:r>
        <w:rPr>
          <w:rFonts w:ascii="Times New Roman" w:cs="Times New Roman" w:eastAsia="Times New Roman" w:hAnsi="Times New Roman"/>
          <w:sz w:val="18"/>
          <w:szCs w:val="18"/>
          <w:color w:val="auto"/>
        </w:rPr>
        <w:t>Critical audit matters are matters arising from the current-period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We determined that there are no critical audit matters.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 Deloitte AB</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Gothenburg, Sweden</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April 21, 2022</w:t>
      </w:r>
    </w:p>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have served as the Company’s auditor since 2022.</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F-62</w:t>
      </w:r>
    </w:p>
    <w:p>
      <w:pPr>
        <w:sectPr>
          <w:pgSz w:w="11900" w:h="16838" w:orient="portrait"/>
          <w:cols w:equalWidth="0" w:num="1">
            <w:col w:w="11120"/>
          </w:cols>
          <w:pgMar w:left="320" w:top="455" w:right="459" w:bottom="1440" w:gutter="0" w:footer="0" w:header="0"/>
        </w:sectPr>
      </w:pPr>
    </w:p>
    <w:bookmarkStart w:id="297" w:name="page298"/>
    <w:bookmarkEnd w:id="29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Polestar Automotive Holding UK PLC (formerly known as Polestar Automotive Holding UK Limited)</w:t>
      </w:r>
    </w:p>
    <w:p>
      <w:pPr>
        <w:spacing w:after="0" w:line="2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Consolidated Statements of Financial Position</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(in U.S. dollars unless otherwise stated)</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260" w:type="dxa"/>
            <w:vAlign w:val="bottom"/>
          </w:tcPr>
          <w:p>
            <w:pPr>
              <w:spacing w:after="0"/>
              <w:rPr>
                <w:sz w:val="13"/>
                <w:szCs w:val="13"/>
                <w:color w:val="auto"/>
              </w:rPr>
            </w:pPr>
          </w:p>
        </w:tc>
        <w:tc>
          <w:tcPr>
            <w:tcW w:w="3560" w:type="dxa"/>
            <w:vAlign w:val="bottom"/>
          </w:tcPr>
          <w:p>
            <w:pPr>
              <w:spacing w:after="0"/>
              <w:rPr>
                <w:sz w:val="13"/>
                <w:szCs w:val="13"/>
                <w:color w:val="auto"/>
              </w:rPr>
            </w:pPr>
          </w:p>
        </w:tc>
        <w:tc>
          <w:tcPr>
            <w:tcW w:w="760" w:type="dxa"/>
            <w:vAlign w:val="bottom"/>
            <w:gridSpan w:val="2"/>
            <w:vMerge w:val="restart"/>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w w:val="92"/>
              </w:rPr>
              <w:t>Note</w:t>
            </w:r>
          </w:p>
        </w:tc>
        <w:tc>
          <w:tcPr>
            <w:tcW w:w="1440" w:type="dxa"/>
            <w:vAlign w:val="bottom"/>
            <w:gridSpan w:val="2"/>
          </w:tcPr>
          <w:p>
            <w:pPr>
              <w:jc w:val="right"/>
              <w:ind w:right="48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September 15,</w:t>
            </w:r>
          </w:p>
        </w:tc>
        <w:tc>
          <w:tcPr>
            <w:tcW w:w="0" w:type="dxa"/>
            <w:vAlign w:val="bottom"/>
          </w:tcPr>
          <w:p>
            <w:pPr>
              <w:spacing w:after="0"/>
              <w:rPr>
                <w:sz w:val="1"/>
                <w:szCs w:val="1"/>
                <w:color w:val="auto"/>
              </w:rPr>
            </w:pPr>
          </w:p>
        </w:tc>
      </w:tr>
      <w:tr>
        <w:trPr>
          <w:trHeight w:val="173"/>
        </w:trPr>
        <w:tc>
          <w:tcPr>
            <w:tcW w:w="426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940" w:type="dxa"/>
            <w:vAlign w:val="bottom"/>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2021</w:t>
            </w:r>
          </w:p>
        </w:tc>
        <w:tc>
          <w:tcPr>
            <w:tcW w:w="500" w:type="dxa"/>
            <w:vAlign w:val="bottom"/>
          </w:tcPr>
          <w:p>
            <w:pPr>
              <w:spacing w:after="0"/>
              <w:rPr>
                <w:sz w:val="15"/>
                <w:szCs w:val="15"/>
                <w:color w:val="auto"/>
              </w:rPr>
            </w:pPr>
          </w:p>
        </w:tc>
        <w:tc>
          <w:tcPr>
            <w:tcW w:w="880" w:type="dxa"/>
            <w:vAlign w:val="bottom"/>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26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35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receivables - related parties</w:t>
            </w:r>
          </w:p>
        </w:tc>
        <w:tc>
          <w:tcPr>
            <w:tcW w:w="432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color w:val="auto"/>
              </w:rPr>
              <w:t>3</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50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current assets</w:t>
            </w:r>
          </w:p>
        </w:tc>
        <w:tc>
          <w:tcPr>
            <w:tcW w:w="4320" w:type="dxa"/>
            <w:vAlign w:val="bottom"/>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2</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28,846,674</w:t>
            </w:r>
          </w:p>
        </w:tc>
        <w:tc>
          <w:tcPr>
            <w:tcW w:w="500" w:type="dxa"/>
            <w:vAlign w:val="bottom"/>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40" w:type="dxa"/>
            <w:vAlign w:val="bottom"/>
            <w:gridSpan w:val="2"/>
          </w:tcPr>
          <w:p>
            <w:pPr>
              <w:jc w:val="right"/>
              <w:ind w:right="421"/>
              <w:spacing w:after="0"/>
              <w:rPr>
                <w:sz w:val="20"/>
                <w:szCs w:val="20"/>
                <w:color w:val="auto"/>
              </w:rPr>
            </w:pPr>
            <w:r>
              <w:rPr>
                <w:rFonts w:ascii="Times New Roman" w:cs="Times New Roman" w:eastAsia="Times New Roman" w:hAnsi="Times New Roman"/>
                <w:sz w:val="18"/>
                <w:szCs w:val="18"/>
                <w:b w:val="1"/>
                <w:bCs w:val="1"/>
                <w:color w:val="auto"/>
              </w:rPr>
              <w:t>28,846,684</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w:t>
            </w: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3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Share capital</w:t>
            </w:r>
          </w:p>
        </w:tc>
        <w:tc>
          <w:tcPr>
            <w:tcW w:w="432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color w:val="auto"/>
              </w:rPr>
              <w:t>3</w:t>
            </w:r>
          </w:p>
        </w:tc>
        <w:tc>
          <w:tcPr>
            <w:tcW w:w="1440" w:type="dxa"/>
            <w:vAlign w:val="bottom"/>
            <w:gridSpan w:val="2"/>
          </w:tcPr>
          <w:p>
            <w:pPr>
              <w:jc w:val="right"/>
              <w:ind w:right="361"/>
              <w:spacing w:after="0"/>
              <w:rPr>
                <w:sz w:val="20"/>
                <w:szCs w:val="20"/>
                <w:color w:val="auto"/>
              </w:rPr>
            </w:pPr>
            <w:r>
              <w:rPr>
                <w:rFonts w:ascii="Times New Roman" w:cs="Times New Roman" w:eastAsia="Times New Roman" w:hAnsi="Times New Roman"/>
                <w:sz w:val="18"/>
                <w:szCs w:val="18"/>
                <w:color w:val="auto"/>
              </w:rPr>
              <w:t>(10)</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7"/>
        </w:trPr>
        <w:tc>
          <w:tcPr>
            <w:tcW w:w="4260" w:type="dxa"/>
            <w:vAlign w:val="bottom"/>
          </w:tcPr>
          <w:p>
            <w:pPr>
              <w:spacing w:after="0"/>
              <w:rPr>
                <w:sz w:val="2"/>
                <w:szCs w:val="2"/>
                <w:color w:val="auto"/>
              </w:rPr>
            </w:pPr>
          </w:p>
        </w:tc>
        <w:tc>
          <w:tcPr>
            <w:tcW w:w="3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3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61"/>
              <w:spacing w:after="0"/>
              <w:rPr>
                <w:sz w:val="20"/>
                <w:szCs w:val="20"/>
                <w:color w:val="auto"/>
              </w:rPr>
            </w:pPr>
            <w:r>
              <w:rPr>
                <w:rFonts w:ascii="Times New Roman" w:cs="Times New Roman" w:eastAsia="Times New Roman" w:hAnsi="Times New Roman"/>
                <w:sz w:val="18"/>
                <w:szCs w:val="18"/>
                <w:b w:val="1"/>
                <w:bCs w:val="1"/>
                <w:color w:val="auto"/>
              </w:rPr>
              <w:t>(10)</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w:t>
            </w:r>
          </w:p>
        </w:tc>
        <w:tc>
          <w:tcPr>
            <w:tcW w:w="0" w:type="dxa"/>
            <w:vAlign w:val="bottom"/>
          </w:tcPr>
          <w:p>
            <w:pPr>
              <w:spacing w:after="0"/>
              <w:rPr>
                <w:sz w:val="1"/>
                <w:szCs w:val="1"/>
                <w:color w:val="auto"/>
              </w:rPr>
            </w:pPr>
          </w:p>
        </w:tc>
      </w:tr>
      <w:tr>
        <w:trPr>
          <w:trHeight w:val="223"/>
        </w:trPr>
        <w:tc>
          <w:tcPr>
            <w:tcW w:w="4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3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current liabilities - related parties</w:t>
            </w:r>
          </w:p>
        </w:tc>
        <w:tc>
          <w:tcPr>
            <w:tcW w:w="4320" w:type="dxa"/>
            <w:vAlign w:val="bottom"/>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2</w:t>
            </w:r>
          </w:p>
        </w:tc>
        <w:tc>
          <w:tcPr>
            <w:tcW w:w="1440" w:type="dxa"/>
            <w:vAlign w:val="bottom"/>
            <w:gridSpan w:val="2"/>
            <w:shd w:val="clear" w:color="auto" w:fill="CCEEFF"/>
          </w:tcPr>
          <w:p>
            <w:pPr>
              <w:jc w:val="right"/>
              <w:ind w:right="361"/>
              <w:spacing w:after="0"/>
              <w:rPr>
                <w:sz w:val="20"/>
                <w:szCs w:val="20"/>
                <w:color w:val="auto"/>
              </w:rPr>
            </w:pPr>
            <w:r>
              <w:rPr>
                <w:rFonts w:ascii="Times New Roman" w:cs="Times New Roman" w:eastAsia="Times New Roman" w:hAnsi="Times New Roman"/>
                <w:sz w:val="18"/>
                <w:szCs w:val="18"/>
                <w:color w:val="auto"/>
              </w:rPr>
              <w:t>(28,846,674)</w:t>
            </w:r>
          </w:p>
        </w:tc>
        <w:tc>
          <w:tcPr>
            <w:tcW w:w="100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3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(28,846,674</w:t>
            </w:r>
          </w:p>
        </w:tc>
        <w:tc>
          <w:tcPr>
            <w:tcW w:w="500" w:type="dxa"/>
            <w:vAlign w:val="bottom"/>
          </w:tcPr>
          <w:p>
            <w:pPr>
              <w:jc w:val="right"/>
              <w:ind w:right="36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80" w:type="dxa"/>
            <w:vAlign w:val="bottom"/>
            <w:tcBorders>
              <w:top w:val="single" w:sz="8" w:color="auto"/>
              <w:bottom w:val="single" w:sz="8" w:color="auto"/>
            </w:tcBorders>
          </w:tcPr>
          <w:p>
            <w:pPr>
              <w:ind w:left="62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equity and liabilities</w:t>
            </w:r>
          </w:p>
        </w:tc>
        <w:tc>
          <w:tcPr>
            <w:tcW w:w="3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61"/>
              <w:spacing w:after="0"/>
              <w:rPr>
                <w:sz w:val="20"/>
                <w:szCs w:val="20"/>
                <w:color w:val="auto"/>
              </w:rPr>
            </w:pPr>
            <w:r>
              <w:rPr>
                <w:rFonts w:ascii="Times New Roman" w:cs="Times New Roman" w:eastAsia="Times New Roman" w:hAnsi="Times New Roman"/>
                <w:sz w:val="18"/>
                <w:szCs w:val="18"/>
                <w:b w:val="1"/>
                <w:bCs w:val="1"/>
                <w:color w:val="auto"/>
              </w:rPr>
              <w:t>(28,846,684)</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w:t>
            </w: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4320" w:type="dxa"/>
            <w:vAlign w:val="bottom"/>
            <w:gridSpan w:val="3"/>
            <w:vMerge w:val="restart"/>
          </w:tcPr>
          <w:p>
            <w:pPr>
              <w:jc w:val="right"/>
              <w:ind w:right="2900"/>
              <w:spacing w:after="0"/>
              <w:rPr>
                <w:sz w:val="20"/>
                <w:szCs w:val="20"/>
                <w:color w:val="auto"/>
              </w:rPr>
            </w:pPr>
            <w:r>
              <w:rPr>
                <w:rFonts w:ascii="Times New Roman" w:cs="Times New Roman" w:eastAsia="Times New Roman" w:hAnsi="Times New Roman"/>
                <w:sz w:val="18"/>
                <w:szCs w:val="18"/>
                <w:color w:val="auto"/>
              </w:rPr>
              <w:t>F-63</w:t>
            </w:r>
          </w:p>
        </w:tc>
        <w:tc>
          <w:tcPr>
            <w:tcW w:w="9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260" w:type="dxa"/>
            <w:vAlign w:val="bottom"/>
          </w:tcPr>
          <w:p>
            <w:pPr>
              <w:spacing w:after="0"/>
              <w:rPr>
                <w:sz w:val="24"/>
                <w:szCs w:val="24"/>
                <w:color w:val="auto"/>
              </w:rPr>
            </w:pPr>
          </w:p>
        </w:tc>
        <w:tc>
          <w:tcPr>
            <w:tcW w:w="4320" w:type="dxa"/>
            <w:vAlign w:val="bottom"/>
            <w:gridSpan w:val="3"/>
            <w:vMerge w:val="continue"/>
          </w:tcPr>
          <w:p>
            <w:pPr>
              <w:spacing w:after="0"/>
              <w:rPr>
                <w:sz w:val="24"/>
                <w:szCs w:val="24"/>
                <w:color w:val="auto"/>
              </w:rPr>
            </w:pPr>
          </w:p>
        </w:tc>
        <w:tc>
          <w:tcPr>
            <w:tcW w:w="9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298" w:name="page299"/>
    <w:bookmarkEnd w:id="29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Polestar Automotive Holding UK PLC (formerly known as Polestar Automotive Holding UK Limited)</w:t>
      </w:r>
    </w:p>
    <w:p>
      <w:pPr>
        <w:spacing w:after="0" w:line="2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Consolidated Statements of Changes in Equity</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(in U.S. dollars unless otherwise stated)</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25"/>
        </w:trPr>
        <w:tc>
          <w:tcPr>
            <w:tcW w:w="3920" w:type="dxa"/>
            <w:vAlign w:val="bottom"/>
          </w:tcPr>
          <w:p>
            <w:pPr>
              <w:spacing w:after="0"/>
              <w:rPr>
                <w:sz w:val="2"/>
                <w:szCs w:val="2"/>
                <w:color w:val="auto"/>
              </w:rPr>
            </w:pPr>
          </w:p>
        </w:tc>
        <w:tc>
          <w:tcPr>
            <w:tcW w:w="4340" w:type="dxa"/>
            <w:vAlign w:val="bottom"/>
            <w:vMerge w:val="restart"/>
          </w:tcPr>
          <w:p>
            <w:pPr>
              <w:spacing w:after="0"/>
              <w:rPr>
                <w:sz w:val="2"/>
                <w:szCs w:val="2"/>
                <w:color w:val="auto"/>
              </w:rPr>
            </w:pPr>
          </w:p>
        </w:tc>
        <w:tc>
          <w:tcPr>
            <w:tcW w:w="66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w w:val="99"/>
              </w:rPr>
              <w:t>Note</w:t>
            </w:r>
          </w:p>
        </w:tc>
        <w:tc>
          <w:tcPr>
            <w:tcW w:w="10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w w:val="98"/>
              </w:rPr>
              <w:t>Share capital</w:t>
            </w:r>
          </w:p>
        </w:tc>
        <w:tc>
          <w:tcPr>
            <w:tcW w:w="20" w:type="dxa"/>
            <w:vAlign w:val="bottom"/>
          </w:tcPr>
          <w:p>
            <w:pPr>
              <w:spacing w:after="0"/>
              <w:rPr>
                <w:sz w:val="2"/>
                <w:szCs w:val="2"/>
                <w:color w:val="auto"/>
              </w:rPr>
            </w:pPr>
          </w:p>
        </w:tc>
        <w:tc>
          <w:tcPr>
            <w:tcW w:w="680" w:type="dxa"/>
            <w:vAlign w:val="bottom"/>
            <w:vMerge w:val="restart"/>
          </w:tcPr>
          <w:p>
            <w:pPr>
              <w:spacing w:after="0"/>
              <w:rPr>
                <w:sz w:val="2"/>
                <w:szCs w:val="2"/>
                <w:color w:val="auto"/>
              </w:rPr>
            </w:pPr>
          </w:p>
        </w:tc>
        <w:tc>
          <w:tcPr>
            <w:tcW w:w="3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line="20" w:lineRule="exact"/>
              <w:rPr>
                <w:sz w:val="1"/>
                <w:szCs w:val="1"/>
                <w:color w:val="auto"/>
              </w:rPr>
            </w:pPr>
          </w:p>
        </w:tc>
      </w:tr>
      <w:tr>
        <w:trPr>
          <w:trHeight w:val="148"/>
        </w:trPr>
        <w:tc>
          <w:tcPr>
            <w:tcW w:w="3920" w:type="dxa"/>
            <w:vAlign w:val="bottom"/>
          </w:tcPr>
          <w:p>
            <w:pPr>
              <w:spacing w:after="0"/>
              <w:rPr>
                <w:sz w:val="12"/>
                <w:szCs w:val="12"/>
                <w:color w:val="auto"/>
              </w:rPr>
            </w:pPr>
          </w:p>
        </w:tc>
        <w:tc>
          <w:tcPr>
            <w:tcW w:w="4340" w:type="dxa"/>
            <w:vAlign w:val="bottom"/>
            <w:vMerge w:val="continue"/>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680" w:type="dxa"/>
            <w:vAlign w:val="bottom"/>
            <w:vMerge w:val="continue"/>
          </w:tcPr>
          <w:p>
            <w:pPr>
              <w:spacing w:after="0"/>
              <w:rPr>
                <w:sz w:val="12"/>
                <w:szCs w:val="12"/>
                <w:color w:val="auto"/>
              </w:rPr>
            </w:pPr>
          </w:p>
        </w:tc>
        <w:tc>
          <w:tcPr>
            <w:tcW w:w="3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39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September 15, 2021</w:t>
            </w:r>
          </w:p>
        </w:tc>
        <w:tc>
          <w:tcPr>
            <w:tcW w:w="43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3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000000"/>
          </w:tcPr>
          <w:p>
            <w:pPr>
              <w:spacing w:after="0"/>
              <w:rPr>
                <w:sz w:val="18"/>
                <w:szCs w:val="18"/>
                <w:color w:val="auto"/>
              </w:rPr>
            </w:pPr>
          </w:p>
        </w:tc>
        <w:tc>
          <w:tcPr>
            <w:tcW w:w="6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Issuance of new shares</w:t>
            </w:r>
          </w:p>
        </w:tc>
        <w:tc>
          <w:tcPr>
            <w:tcW w:w="500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3</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w:t>
            </w:r>
          </w:p>
        </w:tc>
        <w:tc>
          <w:tcPr>
            <w:tcW w:w="20" w:type="dxa"/>
            <w:vAlign w:val="bottom"/>
            <w:shd w:val="clear" w:color="auto" w:fill="000000"/>
          </w:tcPr>
          <w:p>
            <w:pPr>
              <w:spacing w:after="0"/>
              <w:rPr>
                <w:sz w:val="18"/>
                <w:szCs w:val="18"/>
                <w:color w:val="auto"/>
              </w:rPr>
            </w:pPr>
          </w:p>
        </w:tc>
        <w:tc>
          <w:tcPr>
            <w:tcW w:w="680" w:type="dxa"/>
            <w:vAlign w:val="bottom"/>
          </w:tcPr>
          <w:p>
            <w:pPr>
              <w:spacing w:after="0"/>
              <w:rPr>
                <w:sz w:val="18"/>
                <w:szCs w:val="18"/>
                <w:color w:val="auto"/>
              </w:rPr>
            </w:pP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7"/>
        </w:trPr>
        <w:tc>
          <w:tcPr>
            <w:tcW w:w="3920" w:type="dxa"/>
            <w:vAlign w:val="bottom"/>
          </w:tcPr>
          <w:p>
            <w:pPr>
              <w:spacing w:after="0"/>
              <w:rPr>
                <w:sz w:val="2"/>
                <w:szCs w:val="2"/>
                <w:color w:val="auto"/>
              </w:rPr>
            </w:pPr>
          </w:p>
        </w:tc>
        <w:tc>
          <w:tcPr>
            <w:tcW w:w="4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2021</w:t>
            </w:r>
          </w:p>
        </w:tc>
        <w:tc>
          <w:tcPr>
            <w:tcW w:w="43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10</w:t>
            </w:r>
          </w:p>
        </w:tc>
        <w:tc>
          <w:tcPr>
            <w:tcW w:w="20" w:type="dxa"/>
            <w:vAlign w:val="bottom"/>
            <w:shd w:val="clear" w:color="auto" w:fill="000000"/>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10</w:t>
            </w:r>
          </w:p>
        </w:tc>
        <w:tc>
          <w:tcPr>
            <w:tcW w:w="0" w:type="dxa"/>
            <w:vAlign w:val="bottom"/>
          </w:tcPr>
          <w:p>
            <w:pPr>
              <w:spacing w:after="0"/>
              <w:rPr>
                <w:sz w:val="1"/>
                <w:szCs w:val="1"/>
                <w:color w:val="auto"/>
              </w:rPr>
            </w:pPr>
          </w:p>
        </w:tc>
      </w:tr>
      <w:tr>
        <w:trPr>
          <w:trHeight w:val="352"/>
        </w:trPr>
        <w:tc>
          <w:tcPr>
            <w:tcW w:w="3920" w:type="dxa"/>
            <w:vAlign w:val="bottom"/>
          </w:tcPr>
          <w:p>
            <w:pPr>
              <w:spacing w:after="0"/>
              <w:rPr>
                <w:sz w:val="24"/>
                <w:szCs w:val="24"/>
                <w:color w:val="auto"/>
              </w:rPr>
            </w:pPr>
          </w:p>
        </w:tc>
        <w:tc>
          <w:tcPr>
            <w:tcW w:w="5000" w:type="dxa"/>
            <w:vAlign w:val="bottom"/>
            <w:gridSpan w:val="3"/>
          </w:tcPr>
          <w:p>
            <w:pPr>
              <w:ind w:left="1420"/>
              <w:spacing w:after="0"/>
              <w:rPr>
                <w:sz w:val="20"/>
                <w:szCs w:val="20"/>
                <w:color w:val="auto"/>
              </w:rPr>
            </w:pPr>
            <w:r>
              <w:rPr>
                <w:rFonts w:ascii="Times New Roman" w:cs="Times New Roman" w:eastAsia="Times New Roman" w:hAnsi="Times New Roman"/>
                <w:sz w:val="18"/>
                <w:szCs w:val="18"/>
                <w:color w:val="auto"/>
              </w:rPr>
              <w:t>F-64</w:t>
            </w:r>
          </w:p>
        </w:tc>
        <w:tc>
          <w:tcPr>
            <w:tcW w:w="8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299" w:name="page300"/>
    <w:bookmarkEnd w:id="29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p>
      <w:pPr>
        <w:spacing w:after="0" w:line="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(in U.S. dollars unless otherwise stated)</w:t>
      </w:r>
    </w:p>
    <w:p>
      <w:pPr>
        <w:spacing w:after="0" w:line="2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1 - Significant accounting policies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 Information</w:t>
      </w:r>
    </w:p>
    <w:p>
      <w:pPr>
        <w:spacing w:after="0" w:line="121" w:lineRule="exact"/>
        <w:rPr>
          <w:sz w:val="20"/>
          <w:szCs w:val="20"/>
          <w:color w:val="auto"/>
        </w:rPr>
      </w:pPr>
    </w:p>
    <w:p>
      <w:pPr>
        <w:ind w:left="120" w:right="160"/>
        <w:spacing w:after="0" w:line="258" w:lineRule="auto"/>
        <w:rPr>
          <w:sz w:val="20"/>
          <w:szCs w:val="20"/>
          <w:color w:val="auto"/>
        </w:rPr>
      </w:pPr>
      <w:r>
        <w:rPr>
          <w:rFonts w:ascii="Times New Roman" w:cs="Times New Roman" w:eastAsia="Times New Roman" w:hAnsi="Times New Roman"/>
          <w:sz w:val="18"/>
          <w:szCs w:val="18"/>
          <w:color w:val="auto"/>
        </w:rPr>
        <w:t>Polestar Automotive Holding UK PLC (formerly known as Polestar Automotive Holding UK Limited) (“the Company”), company number 13624182, was incorporated as a private company under the laws of England and Wales on September 15, 2021 as a direct wholly owned subsidiary of Polestar Automotive Holding Limited, a limited company incorporated in Hong Kong. Effective May 5, 2022, the Company re-registered as a public limited company. Together with its subsidiaries, Polestar Automotive Holding Limited is referred to as “Polestar”, “Polestar Group” or the “Group”. The Company is registered as a USD company.</w:t>
      </w:r>
    </w:p>
    <w:p>
      <w:pPr>
        <w:spacing w:after="0" w:line="183"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The Company was formed for the purpose of becoming the ultimate parent company in the Polestar Group following the transactions contemplated in the business combination agreement, dated September 27, 2021 (the “Business Combination Agreement”) by and among the Company, Polestar Group, and Gores Guggenheim Inc. (“GGI”), a special purpose acquisition company. The Company maintains one direct wholly owned subsidiary, PAH UK Merger Sub Inc. (“Merger Sub”), a Delaware corporation. Merger Sub was incorporated on September 15, 2021 to facilitate the consummation of the Business Combination Agreement. As of December 31, 2021, Merger Sub had no assets, liabilities, or operations.</w:t>
      </w:r>
    </w:p>
    <w:p>
      <w:pPr>
        <w:spacing w:after="0" w:line="183"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In connection with the Business Combination Agreement, Merger Sub will merge with and into GGI, pursuant to which the separate corporate existence of Merger Sub will cease, with GGI being the surviving corporation and becoming a wholly owned subsidiary of the Company. Following the consummation of the transactions contemplated by the Business Combination Agreement, the Company will be the surviving publicly-traded corporation. However, the consummation of the transactions contemplated by the Business Combination Agreement is subject to numerous conditions, and there can be no assurances that such conditions will be satisfied.</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Basis of accounting</w:t>
      </w:r>
    </w:p>
    <w:p>
      <w:pPr>
        <w:spacing w:after="0" w:line="121"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The Consolidated Statements of Financial Position and Consolidated Statements of Changes in Equity have been prepared in accordance with the International Financial Reporting Standards (“IFRS”) issued by the International Accounting Standards Board (“IASB”), on the historical cost basis, and in the presentation currency USD. All amounts are in actual USD unless otherwise stated. Separate statements of operations, comprehensive income, and cash flows have not been presented in the Consolidated Financial Statements because there have been no operating activities in the Company during the period September 15, 2021 to December 31, 2021.</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Other financial assets and other financial liabilities</w:t>
      </w:r>
    </w:p>
    <w:p>
      <w:pPr>
        <w:spacing w:after="0" w:line="121"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Financial instruments are any form of contract that gives rise to a financial asset in one company and a financial liability or equity instrument in another company. A financial asset or financial liability is included in the balance sheet when the entity becomes a party to the contractual terms of the instrument. Other financial liabilities and other financial assets, including liabilities to and receivables from related parties, are valued at amortized cost. A financial asset is removed from the balance sheet when the contractual right to cash flow from the asset has ceased or been settled. The same applies where the risks and benefits associated with the holding are essentially transferred to another party and the entity no longer has control over the financial asset. A financial liability is derecognised when the agreed obligation has been fulfilled or ceased.</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Transaction costs in an offering of equity securities</w:t>
      </w:r>
    </w:p>
    <w:p>
      <w:pPr>
        <w:spacing w:after="0" w:line="121" w:lineRule="exact"/>
        <w:rPr>
          <w:sz w:val="20"/>
          <w:szCs w:val="20"/>
          <w:color w:val="auto"/>
        </w:rPr>
      </w:pPr>
    </w:p>
    <w:p>
      <w:pPr>
        <w:ind w:left="120" w:right="120"/>
        <w:spacing w:after="0" w:line="266" w:lineRule="auto"/>
        <w:rPr>
          <w:sz w:val="20"/>
          <w:szCs w:val="20"/>
          <w:color w:val="auto"/>
        </w:rPr>
      </w:pPr>
      <w:r>
        <w:rPr>
          <w:rFonts w:ascii="Times New Roman" w:cs="Times New Roman" w:eastAsia="Times New Roman" w:hAnsi="Times New Roman"/>
          <w:sz w:val="18"/>
          <w:szCs w:val="18"/>
          <w:color w:val="auto"/>
        </w:rPr>
        <w:t>In the event of offering of equity securities, incremental costs that otherwise would not have been incurred are deferred and capitalized in the balance sheet as an financial asset at amortized cost instead of expensed as incurred. When cash is received from investors as part of the offering, such deferred incremental costs are derecognised and deducted from additional paid-in capital.</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F-65</w:t>
      </w:r>
    </w:p>
    <w:p>
      <w:pPr>
        <w:sectPr>
          <w:pgSz w:w="11900" w:h="16838" w:orient="portrait"/>
          <w:cols w:equalWidth="0" w:num="1">
            <w:col w:w="11120"/>
          </w:cols>
          <w:pgMar w:left="320" w:top="455" w:right="459" w:bottom="1440" w:gutter="0" w:footer="0" w:header="0"/>
        </w:sectPr>
      </w:pPr>
    </w:p>
    <w:bookmarkStart w:id="300" w:name="page301"/>
    <w:bookmarkEnd w:id="30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p>
      <w:pPr>
        <w:spacing w:after="0" w:line="2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(in U.S. dollars unless otherwise stated)</w:t>
      </w:r>
    </w:p>
    <w:p>
      <w:pPr>
        <w:spacing w:after="0" w:line="2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2 - Related party transaction with Polestar Group</w:t>
      </w:r>
    </w:p>
    <w:p>
      <w:pPr>
        <w:spacing w:after="0" w:line="121" w:lineRule="exact"/>
        <w:rPr>
          <w:sz w:val="20"/>
          <w:szCs w:val="20"/>
          <w:color w:val="auto"/>
        </w:rPr>
      </w:pPr>
    </w:p>
    <w:p>
      <w:pPr>
        <w:ind w:left="120" w:right="80"/>
        <w:spacing w:after="0" w:line="255" w:lineRule="auto"/>
        <w:rPr>
          <w:sz w:val="20"/>
          <w:szCs w:val="20"/>
          <w:color w:val="auto"/>
        </w:rPr>
      </w:pPr>
      <w:r>
        <w:rPr>
          <w:rFonts w:ascii="Times New Roman" w:cs="Times New Roman" w:eastAsia="Times New Roman" w:hAnsi="Times New Roman"/>
          <w:sz w:val="18"/>
          <w:szCs w:val="18"/>
          <w:color w:val="auto"/>
        </w:rPr>
        <w:t>During the period September 15, 2021 to December 31, 2021, Polestar Group incurred $28,846,674 in transaction costs related to the transactions contemplated in the Business Combination Agreement. These costs consist of professional service fees for lawyers, accountants, bankers, and other advisors. The Company will become the ultimate parent company following the consummation of the transactions contemplated in the Business Combination Agreement and will reimburse the related Polestar Group entity for these costs. As such, the Polestar Group entity is a related party to the Company. Upon the consummation of the transactions contemplated in the Business Combination Agreement, these costs will offset proceeds from the transactions in equity. Accordingly, the Company recorded these costs in the Company’s Consolidated Statements of Financial Position under the captions Other current assets and Other current liabilities - related parties.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3 - Share capital</w:t>
      </w:r>
    </w:p>
    <w:p>
      <w:pPr>
        <w:spacing w:after="0" w:line="121" w:lineRule="exact"/>
        <w:rPr>
          <w:sz w:val="20"/>
          <w:szCs w:val="20"/>
          <w:color w:val="auto"/>
        </w:rPr>
      </w:pPr>
    </w:p>
    <w:p>
      <w:pPr>
        <w:ind w:left="560" w:right="120"/>
        <w:spacing w:after="0" w:line="282" w:lineRule="auto"/>
        <w:rPr>
          <w:sz w:val="20"/>
          <w:szCs w:val="20"/>
          <w:color w:val="auto"/>
        </w:rPr>
      </w:pPr>
      <w:r>
        <w:rPr>
          <w:rFonts w:ascii="Times New Roman" w:cs="Times New Roman" w:eastAsia="Times New Roman" w:hAnsi="Times New Roman"/>
          <w:sz w:val="18"/>
          <w:szCs w:val="18"/>
          <w:color w:val="auto"/>
        </w:rPr>
        <w:t>The Company was incorporated on September 15, 2021 and issued 1 Class A ordinary share at $1 to an entity in the Polestar Group. On October 15, 2021, the Company had the following changes in equity:</w:t>
      </w:r>
    </w:p>
    <w:p>
      <w:pPr>
        <w:spacing w:after="0" w:line="67" w:lineRule="exact"/>
        <w:rPr>
          <w:sz w:val="20"/>
          <w:szCs w:val="20"/>
          <w:color w:val="auto"/>
        </w:rPr>
      </w:pPr>
    </w:p>
    <w:p>
      <w:pPr>
        <w:ind w:left="1080" w:hanging="424"/>
        <w:spacing w:after="0"/>
        <w:tabs>
          <w:tab w:leader="none" w:pos="108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sub-division of initial equity from 1 Class A ordinary share at $1 per share to 100 Class A ordinary shares at $0.01 per share.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share issuance of 900 Class A ordinary shares at $0.01 per share to the related Polestar Group entity.</w:t>
      </w:r>
    </w:p>
    <w:p>
      <w:pPr>
        <w:spacing w:after="0" w:line="225"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As of December 31, 2021, the Company’s authorized share capital consists of 1,000 Class A ordinary shares at $0.01 per share, for a total of $10. Each Class A ordinary share maintains one voting right. The entire amount of this equity is held by an entity in the Polestar Group and recorded as a receivable under the caption Other receivables - related parties in the Company’s Consolidated Statements of Financial Position.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4 - Subsequent events</w:t>
      </w:r>
    </w:p>
    <w:p>
      <w:pPr>
        <w:spacing w:after="0" w:line="121"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Management has evaluated events subsequent to December 31, 2021 and through April 21, 2022, the date these Consolidated Financial Statements were authorised for issuance by the Board of Directors. The were no events which occurred subsequent to December 31, 2021 that merited disclosure in these Consolidated Financial Statements.</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F-66</w:t>
      </w:r>
    </w:p>
    <w:p>
      <w:pPr>
        <w:sectPr>
          <w:pgSz w:w="11900" w:h="16838" w:orient="portrait"/>
          <w:cols w:equalWidth="0" w:num="1">
            <w:col w:w="11080"/>
          </w:cols>
          <w:pgMar w:left="320" w:top="455" w:right="499" w:bottom="1440" w:gutter="0" w:footer="0" w:header="0"/>
        </w:sectPr>
      </w:pPr>
    </w:p>
    <w:bookmarkStart w:id="301" w:name="page302"/>
    <w:bookmarkEnd w:id="30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The Polestar Group</w:t>
      </w:r>
    </w:p>
    <w:p>
      <w:pPr>
        <w:spacing w:after="0" w:line="31" w:lineRule="exact"/>
        <w:rPr>
          <w:sz w:val="20"/>
          <w:szCs w:val="20"/>
          <w:color w:val="auto"/>
        </w:rPr>
      </w:pPr>
    </w:p>
    <w:p>
      <w:pPr>
        <w:jc w:val="both"/>
        <w:ind w:left="2600" w:right="2440" w:hanging="44"/>
        <w:spacing w:after="0" w:line="290" w:lineRule="auto"/>
        <w:rPr>
          <w:sz w:val="20"/>
          <w:szCs w:val="20"/>
          <w:color w:val="auto"/>
        </w:rPr>
      </w:pPr>
      <w:r>
        <w:rPr>
          <w:rFonts w:ascii="Times New Roman" w:cs="Times New Roman" w:eastAsia="Times New Roman" w:hAnsi="Times New Roman"/>
          <w:sz w:val="17"/>
          <w:szCs w:val="17"/>
          <w:b w:val="1"/>
          <w:bCs w:val="1"/>
          <w:color w:val="auto"/>
        </w:rPr>
        <w:t>Unaudited Condensed Consolidated Statement of Loss and Comprehensive Loss (in thousands of U.S. dollars except per share data and unless otherwise stated)</w:t>
      </w:r>
    </w:p>
    <w:p>
      <w:pPr>
        <w:spacing w:after="0" w:line="16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6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Consolidated Statement of Loss</w:t>
            </w: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80" w:type="dxa"/>
            <w:vAlign w:val="bottom"/>
            <w:gridSpan w:val="4"/>
          </w:tcPr>
          <w:p>
            <w:pPr>
              <w:jc w:val="right"/>
              <w:ind w:right="141"/>
              <w:spacing w:after="0"/>
              <w:rPr>
                <w:sz w:val="20"/>
                <w:szCs w:val="20"/>
                <w:color w:val="auto"/>
              </w:rPr>
            </w:pPr>
            <w:r>
              <w:rPr>
                <w:rFonts w:ascii="Times New Roman" w:cs="Times New Roman" w:eastAsia="Times New Roman" w:hAnsi="Times New Roman"/>
                <w:sz w:val="14"/>
                <w:szCs w:val="14"/>
                <w:b w:val="1"/>
                <w:bCs w:val="1"/>
                <w:color w:val="auto"/>
              </w:rPr>
              <w:t>For the six months ended</w:t>
            </w:r>
          </w:p>
        </w:tc>
        <w:tc>
          <w:tcPr>
            <w:tcW w:w="0" w:type="dxa"/>
            <w:vAlign w:val="bottom"/>
          </w:tcPr>
          <w:p>
            <w:pPr>
              <w:spacing w:after="0"/>
              <w:rPr>
                <w:sz w:val="1"/>
                <w:szCs w:val="1"/>
                <w:color w:val="auto"/>
              </w:rPr>
            </w:pPr>
          </w:p>
        </w:tc>
      </w:tr>
      <w:tr>
        <w:trPr>
          <w:trHeight w:val="173"/>
        </w:trPr>
        <w:tc>
          <w:tcPr>
            <w:tcW w:w="8680" w:type="dxa"/>
            <w:vAlign w:val="bottom"/>
            <w:vMerge w:val="continue"/>
          </w:tcPr>
          <w:p>
            <w:pPr>
              <w:spacing w:after="0"/>
              <w:rPr>
                <w:sz w:val="15"/>
                <w:szCs w:val="15"/>
                <w:color w:val="auto"/>
              </w:rPr>
            </w:pPr>
          </w:p>
        </w:tc>
        <w:tc>
          <w:tcPr>
            <w:tcW w:w="4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w w:val="99"/>
              </w:rPr>
              <w:t>Note</w:t>
            </w:r>
          </w:p>
        </w:tc>
        <w:tc>
          <w:tcPr>
            <w:tcW w:w="1880" w:type="dxa"/>
            <w:vAlign w:val="bottom"/>
            <w:gridSpan w:val="4"/>
          </w:tcPr>
          <w:p>
            <w:pPr>
              <w:jc w:val="right"/>
              <w:ind w:right="661"/>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0" w:type="dxa"/>
            <w:vAlign w:val="bottom"/>
          </w:tcPr>
          <w:p>
            <w:pPr>
              <w:spacing w:after="0"/>
              <w:rPr>
                <w:sz w:val="1"/>
                <w:szCs w:val="1"/>
                <w:color w:val="auto"/>
              </w:rPr>
            </w:pPr>
          </w:p>
        </w:tc>
      </w:tr>
      <w:tr>
        <w:trPr>
          <w:trHeight w:val="142"/>
        </w:trPr>
        <w:tc>
          <w:tcPr>
            <w:tcW w:w="8680" w:type="dxa"/>
            <w:vAlign w:val="bottom"/>
          </w:tcPr>
          <w:p>
            <w:pPr>
              <w:spacing w:after="0"/>
              <w:rPr>
                <w:sz w:val="12"/>
                <w:szCs w:val="12"/>
                <w:color w:val="auto"/>
              </w:rPr>
            </w:pPr>
          </w:p>
        </w:tc>
        <w:tc>
          <w:tcPr>
            <w:tcW w:w="460" w:type="dxa"/>
            <w:vAlign w:val="bottom"/>
            <w:gridSpan w:val="2"/>
            <w:vMerge w:val="continue"/>
          </w:tcPr>
          <w:p>
            <w:pPr>
              <w:spacing w:after="0"/>
              <w:rPr>
                <w:sz w:val="12"/>
                <w:szCs w:val="12"/>
                <w:color w:val="auto"/>
              </w:rPr>
            </w:pPr>
          </w:p>
        </w:tc>
        <w:tc>
          <w:tcPr>
            <w:tcW w:w="800" w:type="dxa"/>
            <w:vAlign w:val="bottom"/>
            <w:tcBorders>
              <w:top w:val="single" w:sz="8" w:color="auto"/>
            </w:tcBorders>
          </w:tcPr>
          <w:p>
            <w:pPr>
              <w:jc w:val="right"/>
              <w:ind w:right="15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ind w:right="151"/>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1,041,297</w:t>
            </w:r>
          </w:p>
        </w:tc>
        <w:tc>
          <w:tcPr>
            <w:tcW w:w="2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534,779</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(987,881)</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(498,966)</w:t>
            </w:r>
          </w:p>
        </w:tc>
        <w:tc>
          <w:tcPr>
            <w:tcW w:w="0" w:type="dxa"/>
            <w:vAlign w:val="bottom"/>
          </w:tcPr>
          <w:p>
            <w:pPr>
              <w:spacing w:after="0"/>
              <w:rPr>
                <w:sz w:val="1"/>
                <w:szCs w:val="1"/>
                <w:color w:val="auto"/>
              </w:rPr>
            </w:pPr>
          </w:p>
        </w:tc>
      </w:tr>
      <w:tr>
        <w:trPr>
          <w:trHeight w:val="27"/>
        </w:trPr>
        <w:tc>
          <w:tcPr>
            <w:tcW w:w="8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53,416</w:t>
            </w:r>
          </w:p>
        </w:tc>
        <w:tc>
          <w:tcPr>
            <w:tcW w:w="8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35,813</w:t>
            </w:r>
          </w:p>
        </w:tc>
        <w:tc>
          <w:tcPr>
            <w:tcW w:w="0" w:type="dxa"/>
            <w:vAlign w:val="bottom"/>
          </w:tcPr>
          <w:p>
            <w:pPr>
              <w:spacing w:after="0"/>
              <w:rPr>
                <w:sz w:val="1"/>
                <w:szCs w:val="1"/>
                <w:color w:val="auto"/>
              </w:rPr>
            </w:pPr>
          </w:p>
        </w:tc>
      </w:tr>
      <w:tr>
        <w:trPr>
          <w:trHeight w:val="223"/>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(446,781)</w:t>
            </w:r>
          </w:p>
        </w:tc>
        <w:tc>
          <w:tcPr>
            <w:tcW w:w="220" w:type="dxa"/>
            <w:vAlign w:val="bottom"/>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(278,853)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(98,755)</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(106,871)</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Other operating expenses and income, net</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(20,742)</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(14,770)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Listing expense</w:t>
            </w:r>
          </w:p>
        </w:tc>
        <w:tc>
          <w:tcPr>
            <w:tcW w:w="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(372,318)</w:t>
            </w:r>
          </w:p>
        </w:tc>
        <w:tc>
          <w:tcPr>
            <w:tcW w:w="8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(885,180)</w:t>
            </w:r>
          </w:p>
        </w:tc>
        <w:tc>
          <w:tcPr>
            <w:tcW w:w="220" w:type="dxa"/>
            <w:vAlign w:val="bottom"/>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(364,681</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income</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774</w:t>
            </w:r>
          </w:p>
        </w:tc>
        <w:tc>
          <w:tcPr>
            <w:tcW w:w="8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15,194</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Finance expenses</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(51,427)</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(12,375)</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change - Earn-out rights</w:t>
            </w:r>
          </w:p>
        </w:tc>
        <w:tc>
          <w:tcPr>
            <w:tcW w:w="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418,707</w:t>
            </w:r>
          </w:p>
        </w:tc>
        <w:tc>
          <w:tcPr>
            <w:tcW w:w="8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Fair value change - Class C Shares</w:t>
            </w: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21,531</w:t>
            </w:r>
          </w:p>
        </w:tc>
        <w:tc>
          <w:tcPr>
            <w:tcW w:w="8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8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before income taxes</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(495,595)</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(361,862)</w:t>
            </w:r>
          </w:p>
        </w:tc>
        <w:tc>
          <w:tcPr>
            <w:tcW w:w="0" w:type="dxa"/>
            <w:vAlign w:val="bottom"/>
          </w:tcPr>
          <w:p>
            <w:pPr>
              <w:spacing w:after="0"/>
              <w:rPr>
                <w:sz w:val="1"/>
                <w:szCs w:val="1"/>
                <w:color w:val="auto"/>
              </w:rPr>
            </w:pPr>
          </w:p>
        </w:tc>
      </w:tr>
      <w:tr>
        <w:trPr>
          <w:trHeight w:val="230"/>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(7,139)</w:t>
            </w:r>
          </w:p>
        </w:tc>
        <w:tc>
          <w:tcPr>
            <w:tcW w:w="220" w:type="dxa"/>
            <w:vAlign w:val="bottom"/>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(6,357)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(502,734)</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(368,219)</w:t>
            </w:r>
          </w:p>
        </w:tc>
        <w:tc>
          <w:tcPr>
            <w:tcW w:w="0" w:type="dxa"/>
            <w:vAlign w:val="bottom"/>
          </w:tcPr>
          <w:p>
            <w:pPr>
              <w:spacing w:after="0"/>
              <w:rPr>
                <w:sz w:val="1"/>
                <w:szCs w:val="1"/>
                <w:color w:val="auto"/>
              </w:rPr>
            </w:pPr>
          </w:p>
        </w:tc>
      </w:tr>
      <w:tr>
        <w:trPr>
          <w:trHeight w:val="223"/>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 per share (in U.S. dollars)</w:t>
            </w: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w:t>
            </w:r>
          </w:p>
        </w:tc>
        <w:tc>
          <w:tcPr>
            <w:tcW w:w="8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Basic</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(1.65)</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0" w:type="dxa"/>
            <w:vAlign w:val="bottom"/>
          </w:tcPr>
          <w:p>
            <w:pPr>
              <w:spacing w:after="0"/>
              <w:rPr>
                <w:sz w:val="1"/>
                <w:szCs w:val="1"/>
                <w:color w:val="auto"/>
              </w:rPr>
            </w:pPr>
          </w:p>
        </w:tc>
      </w:tr>
      <w:tr>
        <w:trPr>
          <w:trHeight w:val="216"/>
        </w:trPr>
        <w:tc>
          <w:tcPr>
            <w:tcW w:w="86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Diluted</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(1.65)</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Consolidated Statement of Comprehensive Loss</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(502,734)</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(368,219)</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comprehensive loss:</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Items that may be subsequently reclassified to the Consolidated Statement of Loss:</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Exchange rate differences from translation of foreign operations</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10,659</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(18,292)</w:t>
            </w:r>
          </w:p>
        </w:tc>
        <w:tc>
          <w:tcPr>
            <w:tcW w:w="0" w:type="dxa"/>
            <w:vAlign w:val="bottom"/>
          </w:tcPr>
          <w:p>
            <w:pPr>
              <w:spacing w:after="0"/>
              <w:rPr>
                <w:sz w:val="1"/>
                <w:szCs w:val="1"/>
                <w:color w:val="auto"/>
              </w:rPr>
            </w:pPr>
          </w:p>
        </w:tc>
      </w:tr>
      <w:tr>
        <w:trPr>
          <w:trHeight w:val="230"/>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other comprehensive income (loss)</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10,659</w:t>
            </w:r>
          </w:p>
        </w:tc>
        <w:tc>
          <w:tcPr>
            <w:tcW w:w="220" w:type="dxa"/>
            <w:vAlign w:val="bottom"/>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(18,292)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comprehensive loss</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(492,075)</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(386,511)</w:t>
            </w: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158"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F-67</w:t>
      </w:r>
    </w:p>
    <w:p>
      <w:pPr>
        <w:sectPr>
          <w:pgSz w:w="11900" w:h="16838" w:orient="portrait"/>
          <w:cols w:equalWidth="0" w:num="1">
            <w:col w:w="11140"/>
          </w:cols>
          <w:pgMar w:left="320" w:top="455" w:right="439" w:bottom="1440" w:gutter="0" w:footer="0" w:header="0"/>
        </w:sectPr>
      </w:pPr>
    </w:p>
    <w:bookmarkStart w:id="302" w:name="page303"/>
    <w:bookmarkEnd w:id="30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The Polestar Group</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 of Financial Position</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 thousands of U.S. dollars unless otherwise stated)</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360" w:type="dxa"/>
            <w:vAlign w:val="bottom"/>
          </w:tcPr>
          <w:p>
            <w:pPr>
              <w:spacing w:after="0"/>
              <w:rPr>
                <w:sz w:val="13"/>
                <w:szCs w:val="13"/>
                <w:color w:val="auto"/>
              </w:rPr>
            </w:pPr>
          </w:p>
        </w:tc>
        <w:tc>
          <w:tcPr>
            <w:tcW w:w="56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w w:val="92"/>
              </w:rPr>
              <w:t>Note</w:t>
            </w:r>
          </w:p>
        </w:tc>
        <w:tc>
          <w:tcPr>
            <w:tcW w:w="11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8360" w:type="dxa"/>
            <w:vAlign w:val="bottom"/>
          </w:tcPr>
          <w:p>
            <w:pPr>
              <w:spacing w:after="0"/>
              <w:rPr>
                <w:sz w:val="15"/>
                <w:szCs w:val="15"/>
                <w:color w:val="auto"/>
              </w:rPr>
            </w:pPr>
          </w:p>
        </w:tc>
        <w:tc>
          <w:tcPr>
            <w:tcW w:w="560" w:type="dxa"/>
            <w:vAlign w:val="bottom"/>
            <w:gridSpan w:val="2"/>
            <w:vMerge w:val="continue"/>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880" w:type="dxa"/>
            <w:vAlign w:val="bottom"/>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836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2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360" w:type="dxa"/>
            <w:vAlign w:val="bottom"/>
          </w:tcPr>
          <w:p>
            <w:pPr>
              <w:spacing w:after="0"/>
              <w:rPr>
                <w:sz w:val="20"/>
                <w:szCs w:val="20"/>
                <w:color w:val="auto"/>
              </w:rPr>
            </w:pPr>
            <w:r>
              <w:rPr>
                <w:rFonts w:ascii="Times New Roman" w:cs="Times New Roman" w:eastAsia="Times New Roman" w:hAnsi="Times New Roman"/>
                <w:sz w:val="18"/>
                <w:szCs w:val="18"/>
                <w:color w:val="auto"/>
              </w:rPr>
              <w:t>Non-current assets</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Intangible assets and goodwill</w:t>
            </w:r>
          </w:p>
        </w:tc>
        <w:tc>
          <w:tcPr>
            <w:tcW w:w="5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w:t>
            </w: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1,375,778</w:t>
            </w: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1,368,356</w:t>
            </w:r>
          </w:p>
        </w:tc>
        <w:tc>
          <w:tcPr>
            <w:tcW w:w="0" w:type="dxa"/>
            <w:vAlign w:val="bottom"/>
          </w:tcPr>
          <w:p>
            <w:pPr>
              <w:spacing w:after="0"/>
              <w:rPr>
                <w:sz w:val="1"/>
                <w:szCs w:val="1"/>
                <w:color w:val="auto"/>
              </w:rPr>
            </w:pPr>
          </w:p>
        </w:tc>
      </w:tr>
      <w:tr>
        <w:trPr>
          <w:trHeight w:val="216"/>
        </w:trPr>
        <w:tc>
          <w:tcPr>
            <w:tcW w:w="8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267,382</w:t>
            </w: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208,193</w:t>
            </w: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Vehicles under operating leases</w:t>
            </w:r>
          </w:p>
        </w:tc>
        <w:tc>
          <w:tcPr>
            <w:tcW w:w="5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w:t>
            </w: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102,068</w:t>
            </w: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120,626</w:t>
            </w:r>
          </w:p>
        </w:tc>
        <w:tc>
          <w:tcPr>
            <w:tcW w:w="0" w:type="dxa"/>
            <w:vAlign w:val="bottom"/>
          </w:tcPr>
          <w:p>
            <w:pPr>
              <w:spacing w:after="0"/>
              <w:rPr>
                <w:sz w:val="1"/>
                <w:szCs w:val="1"/>
                <w:color w:val="auto"/>
              </w:rPr>
            </w:pPr>
          </w:p>
        </w:tc>
      </w:tr>
      <w:tr>
        <w:trPr>
          <w:trHeight w:val="216"/>
        </w:trPr>
        <w:tc>
          <w:tcPr>
            <w:tcW w:w="8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Deferred tax asset</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3,930</w:t>
            </w: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3,850</w:t>
            </w: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investments</w:t>
            </w:r>
          </w:p>
        </w:tc>
        <w:tc>
          <w:tcPr>
            <w:tcW w:w="5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11</w:t>
            </w: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2,359</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non-current assets</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2,383</w:t>
            </w: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1,682</w:t>
            </w: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1,753,900</w:t>
            </w: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1,702,707</w:t>
            </w:r>
          </w:p>
        </w:tc>
        <w:tc>
          <w:tcPr>
            <w:tcW w:w="0" w:type="dxa"/>
            <w:vAlign w:val="bottom"/>
          </w:tcPr>
          <w:p>
            <w:pPr>
              <w:spacing w:after="0"/>
              <w:rPr>
                <w:sz w:val="1"/>
                <w:szCs w:val="1"/>
                <w:color w:val="auto"/>
              </w:rPr>
            </w:pPr>
          </w:p>
        </w:tc>
      </w:tr>
      <w:tr>
        <w:trPr>
          <w:trHeight w:val="223"/>
        </w:trPr>
        <w:tc>
          <w:tcPr>
            <w:tcW w:w="836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1,381,637</w:t>
            </w: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756,677</w:t>
            </w:r>
          </w:p>
        </w:tc>
        <w:tc>
          <w:tcPr>
            <w:tcW w:w="0" w:type="dxa"/>
            <w:vAlign w:val="bottom"/>
          </w:tcPr>
          <w:p>
            <w:pPr>
              <w:spacing w:after="0"/>
              <w:rPr>
                <w:sz w:val="1"/>
                <w:szCs w:val="1"/>
                <w:color w:val="auto"/>
              </w:rPr>
            </w:pPr>
          </w:p>
        </w:tc>
      </w:tr>
      <w:tr>
        <w:trPr>
          <w:trHeight w:val="216"/>
        </w:trPr>
        <w:tc>
          <w:tcPr>
            <w:tcW w:w="8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Marketable securities</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1,258</w:t>
            </w: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Trade receivables</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77,071</w:t>
            </w: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157,753</w:t>
            </w:r>
          </w:p>
        </w:tc>
        <w:tc>
          <w:tcPr>
            <w:tcW w:w="0" w:type="dxa"/>
            <w:vAlign w:val="bottom"/>
          </w:tcPr>
          <w:p>
            <w:pPr>
              <w:spacing w:after="0"/>
              <w:rPr>
                <w:sz w:val="1"/>
                <w:szCs w:val="1"/>
                <w:color w:val="auto"/>
              </w:rPr>
            </w:pPr>
          </w:p>
        </w:tc>
      </w:tr>
      <w:tr>
        <w:trPr>
          <w:trHeight w:val="216"/>
        </w:trPr>
        <w:tc>
          <w:tcPr>
            <w:tcW w:w="8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Trade receivables - related parties</w:t>
            </w:r>
          </w:p>
        </w:tc>
        <w:tc>
          <w:tcPr>
            <w:tcW w:w="5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9</w:t>
            </w: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16,872</w:t>
            </w: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14,688</w:t>
            </w: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income - related parties</w:t>
            </w:r>
          </w:p>
        </w:tc>
        <w:tc>
          <w:tcPr>
            <w:tcW w:w="5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9</w:t>
            </w: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10,328</w:t>
            </w: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5,103</w:t>
            </w:r>
          </w:p>
        </w:tc>
        <w:tc>
          <w:tcPr>
            <w:tcW w:w="0" w:type="dxa"/>
            <w:vAlign w:val="bottom"/>
          </w:tcPr>
          <w:p>
            <w:pPr>
              <w:spacing w:after="0"/>
              <w:rPr>
                <w:sz w:val="1"/>
                <w:szCs w:val="1"/>
                <w:color w:val="auto"/>
              </w:rPr>
            </w:pPr>
          </w:p>
        </w:tc>
      </w:tr>
      <w:tr>
        <w:trPr>
          <w:trHeight w:val="216"/>
        </w:trPr>
        <w:tc>
          <w:tcPr>
            <w:tcW w:w="8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Inventories</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263,020</w:t>
            </w: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545,743</w:t>
            </w: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Current tax assets</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5,610</w:t>
            </w: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5,562</w:t>
            </w:r>
          </w:p>
        </w:tc>
        <w:tc>
          <w:tcPr>
            <w:tcW w:w="0" w:type="dxa"/>
            <w:vAlign w:val="bottom"/>
          </w:tcPr>
          <w:p>
            <w:pPr>
              <w:spacing w:after="0"/>
              <w:rPr>
                <w:sz w:val="1"/>
                <w:szCs w:val="1"/>
                <w:color w:val="auto"/>
              </w:rPr>
            </w:pPr>
          </w:p>
        </w:tc>
      </w:tr>
      <w:tr>
        <w:trPr>
          <w:trHeight w:val="216"/>
        </w:trPr>
        <w:tc>
          <w:tcPr>
            <w:tcW w:w="8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current assets</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112,431</w:t>
            </w:r>
          </w:p>
        </w:tc>
        <w:tc>
          <w:tcPr>
            <w:tcW w:w="26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120,202</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1,866,969</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1,606,986</w:t>
            </w:r>
          </w:p>
        </w:tc>
        <w:tc>
          <w:tcPr>
            <w:tcW w:w="0" w:type="dxa"/>
            <w:vAlign w:val="bottom"/>
          </w:tcPr>
          <w:p>
            <w:pPr>
              <w:spacing w:after="0"/>
              <w:rPr>
                <w:sz w:val="1"/>
                <w:szCs w:val="1"/>
                <w:color w:val="auto"/>
              </w:rPr>
            </w:pPr>
          </w:p>
        </w:tc>
      </w:tr>
      <w:tr>
        <w:trPr>
          <w:trHeight w:val="232"/>
        </w:trPr>
        <w:tc>
          <w:tcPr>
            <w:tcW w:w="8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3,620,869</w:t>
            </w:r>
          </w:p>
        </w:tc>
        <w:tc>
          <w:tcPr>
            <w:tcW w:w="260" w:type="dxa"/>
            <w:vAlign w:val="bottom"/>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3,309,693</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158"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F-68</w:t>
      </w:r>
    </w:p>
    <w:p>
      <w:pPr>
        <w:sectPr>
          <w:pgSz w:w="11900" w:h="16838" w:orient="portrait"/>
          <w:cols w:equalWidth="0" w:num="1">
            <w:col w:w="11140"/>
          </w:cols>
          <w:pgMar w:left="320" w:top="455" w:right="439" w:bottom="1440" w:gutter="0" w:footer="0" w:header="0"/>
        </w:sectPr>
      </w:pPr>
    </w:p>
    <w:bookmarkStart w:id="303" w:name="page304"/>
    <w:bookmarkEnd w:id="30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The Polestar Group</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 of Financial Position</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 thousands of U.S. dollars unless otherwise stated)</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020" w:type="dxa"/>
            <w:vAlign w:val="bottom"/>
          </w:tcPr>
          <w:p>
            <w:pPr>
              <w:spacing w:after="0"/>
              <w:rPr>
                <w:sz w:val="13"/>
                <w:szCs w:val="13"/>
                <w:color w:val="auto"/>
              </w:rPr>
            </w:pPr>
          </w:p>
        </w:tc>
        <w:tc>
          <w:tcPr>
            <w:tcW w:w="68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Note</w:t>
            </w:r>
          </w:p>
        </w:tc>
        <w:tc>
          <w:tcPr>
            <w:tcW w:w="120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8020" w:type="dxa"/>
            <w:vAlign w:val="bottom"/>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960" w:type="dxa"/>
            <w:vAlign w:val="bottom"/>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5"/>
                <w:szCs w:val="15"/>
                <w:color w:val="auto"/>
              </w:rPr>
            </w:pPr>
          </w:p>
        </w:tc>
        <w:tc>
          <w:tcPr>
            <w:tcW w:w="980" w:type="dxa"/>
            <w:vAlign w:val="bottom"/>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8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6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Share capital</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(21,090)</w:t>
            </w: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(1,865,909)</w:t>
            </w:r>
          </w:p>
        </w:tc>
        <w:tc>
          <w:tcPr>
            <w:tcW w:w="0" w:type="dxa"/>
            <w:vAlign w:val="bottom"/>
          </w:tcPr>
          <w:p>
            <w:pPr>
              <w:spacing w:after="0"/>
              <w:rPr>
                <w:sz w:val="1"/>
                <w:szCs w:val="1"/>
                <w:color w:val="auto"/>
              </w:rPr>
            </w:pPr>
          </w:p>
        </w:tc>
      </w:tr>
      <w:tr>
        <w:trPr>
          <w:trHeight w:val="216"/>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contributed capital</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(3,578,804)</w:t>
            </w: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(35,231)</w:t>
            </w:r>
          </w:p>
        </w:tc>
        <w:tc>
          <w:tcPr>
            <w:tcW w:w="0" w:type="dxa"/>
            <w:vAlign w:val="bottom"/>
          </w:tcPr>
          <w:p>
            <w:pPr>
              <w:spacing w:after="0"/>
              <w:rPr>
                <w:sz w:val="1"/>
                <w:szCs w:val="1"/>
                <w:color w:val="auto"/>
              </w:rPr>
            </w:pPr>
          </w:p>
        </w:tc>
      </w:tr>
      <w:tr>
        <w:trPr>
          <w:trHeight w:val="216"/>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translation reserve</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6,125</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16,784</w:t>
            </w:r>
          </w:p>
        </w:tc>
        <w:tc>
          <w:tcPr>
            <w:tcW w:w="0" w:type="dxa"/>
            <w:vAlign w:val="bottom"/>
          </w:tcPr>
          <w:p>
            <w:pPr>
              <w:spacing w:after="0"/>
              <w:rPr>
                <w:sz w:val="1"/>
                <w:szCs w:val="1"/>
                <w:color w:val="auto"/>
              </w:rPr>
            </w:pPr>
          </w:p>
        </w:tc>
      </w:tr>
      <w:tr>
        <w:trPr>
          <w:trHeight w:val="216"/>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3,763,720</w:t>
            </w: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1,761,860</w:t>
            </w:r>
          </w:p>
        </w:tc>
        <w:tc>
          <w:tcPr>
            <w:tcW w:w="0" w:type="dxa"/>
            <w:vAlign w:val="bottom"/>
          </w:tcPr>
          <w:p>
            <w:pPr>
              <w:spacing w:after="0"/>
              <w:rPr>
                <w:sz w:val="1"/>
                <w:szCs w:val="1"/>
                <w:color w:val="auto"/>
              </w:rPr>
            </w:pPr>
          </w:p>
        </w:tc>
      </w:tr>
      <w:tr>
        <w:trPr>
          <w:trHeight w:val="230"/>
        </w:trPr>
        <w:tc>
          <w:tcPr>
            <w:tcW w:w="8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169,951</w:t>
            </w:r>
          </w:p>
        </w:tc>
        <w:tc>
          <w:tcPr>
            <w:tcW w:w="240" w:type="dxa"/>
            <w:vAlign w:val="bottom"/>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(122,496)</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Non-current liabilities</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Contract liabilities</w:t>
            </w: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w:t>
            </w: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(36,683)</w:t>
            </w: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(28,922)</w:t>
            </w:r>
          </w:p>
        </w:tc>
        <w:tc>
          <w:tcPr>
            <w:tcW w:w="0" w:type="dxa"/>
            <w:vAlign w:val="bottom"/>
          </w:tcPr>
          <w:p>
            <w:pPr>
              <w:spacing w:after="0"/>
              <w:rPr>
                <w:sz w:val="1"/>
                <w:szCs w:val="1"/>
                <w:color w:val="auto"/>
              </w:rPr>
            </w:pPr>
          </w:p>
        </w:tc>
      </w:tr>
      <w:tr>
        <w:trPr>
          <w:trHeight w:val="216"/>
        </w:trPr>
        <w:tc>
          <w:tcPr>
            <w:tcW w:w="8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Deferred tax liabilities</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(334)</w:t>
            </w: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(509)</w:t>
            </w:r>
          </w:p>
        </w:tc>
        <w:tc>
          <w:tcPr>
            <w:tcW w:w="0" w:type="dxa"/>
            <w:vAlign w:val="bottom"/>
          </w:tcPr>
          <w:p>
            <w:pPr>
              <w:spacing w:after="0"/>
              <w:rPr>
                <w:sz w:val="1"/>
                <w:szCs w:val="1"/>
                <w:color w:val="auto"/>
              </w:rPr>
            </w:pPr>
          </w:p>
        </w:tc>
      </w:tr>
      <w:tr>
        <w:trPr>
          <w:trHeight w:val="216"/>
        </w:trPr>
        <w:tc>
          <w:tcPr>
            <w:tcW w:w="8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non-current provisions</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(61,046)</w:t>
            </w: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(38,711)</w:t>
            </w:r>
          </w:p>
        </w:tc>
        <w:tc>
          <w:tcPr>
            <w:tcW w:w="0" w:type="dxa"/>
            <w:vAlign w:val="bottom"/>
          </w:tcPr>
          <w:p>
            <w:pPr>
              <w:spacing w:after="0"/>
              <w:rPr>
                <w:sz w:val="1"/>
                <w:szCs w:val="1"/>
                <w:color w:val="auto"/>
              </w:rPr>
            </w:pPr>
          </w:p>
        </w:tc>
      </w:tr>
      <w:tr>
        <w:trPr>
          <w:trHeight w:val="216"/>
        </w:trPr>
        <w:tc>
          <w:tcPr>
            <w:tcW w:w="8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(33)</w:t>
            </w: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(11,764)</w:t>
            </w:r>
          </w:p>
        </w:tc>
        <w:tc>
          <w:tcPr>
            <w:tcW w:w="0" w:type="dxa"/>
            <w:vAlign w:val="bottom"/>
          </w:tcPr>
          <w:p>
            <w:pPr>
              <w:spacing w:after="0"/>
              <w:rPr>
                <w:sz w:val="1"/>
                <w:szCs w:val="1"/>
                <w:color w:val="auto"/>
              </w:rPr>
            </w:pPr>
          </w:p>
        </w:tc>
      </w:tr>
      <w:tr>
        <w:trPr>
          <w:trHeight w:val="216"/>
        </w:trPr>
        <w:tc>
          <w:tcPr>
            <w:tcW w:w="8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Earn-out liability</w:t>
            </w: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10,11</w:t>
            </w: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(1,081,931)</w:t>
            </w: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non-current interest-bearing liabilities</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(60,473)</w:t>
            </w: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(66,575)</w:t>
            </w:r>
          </w:p>
        </w:tc>
        <w:tc>
          <w:tcPr>
            <w:tcW w:w="0" w:type="dxa"/>
            <w:vAlign w:val="bottom"/>
          </w:tcPr>
          <w:p>
            <w:pPr>
              <w:spacing w:after="0"/>
              <w:rPr>
                <w:sz w:val="1"/>
                <w:szCs w:val="1"/>
                <w:color w:val="auto"/>
              </w:rPr>
            </w:pPr>
          </w:p>
        </w:tc>
      </w:tr>
      <w:tr>
        <w:trPr>
          <w:trHeight w:val="27"/>
        </w:trPr>
        <w:tc>
          <w:tcPr>
            <w:tcW w:w="80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(1,240,500)</w:t>
            </w: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(146,481)</w:t>
            </w:r>
          </w:p>
        </w:tc>
        <w:tc>
          <w:tcPr>
            <w:tcW w:w="0" w:type="dxa"/>
            <w:vAlign w:val="bottom"/>
          </w:tcPr>
          <w:p>
            <w:pPr>
              <w:spacing w:after="0"/>
              <w:rPr>
                <w:sz w:val="1"/>
                <w:szCs w:val="1"/>
                <w:color w:val="auto"/>
              </w:rPr>
            </w:pPr>
          </w:p>
        </w:tc>
      </w:tr>
      <w:tr>
        <w:trPr>
          <w:trHeight w:val="223"/>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Trade payables</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(77,198)</w:t>
            </w: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(114,296)</w:t>
            </w:r>
          </w:p>
        </w:tc>
        <w:tc>
          <w:tcPr>
            <w:tcW w:w="0" w:type="dxa"/>
            <w:vAlign w:val="bottom"/>
          </w:tcPr>
          <w:p>
            <w:pPr>
              <w:spacing w:after="0"/>
              <w:rPr>
                <w:sz w:val="1"/>
                <w:szCs w:val="1"/>
                <w:color w:val="auto"/>
              </w:rPr>
            </w:pPr>
          </w:p>
        </w:tc>
      </w:tr>
      <w:tr>
        <w:trPr>
          <w:trHeight w:val="216"/>
        </w:trPr>
        <w:tc>
          <w:tcPr>
            <w:tcW w:w="8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Trade payables - related parties</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(876,384)</w:t>
            </w: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(1,427,678)</w:t>
            </w:r>
          </w:p>
        </w:tc>
        <w:tc>
          <w:tcPr>
            <w:tcW w:w="0" w:type="dxa"/>
            <w:vAlign w:val="bottom"/>
          </w:tcPr>
          <w:p>
            <w:pPr>
              <w:spacing w:after="0"/>
              <w:rPr>
                <w:sz w:val="1"/>
                <w:szCs w:val="1"/>
                <w:color w:val="auto"/>
              </w:rPr>
            </w:pPr>
          </w:p>
        </w:tc>
      </w:tr>
      <w:tr>
        <w:trPr>
          <w:trHeight w:val="216"/>
        </w:trPr>
        <w:tc>
          <w:tcPr>
            <w:tcW w:w="8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expenses - related parties</w:t>
            </w: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w:t>
            </w: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(197,579)</w:t>
            </w: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(315,756)</w:t>
            </w:r>
          </w:p>
        </w:tc>
        <w:tc>
          <w:tcPr>
            <w:tcW w:w="0" w:type="dxa"/>
            <w:vAlign w:val="bottom"/>
          </w:tcPr>
          <w:p>
            <w:pPr>
              <w:spacing w:after="0"/>
              <w:rPr>
                <w:sz w:val="1"/>
                <w:szCs w:val="1"/>
                <w:color w:val="auto"/>
              </w:rPr>
            </w:pPr>
          </w:p>
        </w:tc>
      </w:tr>
      <w:tr>
        <w:trPr>
          <w:trHeight w:val="216"/>
        </w:trPr>
        <w:tc>
          <w:tcPr>
            <w:tcW w:w="8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Advance payments from customers</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(23,594)</w:t>
            </w: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(36,415)</w:t>
            </w:r>
          </w:p>
        </w:tc>
        <w:tc>
          <w:tcPr>
            <w:tcW w:w="0" w:type="dxa"/>
            <w:vAlign w:val="bottom"/>
          </w:tcPr>
          <w:p>
            <w:pPr>
              <w:spacing w:after="0"/>
              <w:rPr>
                <w:sz w:val="1"/>
                <w:szCs w:val="1"/>
                <w:color w:val="auto"/>
              </w:rPr>
            </w:pPr>
          </w:p>
        </w:tc>
      </w:tr>
      <w:tr>
        <w:trPr>
          <w:trHeight w:val="216"/>
        </w:trPr>
        <w:tc>
          <w:tcPr>
            <w:tcW w:w="8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Current provisions</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(51,097)</w:t>
            </w: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(44,042)</w:t>
            </w:r>
          </w:p>
        </w:tc>
        <w:tc>
          <w:tcPr>
            <w:tcW w:w="0" w:type="dxa"/>
            <w:vAlign w:val="bottom"/>
          </w:tcPr>
          <w:p>
            <w:pPr>
              <w:spacing w:after="0"/>
              <w:rPr>
                <w:sz w:val="1"/>
                <w:szCs w:val="1"/>
                <w:color w:val="auto"/>
              </w:rPr>
            </w:pPr>
          </w:p>
        </w:tc>
      </w:tr>
      <w:tr>
        <w:trPr>
          <w:trHeight w:val="216"/>
        </w:trPr>
        <w:tc>
          <w:tcPr>
            <w:tcW w:w="8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Liabilities to credit institutions</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(809,933)</w:t>
            </w: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(642,338)</w:t>
            </w:r>
          </w:p>
        </w:tc>
        <w:tc>
          <w:tcPr>
            <w:tcW w:w="0" w:type="dxa"/>
            <w:vAlign w:val="bottom"/>
          </w:tcPr>
          <w:p>
            <w:pPr>
              <w:spacing w:after="0"/>
              <w:rPr>
                <w:sz w:val="1"/>
                <w:szCs w:val="1"/>
                <w:color w:val="auto"/>
              </w:rPr>
            </w:pPr>
          </w:p>
        </w:tc>
      </w:tr>
      <w:tr>
        <w:trPr>
          <w:trHeight w:val="216"/>
        </w:trPr>
        <w:tc>
          <w:tcPr>
            <w:tcW w:w="8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Current tax liabilities</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(10,485)</w:t>
            </w: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(13,089)</w:t>
            </w:r>
          </w:p>
        </w:tc>
        <w:tc>
          <w:tcPr>
            <w:tcW w:w="0" w:type="dxa"/>
            <w:vAlign w:val="bottom"/>
          </w:tcPr>
          <w:p>
            <w:pPr>
              <w:spacing w:after="0"/>
              <w:rPr>
                <w:sz w:val="1"/>
                <w:szCs w:val="1"/>
                <w:color w:val="auto"/>
              </w:rPr>
            </w:pPr>
          </w:p>
        </w:tc>
      </w:tr>
      <w:tr>
        <w:trPr>
          <w:trHeight w:val="216"/>
        </w:trPr>
        <w:tc>
          <w:tcPr>
            <w:tcW w:w="8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Interest-bearing current liabilities</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(17,363)</w:t>
            </w: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(10,283)</w:t>
            </w:r>
          </w:p>
        </w:tc>
        <w:tc>
          <w:tcPr>
            <w:tcW w:w="0" w:type="dxa"/>
            <w:vAlign w:val="bottom"/>
          </w:tcPr>
          <w:p>
            <w:pPr>
              <w:spacing w:after="0"/>
              <w:rPr>
                <w:sz w:val="1"/>
                <w:szCs w:val="1"/>
                <w:color w:val="auto"/>
              </w:rPr>
            </w:pPr>
          </w:p>
        </w:tc>
      </w:tr>
      <w:tr>
        <w:trPr>
          <w:trHeight w:val="216"/>
        </w:trPr>
        <w:tc>
          <w:tcPr>
            <w:tcW w:w="8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Interest-bearing current liabilities - related parties</w:t>
            </w: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7, 9</w:t>
            </w: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(11,902)</w:t>
            </w: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(13,789)</w:t>
            </w:r>
          </w:p>
        </w:tc>
        <w:tc>
          <w:tcPr>
            <w:tcW w:w="0" w:type="dxa"/>
            <w:vAlign w:val="bottom"/>
          </w:tcPr>
          <w:p>
            <w:pPr>
              <w:spacing w:after="0"/>
              <w:rPr>
                <w:sz w:val="1"/>
                <w:szCs w:val="1"/>
                <w:color w:val="auto"/>
              </w:rPr>
            </w:pPr>
          </w:p>
        </w:tc>
      </w:tr>
      <w:tr>
        <w:trPr>
          <w:trHeight w:val="216"/>
        </w:trPr>
        <w:tc>
          <w:tcPr>
            <w:tcW w:w="8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Contract liabilities</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(58,616)</w:t>
            </w: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(58,368)</w:t>
            </w:r>
          </w:p>
        </w:tc>
        <w:tc>
          <w:tcPr>
            <w:tcW w:w="0" w:type="dxa"/>
            <w:vAlign w:val="bottom"/>
          </w:tcPr>
          <w:p>
            <w:pPr>
              <w:spacing w:after="0"/>
              <w:rPr>
                <w:sz w:val="1"/>
                <w:szCs w:val="1"/>
                <w:color w:val="auto"/>
              </w:rPr>
            </w:pPr>
          </w:p>
        </w:tc>
      </w:tr>
      <w:tr>
        <w:trPr>
          <w:trHeight w:val="216"/>
        </w:trPr>
        <w:tc>
          <w:tcPr>
            <w:tcW w:w="8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Class C Shares liability</w:t>
            </w: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10,11</w:t>
            </w: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(41,559)</w:t>
            </w: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(374,610)</w:t>
            </w: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(364,662)</w:t>
            </w:r>
          </w:p>
        </w:tc>
        <w:tc>
          <w:tcPr>
            <w:tcW w:w="0" w:type="dxa"/>
            <w:vAlign w:val="bottom"/>
          </w:tcPr>
          <w:p>
            <w:pPr>
              <w:spacing w:after="0"/>
              <w:rPr>
                <w:sz w:val="1"/>
                <w:szCs w:val="1"/>
                <w:color w:val="auto"/>
              </w:rPr>
            </w:pPr>
          </w:p>
        </w:tc>
      </w:tr>
      <w:tr>
        <w:trPr>
          <w:trHeight w:val="27"/>
        </w:trPr>
        <w:tc>
          <w:tcPr>
            <w:tcW w:w="80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(2,550,320)</w:t>
            </w: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(3,040,716)</w:t>
            </w:r>
          </w:p>
        </w:tc>
        <w:tc>
          <w:tcPr>
            <w:tcW w:w="0" w:type="dxa"/>
            <w:vAlign w:val="bottom"/>
          </w:tcPr>
          <w:p>
            <w:pPr>
              <w:spacing w:after="0"/>
              <w:rPr>
                <w:sz w:val="1"/>
                <w:szCs w:val="1"/>
                <w:color w:val="auto"/>
              </w:rPr>
            </w:pPr>
          </w:p>
        </w:tc>
      </w:tr>
      <w:tr>
        <w:trPr>
          <w:trHeight w:val="230"/>
        </w:trPr>
        <w:tc>
          <w:tcPr>
            <w:tcW w:w="8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(3,790,820)</w:t>
            </w:r>
          </w:p>
        </w:tc>
        <w:tc>
          <w:tcPr>
            <w:tcW w:w="240" w:type="dxa"/>
            <w:vAlign w:val="bottom"/>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(3,187,197)</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equity and liabilities</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(3,620,869)</w:t>
            </w: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(3,309,693)</w:t>
            </w:r>
          </w:p>
        </w:tc>
        <w:tc>
          <w:tcPr>
            <w:tcW w:w="0" w:type="dxa"/>
            <w:vAlign w:val="bottom"/>
          </w:tcPr>
          <w:p>
            <w:pPr>
              <w:spacing w:after="0"/>
              <w:rPr>
                <w:sz w:val="1"/>
                <w:szCs w:val="1"/>
                <w:color w:val="auto"/>
              </w:rPr>
            </w:pPr>
          </w:p>
        </w:tc>
      </w:tr>
      <w:tr>
        <w:trPr>
          <w:trHeight w:val="20"/>
        </w:trPr>
        <w:tc>
          <w:tcPr>
            <w:tcW w:w="80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158"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F-69</w:t>
      </w:r>
    </w:p>
    <w:p>
      <w:pPr>
        <w:sectPr>
          <w:pgSz w:w="11900" w:h="16838" w:orient="portrait"/>
          <w:cols w:equalWidth="0" w:num="1">
            <w:col w:w="11140"/>
          </w:cols>
          <w:pgMar w:left="320" w:top="455" w:right="439" w:bottom="1440" w:gutter="0" w:footer="0" w:header="0"/>
        </w:sectPr>
      </w:pPr>
    </w:p>
    <w:bookmarkStart w:id="304" w:name="page305"/>
    <w:bookmarkEnd w:id="30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The Polestar Group</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 of Cash Flows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 thousands of U.S. dollars unless otherwise stated)</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680" w:type="dxa"/>
            <w:vAlign w:val="bottom"/>
          </w:tcPr>
          <w:p>
            <w:pPr>
              <w:spacing w:after="0"/>
              <w:rPr>
                <w:sz w:val="13"/>
                <w:szCs w:val="13"/>
                <w:color w:val="auto"/>
              </w:rPr>
            </w:pPr>
          </w:p>
        </w:tc>
        <w:tc>
          <w:tcPr>
            <w:tcW w:w="2340" w:type="dxa"/>
            <w:vAlign w:val="bottom"/>
            <w:gridSpan w:val="6"/>
          </w:tcPr>
          <w:p>
            <w:pPr>
              <w:jc w:val="right"/>
              <w:ind w:right="101"/>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r>
      <w:tr>
        <w:trPr>
          <w:trHeight w:val="173"/>
        </w:trPr>
        <w:tc>
          <w:tcPr>
            <w:tcW w:w="8680" w:type="dxa"/>
            <w:vAlign w:val="bottom"/>
          </w:tcPr>
          <w:p>
            <w:pPr>
              <w:spacing w:after="0"/>
              <w:rPr>
                <w:sz w:val="15"/>
                <w:szCs w:val="15"/>
                <w:color w:val="auto"/>
              </w:rPr>
            </w:pP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w w:val="99"/>
              </w:rPr>
              <w:t>Note</w:t>
            </w:r>
          </w:p>
        </w:tc>
        <w:tc>
          <w:tcPr>
            <w:tcW w:w="800" w:type="dxa"/>
            <w:vAlign w:val="bottom"/>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5"/>
                <w:szCs w:val="15"/>
                <w:color w:val="auto"/>
              </w:rPr>
            </w:pPr>
          </w:p>
        </w:tc>
        <w:tc>
          <w:tcPr>
            <w:tcW w:w="740" w:type="dxa"/>
            <w:vAlign w:val="bottom"/>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5"/>
                <w:szCs w:val="15"/>
                <w:color w:val="auto"/>
              </w:rPr>
            </w:pPr>
          </w:p>
        </w:tc>
      </w:tr>
      <w:tr>
        <w:trPr>
          <w:trHeight w:val="196"/>
        </w:trPr>
        <w:tc>
          <w:tcPr>
            <w:tcW w:w="868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(502,734)</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(368,219)</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flows</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 and amortisation</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70,700</w:t>
            </w:r>
          </w:p>
        </w:tc>
        <w:tc>
          <w:tcPr>
            <w:tcW w:w="8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121,726</w:t>
            </w:r>
          </w:p>
        </w:tc>
      </w:tr>
      <w:tr>
        <w:trPr>
          <w:trHeight w:val="216"/>
        </w:trPr>
        <w:tc>
          <w:tcPr>
            <w:tcW w:w="8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Finance income</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(774)</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(15,194)</w:t>
            </w:r>
          </w:p>
        </w:tc>
      </w:tr>
      <w:tr>
        <w:trPr>
          <w:trHeight w:val="216"/>
        </w:trPr>
        <w:tc>
          <w:tcPr>
            <w:tcW w:w="8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Finance expense</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51,427</w:t>
            </w:r>
          </w:p>
        </w:tc>
        <w:tc>
          <w:tcPr>
            <w:tcW w:w="8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12,375</w:t>
            </w:r>
          </w:p>
        </w:tc>
      </w:tr>
      <w:tr>
        <w:trPr>
          <w:trHeight w:val="216"/>
        </w:trPr>
        <w:tc>
          <w:tcPr>
            <w:tcW w:w="8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Fair value change - Earn-out rights</w:t>
            </w:r>
          </w:p>
        </w:tc>
        <w:tc>
          <w:tcPr>
            <w:tcW w:w="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(418,707)</w:t>
            </w:r>
          </w:p>
        </w:tc>
        <w:tc>
          <w:tcPr>
            <w:tcW w:w="8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Fair value change - Class C Shares</w:t>
            </w: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(21,531)</w:t>
            </w:r>
          </w:p>
        </w:tc>
        <w:tc>
          <w:tcPr>
            <w:tcW w:w="8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Listing expense</w:t>
            </w:r>
          </w:p>
        </w:tc>
        <w:tc>
          <w:tcPr>
            <w:tcW w:w="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372,318</w:t>
            </w:r>
          </w:p>
        </w:tc>
        <w:tc>
          <w:tcPr>
            <w:tcW w:w="8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Income tax expense</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7,139</w:t>
            </w:r>
          </w:p>
        </w:tc>
        <w:tc>
          <w:tcPr>
            <w:tcW w:w="8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6,357</w:t>
            </w:r>
          </w:p>
        </w:tc>
      </w:tr>
      <w:tr>
        <w:trPr>
          <w:trHeight w:val="216"/>
        </w:trPr>
        <w:tc>
          <w:tcPr>
            <w:tcW w:w="8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non-cash income</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(17,362)</w:t>
            </w:r>
          </w:p>
        </w:tc>
        <w:tc>
          <w:tcPr>
            <w:tcW w:w="8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Change in operating assets and liabilities</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Inventories</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201,377</w:t>
            </w:r>
          </w:p>
        </w:tc>
        <w:tc>
          <w:tcPr>
            <w:tcW w:w="8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31,643</w:t>
            </w:r>
          </w:p>
        </w:tc>
      </w:tr>
      <w:tr>
        <w:trPr>
          <w:trHeight w:val="216"/>
        </w:trPr>
        <w:tc>
          <w:tcPr>
            <w:tcW w:w="8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Vehicles under operating leases</w:t>
            </w: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18,558</w:t>
            </w:r>
          </w:p>
        </w:tc>
        <w:tc>
          <w:tcPr>
            <w:tcW w:w="8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Contract liabilities</w:t>
            </w:r>
          </w:p>
        </w:tc>
        <w:tc>
          <w:tcPr>
            <w:tcW w:w="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8,008</w:t>
            </w:r>
          </w:p>
        </w:tc>
        <w:tc>
          <w:tcPr>
            <w:tcW w:w="8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15,679</w:t>
            </w:r>
          </w:p>
        </w:tc>
      </w:tr>
      <w:tr>
        <w:trPr>
          <w:trHeight w:val="216"/>
        </w:trPr>
        <w:tc>
          <w:tcPr>
            <w:tcW w:w="8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Trade receivables, prepaid expenses and other assets</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25,698</w:t>
            </w:r>
          </w:p>
        </w:tc>
        <w:tc>
          <w:tcPr>
            <w:tcW w:w="8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190,798</w:t>
            </w:r>
          </w:p>
        </w:tc>
      </w:tr>
      <w:tr>
        <w:trPr>
          <w:trHeight w:val="216"/>
        </w:trPr>
        <w:tc>
          <w:tcPr>
            <w:tcW w:w="8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Trade payables, accrued expenses and other liabilities</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(162,437)</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(105,517)</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Interest received</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775</w:t>
            </w:r>
          </w:p>
        </w:tc>
        <w:tc>
          <w:tcPr>
            <w:tcW w:w="8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849</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paid</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(34,381)</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(3,537)</w:t>
            </w:r>
          </w:p>
        </w:tc>
      </w:tr>
      <w:tr>
        <w:trPr>
          <w:trHeight w:val="230"/>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used for operating activities</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(401,926)</w:t>
            </w:r>
          </w:p>
        </w:tc>
        <w:tc>
          <w:tcPr>
            <w:tcW w:w="220" w:type="dxa"/>
            <w:vAlign w:val="bottom"/>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(112,940</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Additions to property, plant and equipment</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(1,624)</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(11,425)</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Additions to intangible assets</w:t>
            </w:r>
          </w:p>
        </w:tc>
        <w:tc>
          <w:tcPr>
            <w:tcW w:w="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(510,301)</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(47,364)</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Additions to other investments</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(2,480)</w:t>
            </w:r>
          </w:p>
        </w:tc>
        <w:tc>
          <w:tcPr>
            <w:tcW w:w="8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
        </w:trPr>
        <w:tc>
          <w:tcPr>
            <w:tcW w:w="8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used for investing activities</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(514,405)</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(58,789)</w:t>
            </w:r>
          </w:p>
        </w:tc>
      </w:tr>
      <w:tr>
        <w:trPr>
          <w:trHeight w:val="223"/>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restricted cash</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49,652</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short-term borrowings</w:t>
            </w: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414,916</w:t>
            </w:r>
          </w:p>
        </w:tc>
        <w:tc>
          <w:tcPr>
            <w:tcW w:w="8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84,868</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Principal repayments of short-term borrowings</w:t>
            </w:r>
          </w:p>
        </w:tc>
        <w:tc>
          <w:tcPr>
            <w:tcW w:w="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(211,514)</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(353,349)</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Principal repayments of lease liabilities</w:t>
            </w: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(6,124)</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(3,122)</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the issuance of share capital and other contributed capital</w:t>
            </w:r>
          </w:p>
        </w:tc>
        <w:tc>
          <w:tcPr>
            <w:tcW w:w="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1,416,000</w:t>
            </w:r>
          </w:p>
        </w:tc>
        <w:tc>
          <w:tcPr>
            <w:tcW w:w="8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550,000</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Transaction costs</w:t>
            </w: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(39,000)</w:t>
            </w:r>
          </w:p>
        </w:tc>
        <w:tc>
          <w:tcPr>
            <w:tcW w:w="8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provided by financing activities</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1,574,278</w:t>
            </w:r>
          </w:p>
        </w:tc>
        <w:tc>
          <w:tcPr>
            <w:tcW w:w="8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328,049</w:t>
            </w:r>
          </w:p>
        </w:tc>
      </w:tr>
      <w:tr>
        <w:trPr>
          <w:trHeight w:val="230"/>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Effect of foreign exchange rate changes on cash and cash equivalents</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(32,987)</w:t>
            </w:r>
          </w:p>
        </w:tc>
        <w:tc>
          <w:tcPr>
            <w:tcW w:w="220" w:type="dxa"/>
            <w:vAlign w:val="bottom"/>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(6,997)</w:t>
            </w:r>
          </w:p>
        </w:tc>
        <w:tc>
          <w:tcPr>
            <w:tcW w:w="120" w:type="dxa"/>
            <w:vAlign w:val="bottom"/>
          </w:tcPr>
          <w:p>
            <w:pPr>
              <w:spacing w:after="0"/>
              <w:rPr>
                <w:sz w:val="20"/>
                <w:szCs w:val="20"/>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increase in cash and cash equivalents</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624,960</w:t>
            </w:r>
          </w:p>
        </w:tc>
        <w:tc>
          <w:tcPr>
            <w:tcW w:w="8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149,323</w:t>
            </w:r>
          </w:p>
        </w:tc>
      </w:tr>
      <w:tr>
        <w:trPr>
          <w:trHeight w:val="230"/>
        </w:trPr>
        <w:tc>
          <w:tcPr>
            <w:tcW w:w="8680" w:type="dxa"/>
            <w:vAlign w:val="bottom"/>
          </w:tcPr>
          <w:p>
            <w:pPr>
              <w:ind w:left="720"/>
              <w:spacing w:after="0"/>
              <w:rPr>
                <w:sz w:val="20"/>
                <w:szCs w:val="20"/>
                <w:color w:val="auto"/>
              </w:rPr>
            </w:pPr>
            <w:r>
              <w:rPr>
                <w:rFonts w:ascii="Times New Roman" w:cs="Times New Roman" w:eastAsia="Times New Roman" w:hAnsi="Times New Roman"/>
                <w:sz w:val="18"/>
                <w:szCs w:val="18"/>
                <w:b w:val="1"/>
                <w:bCs w:val="1"/>
                <w:color w:val="auto"/>
              </w:rPr>
              <w:t>Cash and cash equivalents at beginning of period</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756,677</w:t>
            </w:r>
          </w:p>
        </w:tc>
        <w:tc>
          <w:tcPr>
            <w:tcW w:w="220" w:type="dxa"/>
            <w:vAlign w:val="bottom"/>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316,424</w:t>
            </w:r>
          </w:p>
        </w:tc>
        <w:tc>
          <w:tcPr>
            <w:tcW w:w="120" w:type="dxa"/>
            <w:vAlign w:val="bottom"/>
          </w:tcPr>
          <w:p>
            <w:pPr>
              <w:spacing w:after="0"/>
              <w:rPr>
                <w:sz w:val="20"/>
                <w:szCs w:val="20"/>
                <w:color w:val="auto"/>
              </w:rPr>
            </w:pPr>
          </w:p>
        </w:tc>
      </w:tr>
      <w:tr>
        <w:trPr>
          <w:trHeight w:val="216"/>
        </w:trPr>
        <w:tc>
          <w:tcPr>
            <w:tcW w:w="86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b w:val="1"/>
                <w:bCs w:val="1"/>
                <w:color w:val="auto"/>
              </w:rPr>
              <w:t>Cash and cash equivalents at end of period</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1,381,637</w:t>
            </w:r>
          </w:p>
        </w:tc>
        <w:tc>
          <w:tcPr>
            <w:tcW w:w="8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465,747</w:t>
            </w:r>
          </w:p>
        </w:tc>
      </w:tr>
      <w:tr>
        <w:trPr>
          <w:trHeight w:val="20"/>
        </w:trPr>
        <w:tc>
          <w:tcPr>
            <w:tcW w:w="8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F-70</w:t>
      </w:r>
    </w:p>
    <w:p>
      <w:pPr>
        <w:sectPr>
          <w:pgSz w:w="11900" w:h="16838" w:orient="portrait"/>
          <w:cols w:equalWidth="0" w:num="1">
            <w:col w:w="11140"/>
          </w:cols>
          <w:pgMar w:left="320" w:top="455" w:right="439" w:bottom="1440" w:gutter="0" w:footer="0" w:header="0"/>
        </w:sectPr>
      </w:pPr>
    </w:p>
    <w:bookmarkStart w:id="305" w:name="page306"/>
    <w:bookmarkEnd w:id="30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The Polestar Group</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 of Changes in Equity</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 thousands of U.S. dollars unless otherwise stated)</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3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gridSpan w:val="2"/>
            <w:vMerge w:val="restart"/>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10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9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116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380" w:type="dxa"/>
            <w:vAlign w:val="bottom"/>
          </w:tcPr>
          <w:p>
            <w:pPr>
              <w:spacing w:after="0"/>
              <w:rPr>
                <w:sz w:val="12"/>
                <w:szCs w:val="12"/>
                <w:color w:val="auto"/>
              </w:rPr>
            </w:pPr>
          </w:p>
        </w:tc>
        <w:tc>
          <w:tcPr>
            <w:tcW w:w="4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Note</w:t>
            </w:r>
          </w:p>
        </w:tc>
        <w:tc>
          <w:tcPr>
            <w:tcW w:w="1120" w:type="dxa"/>
            <w:vAlign w:val="bottom"/>
            <w:gridSpan w:val="2"/>
            <w:vMerge w:val="continue"/>
          </w:tcPr>
          <w:p>
            <w:pPr>
              <w:spacing w:after="0"/>
              <w:rPr>
                <w:sz w:val="12"/>
                <w:szCs w:val="12"/>
                <w:color w:val="auto"/>
              </w:rPr>
            </w:pPr>
          </w:p>
        </w:tc>
        <w:tc>
          <w:tcPr>
            <w:tcW w:w="100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contributed</w:t>
            </w:r>
          </w:p>
        </w:tc>
        <w:tc>
          <w:tcPr>
            <w:tcW w:w="9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translation</w:t>
            </w:r>
          </w:p>
        </w:tc>
        <w:tc>
          <w:tcPr>
            <w:tcW w:w="1160" w:type="dxa"/>
            <w:vAlign w:val="bottom"/>
            <w:gridSpan w:val="2"/>
            <w:vMerge w:val="continue"/>
          </w:tcPr>
          <w:p>
            <w:pPr>
              <w:spacing w:after="0"/>
              <w:rPr>
                <w:sz w:val="12"/>
                <w:szCs w:val="12"/>
                <w:color w:val="auto"/>
              </w:rPr>
            </w:pPr>
          </w:p>
        </w:tc>
        <w:tc>
          <w:tcPr>
            <w:tcW w:w="92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5380" w:type="dxa"/>
            <w:vAlign w:val="bottom"/>
          </w:tcPr>
          <w:p>
            <w:pPr>
              <w:spacing w:after="0"/>
              <w:rPr>
                <w:sz w:val="15"/>
                <w:szCs w:val="15"/>
                <w:color w:val="auto"/>
              </w:rPr>
            </w:pPr>
          </w:p>
        </w:tc>
        <w:tc>
          <w:tcPr>
            <w:tcW w:w="480" w:type="dxa"/>
            <w:vAlign w:val="bottom"/>
            <w:gridSpan w:val="2"/>
            <w:vMerge w:val="continue"/>
          </w:tcPr>
          <w:p>
            <w:pPr>
              <w:spacing w:after="0"/>
              <w:rPr>
                <w:sz w:val="15"/>
                <w:szCs w:val="15"/>
                <w:color w:val="auto"/>
              </w:rPr>
            </w:pPr>
          </w:p>
        </w:tc>
        <w:tc>
          <w:tcPr>
            <w:tcW w:w="112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0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8"/>
              </w:rPr>
              <w:t>capital</w:t>
            </w:r>
          </w:p>
        </w:tc>
        <w:tc>
          <w:tcPr>
            <w:tcW w:w="9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reserve</w:t>
            </w:r>
          </w:p>
        </w:tc>
        <w:tc>
          <w:tcPr>
            <w:tcW w:w="116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9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3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31, 2020</w:t>
            </w:r>
          </w:p>
        </w:tc>
        <w:tc>
          <w:tcPr>
            <w:tcW w:w="3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1,318,752</w:t>
            </w:r>
          </w:p>
        </w:tc>
        <w:tc>
          <w:tcPr>
            <w:tcW w:w="2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16,365</w:t>
            </w:r>
          </w:p>
        </w:tc>
        <w:tc>
          <w:tcPr>
            <w:tcW w:w="2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(754,406)</w:t>
            </w:r>
          </w:p>
        </w:tc>
        <w:tc>
          <w:tcPr>
            <w:tcW w:w="2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580,711</w:t>
            </w:r>
          </w:p>
        </w:tc>
        <w:tc>
          <w:tcPr>
            <w:tcW w:w="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(368,219)</w:t>
            </w: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(368,219)</w:t>
            </w: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(18,292)</w:t>
            </w:r>
          </w:p>
        </w:tc>
        <w:tc>
          <w:tcPr>
            <w:tcW w:w="11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(18,292)</w:t>
            </w:r>
          </w:p>
        </w:tc>
        <w:tc>
          <w:tcPr>
            <w:tcW w:w="0" w:type="dxa"/>
            <w:vAlign w:val="bottom"/>
          </w:tcPr>
          <w:p>
            <w:pPr>
              <w:spacing w:after="0"/>
              <w:rPr>
                <w:sz w:val="1"/>
                <w:szCs w:val="1"/>
                <w:color w:val="auto"/>
              </w:rPr>
            </w:pPr>
          </w:p>
        </w:tc>
      </w:tr>
      <w:tr>
        <w:trPr>
          <w:trHeight w:val="230"/>
        </w:trPr>
        <w:tc>
          <w:tcPr>
            <w:tcW w:w="5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comprehensive loss</w:t>
            </w: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0"/>
                <w:szCs w:val="20"/>
                <w:color w:val="auto"/>
              </w:rPr>
            </w:pPr>
          </w:p>
        </w:tc>
        <w:tc>
          <w:tcPr>
            <w:tcW w:w="840" w:type="dxa"/>
            <w:vAlign w:val="bottom"/>
            <w:tcBorders>
              <w:top w:val="single" w:sz="8" w:color="auto"/>
              <w:bottom w:val="single" w:sz="8" w:color="auto"/>
            </w:tcBorders>
          </w:tcPr>
          <w:p>
            <w:pPr>
              <w:ind w:left="58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(18,292)</w:t>
            </w:r>
          </w:p>
        </w:tc>
        <w:tc>
          <w:tcPr>
            <w:tcW w:w="200" w:type="dxa"/>
            <w:vAlign w:val="bottom"/>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(368,219)</w:t>
            </w:r>
          </w:p>
        </w:tc>
        <w:tc>
          <w:tcPr>
            <w:tcW w:w="240" w:type="dxa"/>
            <w:vAlign w:val="bottom"/>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(386,511)</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new shares</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550,000</w:t>
            </w:r>
          </w:p>
        </w:tc>
        <w:tc>
          <w:tcPr>
            <w:tcW w:w="100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550,000</w:t>
            </w:r>
          </w:p>
        </w:tc>
        <w:tc>
          <w:tcPr>
            <w:tcW w:w="0" w:type="dxa"/>
            <w:vAlign w:val="bottom"/>
          </w:tcPr>
          <w:p>
            <w:pPr>
              <w:spacing w:after="0"/>
              <w:rPr>
                <w:sz w:val="1"/>
                <w:szCs w:val="1"/>
                <w:color w:val="auto"/>
              </w:rPr>
            </w:pPr>
          </w:p>
        </w:tc>
      </w:tr>
      <w:tr>
        <w:trPr>
          <w:trHeight w:val="230"/>
        </w:trPr>
        <w:tc>
          <w:tcPr>
            <w:tcW w:w="5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as of June 30, 2021</w:t>
            </w: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1,868,752</w:t>
            </w:r>
          </w:p>
        </w:tc>
        <w:tc>
          <w:tcPr>
            <w:tcW w:w="220" w:type="dxa"/>
            <w:vAlign w:val="bottom"/>
          </w:tcPr>
          <w:p>
            <w:pPr>
              <w:spacing w:after="0"/>
              <w:rPr>
                <w:sz w:val="20"/>
                <w:szCs w:val="20"/>
                <w:color w:val="auto"/>
              </w:rPr>
            </w:pPr>
          </w:p>
        </w:tc>
        <w:tc>
          <w:tcPr>
            <w:tcW w:w="840" w:type="dxa"/>
            <w:vAlign w:val="bottom"/>
            <w:tcBorders>
              <w:top w:val="single" w:sz="8" w:color="auto"/>
              <w:bottom w:val="single" w:sz="8" w:color="auto"/>
            </w:tcBorders>
          </w:tcPr>
          <w:p>
            <w:pPr>
              <w:ind w:left="58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(1,927)</w:t>
            </w:r>
          </w:p>
        </w:tc>
        <w:tc>
          <w:tcPr>
            <w:tcW w:w="200" w:type="dxa"/>
            <w:vAlign w:val="bottom"/>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(1,122,625)</w:t>
            </w:r>
          </w:p>
        </w:tc>
        <w:tc>
          <w:tcPr>
            <w:tcW w:w="240" w:type="dxa"/>
            <w:vAlign w:val="bottom"/>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744,200</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31, 2021</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1,865,909</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35,231</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(16,784)</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(1,761,860)</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122,496</w:t>
            </w: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(502,734)</w:t>
            </w: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(502,734)</w:t>
            </w: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10,659</w:t>
            </w:r>
          </w:p>
        </w:tc>
        <w:tc>
          <w:tcPr>
            <w:tcW w:w="11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10,659</w:t>
            </w:r>
          </w:p>
        </w:tc>
        <w:tc>
          <w:tcPr>
            <w:tcW w:w="0" w:type="dxa"/>
            <w:vAlign w:val="bottom"/>
          </w:tcPr>
          <w:p>
            <w:pPr>
              <w:spacing w:after="0"/>
              <w:rPr>
                <w:sz w:val="1"/>
                <w:szCs w:val="1"/>
                <w:color w:val="auto"/>
              </w:rPr>
            </w:pPr>
          </w:p>
        </w:tc>
      </w:tr>
      <w:tr>
        <w:trPr>
          <w:trHeight w:val="230"/>
        </w:trPr>
        <w:tc>
          <w:tcPr>
            <w:tcW w:w="5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comprehensive loss</w:t>
            </w: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0"/>
                <w:szCs w:val="20"/>
                <w:color w:val="auto"/>
              </w:rPr>
            </w:pPr>
          </w:p>
        </w:tc>
        <w:tc>
          <w:tcPr>
            <w:tcW w:w="840" w:type="dxa"/>
            <w:vAlign w:val="bottom"/>
            <w:tcBorders>
              <w:top w:val="single" w:sz="8" w:color="auto"/>
              <w:bottom w:val="single" w:sz="8" w:color="auto"/>
            </w:tcBorders>
          </w:tcPr>
          <w:p>
            <w:pPr>
              <w:ind w:left="58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10,659</w:t>
            </w:r>
          </w:p>
        </w:tc>
        <w:tc>
          <w:tcPr>
            <w:tcW w:w="200" w:type="dxa"/>
            <w:vAlign w:val="bottom"/>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(502,734)</w:t>
            </w:r>
          </w:p>
        </w:tc>
        <w:tc>
          <w:tcPr>
            <w:tcW w:w="240" w:type="dxa"/>
            <w:vAlign w:val="bottom"/>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(492,075)</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Merger with Gores Guggenheim Inc.</w:t>
            </w:r>
          </w:p>
        </w:tc>
        <w:tc>
          <w:tcPr>
            <w:tcW w:w="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21,090</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1,677,664</w:t>
            </w: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(1,500,638)</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198,116</w:t>
            </w: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Changes in the consolidated group</w:t>
            </w: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(1,865,909)</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1,865,909</w:t>
            </w: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1,512</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1,512</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June 30, 2022</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21,090</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3,578,804</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(6,125)</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(3,763,720)</w:t>
            </w: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(169,951)</w:t>
            </w: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F-71</w:t>
      </w:r>
    </w:p>
    <w:p>
      <w:pPr>
        <w:sectPr>
          <w:pgSz w:w="11900" w:h="16838" w:orient="portrait"/>
          <w:cols w:equalWidth="0" w:num="1">
            <w:col w:w="11140"/>
          </w:cols>
          <w:pgMar w:left="320" w:top="455" w:right="439" w:bottom="1440" w:gutter="0" w:footer="0" w:header="0"/>
        </w:sectPr>
      </w:pPr>
    </w:p>
    <w:bookmarkStart w:id="306" w:name="page307"/>
    <w:bookmarkEnd w:id="30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(in thousands of U.S. dollars unless otherwise stated)</w:t>
      </w:r>
    </w:p>
    <w:p>
      <w:pPr>
        <w:spacing w:after="0" w:line="2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1 - Significant accounting policies and judgements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 information</w:t>
      </w:r>
    </w:p>
    <w:p>
      <w:pPr>
        <w:spacing w:after="0" w:line="121" w:lineRule="exact"/>
        <w:rPr>
          <w:sz w:val="20"/>
          <w:szCs w:val="20"/>
          <w:color w:val="auto"/>
        </w:rPr>
      </w:pPr>
    </w:p>
    <w:p>
      <w:pPr>
        <w:ind w:left="120" w:right="120"/>
        <w:spacing w:after="0" w:line="258" w:lineRule="auto"/>
        <w:rPr>
          <w:sz w:val="20"/>
          <w:szCs w:val="20"/>
          <w:color w:val="auto"/>
        </w:rPr>
      </w:pPr>
      <w:r>
        <w:rPr>
          <w:rFonts w:ascii="Times New Roman" w:cs="Times New Roman" w:eastAsia="Times New Roman" w:hAnsi="Times New Roman"/>
          <w:sz w:val="18"/>
          <w:szCs w:val="18"/>
          <w:color w:val="auto"/>
        </w:rPr>
        <w:t>Polestar Automotive Holding UK PLC (formerly known as Polestar Automotive Holding UK Limited) (the “Parent” or “ListCo”), together with its subsidiaries, hereafter referred to as “Polestar”, “Polestar Group,” and the “Group”, is a limited company incorporated in the United Kingdom. Polestar Group operates principally in the automotive industry, engaging in research and development, manufacturing, branding and marketing, and the commercialisation of battery electric vehicles, technologies, and services. Polestar Group operates in 25 markets across Europe, North America, and Asia. Global headquarters is located at Assar Gabrielssons väg 9, 418 78 Göteborg, Sweden.</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Merger with Gores Guggenheim, Inc.</w:t>
      </w:r>
    </w:p>
    <w:p>
      <w:pPr>
        <w:spacing w:after="0" w:line="121"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Gores Guggenheim, Inc. (“GGI”) was a special purpose acquisition company (“SPAC”) formed for the purpose of effecting a merger, capital stock exchange, asset acquisition, stock purchase, reorganisation or a similar business combination. GGI was incorporated in Delaware on December 21, 2021 and completed its initial public offering (“IPO”) on March 25, 2021.</w:t>
      </w:r>
    </w:p>
    <w:p>
      <w:pPr>
        <w:spacing w:after="0" w:line="176"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On September 27, 2021, GGI entered into a Business Combination Agreement (“BCA”) with Polestar Automotive Holding Limited, a Hong Kong incorporated company (“Former Parent”), Polestar Automotive (Singapore) Pte. Ltd., a private company limited by shares in Singapore (“Polestar Singapore”), Polestar Holding AB, a private limited liability company incorporated under the laws of Sweden (“Polestar Sweden”), Polestar Automotive Holding UK Limited, a limited company incorporated under the laws of England and Wales and a direct wholly owned subsidiary of the Former Parent (“ListCo”), and PAH UK Merger Sub Inc., a Delaware corporate and a direct wholly owned subsidiary of ListCo (“US Merger Sub”).</w:t>
      </w:r>
    </w:p>
    <w:p>
      <w:pPr>
        <w:spacing w:after="0" w:line="183" w:lineRule="exact"/>
        <w:rPr>
          <w:sz w:val="20"/>
          <w:szCs w:val="20"/>
          <w:color w:val="auto"/>
        </w:rPr>
      </w:pPr>
    </w:p>
    <w:p>
      <w:pPr>
        <w:ind w:left="120" w:right="120"/>
        <w:spacing w:after="0" w:line="261" w:lineRule="auto"/>
        <w:rPr>
          <w:sz w:val="20"/>
          <w:szCs w:val="20"/>
          <w:color w:val="auto"/>
        </w:rPr>
      </w:pPr>
      <w:r>
        <w:rPr>
          <w:rFonts w:ascii="Times New Roman" w:cs="Times New Roman" w:eastAsia="Times New Roman" w:hAnsi="Times New Roman"/>
          <w:sz w:val="18"/>
          <w:szCs w:val="18"/>
          <w:color w:val="auto"/>
        </w:rPr>
        <w:t>On June 23, 2022 (“Closing”), the Former Parent consummated the reverse recapitalisation pursuant to the terms and conditions of the BCA. At the Closing, Polestar Holding AB and its subsidiaries became wholly owned subsidiaries of ListCo. US Merger Sub merged with GGI, pursuant to which the separate corporate existence of US Merger Sub ceased and GGI became a wholly owned subsidiary of ListCo. Simultaneously, the following events occurred:</w:t>
      </w:r>
    </w:p>
    <w:p>
      <w:pPr>
        <w:spacing w:after="0" w:line="85" w:lineRule="exact"/>
        <w:rPr>
          <w:sz w:val="20"/>
          <w:szCs w:val="20"/>
          <w:color w:val="auto"/>
        </w:rPr>
      </w:pPr>
    </w:p>
    <w:p>
      <w:pPr>
        <w:ind w:left="1080" w:right="400" w:hanging="424"/>
        <w:spacing w:after="0" w:line="282" w:lineRule="auto"/>
        <w:tabs>
          <w:tab w:leader="none" w:pos="108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Convertible Notes of the Former Parent outstanding immediately prior to the Closing were automatically converted into 4,306,466 Class A Shares in ListCo;</w:t>
      </w:r>
    </w:p>
    <w:p>
      <w:pPr>
        <w:spacing w:after="0" w:line="67" w:lineRule="exact"/>
        <w:rPr>
          <w:rFonts w:ascii="Times New Roman" w:cs="Times New Roman" w:eastAsia="Times New Roman" w:hAnsi="Times New Roman"/>
          <w:sz w:val="18"/>
          <w:szCs w:val="18"/>
          <w:color w:val="auto"/>
        </w:rPr>
      </w:pPr>
    </w:p>
    <w:p>
      <w:pPr>
        <w:jc w:val="both"/>
        <w:ind w:left="1080" w:right="160" w:hanging="424"/>
        <w:spacing w:after="0" w:line="266" w:lineRule="auto"/>
        <w:tabs>
          <w:tab w:leader="none" w:pos="108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Former Parent was separated from Polestar Group and issued 294,877,349 Class A Shares in ListCo, 1,642,233,575 Class B Shares in ListCo, and the right to receive an earn out of a variable number of additional Class A Shares and Class B Shares, depending on the daily volume weighted average price of Class A Shares in the future;</w:t>
      </w:r>
    </w:p>
    <w:p>
      <w:pPr>
        <w:spacing w:after="0" w:line="81" w:lineRule="exact"/>
        <w:rPr>
          <w:rFonts w:ascii="Times New Roman" w:cs="Times New Roman" w:eastAsia="Times New Roman" w:hAnsi="Times New Roman"/>
          <w:sz w:val="18"/>
          <w:szCs w:val="18"/>
          <w:color w:val="auto"/>
        </w:rPr>
      </w:pPr>
    </w:p>
    <w:p>
      <w:pPr>
        <w:ind w:left="1080" w:right="360" w:hanging="424"/>
        <w:spacing w:after="0" w:line="282" w:lineRule="auto"/>
        <w:tabs>
          <w:tab w:leader="none" w:pos="108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GGI units outstanding immediately prior to the Closing held by GGI Stockholders were automatically separated and the holder was deemed to hold one share of GGI Class A Common Stock and one-fifth of a GGI Public Warrant;</w:t>
      </w:r>
    </w:p>
    <w:p>
      <w:pPr>
        <w:spacing w:after="0" w:line="67"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GGI Class A Common Stock issued and outstanding, other than those held in treasury, were exchanged for 65,389,140 Class A Shares in ListCo;</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GGI Class F Common Stock issued and outstanding, other than those held in treasury, were exchanged for 18,459,165 Class A Shares in ListCo;</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GGI Common Stock held in treasury were canceled and extinguished without consideration;</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F-72</w:t>
      </w:r>
    </w:p>
    <w:p>
      <w:pPr>
        <w:sectPr>
          <w:pgSz w:w="11900" w:h="16838" w:orient="portrait"/>
          <w:cols w:equalWidth="0" w:num="1">
            <w:col w:w="11140"/>
          </w:cols>
          <w:pgMar w:left="320" w:top="455" w:right="439" w:bottom="1440" w:gutter="0" w:footer="0" w:header="0"/>
        </w:sectPr>
      </w:pPr>
    </w:p>
    <w:bookmarkStart w:id="307" w:name="page308"/>
    <w:bookmarkEnd w:id="30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(in thousands of U.S. dollars unless otherwise stated)</w:t>
      </w:r>
    </w:p>
    <w:p>
      <w:pPr>
        <w:spacing w:after="0" w:line="234" w:lineRule="exact"/>
        <w:rPr>
          <w:sz w:val="20"/>
          <w:szCs w:val="20"/>
          <w:color w:val="auto"/>
        </w:rPr>
      </w:pPr>
    </w:p>
    <w:p>
      <w:pPr>
        <w:ind w:left="1080" w:right="440" w:hanging="424"/>
        <w:spacing w:after="0" w:line="282" w:lineRule="auto"/>
        <w:tabs>
          <w:tab w:leader="none" w:pos="108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GGI Public Warrants issued and outstanding immediately prior to the Closing were exchanged for 15,999,965 Class C-1 Shares in ListCo with effectively the same terms as the GGI Public Warrants and are exercisable for Class A Shares in ListCo;</w:t>
      </w:r>
    </w:p>
    <w:p>
      <w:pPr>
        <w:spacing w:after="0" w:line="67" w:lineRule="exact"/>
        <w:rPr>
          <w:rFonts w:ascii="Times New Roman" w:cs="Times New Roman" w:eastAsia="Times New Roman" w:hAnsi="Times New Roman"/>
          <w:sz w:val="18"/>
          <w:szCs w:val="18"/>
          <w:color w:val="auto"/>
        </w:rPr>
      </w:pPr>
    </w:p>
    <w:p>
      <w:pPr>
        <w:ind w:left="1080" w:right="480" w:hanging="424"/>
        <w:spacing w:after="0" w:line="282" w:lineRule="auto"/>
        <w:tabs>
          <w:tab w:leader="none" w:pos="108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GGI Private Warrants issued and outstanding immediately prior to the Closing were exchanged for 9,000,000 Class C-2 Shares in ListCo with effectively the same terms as the GGI Private Warrants and are exercisable for Class A Shares in ListCo;</w:t>
      </w:r>
    </w:p>
    <w:p>
      <w:pPr>
        <w:spacing w:after="0" w:line="67" w:lineRule="exact"/>
        <w:rPr>
          <w:rFonts w:ascii="Times New Roman" w:cs="Times New Roman" w:eastAsia="Times New Roman" w:hAnsi="Times New Roman"/>
          <w:sz w:val="18"/>
          <w:szCs w:val="18"/>
          <w:color w:val="auto"/>
        </w:rPr>
      </w:pPr>
    </w:p>
    <w:p>
      <w:pPr>
        <w:ind w:left="1080" w:right="160" w:hanging="424"/>
        <w:spacing w:after="0" w:line="312" w:lineRule="auto"/>
        <w:tabs>
          <w:tab w:leader="none" w:pos="1080" w:val="left"/>
        </w:tabs>
        <w:numPr>
          <w:ilvl w:val="0"/>
          <w:numId w:val="1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pursuant to the PIPE Subscription Agreements, third-party investors purchased 25,423,445 Class A Shares in ListCo and Volvo Cars purchased 1,117,390 Class A Shares in ListCo, for a total of 26,540,835 Class A Shares in ListCo for an aggregate total of $250,000; and</w:t>
      </w:r>
    </w:p>
    <w:p>
      <w:pPr>
        <w:spacing w:after="0" w:line="45" w:lineRule="exact"/>
        <w:rPr>
          <w:rFonts w:ascii="Times New Roman" w:cs="Times New Roman" w:eastAsia="Times New Roman" w:hAnsi="Times New Roman"/>
          <w:sz w:val="17"/>
          <w:szCs w:val="17"/>
          <w:color w:val="auto"/>
        </w:rPr>
      </w:pPr>
    </w:p>
    <w:p>
      <w:pPr>
        <w:ind w:left="1080" w:right="460" w:hanging="424"/>
        <w:spacing w:after="0" w:line="282" w:lineRule="auto"/>
        <w:tabs>
          <w:tab w:leader="none" w:pos="108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Volvo Cars Preference Subscription Agreement, Volvo Cars purchased 58,882,610 Preference Shares in ListCo for an aggregate total of $588,826 which automatically converted to Class A Shares in ListCo thereafter.</w:t>
      </w:r>
    </w:p>
    <w:p>
      <w:pPr>
        <w:spacing w:after="0" w:line="162" w:lineRule="exact"/>
        <w:rPr>
          <w:sz w:val="20"/>
          <w:szCs w:val="20"/>
          <w:color w:val="auto"/>
        </w:rPr>
      </w:pPr>
    </w:p>
    <w:p>
      <w:pPr>
        <w:ind w:left="120" w:right="140"/>
        <w:spacing w:after="0" w:line="258" w:lineRule="auto"/>
        <w:rPr>
          <w:sz w:val="20"/>
          <w:szCs w:val="20"/>
          <w:color w:val="auto"/>
        </w:rPr>
      </w:pPr>
      <w:r>
        <w:rPr>
          <w:rFonts w:ascii="Times New Roman" w:cs="Times New Roman" w:eastAsia="Times New Roman" w:hAnsi="Times New Roman"/>
          <w:sz w:val="18"/>
          <w:szCs w:val="18"/>
          <w:color w:val="auto"/>
        </w:rPr>
        <w:t>The merger with GGI, including all related arrangements, raised approximately $1,477,023 in gross cash proceeds, of which approximately $638,197 was assumed from GGI, $250,000 was sourced from the PIPE Subscription Agreements, and $588,826 was sourced from the Volvo Cars Preference Subscription Agreement. Polestar paid total transaction costs of $98,050 in connection with the merger, of which $59,050 were attributable to GGI and deducted from the gross cash proceeds raised. The merger was accounted for as a reverse recapitalisation, in accordance with the relevant International Financial Reporting Standards (“IFRS”). Refer to Note 10 - Reverse recapitalisation for additional information.</w:t>
      </w:r>
    </w:p>
    <w:p>
      <w:pPr>
        <w:spacing w:after="0" w:line="183" w:lineRule="exact"/>
        <w:rPr>
          <w:sz w:val="20"/>
          <w:szCs w:val="20"/>
          <w:color w:val="auto"/>
        </w:rPr>
      </w:pPr>
    </w:p>
    <w:p>
      <w:pPr>
        <w:ind w:left="120" w:right="500"/>
        <w:spacing w:after="0" w:line="282" w:lineRule="auto"/>
        <w:rPr>
          <w:sz w:val="20"/>
          <w:szCs w:val="20"/>
          <w:color w:val="auto"/>
        </w:rPr>
      </w:pPr>
      <w:r>
        <w:rPr>
          <w:rFonts w:ascii="Times New Roman" w:cs="Times New Roman" w:eastAsia="Times New Roman" w:hAnsi="Times New Roman"/>
          <w:sz w:val="18"/>
          <w:szCs w:val="18"/>
          <w:color w:val="auto"/>
        </w:rPr>
        <w:t>Immediately following the closing of the transaction, ListCo changed its name to Polestar Automotive Holding UK PLC and began trading on the National Association of Securities Dealers Automated Quotations (“Nasdaq”) under the ticker symbol PSNY.</w:t>
      </w:r>
    </w:p>
    <w:p>
      <w:pPr>
        <w:spacing w:after="0" w:line="162" w:lineRule="exact"/>
        <w:rPr>
          <w:sz w:val="20"/>
          <w:szCs w:val="20"/>
          <w:color w:val="auto"/>
        </w:rPr>
      </w:pPr>
    </w:p>
    <w:p>
      <w:pPr>
        <w:ind w:left="120" w:right="300"/>
        <w:spacing w:after="0" w:line="282" w:lineRule="auto"/>
        <w:rPr>
          <w:sz w:val="20"/>
          <w:szCs w:val="20"/>
          <w:color w:val="auto"/>
        </w:rPr>
      </w:pPr>
      <w:r>
        <w:rPr>
          <w:rFonts w:ascii="Times New Roman" w:cs="Times New Roman" w:eastAsia="Times New Roman" w:hAnsi="Times New Roman"/>
          <w:sz w:val="18"/>
          <w:szCs w:val="18"/>
          <w:color w:val="auto"/>
        </w:rPr>
        <w:t>As of June 30, 2022, the Former Parent (including also direct ownership by Volvo Cars) owns 94.7% of the Group. The remaining 5.3% is owned by external investors.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Basis of preparation</w:t>
      </w:r>
    </w:p>
    <w:p>
      <w:pPr>
        <w:spacing w:after="0" w:line="121" w:lineRule="exact"/>
        <w:rPr>
          <w:sz w:val="20"/>
          <w:szCs w:val="20"/>
          <w:color w:val="auto"/>
        </w:rPr>
      </w:pPr>
    </w:p>
    <w:p>
      <w:pPr>
        <w:ind w:left="120" w:right="120"/>
        <w:spacing w:after="0" w:line="261" w:lineRule="auto"/>
        <w:rPr>
          <w:sz w:val="20"/>
          <w:szCs w:val="20"/>
          <w:color w:val="auto"/>
        </w:rPr>
      </w:pPr>
      <w:r>
        <w:rPr>
          <w:rFonts w:ascii="Times New Roman" w:cs="Times New Roman" w:eastAsia="Times New Roman" w:hAnsi="Times New Roman"/>
          <w:sz w:val="18"/>
          <w:szCs w:val="18"/>
          <w:color w:val="auto"/>
        </w:rPr>
        <w:t>The Unaudited Condensed Consolidated Financial Statements in this interim report of Polestar Group are prepared in accordance with International Accounting Standards (“IAS”) 34 - Interim Financial Reporting (“IAS 34”) as adopted by the International Accounting Standards Board (“IASB”). For financial reporting purposes, Polestar Group companies apply the same accounting principles, irrespective of national legislation, as defined in the Group accounting directives. Such accounting principals have been applied consistently for all periods, unless otherwise stated.</w:t>
      </w:r>
    </w:p>
    <w:p>
      <w:pPr>
        <w:spacing w:after="0" w:line="180" w:lineRule="exact"/>
        <w:rPr>
          <w:sz w:val="20"/>
          <w:szCs w:val="20"/>
          <w:color w:val="auto"/>
        </w:rPr>
      </w:pPr>
    </w:p>
    <w:p>
      <w:pPr>
        <w:ind w:left="120" w:right="580"/>
        <w:spacing w:after="0" w:line="282" w:lineRule="auto"/>
        <w:rPr>
          <w:sz w:val="20"/>
          <w:szCs w:val="20"/>
          <w:color w:val="auto"/>
        </w:rPr>
      </w:pPr>
      <w:r>
        <w:rPr>
          <w:rFonts w:ascii="Times New Roman" w:cs="Times New Roman" w:eastAsia="Times New Roman" w:hAnsi="Times New Roman"/>
          <w:sz w:val="18"/>
          <w:szCs w:val="18"/>
          <w:color w:val="auto"/>
        </w:rPr>
        <w:t>This interim report is prepared in the presentation currency, U.S. Dollar (“USD”). All amounts are stated in thousands of USD (“TUSD”), unless otherwise stated.</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Going concern</w:t>
      </w:r>
    </w:p>
    <w:p>
      <w:pPr>
        <w:spacing w:after="0" w:line="121"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Polestar Group’s Unaudited Condensed Consolidated Financial Statements have been prepared on a basis that assumes Polestar Group will continue as a going concern and the ordinary course of business will continue in alignment with management’s 2022-2025 business plan.</w:t>
      </w:r>
    </w:p>
    <w:p>
      <w:pPr>
        <w:spacing w:after="0" w:line="162"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Management assessed Polestar Group’s ability to continue as a going concern and evaluated whether there are certain events or conditions, considered in the aggregate, that may cast substantial doubt about Polestar Group’s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F-73</w:t>
      </w:r>
    </w:p>
    <w:p>
      <w:pPr>
        <w:sectPr>
          <w:pgSz w:w="11900" w:h="16838" w:orient="portrait"/>
          <w:cols w:equalWidth="0" w:num="1">
            <w:col w:w="11120"/>
          </w:cols>
          <w:pgMar w:left="320" w:top="455" w:right="459" w:bottom="1440" w:gutter="0" w:footer="0" w:header="0"/>
        </w:sectPr>
      </w:pPr>
    </w:p>
    <w:bookmarkStart w:id="308" w:name="page309"/>
    <w:bookmarkEnd w:id="30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(in thousands of U.S. dollars unless otherwise stated)</w:t>
      </w:r>
    </w:p>
    <w:p>
      <w:pPr>
        <w:spacing w:after="0" w:line="234" w:lineRule="exact"/>
        <w:rPr>
          <w:sz w:val="20"/>
          <w:szCs w:val="20"/>
          <w:color w:val="auto"/>
        </w:rPr>
      </w:pPr>
    </w:p>
    <w:p>
      <w:pPr>
        <w:ind w:left="120" w:right="220"/>
        <w:spacing w:after="0" w:line="282" w:lineRule="auto"/>
        <w:rPr>
          <w:sz w:val="20"/>
          <w:szCs w:val="20"/>
          <w:color w:val="auto"/>
        </w:rPr>
      </w:pPr>
      <w:r>
        <w:rPr>
          <w:rFonts w:ascii="Times New Roman" w:cs="Times New Roman" w:eastAsia="Times New Roman" w:hAnsi="Times New Roman"/>
          <w:sz w:val="18"/>
          <w:szCs w:val="18"/>
          <w:color w:val="auto"/>
        </w:rPr>
        <w:t>ability to continue as a going concern. All information available to management pertaining to the twelve-month period after the issuance date of these Unaudited Condensed Consolidated Financial Statements was used in performing this assessment.</w:t>
      </w:r>
    </w:p>
    <w:p>
      <w:pPr>
        <w:spacing w:after="0" w:line="162"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Historically, Polestar Group has financed its operations primarily through short-term working capital loan arrangements with credit institutions (i.e., 12 months or less), contributions from shareholders, and extended trade credit from related parties. Since inception, Polestar Group has generated recurring net losses and negative operating and investing cash flows. Net losses for the six months ended June 30, 2022 and 2021 amounted to $502,734 and $368,219 respectively.</w:t>
      </w:r>
    </w:p>
    <w:p>
      <w:pPr>
        <w:spacing w:after="0" w:line="180" w:lineRule="exact"/>
        <w:rPr>
          <w:sz w:val="20"/>
          <w:szCs w:val="20"/>
          <w:color w:val="auto"/>
        </w:rPr>
      </w:pPr>
    </w:p>
    <w:p>
      <w:pPr>
        <w:ind w:left="120" w:right="260"/>
        <w:spacing w:after="0" w:line="261" w:lineRule="auto"/>
        <w:rPr>
          <w:sz w:val="20"/>
          <w:szCs w:val="20"/>
          <w:color w:val="auto"/>
        </w:rPr>
      </w:pPr>
      <w:r>
        <w:rPr>
          <w:rFonts w:ascii="Times New Roman" w:cs="Times New Roman" w:eastAsia="Times New Roman" w:hAnsi="Times New Roman"/>
          <w:sz w:val="18"/>
          <w:szCs w:val="18"/>
          <w:color w:val="auto"/>
        </w:rPr>
        <w:t>Negative operating and investing cash flows for the six months ended June 30, 2022 and 2021 amounted to $916,331 and $171,729 respectively. Management forecasts that Polestar Group will continue to generate negative operating and investing cash flows in the near-future, until sustainable commercial operations are achieved. Securing financing to support operating and development activities represents an ongoing challenge for Polestar Group.</w:t>
      </w:r>
    </w:p>
    <w:p>
      <w:pPr>
        <w:spacing w:after="0" w:line="180"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Management’s 2022-2025 business plan indicates that Polestar Group depends on additional financing that is expected to be funded via a combination of new short-term working capital loan arrangements, long-term loan arrangements, and new share issuances. The timely realisation of these financing endeavors is crucial for Polestar Group’s ability to continue as a going concern. If these financing endeavors are not successful or sufficient enough to cover forecasted operating and investing cash flow needs, Polestar Group will need to seek additional funding through other means. Management has no certainty that Polestar Group will be successful in securing the funds necessary to continue operating and development activities as planned.</w:t>
      </w:r>
    </w:p>
    <w:p>
      <w:pPr>
        <w:spacing w:after="0" w:line="183" w:lineRule="exact"/>
        <w:rPr>
          <w:sz w:val="20"/>
          <w:szCs w:val="20"/>
          <w:color w:val="auto"/>
        </w:rPr>
      </w:pPr>
    </w:p>
    <w:p>
      <w:pPr>
        <w:ind w:left="120" w:right="400"/>
        <w:spacing w:after="0" w:line="266" w:lineRule="auto"/>
        <w:rPr>
          <w:sz w:val="20"/>
          <w:szCs w:val="20"/>
          <w:color w:val="auto"/>
        </w:rPr>
      </w:pPr>
      <w:r>
        <w:rPr>
          <w:rFonts w:ascii="Times New Roman" w:cs="Times New Roman" w:eastAsia="Times New Roman" w:hAnsi="Times New Roman"/>
          <w:sz w:val="18"/>
          <w:szCs w:val="18"/>
          <w:color w:val="auto"/>
        </w:rPr>
        <w:t>Based on these circumstances, management has determined there is substantial doubt about Polestar Group’s ability to continue as a going concern. There are ongoing efforts in place to mitigate the uncertainty. The Unaudited Condensed Consolidated Financial Statements do not include any adjustments to factor for the going concern uncertainty.</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Adoption of new and revised standards</w:t>
      </w:r>
    </w:p>
    <w:p>
      <w:pPr>
        <w:spacing w:after="0" w:line="121"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Management concluded the adoption of new and revised accounting pronouncements has not and will not have a material impact on the Group’s Unaudited Condensed Consolidated Financial Statements. The adoptions of accounting pronouncements issued, but not effective, for the six months ended June 30, 2022 will not have a material impact to the Group’s Unaudited Condensed Consolidated Financial Statements. For a detailed assessment of the Group’s adoption of new and revised standards, refer to Note 1 - Significant accounting policies and judgements of the Consolidated Financial Statements for Polestar Automotive Holding Limited, as of, and for the year ended, December 31, 2021 that were included in the Form 20-F filed with the United States Securities and Exchange Commission (“SEC”) on June 29, 2022.</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Presentation, basis of consolidation, segment reporting, and foreign currency</w:t>
      </w:r>
    </w:p>
    <w:p>
      <w:pPr>
        <w:spacing w:after="0" w:line="121" w:lineRule="exact"/>
        <w:rPr>
          <w:sz w:val="20"/>
          <w:szCs w:val="20"/>
          <w:color w:val="auto"/>
        </w:rPr>
      </w:pPr>
    </w:p>
    <w:p>
      <w:pPr>
        <w:ind w:left="120" w:right="140"/>
        <w:spacing w:after="0" w:line="261" w:lineRule="auto"/>
        <w:rPr>
          <w:sz w:val="20"/>
          <w:szCs w:val="20"/>
          <w:color w:val="auto"/>
        </w:rPr>
      </w:pPr>
      <w:r>
        <w:rPr>
          <w:rFonts w:ascii="Times New Roman" w:cs="Times New Roman" w:eastAsia="Times New Roman" w:hAnsi="Times New Roman"/>
          <w:sz w:val="18"/>
          <w:szCs w:val="18"/>
          <w:color w:val="auto"/>
        </w:rPr>
        <w:t>For a detailed description of the Group’s presentation, basis of consolidation, segment reporting, and foreign currency, including currency risk, refer to Note 1 - Significant accounting policies and judgements and Note 2 - Financial risk management of the Consolidated Financial Statements for Polestar Automotive Holding Limited, as of, and for the year ended, December 31, 2021 that were included in the Form 20-F filed with the SEC on June 29, 2022. There are no changes for the periods presented in these Unaudited Condensed Consolidated Financial Statements.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F-74</w:t>
      </w:r>
    </w:p>
    <w:p>
      <w:pPr>
        <w:sectPr>
          <w:pgSz w:w="11900" w:h="16838" w:orient="portrait"/>
          <w:cols w:equalWidth="0" w:num="1">
            <w:col w:w="11120"/>
          </w:cols>
          <w:pgMar w:left="320" w:top="455" w:right="459" w:bottom="1440" w:gutter="0" w:footer="0" w:header="0"/>
        </w:sectPr>
      </w:pPr>
    </w:p>
    <w:bookmarkStart w:id="309" w:name="page310"/>
    <w:bookmarkEnd w:id="30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(in thousands of U.S. dollars unless otherwise stated)</w:t>
      </w:r>
    </w:p>
    <w:p>
      <w:pPr>
        <w:spacing w:after="0" w:line="234" w:lineRule="exact"/>
        <w:rPr>
          <w:sz w:val="20"/>
          <w:szCs w:val="20"/>
          <w:color w:val="auto"/>
        </w:rPr>
      </w:pPr>
    </w:p>
    <w:p>
      <w:pPr>
        <w:ind w:left="120" w:right="200"/>
        <w:spacing w:after="0" w:line="282" w:lineRule="auto"/>
        <w:rPr>
          <w:sz w:val="20"/>
          <w:szCs w:val="20"/>
          <w:color w:val="auto"/>
        </w:rPr>
      </w:pPr>
      <w:r>
        <w:rPr>
          <w:rFonts w:ascii="Times New Roman" w:cs="Times New Roman" w:eastAsia="Times New Roman" w:hAnsi="Times New Roman"/>
          <w:sz w:val="18"/>
          <w:szCs w:val="18"/>
          <w:color w:val="auto"/>
        </w:rPr>
        <w:t>The following tables show the breakdown of the Group’s revenue from external customers and non-current assets (i.e., PPE, intangibles, goodwill and vehicles under operating leases) by geographical location:</w:t>
      </w:r>
    </w:p>
    <w:p>
      <w:pPr>
        <w:spacing w:after="0" w:line="182"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6260" w:type="dxa"/>
            <w:vAlign w:val="bottom"/>
          </w:tcPr>
          <w:p>
            <w:pPr>
              <w:spacing w:after="0"/>
              <w:rPr>
                <w:sz w:val="15"/>
                <w:szCs w:val="15"/>
                <w:color w:val="auto"/>
              </w:rPr>
            </w:pPr>
          </w:p>
        </w:tc>
        <w:tc>
          <w:tcPr>
            <w:tcW w:w="2100" w:type="dxa"/>
            <w:vAlign w:val="bottom"/>
            <w:gridSpan w:val="5"/>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42"/>
        </w:trPr>
        <w:tc>
          <w:tcPr>
            <w:tcW w:w="6260" w:type="dxa"/>
            <w:vAlign w:val="bottom"/>
            <w:tcBorders>
              <w:bottom w:val="single" w:sz="8" w:color="CCEEFF"/>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233"/>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Borders>
              <w:top w:val="single" w:sz="8" w:color="auto"/>
              <w:bottom w:val="single" w:sz="8" w:color="CCEEFF"/>
            </w:tcBorders>
          </w:tcPr>
          <w:p>
            <w:pPr>
              <w:spacing w:after="0"/>
              <w:rPr>
                <w:sz w:val="12"/>
                <w:szCs w:val="12"/>
                <w:color w:val="auto"/>
              </w:rPr>
            </w:pPr>
          </w:p>
        </w:tc>
        <w:tc>
          <w:tcPr>
            <w:tcW w:w="280" w:type="dxa"/>
            <w:vAlign w:val="bottom"/>
            <w:tcBorders>
              <w:top w:val="single" w:sz="8" w:color="auto"/>
              <w:bottom w:val="single" w:sz="8" w:color="CCEEFF"/>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172"/>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60" w:type="dxa"/>
            <w:vAlign w:val="bottom"/>
            <w:tcBorders>
              <w:bottom w:val="single" w:sz="8" w:color="CCEEFF"/>
            </w:tcBorders>
          </w:tcPr>
          <w:p>
            <w:pPr>
              <w:spacing w:after="0"/>
              <w:rPr>
                <w:sz w:val="12"/>
                <w:szCs w:val="12"/>
                <w:color w:val="auto"/>
              </w:rPr>
            </w:pPr>
          </w:p>
        </w:tc>
      </w:tr>
      <w:tr>
        <w:trPr>
          <w:trHeight w:val="196"/>
        </w:trPr>
        <w:tc>
          <w:tcPr>
            <w:tcW w:w="62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Revenue</w:t>
            </w:r>
          </w:p>
        </w:tc>
        <w:tc>
          <w:tcPr>
            <w:tcW w:w="9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6"/>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USA</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214,231</w:t>
            </w:r>
          </w:p>
        </w:tc>
        <w:tc>
          <w:tcPr>
            <w:tcW w:w="28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31,586</w:t>
            </w:r>
          </w:p>
        </w:tc>
      </w:tr>
      <w:tr>
        <w:trPr>
          <w:trHeight w:val="216"/>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Sweden</w:t>
            </w: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155,157</w:t>
            </w:r>
          </w:p>
        </w:tc>
        <w:tc>
          <w:tcPr>
            <w:tcW w:w="2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93,572</w:t>
            </w:r>
          </w:p>
        </w:tc>
      </w:tr>
      <w:tr>
        <w:trPr>
          <w:trHeight w:val="216"/>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UK</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137,218</w:t>
            </w:r>
          </w:p>
        </w:tc>
        <w:tc>
          <w:tcPr>
            <w:tcW w:w="28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90,684</w:t>
            </w:r>
          </w:p>
        </w:tc>
      </w:tr>
      <w:tr>
        <w:trPr>
          <w:trHeight w:val="216"/>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Norway</w:t>
            </w: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116,522</w:t>
            </w:r>
          </w:p>
        </w:tc>
        <w:tc>
          <w:tcPr>
            <w:tcW w:w="2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136,961</w:t>
            </w:r>
          </w:p>
        </w:tc>
      </w:tr>
      <w:tr>
        <w:trPr>
          <w:trHeight w:val="216"/>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Germany</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102,209</w:t>
            </w:r>
          </w:p>
        </w:tc>
        <w:tc>
          <w:tcPr>
            <w:tcW w:w="28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58,840</w:t>
            </w:r>
          </w:p>
        </w:tc>
      </w:tr>
      <w:tr>
        <w:trPr>
          <w:trHeight w:val="216"/>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Netherlands</w:t>
            </w: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55,938</w:t>
            </w:r>
          </w:p>
        </w:tc>
        <w:tc>
          <w:tcPr>
            <w:tcW w:w="2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46,956</w:t>
            </w:r>
          </w:p>
        </w:tc>
      </w:tr>
      <w:tr>
        <w:trPr>
          <w:trHeight w:val="216"/>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China</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31,643</w:t>
            </w:r>
          </w:p>
        </w:tc>
        <w:tc>
          <w:tcPr>
            <w:tcW w:w="28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16,220</w:t>
            </w:r>
          </w:p>
        </w:tc>
      </w:tr>
      <w:tr>
        <w:trPr>
          <w:trHeight w:val="216"/>
        </w:trPr>
        <w:tc>
          <w:tcPr>
            <w:tcW w:w="626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Other regions</w:t>
            </w:r>
            <w:r>
              <w:rPr>
                <w:rFonts w:ascii="Times New Roman" w:cs="Times New Roman" w:eastAsia="Times New Roman" w:hAnsi="Times New Roman"/>
                <w:sz w:val="25"/>
                <w:szCs w:val="25"/>
                <w:color w:val="auto"/>
                <w:vertAlign w:val="superscript"/>
              </w:rPr>
              <w:t>1</w:t>
            </w: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228,379</w:t>
            </w:r>
          </w:p>
        </w:tc>
        <w:tc>
          <w:tcPr>
            <w:tcW w:w="2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59,960</w:t>
            </w:r>
          </w:p>
        </w:tc>
      </w:tr>
      <w:tr>
        <w:trPr>
          <w:trHeight w:val="223"/>
        </w:trPr>
        <w:tc>
          <w:tcPr>
            <w:tcW w:w="6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1,041,297</w:t>
            </w:r>
          </w:p>
        </w:tc>
        <w:tc>
          <w:tcPr>
            <w:tcW w:w="2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534,779</w:t>
            </w:r>
          </w:p>
        </w:tc>
        <w:tc>
          <w:tcPr>
            <w:tcW w:w="60" w:type="dxa"/>
            <w:vAlign w:val="bottom"/>
          </w:tcPr>
          <w:p>
            <w:pPr>
              <w:spacing w:after="0"/>
              <w:rPr>
                <w:sz w:val="19"/>
                <w:szCs w:val="19"/>
                <w:color w:val="auto"/>
              </w:rPr>
            </w:pPr>
          </w:p>
        </w:tc>
      </w:tr>
    </w:tbl>
    <w:p>
      <w:pPr>
        <w:spacing w:after="0" w:line="238" w:lineRule="exact"/>
        <w:rPr>
          <w:sz w:val="20"/>
          <w:szCs w:val="20"/>
          <w:color w:val="auto"/>
        </w:rPr>
      </w:pPr>
    </w:p>
    <w:p>
      <w:pPr>
        <w:ind w:left="560" w:right="580" w:hanging="444"/>
        <w:spacing w:after="0" w:line="282" w:lineRule="auto"/>
        <w:tabs>
          <w:tab w:leader="none" w:pos="540" w:val="left"/>
        </w:tabs>
        <w:rPr>
          <w:sz w:val="20"/>
          <w:szCs w:val="20"/>
          <w:color w:val="auto"/>
        </w:rPr>
      </w:pPr>
      <w:r>
        <w:rPr>
          <w:rFonts w:ascii="Times New Roman" w:cs="Times New Roman" w:eastAsia="Times New Roman" w:hAnsi="Times New Roman"/>
          <w:sz w:val="18"/>
          <w:szCs w:val="18"/>
          <w:color w:val="auto"/>
        </w:rPr>
        <w:t>1 -</w:t>
        <w:tab/>
        <w:t>Revenue: Other regions primarily consist of South Korea, Belgium, and Denmark in 2022. Other regions primarily consist of Belgium and Switzerland in 2021.</w:t>
      </w:r>
    </w:p>
    <w:p>
      <w:pPr>
        <w:spacing w:after="0" w:line="170"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940" w:type="dxa"/>
            <w:vAlign w:val="bottom"/>
          </w:tcPr>
          <w:p>
            <w:pPr>
              <w:spacing w:after="0"/>
              <w:rPr>
                <w:sz w:val="13"/>
                <w:szCs w:val="13"/>
                <w:color w:val="auto"/>
              </w:rPr>
            </w:pPr>
          </w:p>
        </w:tc>
        <w:tc>
          <w:tcPr>
            <w:tcW w:w="142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As of June 30,</w:t>
            </w:r>
          </w:p>
        </w:tc>
        <w:tc>
          <w:tcPr>
            <w:tcW w:w="100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7"/>
              </w:rPr>
              <w:t>As of</w:t>
            </w:r>
          </w:p>
        </w:tc>
        <w:tc>
          <w:tcPr>
            <w:tcW w:w="0" w:type="dxa"/>
            <w:vAlign w:val="bottom"/>
          </w:tcPr>
          <w:p>
            <w:pPr>
              <w:spacing w:after="0"/>
              <w:rPr>
                <w:sz w:val="1"/>
                <w:szCs w:val="1"/>
                <w:color w:val="auto"/>
              </w:rPr>
            </w:pPr>
          </w:p>
        </w:tc>
      </w:tr>
      <w:tr>
        <w:trPr>
          <w:trHeight w:val="149"/>
        </w:trPr>
        <w:tc>
          <w:tcPr>
            <w:tcW w:w="5940" w:type="dxa"/>
            <w:vAlign w:val="bottom"/>
          </w:tcPr>
          <w:p>
            <w:pPr>
              <w:spacing w:after="0"/>
              <w:rPr>
                <w:sz w:val="12"/>
                <w:szCs w:val="12"/>
                <w:color w:val="auto"/>
              </w:rPr>
            </w:pPr>
          </w:p>
        </w:tc>
        <w:tc>
          <w:tcPr>
            <w:tcW w:w="1420" w:type="dxa"/>
            <w:vAlign w:val="bottom"/>
            <w:gridSpan w:val="3"/>
            <w:vMerge w:val="continue"/>
          </w:tcPr>
          <w:p>
            <w:pPr>
              <w:spacing w:after="0"/>
              <w:rPr>
                <w:sz w:val="12"/>
                <w:szCs w:val="12"/>
                <w:color w:val="auto"/>
              </w:rPr>
            </w:pPr>
          </w:p>
        </w:tc>
        <w:tc>
          <w:tcPr>
            <w:tcW w:w="100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594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Borders>
              <w:bottom w:val="single" w:sz="8" w:color="CCEEFF"/>
            </w:tcBorders>
          </w:tcPr>
          <w:p>
            <w:pPr>
              <w:spacing w:after="0"/>
              <w:rPr>
                <w:sz w:val="15"/>
                <w:szCs w:val="15"/>
                <w:color w:val="auto"/>
              </w:rPr>
            </w:pPr>
          </w:p>
        </w:tc>
        <w:tc>
          <w:tcPr>
            <w:tcW w:w="46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59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Non-current assets</w:t>
            </w:r>
          </w:p>
        </w:tc>
        <w:tc>
          <w:tcPr>
            <w:tcW w:w="9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Sweden</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1,113,564</w:t>
            </w:r>
          </w:p>
        </w:tc>
        <w:tc>
          <w:tcPr>
            <w:tcW w:w="46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954,842</w:t>
            </w: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China</w:t>
            </w: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524,896</w:t>
            </w:r>
          </w:p>
        </w:tc>
        <w:tc>
          <w:tcPr>
            <w:tcW w:w="4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637,900</w:t>
            </w:r>
          </w:p>
        </w:tc>
        <w:tc>
          <w:tcPr>
            <w:tcW w:w="0" w:type="dxa"/>
            <w:vAlign w:val="bottom"/>
          </w:tcPr>
          <w:p>
            <w:pPr>
              <w:spacing w:after="0"/>
              <w:rPr>
                <w:sz w:val="1"/>
                <w:szCs w:val="1"/>
                <w:color w:val="auto"/>
              </w:rPr>
            </w:pP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USA</w:t>
            </w:r>
          </w:p>
        </w:tc>
        <w:tc>
          <w:tcPr>
            <w:tcW w:w="142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color w:val="auto"/>
              </w:rPr>
              <w:t>60,129</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64,072</w:t>
            </w: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Germany</w:t>
            </w:r>
          </w:p>
        </w:tc>
        <w:tc>
          <w:tcPr>
            <w:tcW w:w="1420" w:type="dxa"/>
            <w:vAlign w:val="bottom"/>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24,587</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24,009</w:t>
            </w:r>
          </w:p>
        </w:tc>
        <w:tc>
          <w:tcPr>
            <w:tcW w:w="0" w:type="dxa"/>
            <w:vAlign w:val="bottom"/>
          </w:tcPr>
          <w:p>
            <w:pPr>
              <w:spacing w:after="0"/>
              <w:rPr>
                <w:sz w:val="1"/>
                <w:szCs w:val="1"/>
                <w:color w:val="auto"/>
              </w:rPr>
            </w:pP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Netherlands</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2,681</w:t>
            </w:r>
          </w:p>
        </w:tc>
        <w:tc>
          <w:tcPr>
            <w:tcW w:w="46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2,541</w:t>
            </w: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Norway</w:t>
            </w: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2,143</w:t>
            </w:r>
          </w:p>
        </w:tc>
        <w:tc>
          <w:tcPr>
            <w:tcW w:w="4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1,660</w:t>
            </w:r>
          </w:p>
        </w:tc>
        <w:tc>
          <w:tcPr>
            <w:tcW w:w="0" w:type="dxa"/>
            <w:vAlign w:val="bottom"/>
          </w:tcPr>
          <w:p>
            <w:pPr>
              <w:spacing w:after="0"/>
              <w:rPr>
                <w:sz w:val="1"/>
                <w:szCs w:val="1"/>
                <w:color w:val="auto"/>
              </w:rPr>
            </w:pP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UK</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2,122</w:t>
            </w:r>
          </w:p>
        </w:tc>
        <w:tc>
          <w:tcPr>
            <w:tcW w:w="46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2,484</w:t>
            </w: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Other regions</w:t>
            </w:r>
            <w:r>
              <w:rPr>
                <w:rFonts w:ascii="Times New Roman" w:cs="Times New Roman" w:eastAsia="Times New Roman" w:hAnsi="Times New Roman"/>
                <w:sz w:val="25"/>
                <w:szCs w:val="25"/>
                <w:color w:val="auto"/>
                <w:vertAlign w:val="superscript"/>
              </w:rPr>
              <w:t>2</w:t>
            </w:r>
          </w:p>
        </w:tc>
        <w:tc>
          <w:tcPr>
            <w:tcW w:w="1420" w:type="dxa"/>
            <w:vAlign w:val="bottom"/>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15,106</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9,667</w:t>
            </w:r>
          </w:p>
        </w:tc>
        <w:tc>
          <w:tcPr>
            <w:tcW w:w="0" w:type="dxa"/>
            <w:vAlign w:val="bottom"/>
          </w:tcPr>
          <w:p>
            <w:pPr>
              <w:spacing w:after="0"/>
              <w:rPr>
                <w:sz w:val="1"/>
                <w:szCs w:val="1"/>
                <w:color w:val="auto"/>
              </w:rPr>
            </w:pPr>
          </w:p>
        </w:tc>
      </w:tr>
      <w:tr>
        <w:trPr>
          <w:trHeight w:val="223"/>
        </w:trPr>
        <w:tc>
          <w:tcPr>
            <w:tcW w:w="5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1,745,228</w:t>
            </w:r>
          </w:p>
        </w:tc>
        <w:tc>
          <w:tcPr>
            <w:tcW w:w="20" w:type="dxa"/>
            <w:vAlign w:val="bottom"/>
            <w:tcBorders>
              <w:bottom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1,697,175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ind w:left="120"/>
        <w:spacing w:after="0"/>
        <w:tabs>
          <w:tab w:leader="none" w:pos="540" w:val="left"/>
        </w:tabs>
        <w:rPr>
          <w:sz w:val="20"/>
          <w:szCs w:val="20"/>
          <w:color w:val="auto"/>
        </w:rPr>
      </w:pPr>
      <w:r>
        <w:rPr>
          <w:rFonts w:ascii="Times New Roman" w:cs="Times New Roman" w:eastAsia="Times New Roman" w:hAnsi="Times New Roman"/>
          <w:sz w:val="18"/>
          <w:szCs w:val="18"/>
          <w:color w:val="auto"/>
        </w:rPr>
        <w:t>2 -</w:t>
      </w:r>
      <w:r>
        <w:rPr>
          <w:sz w:val="20"/>
          <w:szCs w:val="20"/>
          <w:color w:val="auto"/>
        </w:rPr>
        <w:tab/>
      </w:r>
      <w:r>
        <w:rPr>
          <w:rFonts w:ascii="Times New Roman" w:cs="Times New Roman" w:eastAsia="Times New Roman" w:hAnsi="Times New Roman"/>
          <w:sz w:val="17"/>
          <w:szCs w:val="17"/>
          <w:color w:val="auto"/>
        </w:rPr>
        <w:t>Non-current assets: Other regions primarily consist of Canada in 2022 and 2021.</w:t>
      </w:r>
    </w:p>
    <w:p>
      <w:pPr>
        <w:spacing w:after="0" w:line="2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Accounting policies</w:t>
      </w:r>
    </w:p>
    <w:p>
      <w:pPr>
        <w:spacing w:after="0" w:line="121"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Polestar Group continues to apply the same accounting policies and methods as described in Note 1 - Significant accounting policies and judgements of the Consolidated Financial Statements for Polestar Automotive Holding Limited, as of, and for the year ended, December 31, 2021 that were included in the Form 20-F filed with the SEC on June 29, 2022. Additions to these accounting policies and methods due to new events that occurred during the six months ended June 30, 2022 are described below.</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Use of estimates and judgements</w:t>
      </w:r>
    </w:p>
    <w:p>
      <w:pPr>
        <w:spacing w:after="0" w:line="121"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The preparation of these Unaudited Condensed Consolidated Financial Statements, in accordance with IAS 34, requires management to make judgements, estimates, and assumptions that affect the application of the Group’s accounting policies, the reported amount of assets, liabilities, revenues, expenses, and other related financial items. Management reviews its estimates and assumptions on a continuous basis; changes in accounting</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F-75</w:t>
      </w:r>
    </w:p>
    <w:p>
      <w:pPr>
        <w:sectPr>
          <w:pgSz w:w="11900" w:h="16838" w:orient="portrait"/>
          <w:cols w:equalWidth="0" w:num="1">
            <w:col w:w="11120"/>
          </w:cols>
          <w:pgMar w:left="320" w:top="455" w:right="459" w:bottom="1440" w:gutter="0" w:footer="0" w:header="0"/>
        </w:sectPr>
      </w:pPr>
    </w:p>
    <w:bookmarkStart w:id="310" w:name="page311"/>
    <w:bookmarkEnd w:id="3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(in thousands of U.S. dollars unless otherwise stated)</w:t>
      </w:r>
    </w:p>
    <w:p>
      <w:pPr>
        <w:spacing w:after="0" w:line="234"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estimates are recognised in the period in which the estimates are revised, and prospectively thereafter. Details of new critical estimates and judgements which the Group considers to have a significant impact on these Unaudited Condensed Consolidated Financial Statements are set out below and the corresponding impacts can be seen in the following notes:</w:t>
      </w:r>
    </w:p>
    <w:p>
      <w:pPr>
        <w:spacing w:after="0" w:line="176" w:lineRule="exact"/>
        <w:rPr>
          <w:sz w:val="20"/>
          <w:szCs w:val="20"/>
          <w:color w:val="auto"/>
        </w:rPr>
      </w:pPr>
    </w:p>
    <w:p>
      <w:pPr>
        <w:ind w:left="120" w:right="600" w:hanging="4"/>
        <w:spacing w:after="0" w:line="282" w:lineRule="auto"/>
        <w:tabs>
          <w:tab w:leader="none" w:pos="305"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Valuation of the financial liability for the Class C-1 Shares and Class C-2 Shares (collectively, “Class C Shares”) - refer to Note 10—Reverse recapitalisation.</w:t>
      </w:r>
    </w:p>
    <w:p>
      <w:pPr>
        <w:spacing w:after="0" w:line="161" w:lineRule="exact"/>
        <w:rPr>
          <w:rFonts w:ascii="Times New Roman" w:cs="Times New Roman" w:eastAsia="Times New Roman" w:hAnsi="Times New Roman"/>
          <w:sz w:val="18"/>
          <w:szCs w:val="18"/>
          <w:color w:val="auto"/>
        </w:rPr>
      </w:pPr>
    </w:p>
    <w:p>
      <w:pPr>
        <w:ind w:left="320" w:hanging="204"/>
        <w:spacing w:after="0"/>
        <w:tabs>
          <w:tab w:leader="none" w:pos="32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Valuation of the financial liability for the Former Parent’s contingent earn out right - refer to Note 10 - Reverse recapitalisation.</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Actual results could differ materially from those estimates using different assumptions or under different conditions.</w:t>
      </w:r>
    </w:p>
    <w:p>
      <w:pPr>
        <w:spacing w:after="0" w:line="2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Fair value measurement</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Valuation methodology for the fair value of the financial liability related to the Class C-2 Shares</w:t>
      </w:r>
    </w:p>
    <w:p>
      <w:pPr>
        <w:spacing w:after="0" w:line="119"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The Class C-2 Shares represents a derivative financial instrument that is carried at FVTPL by reference to Level 2 measurement inputs because an observable price for the Class C-1 Shares, which are almost identical instruments, is available in the active market. The fair value of the Class C-2 Shares is determined using a binomial lattice option pricing model in a risk-neutral framework whereby the future prices of the Class A Shares are calculated assuming a geometric Brownian motion (“GBM”). For each future price, the Class C-2 payoff amount is calculated based on the contractual terms of the Class C-2 Shares, including assumptions for optimal early exercise and redemption, and then discounted at the term-matched risk-free rate. The final fair value of the Class C-2 Shares is calculated as the probability-weighted present value over all modeled future payoff amounts. As of June 30, 2022, the fair value of the Class C-2 Shares was determined to equal approximately $14,999 by leveraging the closing price of the Class C-1 Shares on the Nasdaq of $1.66 per share, an implied volatility of 29.5%, a risk-free rate of 2.99%, a dividend yield of nil, and a 1,000 time-steps for the binomial lattice option pricing model. Refer to Note 10 - Reverse recapitalisation for more detail on the Class C-2 Shares.</w:t>
      </w:r>
    </w:p>
    <w:p>
      <w:pPr>
        <w:spacing w:after="0" w:line="2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Valuation methodology for the fair value of the financial liability related to the Former Parent’s contingent earn out right</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The Former Parent’s contingent earn out right represents a derivative financial instrument that is carried at FVTPL by reference to Level 3 measurement</w:t>
      </w:r>
    </w:p>
    <w:p>
      <w:pPr>
        <w:spacing w:after="0" w:line="3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inputs because a quoted or observable price for the instrument or an identical instrument is not available in active markets. The fair value of the earn out</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is determined using a Monte Carlo simulation that incorporates a term of 5.48 years, the five earn out tranches, and the probability of the Class A Shares</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 ListCo reaching certain daily volume weighted average prices during the earn out period resulting in the issuance of each tranche of Class A Shares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and Class B Shares in ListCo to the Former Parent. As of June 30, 2022, the fair value of the earn out was determined to equal approximately</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$1,081,931 by leveraging an implied volatility of 60% and a risk-free rate of 2.99%. The implied volatility represents the most significant unobservable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input utilized in this Level 3 valuation technique. The calculated fair value would increase (decrease) if the implied volatility were higher (lower). Refer</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to Note 10 - Reverse recapitalisation for more detail on the Former Parent’s earn out.</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Earnings per share</w:t>
      </w:r>
    </w:p>
    <w:p>
      <w:pPr>
        <w:spacing w:after="0" w:line="121" w:lineRule="exact"/>
        <w:rPr>
          <w:sz w:val="20"/>
          <w:szCs w:val="20"/>
          <w:color w:val="auto"/>
        </w:rPr>
      </w:pPr>
    </w:p>
    <w:p>
      <w:pPr>
        <w:jc w:val="both"/>
        <w:ind w:left="120" w:right="140"/>
        <w:spacing w:after="0" w:line="266" w:lineRule="auto"/>
        <w:rPr>
          <w:sz w:val="20"/>
          <w:szCs w:val="20"/>
          <w:color w:val="auto"/>
        </w:rPr>
      </w:pPr>
      <w:r>
        <w:rPr>
          <w:rFonts w:ascii="Times New Roman" w:cs="Times New Roman" w:eastAsia="Times New Roman" w:hAnsi="Times New Roman"/>
          <w:sz w:val="18"/>
          <w:szCs w:val="18"/>
          <w:color w:val="auto"/>
        </w:rPr>
        <w:t>Basic earnings per share is calculated by dividing the net income or loss for the period by the weighted average number of Class A Shares and Class B Shares in ListCo outstanding during the period. Diluted earnings per share is calculated by dividing net income or loss for the period by the weighted average number of fully diluted</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F-76</w:t>
      </w:r>
    </w:p>
    <w:p>
      <w:pPr>
        <w:sectPr>
          <w:pgSz w:w="11900" w:h="16838" w:orient="portrait"/>
          <w:cols w:equalWidth="0" w:num="1">
            <w:col w:w="11080"/>
          </w:cols>
          <w:pgMar w:left="320" w:top="455" w:right="499" w:bottom="1440" w:gutter="0" w:footer="0" w:header="0"/>
        </w:sectPr>
      </w:pPr>
    </w:p>
    <w:bookmarkStart w:id="311" w:name="page312"/>
    <w:bookmarkEnd w:id="3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31"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(in thousands of U.S. dollars unless otherwise stated)</w:t>
      </w:r>
    </w:p>
    <w:p>
      <w:pPr>
        <w:spacing w:after="0" w:line="234" w:lineRule="exact"/>
        <w:rPr>
          <w:sz w:val="20"/>
          <w:szCs w:val="20"/>
          <w:color w:val="auto"/>
        </w:rPr>
      </w:pPr>
    </w:p>
    <w:p>
      <w:pPr>
        <w:jc w:val="both"/>
        <w:ind w:left="120" w:right="20"/>
        <w:spacing w:after="0" w:line="261" w:lineRule="auto"/>
        <w:rPr>
          <w:sz w:val="20"/>
          <w:szCs w:val="20"/>
          <w:color w:val="auto"/>
        </w:rPr>
      </w:pPr>
      <w:r>
        <w:rPr>
          <w:rFonts w:ascii="Times New Roman" w:cs="Times New Roman" w:eastAsia="Times New Roman" w:hAnsi="Times New Roman"/>
          <w:sz w:val="18"/>
          <w:szCs w:val="18"/>
          <w:color w:val="auto"/>
        </w:rPr>
        <w:t>Class A Shares and Class B Shares in ListCo outstanding during the period. The weighted average number of fully diluted Class A Shares and Class B Shares factors for the impact of any instruments issued and outstanding that may be converted or exercised in exchange for Class A Shares or Class B Shares in ListCo. In the event of a net loss, dilutive instruments issued and outstanding are not factored in the calculation of diluted weighted average number of ordinary shares because their effect on earnings per share would be anti-dilutive.</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Share-based payments</w:t>
      </w:r>
    </w:p>
    <w:p>
      <w:pPr>
        <w:spacing w:after="0" w:line="121"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Share-based payments qualify as either cash-settled or equity-settled transactions, depending on the nature of their settlement terms. When the participant has the option for cash or equity settlement, the awards are classified as a compound financial instrument consisting of an equity and a financial liability component. When the Group has the option for cash or equity settlement, the awards are classified as equity-settled unless the Group has the obligation to settle in cash (i.e., the award provides the participant with a put option to the Group).</w:t>
      </w:r>
    </w:p>
    <w:p>
      <w:pPr>
        <w:spacing w:after="0" w:line="180"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Cash settled share-based payment awards are recognised as a financial liability at their fair value on the date of grant and remeasured at each reporting date until the date of settlement, with changes in fair value recognised in profit and loss. Equity-settled share-based payment awards are recognised in equity at their fair value on the date of grant and not remeasured thereafter. The expense associated with share-based payments is recognised over the period in which services are provided by the participant, immediately if services are deemed to have already been provided by the participant, or a combination thereof if services were already provided and the participant will continue to provide services over a future period. Share-based payment expenses are recorded in the functional cost category of the Unaudited Condensed Consolidated Statement of Loss and Comprehensive Loss that corresponds with the nature of the services provided.</w:t>
      </w:r>
    </w:p>
    <w:p>
      <w:pPr>
        <w:spacing w:after="0" w:line="189"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The Group does not currently offer share-based payments to employees as part of their compensation. However, during the six months ended June 30, 2022, the Group granted an equity settled share-based payment in exchange for marketing services through November 1, 2023 and recognised a corresponding share-based payment expense for the period of $4,342. The Group also granted a non-recurring equity settled share-based payment of $372,318 in exchange for the service of a public listing of the Group on the Nasdaq through the merger with GGI. Refer to Note 10 - Reverse recapitalisation for more detail.</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2 - Revenue</w:t>
      </w:r>
    </w:p>
    <w:p>
      <w:pPr>
        <w:spacing w:after="0" w:line="121" w:lineRule="exact"/>
        <w:rPr>
          <w:sz w:val="20"/>
          <w:szCs w:val="20"/>
          <w:color w:val="auto"/>
        </w:rPr>
      </w:pPr>
    </w:p>
    <w:p>
      <w:pPr>
        <w:ind w:left="120" w:right="420"/>
        <w:spacing w:after="0" w:line="282" w:lineRule="auto"/>
        <w:rPr>
          <w:sz w:val="20"/>
          <w:szCs w:val="20"/>
          <w:color w:val="auto"/>
        </w:rPr>
      </w:pPr>
      <w:r>
        <w:rPr>
          <w:rFonts w:ascii="Times New Roman" w:cs="Times New Roman" w:eastAsia="Times New Roman" w:hAnsi="Times New Roman"/>
          <w:sz w:val="18"/>
          <w:szCs w:val="18"/>
          <w:color w:val="auto"/>
        </w:rPr>
        <w:t>Polestar Group disaggregates revenue by major category based on the primary economic factors that may impact the nature, amount, timing, and uncertainty of revenue and cash flows from these customer contracts as seen in the table below:</w:t>
      </w:r>
    </w:p>
    <w:p>
      <w:pPr>
        <w:spacing w:after="0" w:line="170"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6260" w:type="dxa"/>
            <w:vAlign w:val="bottom"/>
          </w:tcPr>
          <w:p>
            <w:pPr>
              <w:spacing w:after="0"/>
              <w:rPr>
                <w:sz w:val="13"/>
                <w:szCs w:val="13"/>
                <w:color w:val="auto"/>
              </w:rPr>
            </w:pPr>
          </w:p>
        </w:tc>
        <w:tc>
          <w:tcPr>
            <w:tcW w:w="2100" w:type="dxa"/>
            <w:vAlign w:val="bottom"/>
            <w:gridSpan w:val="6"/>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For the six months ended</w:t>
            </w:r>
          </w:p>
        </w:tc>
      </w:tr>
      <w:tr>
        <w:trPr>
          <w:trHeight w:val="173"/>
        </w:trPr>
        <w:tc>
          <w:tcPr>
            <w:tcW w:w="6260" w:type="dxa"/>
            <w:vAlign w:val="bottom"/>
          </w:tcPr>
          <w:p>
            <w:pPr>
              <w:spacing w:after="0"/>
              <w:rPr>
                <w:sz w:val="15"/>
                <w:szCs w:val="15"/>
                <w:color w:val="auto"/>
              </w:rPr>
            </w:pPr>
          </w:p>
        </w:tc>
        <w:tc>
          <w:tcPr>
            <w:tcW w:w="1360" w:type="dxa"/>
            <w:vAlign w:val="bottom"/>
            <w:tcBorders>
              <w:bottom w:val="single" w:sz="8" w:color="auto"/>
            </w:tcBorders>
            <w:gridSpan w:val="4"/>
          </w:tcPr>
          <w:p>
            <w:pPr>
              <w:jc w:val="center"/>
              <w:ind w:left="596"/>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8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42"/>
        </w:trPr>
        <w:tc>
          <w:tcPr>
            <w:tcW w:w="6260" w:type="dxa"/>
            <w:vAlign w:val="bottom"/>
            <w:tcBorders>
              <w:bottom w:val="single" w:sz="8" w:color="CCEEFF"/>
            </w:tcBorders>
          </w:tcPr>
          <w:p>
            <w:pPr>
              <w:spacing w:after="0"/>
              <w:rPr>
                <w:sz w:val="12"/>
                <w:szCs w:val="12"/>
                <w:color w:val="auto"/>
              </w:rPr>
            </w:pPr>
          </w:p>
        </w:tc>
        <w:tc>
          <w:tcPr>
            <w:tcW w:w="940" w:type="dxa"/>
            <w:vAlign w:val="bottom"/>
            <w:tcBorders>
              <w:bottom w:val="single" w:sz="8" w:color="auto"/>
            </w:tcBorders>
          </w:tcPr>
          <w:p>
            <w:pPr>
              <w:jc w:val="right"/>
              <w:ind w:right="236"/>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Borders>
              <w:bottom w:val="single" w:sz="8" w:color="CCEEFF"/>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73"/>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60" w:type="dxa"/>
            <w:vAlign w:val="bottom"/>
            <w:tcBorders>
              <w:bottom w:val="single" w:sz="8" w:color="CCEEFF"/>
            </w:tcBorders>
          </w:tcPr>
          <w:p>
            <w:pPr>
              <w:spacing w:after="0"/>
              <w:rPr>
                <w:sz w:val="12"/>
                <w:szCs w:val="12"/>
                <w:color w:val="auto"/>
              </w:rPr>
            </w:pPr>
          </w:p>
        </w:tc>
      </w:tr>
      <w:tr>
        <w:trPr>
          <w:trHeight w:val="210"/>
        </w:trPr>
        <w:tc>
          <w:tcPr>
            <w:tcW w:w="6260" w:type="dxa"/>
            <w:vAlign w:val="bottom"/>
            <w:shd w:val="clear" w:color="auto" w:fill="CCEEFF"/>
          </w:tcPr>
          <w:p>
            <w:pPr>
              <w:spacing w:after="0" w:line="210" w:lineRule="exact"/>
              <w:rPr>
                <w:sz w:val="20"/>
                <w:szCs w:val="20"/>
                <w:color w:val="auto"/>
              </w:rPr>
            </w:pPr>
            <w:r>
              <w:rPr>
                <w:rFonts w:ascii="Times New Roman" w:cs="Times New Roman" w:eastAsia="Times New Roman" w:hAnsi="Times New Roman"/>
                <w:sz w:val="17"/>
                <w:szCs w:val="17"/>
                <w:color w:val="auto"/>
              </w:rPr>
              <w:t>Sales of vehicles</w:t>
            </w:r>
            <w:r>
              <w:rPr>
                <w:rFonts w:ascii="Times New Roman" w:cs="Times New Roman" w:eastAsia="Times New Roman" w:hAnsi="Times New Roman"/>
                <w:sz w:val="24"/>
                <w:szCs w:val="24"/>
                <w:color w:val="auto"/>
                <w:vertAlign w:val="superscript"/>
              </w:rPr>
              <w:t>1</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1,016,817</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517,437</w:t>
            </w:r>
          </w:p>
        </w:tc>
        <w:tc>
          <w:tcPr>
            <w:tcW w:w="60" w:type="dxa"/>
            <w:vAlign w:val="bottom"/>
            <w:shd w:val="clear" w:color="auto" w:fill="CCEEFF"/>
          </w:tcPr>
          <w:p>
            <w:pPr>
              <w:spacing w:after="0"/>
              <w:rPr>
                <w:sz w:val="18"/>
                <w:szCs w:val="18"/>
                <w:color w:val="auto"/>
              </w:rPr>
            </w:pPr>
          </w:p>
        </w:tc>
      </w:tr>
      <w:tr>
        <w:trPr>
          <w:trHeight w:val="216"/>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Sales of software and performance engineered kits</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10,862</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14,280</w:t>
            </w:r>
          </w:p>
        </w:tc>
      </w:tr>
      <w:tr>
        <w:trPr>
          <w:trHeight w:val="216"/>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of carbon credits</w:t>
            </w: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1,313</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Vehicle leasing revenue</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7,934</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revenue</w:t>
            </w: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4,371</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3,062</w:t>
            </w:r>
          </w:p>
        </w:tc>
      </w:tr>
      <w:tr>
        <w:trPr>
          <w:trHeight w:val="223"/>
        </w:trPr>
        <w:tc>
          <w:tcPr>
            <w:tcW w:w="6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1,041,297</w:t>
            </w:r>
          </w:p>
        </w:tc>
        <w:tc>
          <w:tcPr>
            <w:tcW w:w="2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534,779</w:t>
            </w:r>
          </w:p>
        </w:tc>
        <w:tc>
          <w:tcPr>
            <w:tcW w:w="60" w:type="dxa"/>
            <w:vAlign w:val="bottom"/>
          </w:tcPr>
          <w:p>
            <w:pPr>
              <w:spacing w:after="0"/>
              <w:rPr>
                <w:sz w:val="19"/>
                <w:szCs w:val="19"/>
                <w:color w:val="auto"/>
              </w:rPr>
            </w:pPr>
          </w:p>
        </w:tc>
      </w:tr>
    </w:tbl>
    <w:p>
      <w:pPr>
        <w:spacing w:after="0" w:line="238" w:lineRule="exact"/>
        <w:rPr>
          <w:sz w:val="20"/>
          <w:szCs w:val="20"/>
          <w:color w:val="auto"/>
        </w:rPr>
      </w:pPr>
    </w:p>
    <w:p>
      <w:pPr>
        <w:ind w:left="540" w:right="240" w:hanging="431"/>
        <w:spacing w:after="0" w:line="282" w:lineRule="auto"/>
        <w:tabs>
          <w:tab w:leader="none" w:pos="520" w:val="left"/>
        </w:tabs>
        <w:rPr>
          <w:sz w:val="20"/>
          <w:szCs w:val="20"/>
          <w:color w:val="auto"/>
        </w:rPr>
      </w:pPr>
      <w:r>
        <w:rPr>
          <w:rFonts w:ascii="Times New Roman" w:cs="Times New Roman" w:eastAsia="Times New Roman" w:hAnsi="Times New Roman"/>
          <w:sz w:val="18"/>
          <w:szCs w:val="18"/>
          <w:color w:val="auto"/>
        </w:rPr>
        <w:t>1 -</w:t>
        <w:tab/>
        <w:t>Revenues related to sales of vehicles are inclusive of insignificant extended and connected services included in the sale of vehicles and sales-generated obligations such as discounts and rebates offered to fleet customers.</w:t>
      </w:r>
    </w:p>
    <w:p>
      <w:pPr>
        <w:spacing w:after="0" w:line="9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F-77</w:t>
      </w:r>
    </w:p>
    <w:p>
      <w:pPr>
        <w:sectPr>
          <w:pgSz w:w="11900" w:h="16838" w:orient="portrait"/>
          <w:cols w:equalWidth="0" w:num="1">
            <w:col w:w="10960"/>
          </w:cols>
          <w:pgMar w:left="320" w:top="455" w:right="619" w:bottom="1440" w:gutter="0" w:footer="0" w:header="0"/>
        </w:sectPr>
      </w:pPr>
    </w:p>
    <w:bookmarkStart w:id="312" w:name="page313"/>
    <w:bookmarkEnd w:id="3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 thousands of U.S. dollars unless otherwise stated)</w:t>
      </w:r>
    </w:p>
    <w:p>
      <w:pPr>
        <w:spacing w:after="0" w:line="234" w:lineRule="exact"/>
        <w:rPr>
          <w:sz w:val="20"/>
          <w:szCs w:val="20"/>
          <w:color w:val="auto"/>
        </w:rPr>
      </w:pPr>
    </w:p>
    <w:p>
      <w:pPr>
        <w:ind w:left="120" w:right="260"/>
        <w:spacing w:after="0" w:line="282" w:lineRule="auto"/>
        <w:rPr>
          <w:sz w:val="20"/>
          <w:szCs w:val="20"/>
          <w:color w:val="auto"/>
        </w:rPr>
      </w:pPr>
      <w:r>
        <w:rPr>
          <w:rFonts w:ascii="Times New Roman" w:cs="Times New Roman" w:eastAsia="Times New Roman" w:hAnsi="Times New Roman"/>
          <w:sz w:val="18"/>
          <w:szCs w:val="18"/>
          <w:color w:val="auto"/>
        </w:rPr>
        <w:t>For the six months ended June 30, 2022 and 2021, other revenue primarily consisted of license revenue generated from sales-based royalties received from Volvo Cars on sales of parts and accessories for Polestar Vehicles.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Contract liabilities</w:t>
      </w:r>
    </w:p>
    <w:p>
      <w:pPr>
        <w:spacing w:after="0" w:line="23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0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Deferred</w:t>
            </w:r>
          </w:p>
        </w:tc>
        <w:tc>
          <w:tcPr>
            <w:tcW w:w="94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Deferred</w:t>
            </w:r>
          </w:p>
        </w:tc>
        <w:tc>
          <w:tcPr>
            <w:tcW w:w="9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Deferred</w:t>
            </w: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6580" w:type="dxa"/>
            <w:vAlign w:val="bottom"/>
          </w:tcPr>
          <w:p>
            <w:pPr>
              <w:spacing w:after="0"/>
              <w:rPr>
                <w:sz w:val="12"/>
                <w:szCs w:val="12"/>
                <w:color w:val="auto"/>
              </w:rPr>
            </w:pPr>
          </w:p>
        </w:tc>
        <w:tc>
          <w:tcPr>
            <w:tcW w:w="940" w:type="dxa"/>
            <w:vAlign w:val="bottom"/>
            <w:gridSpan w:val="2"/>
            <w:vMerge w:val="restart"/>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Sales</w:t>
            </w:r>
          </w:p>
        </w:tc>
        <w:tc>
          <w:tcPr>
            <w:tcW w:w="900" w:type="dxa"/>
            <w:vAlign w:val="bottom"/>
            <w:gridSpan w:val="2"/>
            <w:vMerge w:val="continue"/>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92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revenue -</w:t>
            </w: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58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90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revenue -</w:t>
            </w:r>
          </w:p>
        </w:tc>
        <w:tc>
          <w:tcPr>
            <w:tcW w:w="94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revenue -</w:t>
            </w:r>
          </w:p>
        </w:tc>
        <w:tc>
          <w:tcPr>
            <w:tcW w:w="92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operating</w:t>
            </w: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580" w:type="dxa"/>
            <w:vAlign w:val="bottom"/>
          </w:tcPr>
          <w:p>
            <w:pPr>
              <w:spacing w:after="0"/>
              <w:rPr>
                <w:sz w:val="12"/>
                <w:szCs w:val="12"/>
                <w:color w:val="auto"/>
              </w:rPr>
            </w:pPr>
          </w:p>
        </w:tc>
        <w:tc>
          <w:tcPr>
            <w:tcW w:w="94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b w:val="1"/>
                <w:bCs w:val="1"/>
                <w:color w:val="auto"/>
                <w:w w:val="98"/>
              </w:rPr>
              <w:t>generated</w:t>
            </w:r>
          </w:p>
        </w:tc>
        <w:tc>
          <w:tcPr>
            <w:tcW w:w="90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extended</w:t>
            </w:r>
          </w:p>
        </w:tc>
        <w:tc>
          <w:tcPr>
            <w:tcW w:w="94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connected</w:t>
            </w:r>
          </w:p>
        </w:tc>
        <w:tc>
          <w:tcPr>
            <w:tcW w:w="92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leases &amp;</w:t>
            </w:r>
          </w:p>
        </w:tc>
        <w:tc>
          <w:tcPr>
            <w:tcW w:w="74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6580" w:type="dxa"/>
            <w:vAlign w:val="bottom"/>
          </w:tcPr>
          <w:p>
            <w:pPr>
              <w:spacing w:after="0"/>
              <w:rPr>
                <w:sz w:val="15"/>
                <w:szCs w:val="15"/>
                <w:color w:val="auto"/>
              </w:rPr>
            </w:pPr>
          </w:p>
        </w:tc>
        <w:tc>
          <w:tcPr>
            <w:tcW w:w="94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w w:val="96"/>
              </w:rPr>
              <w:t>obligation</w:t>
            </w:r>
          </w:p>
        </w:tc>
        <w:tc>
          <w:tcPr>
            <w:tcW w:w="9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service</w:t>
            </w:r>
          </w:p>
        </w:tc>
        <w:tc>
          <w:tcPr>
            <w:tcW w:w="9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9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7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65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January 1, 2022</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24,702</w:t>
            </w:r>
          </w:p>
        </w:tc>
        <w:tc>
          <w:tcPr>
            <w:tcW w:w="3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23,680</w:t>
            </w:r>
          </w:p>
        </w:tc>
        <w:tc>
          <w:tcPr>
            <w:tcW w:w="3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18,593</w:t>
            </w:r>
          </w:p>
        </w:tc>
        <w:tc>
          <w:tcPr>
            <w:tcW w:w="3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20,315</w:t>
            </w:r>
          </w:p>
        </w:tc>
        <w:tc>
          <w:tcPr>
            <w:tcW w:w="3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87,290</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Provided for during the period</w:t>
            </w:r>
          </w:p>
        </w:tc>
        <w:tc>
          <w:tcPr>
            <w:tcW w:w="9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35,735</w:t>
            </w: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14,715</w:t>
            </w:r>
          </w:p>
        </w:tc>
        <w:tc>
          <w:tcPr>
            <w:tcW w:w="9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8,575</w:t>
            </w: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6,288</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65,313</w:t>
            </w: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Settled during the period</w:t>
            </w: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(36,277)</w:t>
            </w:r>
          </w:p>
        </w:tc>
        <w:tc>
          <w:tcPr>
            <w:tcW w:w="9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(36,277)</w:t>
            </w:r>
          </w:p>
        </w:tc>
        <w:tc>
          <w:tcPr>
            <w:tcW w:w="0" w:type="dxa"/>
            <w:vAlign w:val="bottom"/>
          </w:tcPr>
          <w:p>
            <w:pPr>
              <w:spacing w:after="0"/>
              <w:rPr>
                <w:sz w:val="1"/>
                <w:szCs w:val="1"/>
                <w:color w:val="auto"/>
              </w:rPr>
            </w:pPr>
          </w:p>
        </w:tc>
      </w:tr>
      <w:tr>
        <w:trPr>
          <w:trHeight w:val="216"/>
        </w:trPr>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Released during the period</w:t>
            </w:r>
          </w:p>
        </w:tc>
        <w:tc>
          <w:tcPr>
            <w:tcW w:w="9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(5,368)</w:t>
            </w: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(2,040)</w:t>
            </w: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(9,134)</w:t>
            </w: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(16,542)</w:t>
            </w: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Translation differences and other</w:t>
            </w: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(750)</w:t>
            </w: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(1,567)</w:t>
            </w: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(1,959)</w:t>
            </w: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(209)</w:t>
            </w: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(4,485)</w:t>
            </w:r>
          </w:p>
        </w:tc>
        <w:tc>
          <w:tcPr>
            <w:tcW w:w="0" w:type="dxa"/>
            <w:vAlign w:val="bottom"/>
          </w:tcPr>
          <w:p>
            <w:pPr>
              <w:spacing w:after="0"/>
              <w:rPr>
                <w:sz w:val="1"/>
                <w:szCs w:val="1"/>
                <w:color w:val="auto"/>
              </w:rPr>
            </w:pPr>
          </w:p>
        </w:tc>
      </w:tr>
      <w:tr>
        <w:trPr>
          <w:trHeight w:val="230"/>
        </w:trPr>
        <w:tc>
          <w:tcPr>
            <w:tcW w:w="6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as of June 30, 2022</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23,410</w:t>
            </w:r>
          </w:p>
        </w:tc>
        <w:tc>
          <w:tcPr>
            <w:tcW w:w="320" w:type="dxa"/>
            <w:vAlign w:val="bottom"/>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31,460</w:t>
            </w:r>
          </w:p>
        </w:tc>
        <w:tc>
          <w:tcPr>
            <w:tcW w:w="320" w:type="dxa"/>
            <w:vAlign w:val="bottom"/>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23,169</w:t>
            </w:r>
          </w:p>
        </w:tc>
        <w:tc>
          <w:tcPr>
            <w:tcW w:w="320" w:type="dxa"/>
            <w:vAlign w:val="bottom"/>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17,260</w:t>
            </w:r>
          </w:p>
        </w:tc>
        <w:tc>
          <w:tcPr>
            <w:tcW w:w="320" w:type="dxa"/>
            <w:vAlign w:val="bottom"/>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95,299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 which current</w:t>
            </w:r>
          </w:p>
        </w:tc>
        <w:tc>
          <w:tcPr>
            <w:tcW w:w="9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23,410</w:t>
            </w: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14,612</w:t>
            </w:r>
          </w:p>
        </w:tc>
        <w:tc>
          <w:tcPr>
            <w:tcW w:w="9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3,334</w:t>
            </w:r>
          </w:p>
        </w:tc>
        <w:tc>
          <w:tcPr>
            <w:tcW w:w="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17,260</w:t>
            </w: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58,616</w:t>
            </w:r>
          </w:p>
        </w:tc>
        <w:tc>
          <w:tcPr>
            <w:tcW w:w="0" w:type="dxa"/>
            <w:vAlign w:val="bottom"/>
          </w:tcPr>
          <w:p>
            <w:pPr>
              <w:spacing w:after="0"/>
              <w:rPr>
                <w:sz w:val="1"/>
                <w:szCs w:val="1"/>
                <w:color w:val="auto"/>
              </w:rPr>
            </w:pPr>
          </w:p>
        </w:tc>
      </w:tr>
      <w:tr>
        <w:trPr>
          <w:trHeight w:val="234"/>
        </w:trPr>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of which non-current</w:t>
            </w:r>
          </w:p>
        </w:tc>
        <w:tc>
          <w:tcPr>
            <w:tcW w:w="9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16,848</w:t>
            </w:r>
          </w:p>
        </w:tc>
        <w:tc>
          <w:tcPr>
            <w:tcW w:w="9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19,835</w:t>
            </w:r>
          </w:p>
        </w:tc>
        <w:tc>
          <w:tcPr>
            <w:tcW w:w="9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36,683</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120" w:right="220"/>
        <w:spacing w:after="0" w:line="266" w:lineRule="auto"/>
        <w:rPr>
          <w:sz w:val="20"/>
          <w:szCs w:val="20"/>
          <w:color w:val="auto"/>
        </w:rPr>
      </w:pPr>
      <w:r>
        <w:rPr>
          <w:rFonts w:ascii="Times New Roman" w:cs="Times New Roman" w:eastAsia="Times New Roman" w:hAnsi="Times New Roman"/>
          <w:sz w:val="18"/>
          <w:szCs w:val="18"/>
          <w:color w:val="auto"/>
        </w:rPr>
        <w:t>As of June 30, 2022, contract liabilities amounted to $95,299, of which $23,410 was related to variable consideration payable to fleet customers in the form of volume related bonuses and $71,889 was related to remaining performance obligations associated with sales of vehicles and vehicle leasing revenue.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3 - Leases</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table depicts the changes in the Group’s right-of-use assets, which are included within Property, plant and equipment:</w:t>
      </w:r>
    </w:p>
    <w:p>
      <w:pPr>
        <w:spacing w:after="0" w:line="233"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08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1020" w:type="dxa"/>
            <w:vAlign w:val="bottom"/>
            <w:gridSpan w:val="2"/>
            <w:vMerge w:val="restart"/>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Buildings</w:t>
            </w:r>
          </w:p>
        </w:tc>
        <w:tc>
          <w:tcPr>
            <w:tcW w:w="106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Machinery</w:t>
            </w: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06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w w:val="97"/>
              </w:rPr>
              <w:t>and</w:t>
            </w:r>
          </w:p>
        </w:tc>
        <w:tc>
          <w:tcPr>
            <w:tcW w:w="80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08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1020" w:type="dxa"/>
            <w:vAlign w:val="bottom"/>
            <w:gridSpan w:val="2"/>
          </w:tcPr>
          <w:p>
            <w:pPr>
              <w:jc w:val="right"/>
              <w:ind w:right="401"/>
              <w:spacing w:after="0"/>
              <w:rPr>
                <w:sz w:val="20"/>
                <w:szCs w:val="20"/>
                <w:color w:val="auto"/>
              </w:rPr>
            </w:pPr>
            <w:r>
              <w:rPr>
                <w:rFonts w:ascii="Times New Roman" w:cs="Times New Roman" w:eastAsia="Times New Roman" w:hAnsi="Times New Roman"/>
                <w:sz w:val="14"/>
                <w:szCs w:val="14"/>
                <w:b w:val="1"/>
                <w:bCs w:val="1"/>
                <w:color w:val="auto"/>
              </w:rPr>
              <w:t>and land</w:t>
            </w:r>
          </w:p>
        </w:tc>
        <w:tc>
          <w:tcPr>
            <w:tcW w:w="106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equipment</w:t>
            </w:r>
          </w:p>
        </w:tc>
        <w:tc>
          <w:tcPr>
            <w:tcW w:w="8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8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Acquisition cost</w:t>
            </w:r>
          </w:p>
        </w:tc>
        <w:tc>
          <w:tcPr>
            <w:tcW w:w="228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Balance as of January 1, 2022</w:t>
            </w:r>
          </w:p>
        </w:tc>
        <w:tc>
          <w:tcPr>
            <w:tcW w:w="2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45,113</w:t>
            </w:r>
          </w:p>
        </w:tc>
        <w:tc>
          <w:tcPr>
            <w:tcW w:w="3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50,099</w:t>
            </w:r>
          </w:p>
        </w:tc>
        <w:tc>
          <w:tcPr>
            <w:tcW w:w="3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95,212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Additions</w:t>
            </w:r>
          </w:p>
        </w:tc>
        <w:tc>
          <w:tcPr>
            <w:tcW w:w="2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21,954</w:t>
            </w:r>
          </w:p>
        </w:tc>
        <w:tc>
          <w:tcPr>
            <w:tcW w:w="3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21,954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Effect of foreign currency exchange rate differences</w:t>
            </w:r>
          </w:p>
        </w:tc>
        <w:tc>
          <w:tcPr>
            <w:tcW w:w="2280" w:type="dxa"/>
            <w:vAlign w:val="bottom"/>
          </w:tcPr>
          <w:p>
            <w:pPr>
              <w:spacing w:after="0"/>
              <w:rPr>
                <w:sz w:val="19"/>
                <w:szCs w:val="19"/>
                <w:color w:val="auto"/>
              </w:rPr>
            </w:pPr>
          </w:p>
        </w:tc>
        <w:tc>
          <w:tcPr>
            <w:tcW w:w="1020" w:type="dxa"/>
            <w:vAlign w:val="bottom"/>
            <w:gridSpan w:val="2"/>
          </w:tcPr>
          <w:p>
            <w:pPr>
              <w:jc w:val="right"/>
              <w:ind w:right="301"/>
              <w:spacing w:after="0"/>
              <w:rPr>
                <w:sz w:val="20"/>
                <w:szCs w:val="20"/>
                <w:color w:val="auto"/>
              </w:rPr>
            </w:pPr>
            <w:r>
              <w:rPr>
                <w:rFonts w:ascii="Times New Roman" w:cs="Times New Roman" w:eastAsia="Times New Roman" w:hAnsi="Times New Roman"/>
                <w:sz w:val="18"/>
                <w:szCs w:val="18"/>
                <w:color w:val="auto"/>
              </w:rPr>
              <w:t>(4,865)</w:t>
            </w:r>
          </w:p>
        </w:tc>
        <w:tc>
          <w:tcPr>
            <w:tcW w:w="10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(2,544)</w:t>
            </w: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(7,409)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June 30, 2022</w:t>
            </w:r>
          </w:p>
        </w:tc>
        <w:tc>
          <w:tcPr>
            <w:tcW w:w="2280" w:type="dxa"/>
            <w:vAlign w:val="bottom"/>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62,202</w:t>
            </w:r>
          </w:p>
        </w:tc>
        <w:tc>
          <w:tcPr>
            <w:tcW w:w="380" w:type="dxa"/>
            <w:vAlign w:val="bottom"/>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47,555</w:t>
            </w:r>
          </w:p>
        </w:tc>
        <w:tc>
          <w:tcPr>
            <w:tcW w:w="380" w:type="dxa"/>
            <w:vAlign w:val="bottom"/>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109,757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Accumulated depreciation</w:t>
            </w:r>
          </w:p>
        </w:tc>
        <w:tc>
          <w:tcPr>
            <w:tcW w:w="2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January 1, 2022</w:t>
            </w:r>
          </w:p>
        </w:tc>
        <w:tc>
          <w:tcPr>
            <w:tcW w:w="3300" w:type="dxa"/>
            <w:vAlign w:val="bottom"/>
            <w:gridSpan w:val="3"/>
            <w:shd w:val="clear" w:color="auto" w:fill="CCEEFF"/>
          </w:tcPr>
          <w:p>
            <w:pPr>
              <w:jc w:val="right"/>
              <w:ind w:right="301"/>
              <w:spacing w:after="0"/>
              <w:rPr>
                <w:sz w:val="20"/>
                <w:szCs w:val="20"/>
                <w:color w:val="auto"/>
              </w:rPr>
            </w:pPr>
            <w:r>
              <w:rPr>
                <w:rFonts w:ascii="Times New Roman" w:cs="Times New Roman" w:eastAsia="Times New Roman" w:hAnsi="Times New Roman"/>
                <w:sz w:val="18"/>
                <w:szCs w:val="18"/>
                <w:color w:val="auto"/>
              </w:rPr>
              <w:t>(10,159)</w:t>
            </w:r>
          </w:p>
        </w:tc>
        <w:tc>
          <w:tcPr>
            <w:tcW w:w="10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(15,447)</w:t>
            </w: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(25,606)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expense</w:t>
            </w:r>
          </w:p>
        </w:tc>
        <w:tc>
          <w:tcPr>
            <w:tcW w:w="3300" w:type="dxa"/>
            <w:vAlign w:val="bottom"/>
            <w:gridSpan w:val="3"/>
          </w:tcPr>
          <w:p>
            <w:pPr>
              <w:jc w:val="right"/>
              <w:ind w:right="301"/>
              <w:spacing w:after="0"/>
              <w:rPr>
                <w:sz w:val="20"/>
                <w:szCs w:val="20"/>
                <w:color w:val="auto"/>
              </w:rPr>
            </w:pPr>
            <w:r>
              <w:rPr>
                <w:rFonts w:ascii="Times New Roman" w:cs="Times New Roman" w:eastAsia="Times New Roman" w:hAnsi="Times New Roman"/>
                <w:sz w:val="18"/>
                <w:szCs w:val="18"/>
                <w:color w:val="auto"/>
              </w:rPr>
              <w:t>(5,730)</w:t>
            </w:r>
          </w:p>
        </w:tc>
        <w:tc>
          <w:tcPr>
            <w:tcW w:w="10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(4,118)</w:t>
            </w: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(9,848)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foreign currency exchange rate differences</w:t>
            </w:r>
          </w:p>
        </w:tc>
        <w:tc>
          <w:tcPr>
            <w:tcW w:w="2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w:t>
            </w: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w:t>
            </w: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Balance as of June 30, 2022</w:t>
            </w:r>
          </w:p>
        </w:tc>
        <w:tc>
          <w:tcPr>
            <w:tcW w:w="2280" w:type="dxa"/>
            <w:vAlign w:val="bottom"/>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(15,228</w:t>
            </w:r>
          </w:p>
        </w:tc>
        <w:tc>
          <w:tcPr>
            <w:tcW w:w="380" w:type="dxa"/>
            <w:vAlign w:val="bottom"/>
          </w:tcPr>
          <w:p>
            <w:pPr>
              <w:jc w:val="right"/>
              <w:ind w:right="301"/>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(18,635)</w:t>
            </w:r>
          </w:p>
        </w:tc>
        <w:tc>
          <w:tcPr>
            <w:tcW w:w="38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(33,863)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Carrying amount as of June 30, 2022</w:t>
            </w:r>
          </w:p>
        </w:tc>
        <w:tc>
          <w:tcPr>
            <w:tcW w:w="228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46,974</w:t>
            </w:r>
          </w:p>
        </w:tc>
        <w:tc>
          <w:tcPr>
            <w:tcW w:w="38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28,920</w:t>
            </w:r>
          </w:p>
        </w:tc>
        <w:tc>
          <w:tcPr>
            <w:tcW w:w="38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75,894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3300" w:type="dxa"/>
            <w:vAlign w:val="bottom"/>
            <w:gridSpan w:val="3"/>
          </w:tcPr>
          <w:p>
            <w:pPr>
              <w:jc w:val="right"/>
              <w:ind w:right="2561"/>
              <w:spacing w:after="0"/>
              <w:rPr>
                <w:sz w:val="20"/>
                <w:szCs w:val="20"/>
                <w:color w:val="auto"/>
              </w:rPr>
            </w:pPr>
            <w:r>
              <w:rPr>
                <w:rFonts w:ascii="Times New Roman" w:cs="Times New Roman" w:eastAsia="Times New Roman" w:hAnsi="Times New Roman"/>
                <w:sz w:val="18"/>
                <w:szCs w:val="18"/>
                <w:color w:val="auto"/>
              </w:rPr>
              <w:t>F-78</w:t>
            </w:r>
          </w:p>
        </w:tc>
        <w:tc>
          <w:tcPr>
            <w:tcW w:w="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313" w:name="page314"/>
    <w:bookmarkEnd w:id="3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3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(in thousands of U.S. dollars unless otherwise stated)</w:t>
      </w:r>
    </w:p>
    <w:p>
      <w:pPr>
        <w:spacing w:after="0" w:line="23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Amounts related to leases recognised in the Unaudited Condensed Consolidated Statement of Loss and Comprehensive Loss are as follows:</w:t>
      </w:r>
    </w:p>
    <w:p>
      <w:pPr>
        <w:spacing w:after="0" w:line="23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320" w:type="dxa"/>
            <w:vAlign w:val="bottom"/>
          </w:tcPr>
          <w:p>
            <w:pPr>
              <w:spacing w:after="0"/>
              <w:rPr>
                <w:sz w:val="13"/>
                <w:szCs w:val="13"/>
                <w:color w:val="auto"/>
              </w:rPr>
            </w:pPr>
          </w:p>
        </w:tc>
        <w:tc>
          <w:tcPr>
            <w:tcW w:w="58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60" w:type="dxa"/>
            <w:vAlign w:val="bottom"/>
            <w:gridSpan w:val="6"/>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For the six months ended</w:t>
            </w:r>
          </w:p>
        </w:tc>
        <w:tc>
          <w:tcPr>
            <w:tcW w:w="0" w:type="dxa"/>
            <w:vAlign w:val="bottom"/>
          </w:tcPr>
          <w:p>
            <w:pPr>
              <w:spacing w:after="0"/>
              <w:rPr>
                <w:sz w:val="1"/>
                <w:szCs w:val="1"/>
                <w:color w:val="auto"/>
              </w:rPr>
            </w:pPr>
          </w:p>
        </w:tc>
      </w:tr>
      <w:tr>
        <w:trPr>
          <w:trHeight w:val="148"/>
        </w:trPr>
        <w:tc>
          <w:tcPr>
            <w:tcW w:w="1320" w:type="dxa"/>
            <w:vAlign w:val="bottom"/>
          </w:tcPr>
          <w:p>
            <w:pPr>
              <w:spacing w:after="0"/>
              <w:rPr>
                <w:sz w:val="12"/>
                <w:szCs w:val="12"/>
                <w:color w:val="auto"/>
              </w:rPr>
            </w:pPr>
          </w:p>
        </w:tc>
        <w:tc>
          <w:tcPr>
            <w:tcW w:w="58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40" w:type="dxa"/>
            <w:vAlign w:val="bottom"/>
            <w:gridSpan w:val="5"/>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June 30,</w:t>
            </w:r>
          </w:p>
        </w:tc>
        <w:tc>
          <w:tcPr>
            <w:tcW w:w="0" w:type="dxa"/>
            <w:vAlign w:val="bottom"/>
          </w:tcPr>
          <w:p>
            <w:pPr>
              <w:spacing w:after="0"/>
              <w:rPr>
                <w:sz w:val="1"/>
                <w:szCs w:val="1"/>
                <w:color w:val="auto"/>
              </w:rPr>
            </w:pPr>
          </w:p>
        </w:tc>
      </w:tr>
      <w:tr>
        <w:trPr>
          <w:trHeight w:val="173"/>
        </w:trPr>
        <w:tc>
          <w:tcPr>
            <w:tcW w:w="1320" w:type="dxa"/>
            <w:vAlign w:val="bottom"/>
          </w:tcPr>
          <w:p>
            <w:pPr>
              <w:spacing w:after="0"/>
              <w:rPr>
                <w:sz w:val="15"/>
                <w:szCs w:val="15"/>
                <w:color w:val="auto"/>
              </w:rPr>
            </w:pPr>
          </w:p>
        </w:tc>
        <w:tc>
          <w:tcPr>
            <w:tcW w:w="5860" w:type="dxa"/>
            <w:vAlign w:val="bottom"/>
          </w:tcPr>
          <w:p>
            <w:pPr>
              <w:spacing w:after="0"/>
              <w:rPr>
                <w:sz w:val="15"/>
                <w:szCs w:val="15"/>
                <w:color w:val="auto"/>
              </w:rPr>
            </w:pPr>
          </w:p>
        </w:tc>
        <w:tc>
          <w:tcPr>
            <w:tcW w:w="1300" w:type="dxa"/>
            <w:vAlign w:val="bottom"/>
            <w:gridSpan w:val="3"/>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2022</w:t>
            </w:r>
          </w:p>
        </w:tc>
        <w:tc>
          <w:tcPr>
            <w:tcW w:w="320" w:type="dxa"/>
            <w:vAlign w:val="bottom"/>
          </w:tcPr>
          <w:p>
            <w:pPr>
              <w:spacing w:after="0"/>
              <w:rPr>
                <w:sz w:val="15"/>
                <w:szCs w:val="15"/>
                <w:color w:val="auto"/>
              </w:rPr>
            </w:pPr>
          </w:p>
        </w:tc>
        <w:tc>
          <w:tcPr>
            <w:tcW w:w="840" w:type="dxa"/>
            <w:vAlign w:val="bottom"/>
            <w:gridSpan w:val="2"/>
          </w:tcPr>
          <w:p>
            <w:pPr>
              <w:jc w:val="right"/>
              <w:ind w:right="122"/>
              <w:spacing w:after="0"/>
              <w:rPr>
                <w:sz w:val="20"/>
                <w:szCs w:val="20"/>
                <w:color w:val="auto"/>
              </w:rPr>
            </w:pPr>
            <w:r>
              <w:rPr>
                <w:rFonts w:ascii="Times New Roman" w:cs="Times New Roman" w:eastAsia="Times New Roman" w:hAnsi="Times New Roman"/>
                <w:sz w:val="14"/>
                <w:szCs w:val="14"/>
                <w:b w:val="1"/>
                <w:bCs w:val="1"/>
                <w:color w:val="auto"/>
              </w:rPr>
              <w:t>2021</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1320" w:type="dxa"/>
            <w:vAlign w:val="bottom"/>
          </w:tcPr>
          <w:p>
            <w:pPr>
              <w:spacing w:after="0"/>
              <w:rPr>
                <w:sz w:val="18"/>
                <w:szCs w:val="18"/>
                <w:color w:val="auto"/>
              </w:rPr>
            </w:pPr>
          </w:p>
        </w:tc>
        <w:tc>
          <w:tcPr>
            <w:tcW w:w="58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Expense relating to short-term leases</w:t>
            </w:r>
          </w:p>
        </w:tc>
        <w:tc>
          <w:tcPr>
            <w:tcW w:w="6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w:t>
            </w:r>
          </w:p>
        </w:tc>
        <w:tc>
          <w:tcPr>
            <w:tcW w:w="3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Expense relating to leases of low value assets</w:t>
            </w:r>
          </w:p>
        </w:tc>
        <w:tc>
          <w:tcPr>
            <w:tcW w:w="1620" w:type="dxa"/>
            <w:vAlign w:val="bottom"/>
            <w:gridSpan w:val="4"/>
          </w:tcPr>
          <w:p>
            <w:pPr>
              <w:jc w:val="right"/>
              <w:ind w:right="320"/>
              <w:spacing w:after="0"/>
              <w:rPr>
                <w:sz w:val="20"/>
                <w:szCs w:val="20"/>
                <w:color w:val="auto"/>
              </w:rPr>
            </w:pPr>
            <w:r>
              <w:rPr>
                <w:rFonts w:ascii="Times New Roman" w:cs="Times New Roman" w:eastAsia="Times New Roman" w:hAnsi="Times New Roman"/>
                <w:sz w:val="18"/>
                <w:szCs w:val="18"/>
                <w:color w:val="auto"/>
              </w:rPr>
              <w:t>1,911</w:t>
            </w:r>
          </w:p>
        </w:tc>
        <w:tc>
          <w:tcPr>
            <w:tcW w:w="8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2,036</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on leases</w:t>
            </w:r>
          </w:p>
        </w:tc>
        <w:tc>
          <w:tcPr>
            <w:tcW w:w="1620" w:type="dxa"/>
            <w:vAlign w:val="bottom"/>
            <w:gridSpan w:val="4"/>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1,700</w:t>
            </w:r>
          </w:p>
        </w:tc>
        <w:tc>
          <w:tcPr>
            <w:tcW w:w="8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1,149</w:t>
            </w:r>
          </w:p>
        </w:tc>
        <w:tc>
          <w:tcPr>
            <w:tcW w:w="0" w:type="dxa"/>
            <w:vAlign w:val="bottom"/>
          </w:tcPr>
          <w:p>
            <w:pPr>
              <w:spacing w:after="0"/>
              <w:rPr>
                <w:sz w:val="1"/>
                <w:szCs w:val="1"/>
                <w:color w:val="auto"/>
              </w:rPr>
            </w:pPr>
          </w:p>
        </w:tc>
      </w:tr>
      <w:tr>
        <w:trPr>
          <w:trHeight w:val="432"/>
        </w:trPr>
        <w:tc>
          <w:tcPr>
            <w:tcW w:w="7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current and non-current portion of the Group’s lease liabilities are as follows:</w:t>
            </w: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1320" w:type="dxa"/>
            <w:vAlign w:val="bottom"/>
          </w:tcPr>
          <w:p>
            <w:pPr>
              <w:spacing w:after="0"/>
              <w:rPr>
                <w:sz w:val="24"/>
                <w:szCs w:val="24"/>
                <w:color w:val="auto"/>
              </w:rPr>
            </w:pPr>
          </w:p>
        </w:tc>
        <w:tc>
          <w:tcPr>
            <w:tcW w:w="5860" w:type="dxa"/>
            <w:vAlign w:val="bottom"/>
          </w:tcPr>
          <w:p>
            <w:pPr>
              <w:spacing w:after="0"/>
              <w:rPr>
                <w:sz w:val="24"/>
                <w:szCs w:val="24"/>
                <w:color w:val="auto"/>
              </w:rPr>
            </w:pPr>
          </w:p>
        </w:tc>
        <w:tc>
          <w:tcPr>
            <w:tcW w:w="1620" w:type="dxa"/>
            <w:vAlign w:val="bottom"/>
            <w:gridSpan w:val="4"/>
            <w:vMerge w:val="restart"/>
          </w:tcPr>
          <w:p>
            <w:pPr>
              <w:jc w:val="center"/>
              <w:ind w:right="760"/>
              <w:spacing w:after="0"/>
              <w:rPr>
                <w:sz w:val="20"/>
                <w:szCs w:val="20"/>
                <w:color w:val="auto"/>
              </w:rPr>
            </w:pPr>
            <w:r>
              <w:rPr>
                <w:rFonts w:ascii="Times New Roman" w:cs="Times New Roman" w:eastAsia="Times New Roman" w:hAnsi="Times New Roman"/>
                <w:sz w:val="14"/>
                <w:szCs w:val="14"/>
                <w:b w:val="1"/>
                <w:bCs w:val="1"/>
                <w:color w:val="auto"/>
              </w:rPr>
              <w:t>As of June 30,</w:t>
            </w:r>
          </w:p>
        </w:tc>
        <w:tc>
          <w:tcPr>
            <w:tcW w:w="140" w:type="dxa"/>
            <w:vAlign w:val="bottom"/>
          </w:tcPr>
          <w:p>
            <w:pPr>
              <w:spacing w:after="0"/>
              <w:rPr>
                <w:sz w:val="24"/>
                <w:szCs w:val="24"/>
                <w:color w:val="auto"/>
              </w:rPr>
            </w:pPr>
          </w:p>
        </w:tc>
        <w:tc>
          <w:tcPr>
            <w:tcW w:w="7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0" w:type="dxa"/>
            <w:vAlign w:val="bottom"/>
          </w:tcPr>
          <w:p>
            <w:pPr>
              <w:spacing w:after="0"/>
              <w:rPr>
                <w:sz w:val="1"/>
                <w:szCs w:val="1"/>
                <w:color w:val="auto"/>
              </w:rPr>
            </w:pPr>
          </w:p>
        </w:tc>
      </w:tr>
      <w:tr>
        <w:trPr>
          <w:trHeight w:val="148"/>
        </w:trPr>
        <w:tc>
          <w:tcPr>
            <w:tcW w:w="1320" w:type="dxa"/>
            <w:vAlign w:val="bottom"/>
          </w:tcPr>
          <w:p>
            <w:pPr>
              <w:spacing w:after="0"/>
              <w:rPr>
                <w:sz w:val="12"/>
                <w:szCs w:val="12"/>
                <w:color w:val="auto"/>
              </w:rPr>
            </w:pPr>
          </w:p>
        </w:tc>
        <w:tc>
          <w:tcPr>
            <w:tcW w:w="5860" w:type="dxa"/>
            <w:vAlign w:val="bottom"/>
          </w:tcPr>
          <w:p>
            <w:pPr>
              <w:spacing w:after="0"/>
              <w:rPr>
                <w:sz w:val="12"/>
                <w:szCs w:val="12"/>
                <w:color w:val="auto"/>
              </w:rPr>
            </w:pPr>
          </w:p>
        </w:tc>
        <w:tc>
          <w:tcPr>
            <w:tcW w:w="1620" w:type="dxa"/>
            <w:vAlign w:val="bottom"/>
            <w:gridSpan w:val="4"/>
            <w:vMerge w:val="continue"/>
          </w:tcPr>
          <w:p>
            <w:pPr>
              <w:spacing w:after="0"/>
              <w:rPr>
                <w:sz w:val="12"/>
                <w:szCs w:val="12"/>
                <w:color w:val="auto"/>
              </w:rPr>
            </w:pPr>
          </w:p>
        </w:tc>
        <w:tc>
          <w:tcPr>
            <w:tcW w:w="880" w:type="dxa"/>
            <w:vAlign w:val="bottom"/>
            <w:gridSpan w:val="3"/>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1320" w:type="dxa"/>
            <w:vAlign w:val="bottom"/>
          </w:tcPr>
          <w:p>
            <w:pPr>
              <w:spacing w:after="0"/>
              <w:rPr>
                <w:sz w:val="15"/>
                <w:szCs w:val="15"/>
                <w:color w:val="auto"/>
              </w:rPr>
            </w:pPr>
          </w:p>
        </w:tc>
        <w:tc>
          <w:tcPr>
            <w:tcW w:w="5860" w:type="dxa"/>
            <w:vAlign w:val="bottom"/>
            <w:tcBorders>
              <w:bottom w:val="single" w:sz="8" w:color="CCEEFF"/>
            </w:tcBorders>
          </w:tcPr>
          <w:p>
            <w:pPr>
              <w:spacing w:after="0"/>
              <w:rPr>
                <w:sz w:val="15"/>
                <w:szCs w:val="15"/>
                <w:color w:val="auto"/>
              </w:rPr>
            </w:pPr>
          </w:p>
        </w:tc>
        <w:tc>
          <w:tcPr>
            <w:tcW w:w="640" w:type="dxa"/>
            <w:vAlign w:val="bottom"/>
            <w:tcBorders>
              <w:bottom w:val="single" w:sz="8" w:color="auto"/>
            </w:tcBorders>
          </w:tcPr>
          <w:p>
            <w:pPr>
              <w:jc w:val="center"/>
              <w:ind w:left="1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Borders>
              <w:bottom w:val="single" w:sz="8" w:color="auto"/>
            </w:tcBorders>
          </w:tcPr>
          <w:p>
            <w:pPr>
              <w:spacing w:after="0"/>
              <w:rPr>
                <w:sz w:val="15"/>
                <w:szCs w:val="15"/>
                <w:color w:val="auto"/>
              </w:rPr>
            </w:pPr>
          </w:p>
        </w:tc>
        <w:tc>
          <w:tcPr>
            <w:tcW w:w="440" w:type="dxa"/>
            <w:vAlign w:val="bottom"/>
            <w:tcBorders>
              <w:bottom w:val="single" w:sz="8" w:color="CCEEFF"/>
            </w:tcBorders>
          </w:tcPr>
          <w:p>
            <w:pPr>
              <w:spacing w:after="0"/>
              <w:rPr>
                <w:sz w:val="15"/>
                <w:szCs w:val="15"/>
                <w:color w:val="auto"/>
              </w:rPr>
            </w:pPr>
          </w:p>
        </w:tc>
        <w:tc>
          <w:tcPr>
            <w:tcW w:w="32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4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132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lease liability</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17,363</w:t>
            </w:r>
          </w:p>
        </w:tc>
        <w:tc>
          <w:tcPr>
            <w:tcW w:w="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Non-current lease liability</w:t>
            </w:r>
          </w:p>
        </w:tc>
        <w:tc>
          <w:tcPr>
            <w:tcW w:w="1300" w:type="dxa"/>
            <w:vAlign w:val="bottom"/>
            <w:gridSpan w:val="3"/>
          </w:tcPr>
          <w:p>
            <w:pPr>
              <w:jc w:val="right"/>
              <w:ind w:right="368"/>
              <w:spacing w:after="0"/>
              <w:rPr>
                <w:sz w:val="20"/>
                <w:szCs w:val="20"/>
                <w:color w:val="auto"/>
              </w:rPr>
            </w:pPr>
            <w:r>
              <w:rPr>
                <w:rFonts w:ascii="Times New Roman" w:cs="Times New Roman" w:eastAsia="Times New Roman" w:hAnsi="Times New Roman"/>
                <w:sz w:val="18"/>
                <w:szCs w:val="18"/>
                <w:color w:val="auto"/>
              </w:rPr>
              <w:t>60,473</w:t>
            </w:r>
          </w:p>
        </w:tc>
        <w:tc>
          <w:tcPr>
            <w:tcW w:w="320" w:type="dxa"/>
            <w:vAlign w:val="bottom"/>
          </w:tcPr>
          <w:p>
            <w:pPr>
              <w:spacing w:after="0"/>
              <w:rPr>
                <w:sz w:val="18"/>
                <w:szCs w:val="18"/>
                <w:color w:val="auto"/>
              </w:rPr>
            </w:pPr>
          </w:p>
        </w:tc>
        <w:tc>
          <w:tcPr>
            <w:tcW w:w="8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66,575</w:t>
            </w:r>
          </w:p>
        </w:tc>
        <w:tc>
          <w:tcPr>
            <w:tcW w:w="0" w:type="dxa"/>
            <w:vAlign w:val="bottom"/>
          </w:tcPr>
          <w:p>
            <w:pPr>
              <w:spacing w:after="0"/>
              <w:rPr>
                <w:sz w:val="1"/>
                <w:szCs w:val="1"/>
                <w:color w:val="auto"/>
              </w:rPr>
            </w:pPr>
          </w:p>
        </w:tc>
      </w:tr>
      <w:tr>
        <w:trPr>
          <w:trHeight w:val="27"/>
        </w:trPr>
        <w:tc>
          <w:tcPr>
            <w:tcW w:w="1320" w:type="dxa"/>
            <w:vAlign w:val="bottom"/>
          </w:tcPr>
          <w:p>
            <w:pPr>
              <w:spacing w:after="0"/>
              <w:rPr>
                <w:sz w:val="2"/>
                <w:szCs w:val="2"/>
                <w:color w:val="auto"/>
              </w:rPr>
            </w:pPr>
          </w:p>
        </w:tc>
        <w:tc>
          <w:tcPr>
            <w:tcW w:w="58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32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300" w:type="dxa"/>
            <w:vAlign w:val="bottom"/>
            <w:gridSpan w:val="3"/>
            <w:shd w:val="clear" w:color="auto" w:fill="CCEEFF"/>
          </w:tcPr>
          <w:p>
            <w:pPr>
              <w:jc w:val="right"/>
              <w:ind w:right="368"/>
              <w:spacing w:after="0"/>
              <w:rPr>
                <w:sz w:val="20"/>
                <w:szCs w:val="20"/>
                <w:color w:val="auto"/>
              </w:rPr>
            </w:pPr>
            <w:r>
              <w:rPr>
                <w:rFonts w:ascii="Times New Roman" w:cs="Times New Roman" w:eastAsia="Times New Roman" w:hAnsi="Times New Roman"/>
                <w:sz w:val="18"/>
                <w:szCs w:val="18"/>
                <w:b w:val="1"/>
                <w:bCs w:val="1"/>
                <w:color w:val="auto"/>
              </w:rPr>
              <w:t>77,836</w:t>
            </w:r>
          </w:p>
        </w:tc>
        <w:tc>
          <w:tcPr>
            <w:tcW w:w="3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76,825</w:t>
            </w:r>
          </w:p>
        </w:tc>
        <w:tc>
          <w:tcPr>
            <w:tcW w:w="0" w:type="dxa"/>
            <w:vAlign w:val="bottom"/>
          </w:tcPr>
          <w:p>
            <w:pPr>
              <w:spacing w:after="0"/>
              <w:rPr>
                <w:sz w:val="1"/>
                <w:szCs w:val="1"/>
                <w:color w:val="auto"/>
              </w:rPr>
            </w:pPr>
          </w:p>
        </w:tc>
      </w:tr>
      <w:tr>
        <w:trPr>
          <w:trHeight w:val="439"/>
        </w:trPr>
        <w:tc>
          <w:tcPr>
            <w:tcW w:w="7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Expected future lease payments to be made to satisfy the Group’s lease liabilities are as follows:</w:t>
            </w:r>
          </w:p>
        </w:tc>
        <w:tc>
          <w:tcPr>
            <w:tcW w:w="64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1320" w:type="dxa"/>
            <w:vAlign w:val="bottom"/>
          </w:tcPr>
          <w:p>
            <w:pPr>
              <w:spacing w:after="0"/>
              <w:rPr>
                <w:sz w:val="24"/>
                <w:szCs w:val="24"/>
                <w:color w:val="auto"/>
              </w:rPr>
            </w:pPr>
          </w:p>
        </w:tc>
        <w:tc>
          <w:tcPr>
            <w:tcW w:w="5860" w:type="dxa"/>
            <w:vAlign w:val="bottom"/>
          </w:tcPr>
          <w:p>
            <w:pPr>
              <w:spacing w:after="0"/>
              <w:rPr>
                <w:sz w:val="24"/>
                <w:szCs w:val="24"/>
                <w:color w:val="auto"/>
              </w:rPr>
            </w:pPr>
          </w:p>
        </w:tc>
        <w:tc>
          <w:tcPr>
            <w:tcW w:w="1620" w:type="dxa"/>
            <w:vAlign w:val="bottom"/>
            <w:gridSpan w:val="4"/>
            <w:vMerge w:val="restart"/>
          </w:tcPr>
          <w:p>
            <w:pPr>
              <w:jc w:val="center"/>
              <w:ind w:right="760"/>
              <w:spacing w:after="0"/>
              <w:rPr>
                <w:sz w:val="20"/>
                <w:szCs w:val="20"/>
                <w:color w:val="auto"/>
              </w:rPr>
            </w:pPr>
            <w:r>
              <w:rPr>
                <w:rFonts w:ascii="Times New Roman" w:cs="Times New Roman" w:eastAsia="Times New Roman" w:hAnsi="Times New Roman"/>
                <w:sz w:val="14"/>
                <w:szCs w:val="14"/>
                <w:b w:val="1"/>
                <w:bCs w:val="1"/>
                <w:color w:val="auto"/>
              </w:rPr>
              <w:t>As of June 30,</w:t>
            </w:r>
          </w:p>
        </w:tc>
        <w:tc>
          <w:tcPr>
            <w:tcW w:w="140" w:type="dxa"/>
            <w:vAlign w:val="bottom"/>
          </w:tcPr>
          <w:p>
            <w:pPr>
              <w:spacing w:after="0"/>
              <w:rPr>
                <w:sz w:val="24"/>
                <w:szCs w:val="24"/>
                <w:color w:val="auto"/>
              </w:rPr>
            </w:pPr>
          </w:p>
        </w:tc>
        <w:tc>
          <w:tcPr>
            <w:tcW w:w="7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0" w:type="dxa"/>
            <w:vAlign w:val="bottom"/>
          </w:tcPr>
          <w:p>
            <w:pPr>
              <w:spacing w:after="0"/>
              <w:rPr>
                <w:sz w:val="1"/>
                <w:szCs w:val="1"/>
                <w:color w:val="auto"/>
              </w:rPr>
            </w:pPr>
          </w:p>
        </w:tc>
      </w:tr>
      <w:tr>
        <w:trPr>
          <w:trHeight w:val="148"/>
        </w:trPr>
        <w:tc>
          <w:tcPr>
            <w:tcW w:w="1320" w:type="dxa"/>
            <w:vAlign w:val="bottom"/>
          </w:tcPr>
          <w:p>
            <w:pPr>
              <w:spacing w:after="0"/>
              <w:rPr>
                <w:sz w:val="12"/>
                <w:szCs w:val="12"/>
                <w:color w:val="auto"/>
              </w:rPr>
            </w:pPr>
          </w:p>
        </w:tc>
        <w:tc>
          <w:tcPr>
            <w:tcW w:w="5860" w:type="dxa"/>
            <w:vAlign w:val="bottom"/>
          </w:tcPr>
          <w:p>
            <w:pPr>
              <w:spacing w:after="0"/>
              <w:rPr>
                <w:sz w:val="12"/>
                <w:szCs w:val="12"/>
                <w:color w:val="auto"/>
              </w:rPr>
            </w:pPr>
          </w:p>
        </w:tc>
        <w:tc>
          <w:tcPr>
            <w:tcW w:w="1620" w:type="dxa"/>
            <w:vAlign w:val="bottom"/>
            <w:gridSpan w:val="4"/>
            <w:vMerge w:val="continue"/>
          </w:tcPr>
          <w:p>
            <w:pPr>
              <w:spacing w:after="0"/>
              <w:rPr>
                <w:sz w:val="12"/>
                <w:szCs w:val="12"/>
                <w:color w:val="auto"/>
              </w:rPr>
            </w:pPr>
          </w:p>
        </w:tc>
        <w:tc>
          <w:tcPr>
            <w:tcW w:w="880" w:type="dxa"/>
            <w:vAlign w:val="bottom"/>
            <w:gridSpan w:val="3"/>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1320" w:type="dxa"/>
            <w:vAlign w:val="bottom"/>
          </w:tcPr>
          <w:p>
            <w:pPr>
              <w:spacing w:after="0"/>
              <w:rPr>
                <w:sz w:val="15"/>
                <w:szCs w:val="15"/>
                <w:color w:val="auto"/>
              </w:rPr>
            </w:pPr>
          </w:p>
        </w:tc>
        <w:tc>
          <w:tcPr>
            <w:tcW w:w="5860" w:type="dxa"/>
            <w:vAlign w:val="bottom"/>
            <w:tcBorders>
              <w:bottom w:val="single" w:sz="8" w:color="CCEEFF"/>
            </w:tcBorders>
          </w:tcPr>
          <w:p>
            <w:pPr>
              <w:spacing w:after="0"/>
              <w:rPr>
                <w:sz w:val="15"/>
                <w:szCs w:val="15"/>
                <w:color w:val="auto"/>
              </w:rPr>
            </w:pPr>
          </w:p>
        </w:tc>
        <w:tc>
          <w:tcPr>
            <w:tcW w:w="640" w:type="dxa"/>
            <w:vAlign w:val="bottom"/>
            <w:tcBorders>
              <w:bottom w:val="single" w:sz="8" w:color="auto"/>
            </w:tcBorders>
          </w:tcPr>
          <w:p>
            <w:pPr>
              <w:jc w:val="center"/>
              <w:ind w:left="1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Borders>
              <w:bottom w:val="single" w:sz="8" w:color="auto"/>
            </w:tcBorders>
          </w:tcPr>
          <w:p>
            <w:pPr>
              <w:spacing w:after="0"/>
              <w:rPr>
                <w:sz w:val="15"/>
                <w:szCs w:val="15"/>
                <w:color w:val="auto"/>
              </w:rPr>
            </w:pPr>
          </w:p>
        </w:tc>
        <w:tc>
          <w:tcPr>
            <w:tcW w:w="440" w:type="dxa"/>
            <w:vAlign w:val="bottom"/>
            <w:tcBorders>
              <w:bottom w:val="single" w:sz="8" w:color="CCEEFF"/>
            </w:tcBorders>
          </w:tcPr>
          <w:p>
            <w:pPr>
              <w:spacing w:after="0"/>
              <w:rPr>
                <w:sz w:val="15"/>
                <w:szCs w:val="15"/>
                <w:color w:val="auto"/>
              </w:rPr>
            </w:pPr>
          </w:p>
        </w:tc>
        <w:tc>
          <w:tcPr>
            <w:tcW w:w="32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4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132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Within 1 year</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17,363</w:t>
            </w:r>
          </w:p>
        </w:tc>
        <w:tc>
          <w:tcPr>
            <w:tcW w:w="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Between 1 and 2 years</w:t>
            </w:r>
          </w:p>
        </w:tc>
        <w:tc>
          <w:tcPr>
            <w:tcW w:w="1300" w:type="dxa"/>
            <w:vAlign w:val="bottom"/>
            <w:gridSpan w:val="3"/>
          </w:tcPr>
          <w:p>
            <w:pPr>
              <w:jc w:val="right"/>
              <w:ind w:right="368"/>
              <w:spacing w:after="0"/>
              <w:rPr>
                <w:sz w:val="20"/>
                <w:szCs w:val="20"/>
                <w:color w:val="auto"/>
              </w:rPr>
            </w:pPr>
            <w:r>
              <w:rPr>
                <w:rFonts w:ascii="Times New Roman" w:cs="Times New Roman" w:eastAsia="Times New Roman" w:hAnsi="Times New Roman"/>
                <w:sz w:val="18"/>
                <w:szCs w:val="18"/>
                <w:color w:val="auto"/>
              </w:rPr>
              <w:t>18,070</w:t>
            </w:r>
          </w:p>
        </w:tc>
        <w:tc>
          <w:tcPr>
            <w:tcW w:w="320" w:type="dxa"/>
            <w:vAlign w:val="bottom"/>
          </w:tcPr>
          <w:p>
            <w:pPr>
              <w:spacing w:after="0"/>
              <w:rPr>
                <w:sz w:val="18"/>
                <w:szCs w:val="18"/>
                <w:color w:val="auto"/>
              </w:rPr>
            </w:pPr>
          </w:p>
        </w:tc>
        <w:tc>
          <w:tcPr>
            <w:tcW w:w="8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11,715</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Between 2 and 3 years</w:t>
            </w:r>
          </w:p>
        </w:tc>
        <w:tc>
          <w:tcPr>
            <w:tcW w:w="1300" w:type="dxa"/>
            <w:vAlign w:val="bottom"/>
            <w:gridSpan w:val="3"/>
            <w:shd w:val="clear" w:color="auto" w:fill="CCEEFF"/>
          </w:tcPr>
          <w:p>
            <w:pPr>
              <w:jc w:val="right"/>
              <w:ind w:right="368"/>
              <w:spacing w:after="0"/>
              <w:rPr>
                <w:sz w:val="20"/>
                <w:szCs w:val="20"/>
                <w:color w:val="auto"/>
              </w:rPr>
            </w:pPr>
            <w:r>
              <w:rPr>
                <w:rFonts w:ascii="Times New Roman" w:cs="Times New Roman" w:eastAsia="Times New Roman" w:hAnsi="Times New Roman"/>
                <w:sz w:val="18"/>
                <w:szCs w:val="18"/>
                <w:color w:val="auto"/>
              </w:rPr>
              <w:t>15,632</w:t>
            </w:r>
          </w:p>
        </w:tc>
        <w:tc>
          <w:tcPr>
            <w:tcW w:w="3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10,375</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Between 3 and 4 years</w:t>
            </w:r>
          </w:p>
        </w:tc>
        <w:tc>
          <w:tcPr>
            <w:tcW w:w="1300" w:type="dxa"/>
            <w:vAlign w:val="bottom"/>
            <w:gridSpan w:val="3"/>
          </w:tcPr>
          <w:p>
            <w:pPr>
              <w:jc w:val="right"/>
              <w:ind w:right="368"/>
              <w:spacing w:after="0"/>
              <w:rPr>
                <w:sz w:val="20"/>
                <w:szCs w:val="20"/>
                <w:color w:val="auto"/>
              </w:rPr>
            </w:pPr>
            <w:r>
              <w:rPr>
                <w:rFonts w:ascii="Times New Roman" w:cs="Times New Roman" w:eastAsia="Times New Roman" w:hAnsi="Times New Roman"/>
                <w:sz w:val="18"/>
                <w:szCs w:val="18"/>
                <w:color w:val="auto"/>
              </w:rPr>
              <w:t>10,813</w:t>
            </w:r>
          </w:p>
        </w:tc>
        <w:tc>
          <w:tcPr>
            <w:tcW w:w="320" w:type="dxa"/>
            <w:vAlign w:val="bottom"/>
          </w:tcPr>
          <w:p>
            <w:pPr>
              <w:spacing w:after="0"/>
              <w:rPr>
                <w:sz w:val="18"/>
                <w:szCs w:val="18"/>
                <w:color w:val="auto"/>
              </w:rPr>
            </w:pPr>
          </w:p>
        </w:tc>
        <w:tc>
          <w:tcPr>
            <w:tcW w:w="8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8,596</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Between 4 and 5 years</w:t>
            </w:r>
          </w:p>
        </w:tc>
        <w:tc>
          <w:tcPr>
            <w:tcW w:w="1300" w:type="dxa"/>
            <w:vAlign w:val="bottom"/>
            <w:gridSpan w:val="3"/>
            <w:shd w:val="clear" w:color="auto" w:fill="CCEEFF"/>
          </w:tcPr>
          <w:p>
            <w:pPr>
              <w:jc w:val="right"/>
              <w:ind w:right="368"/>
              <w:spacing w:after="0"/>
              <w:rPr>
                <w:sz w:val="20"/>
                <w:szCs w:val="20"/>
                <w:color w:val="auto"/>
              </w:rPr>
            </w:pPr>
            <w:r>
              <w:rPr>
                <w:rFonts w:ascii="Times New Roman" w:cs="Times New Roman" w:eastAsia="Times New Roman" w:hAnsi="Times New Roman"/>
                <w:sz w:val="18"/>
                <w:szCs w:val="18"/>
                <w:color w:val="auto"/>
              </w:rPr>
              <w:t>6,872</w:t>
            </w:r>
          </w:p>
        </w:tc>
        <w:tc>
          <w:tcPr>
            <w:tcW w:w="3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42,032</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Later than 5 years</w:t>
            </w:r>
          </w:p>
        </w:tc>
        <w:tc>
          <w:tcPr>
            <w:tcW w:w="1300" w:type="dxa"/>
            <w:vAlign w:val="bottom"/>
            <w:gridSpan w:val="3"/>
          </w:tcPr>
          <w:p>
            <w:pPr>
              <w:jc w:val="right"/>
              <w:ind w:right="368"/>
              <w:spacing w:after="0"/>
              <w:rPr>
                <w:sz w:val="20"/>
                <w:szCs w:val="20"/>
                <w:color w:val="auto"/>
              </w:rPr>
            </w:pPr>
            <w:r>
              <w:rPr>
                <w:rFonts w:ascii="Times New Roman" w:cs="Times New Roman" w:eastAsia="Times New Roman" w:hAnsi="Times New Roman"/>
                <w:sz w:val="18"/>
                <w:szCs w:val="18"/>
                <w:color w:val="auto"/>
              </w:rPr>
              <w:t>22,079</w:t>
            </w:r>
          </w:p>
        </w:tc>
        <w:tc>
          <w:tcPr>
            <w:tcW w:w="320" w:type="dxa"/>
            <w:vAlign w:val="bottom"/>
          </w:tcPr>
          <w:p>
            <w:pPr>
              <w:spacing w:after="0"/>
              <w:rPr>
                <w:sz w:val="18"/>
                <w:szCs w:val="18"/>
                <w:color w:val="auto"/>
              </w:rPr>
            </w:pPr>
          </w:p>
        </w:tc>
        <w:tc>
          <w:tcPr>
            <w:tcW w:w="8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6,361</w:t>
            </w:r>
          </w:p>
        </w:tc>
        <w:tc>
          <w:tcPr>
            <w:tcW w:w="0" w:type="dxa"/>
            <w:vAlign w:val="bottom"/>
          </w:tcPr>
          <w:p>
            <w:pPr>
              <w:spacing w:after="0"/>
              <w:rPr>
                <w:sz w:val="1"/>
                <w:szCs w:val="1"/>
                <w:color w:val="auto"/>
              </w:rPr>
            </w:pPr>
          </w:p>
        </w:tc>
      </w:tr>
      <w:tr>
        <w:trPr>
          <w:trHeight w:val="27"/>
        </w:trPr>
        <w:tc>
          <w:tcPr>
            <w:tcW w:w="1320" w:type="dxa"/>
            <w:vAlign w:val="bottom"/>
          </w:tcPr>
          <w:p>
            <w:pPr>
              <w:spacing w:after="0"/>
              <w:rPr>
                <w:sz w:val="2"/>
                <w:szCs w:val="2"/>
                <w:color w:val="auto"/>
              </w:rPr>
            </w:pPr>
          </w:p>
        </w:tc>
        <w:tc>
          <w:tcPr>
            <w:tcW w:w="58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32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300" w:type="dxa"/>
            <w:vAlign w:val="bottom"/>
            <w:gridSpan w:val="3"/>
            <w:shd w:val="clear" w:color="auto" w:fill="CCEEFF"/>
          </w:tcPr>
          <w:p>
            <w:pPr>
              <w:jc w:val="right"/>
              <w:ind w:right="368"/>
              <w:spacing w:after="0"/>
              <w:rPr>
                <w:sz w:val="20"/>
                <w:szCs w:val="20"/>
                <w:color w:val="auto"/>
              </w:rPr>
            </w:pPr>
            <w:r>
              <w:rPr>
                <w:rFonts w:ascii="Times New Roman" w:cs="Times New Roman" w:eastAsia="Times New Roman" w:hAnsi="Times New Roman"/>
                <w:sz w:val="18"/>
                <w:szCs w:val="18"/>
                <w:b w:val="1"/>
                <w:bCs w:val="1"/>
                <w:color w:val="auto"/>
              </w:rPr>
              <w:t>90,829</w:t>
            </w:r>
          </w:p>
        </w:tc>
        <w:tc>
          <w:tcPr>
            <w:tcW w:w="3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89,329</w:t>
            </w: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For the six months ended June 30, 2022 and 2021, total cash outflows for leases amounted to $6,124 and $3,122, respectively.</w:t>
      </w:r>
    </w:p>
    <w:p>
      <w:pPr>
        <w:spacing w:after="0" w:line="225"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As a lessor, the Group recognised revenue from operating leases in the amount of $7,934 and $154 for the six months ended June 30, 2022 and June 30, 2021, respectively. For the majority of the Group’s lease contracts, vehicles are paid for upfront at contract inception and repurchased by Polestar at the end of the lease term. Expected future, undiscounted lease payments to be received from the Group’s operating leases outstanding as of</w:t>
      </w:r>
    </w:p>
    <w:p>
      <w:pPr>
        <w:spacing w:after="0" w:line="10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F-79</w:t>
      </w:r>
    </w:p>
    <w:p>
      <w:pPr>
        <w:sectPr>
          <w:pgSz w:w="11900" w:h="16838" w:orient="portrait"/>
          <w:cols w:equalWidth="0" w:num="1">
            <w:col w:w="11040"/>
          </w:cols>
          <w:pgMar w:left="320" w:top="455" w:right="539" w:bottom="1440" w:gutter="0" w:footer="0" w:header="0"/>
        </w:sectPr>
      </w:pPr>
    </w:p>
    <w:bookmarkStart w:id="314" w:name="page315"/>
    <w:bookmarkEnd w:id="3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(in thousands of U.S. dollars unless otherwise stated)</w:t>
      </w:r>
    </w:p>
    <w:p>
      <w:pPr>
        <w:spacing w:after="0" w:line="23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June 30, 2022 is $624, all of which will be earned in 2022. The following table depicts the changes in the Group’s vehicles under operating leases:</w:t>
      </w:r>
    </w:p>
    <w:p>
      <w:pPr>
        <w:spacing w:after="0" w:line="233"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460" w:type="dxa"/>
            <w:vAlign w:val="bottom"/>
          </w:tcPr>
          <w:p>
            <w:pPr>
              <w:spacing w:after="0"/>
              <w:rPr>
                <w:sz w:val="13"/>
                <w:szCs w:val="13"/>
                <w:color w:val="auto"/>
              </w:rPr>
            </w:pP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Vehicles under</w:t>
            </w:r>
          </w:p>
        </w:tc>
      </w:tr>
      <w:tr>
        <w:trPr>
          <w:trHeight w:val="148"/>
        </w:trPr>
        <w:tc>
          <w:tcPr>
            <w:tcW w:w="20" w:type="dxa"/>
            <w:vAlign w:val="bottom"/>
          </w:tcPr>
          <w:p>
            <w:pPr>
              <w:spacing w:after="0"/>
              <w:rPr>
                <w:sz w:val="12"/>
                <w:szCs w:val="12"/>
                <w:color w:val="auto"/>
              </w:rPr>
            </w:pPr>
          </w:p>
        </w:tc>
        <w:tc>
          <w:tcPr>
            <w:tcW w:w="6460" w:type="dxa"/>
            <w:vAlign w:val="bottom"/>
          </w:tcPr>
          <w:p>
            <w:pPr>
              <w:spacing w:after="0"/>
              <w:rPr>
                <w:sz w:val="12"/>
                <w:szCs w:val="12"/>
                <w:color w:val="auto"/>
              </w:rPr>
            </w:pPr>
          </w:p>
        </w:tc>
        <w:tc>
          <w:tcPr>
            <w:tcW w:w="10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operating</w:t>
            </w:r>
          </w:p>
        </w:tc>
      </w:tr>
      <w:tr>
        <w:trPr>
          <w:trHeight w:val="173"/>
        </w:trPr>
        <w:tc>
          <w:tcPr>
            <w:tcW w:w="20" w:type="dxa"/>
            <w:vAlign w:val="bottom"/>
          </w:tcPr>
          <w:p>
            <w:pPr>
              <w:spacing w:after="0"/>
              <w:rPr>
                <w:sz w:val="15"/>
                <w:szCs w:val="15"/>
                <w:color w:val="auto"/>
              </w:rPr>
            </w:pPr>
          </w:p>
        </w:tc>
        <w:tc>
          <w:tcPr>
            <w:tcW w:w="6460" w:type="dxa"/>
            <w:vAlign w:val="bottom"/>
          </w:tcPr>
          <w:p>
            <w:pPr>
              <w:spacing w:after="0"/>
              <w:rPr>
                <w:sz w:val="15"/>
                <w:szCs w:val="15"/>
                <w:color w:val="auto"/>
              </w:rPr>
            </w:pP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leases</w:t>
            </w:r>
          </w:p>
        </w:tc>
      </w:tr>
      <w:tr>
        <w:trPr>
          <w:trHeight w:val="196"/>
        </w:trPr>
        <w:tc>
          <w:tcPr>
            <w:tcW w:w="20" w:type="dxa"/>
            <w:vAlign w:val="bottom"/>
          </w:tcPr>
          <w:p>
            <w:pPr>
              <w:spacing w:after="0"/>
              <w:rPr>
                <w:sz w:val="17"/>
                <w:szCs w:val="17"/>
                <w:color w:val="auto"/>
              </w:rPr>
            </w:pPr>
          </w:p>
        </w:tc>
        <w:tc>
          <w:tcPr>
            <w:tcW w:w="646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Acquisition cost</w:t>
            </w: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Balance as of January 1, 2022</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124,764</w:t>
            </w: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Additions</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25,838</w:t>
            </w:r>
          </w:p>
        </w:tc>
      </w:tr>
      <w:tr>
        <w:trPr>
          <w:trHeight w:val="216"/>
        </w:trPr>
        <w:tc>
          <w:tcPr>
            <w:tcW w:w="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Reclassification to inventory</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(32,451)</w:t>
            </w: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foreign currency exchange rate differences</w:t>
            </w: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(3,669)</w:t>
            </w:r>
          </w:p>
        </w:tc>
      </w:tr>
      <w:tr>
        <w:trPr>
          <w:trHeight w:val="230"/>
        </w:trPr>
        <w:tc>
          <w:tcPr>
            <w:tcW w:w="64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Balance as of June 30, 2022</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114,482</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Accumulated depreciation</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Balance as of January 1, 2022</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(4,138)</w:t>
            </w: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expense</w:t>
            </w: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(9,949)</w:t>
            </w:r>
          </w:p>
        </w:tc>
      </w:tr>
      <w:tr>
        <w:trPr>
          <w:trHeight w:val="216"/>
        </w:trPr>
        <w:tc>
          <w:tcPr>
            <w:tcW w:w="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Reclassification to inventory</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1,564</w:t>
            </w: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foreign currency exchange rate differences</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109</w:t>
            </w:r>
          </w:p>
        </w:tc>
      </w:tr>
      <w:tr>
        <w:trPr>
          <w:trHeight w:val="230"/>
        </w:trPr>
        <w:tc>
          <w:tcPr>
            <w:tcW w:w="64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Balance as of June 30, 2022</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(12,414)</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Carrying amount as of June 30, 2022</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102,068</w:t>
            </w:r>
          </w:p>
        </w:tc>
        <w:tc>
          <w:tcPr>
            <w:tcW w:w="100" w:type="dxa"/>
            <w:vAlign w:val="bottom"/>
            <w:shd w:val="clear" w:color="auto" w:fill="CCEEFF"/>
          </w:tcPr>
          <w:p>
            <w:pPr>
              <w:spacing w:after="0"/>
              <w:rPr>
                <w:sz w:val="18"/>
                <w:szCs w:val="18"/>
                <w:color w:val="auto"/>
              </w:rPr>
            </w:pPr>
          </w:p>
        </w:tc>
      </w:tr>
    </w:tbl>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4 - Net loss per share</w:t>
      </w:r>
    </w:p>
    <w:p>
      <w:pPr>
        <w:spacing w:after="0" w:line="121"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During the six months ended June 30, 2022, the only dilutive instruments issued were the Class C Shares and the earn out to the Former Parent related to the Closing of the BCA, as discussed in Note 10 - Reverse recapitalisation. The Convertible notes of the Former Parent were the only dilutive instrument outstanding prior to the reverse recapitalisation and were converted to Class A Shares in the Group upon the Closing of the BCA. These financial instruments were excluded from the diluted weighted average number of ordinary shares calculation as their effect would have been anti-dilutive. No dilutive instruments were issued or outstanding during the six months ended June 30, 2021. Dilutive net loss per share was the same as basic net loss per share for all periods presented. The following table presents the computation of basic and diluted net loss per share for the six months ended June 30, 2022 and 2021:</w:t>
      </w:r>
    </w:p>
    <w:p>
      <w:pPr>
        <w:spacing w:after="0" w:line="209"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5580" w:type="dxa"/>
            <w:vAlign w:val="bottom"/>
          </w:tcPr>
          <w:p>
            <w:pPr>
              <w:spacing w:after="0"/>
              <w:rPr>
                <w:sz w:val="15"/>
                <w:szCs w:val="15"/>
                <w:color w:val="auto"/>
              </w:rPr>
            </w:pPr>
          </w:p>
        </w:tc>
        <w:tc>
          <w:tcPr>
            <w:tcW w:w="2780" w:type="dxa"/>
            <w:vAlign w:val="bottom"/>
            <w:gridSpan w:val="4"/>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42"/>
        </w:trPr>
        <w:tc>
          <w:tcPr>
            <w:tcW w:w="5580" w:type="dxa"/>
            <w:vAlign w:val="bottom"/>
          </w:tcPr>
          <w:p>
            <w:pPr>
              <w:spacing w:after="0"/>
              <w:rPr>
                <w:sz w:val="12"/>
                <w:szCs w:val="12"/>
                <w:color w:val="auto"/>
              </w:rPr>
            </w:pPr>
          </w:p>
        </w:tc>
        <w:tc>
          <w:tcPr>
            <w:tcW w:w="114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2022</w:t>
            </w:r>
          </w:p>
        </w:tc>
        <w:tc>
          <w:tcPr>
            <w:tcW w:w="360" w:type="dxa"/>
            <w:vAlign w:val="bottom"/>
            <w:tcBorders>
              <w:top w:val="single" w:sz="8" w:color="auto"/>
            </w:tcBorders>
          </w:tcPr>
          <w:p>
            <w:pPr>
              <w:spacing w:after="0"/>
              <w:rPr>
                <w:sz w:val="12"/>
                <w:szCs w:val="12"/>
                <w:color w:val="auto"/>
              </w:rPr>
            </w:pPr>
          </w:p>
        </w:tc>
        <w:tc>
          <w:tcPr>
            <w:tcW w:w="116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2021</w:t>
            </w:r>
          </w:p>
        </w:tc>
        <w:tc>
          <w:tcPr>
            <w:tcW w:w="120" w:type="dxa"/>
            <w:vAlign w:val="bottom"/>
          </w:tcPr>
          <w:p>
            <w:pPr>
              <w:spacing w:after="0"/>
              <w:rPr>
                <w:sz w:val="12"/>
                <w:szCs w:val="12"/>
                <w:color w:val="auto"/>
              </w:rPr>
            </w:pPr>
          </w:p>
        </w:tc>
      </w:tr>
      <w:tr>
        <w:trPr>
          <w:trHeight w:val="117"/>
        </w:trPr>
        <w:tc>
          <w:tcPr>
            <w:tcW w:w="5580" w:type="dxa"/>
            <w:vAlign w:val="bottom"/>
          </w:tcPr>
          <w:p>
            <w:pPr>
              <w:spacing w:after="0"/>
              <w:rPr>
                <w:sz w:val="10"/>
                <w:szCs w:val="10"/>
                <w:color w:val="auto"/>
              </w:rPr>
            </w:pPr>
          </w:p>
        </w:tc>
        <w:tc>
          <w:tcPr>
            <w:tcW w:w="114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Class A and B</w:t>
            </w:r>
          </w:p>
        </w:tc>
        <w:tc>
          <w:tcPr>
            <w:tcW w:w="360" w:type="dxa"/>
            <w:vAlign w:val="bottom"/>
          </w:tcPr>
          <w:p>
            <w:pPr>
              <w:spacing w:after="0"/>
              <w:rPr>
                <w:sz w:val="10"/>
                <w:szCs w:val="10"/>
                <w:color w:val="auto"/>
              </w:rPr>
            </w:pPr>
          </w:p>
        </w:tc>
        <w:tc>
          <w:tcPr>
            <w:tcW w:w="116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Class A and B</w:t>
            </w:r>
          </w:p>
        </w:tc>
        <w:tc>
          <w:tcPr>
            <w:tcW w:w="120" w:type="dxa"/>
            <w:vAlign w:val="bottom"/>
          </w:tcPr>
          <w:p>
            <w:pPr>
              <w:spacing w:after="0"/>
              <w:rPr>
                <w:sz w:val="10"/>
                <w:szCs w:val="10"/>
                <w:color w:val="auto"/>
              </w:rPr>
            </w:pPr>
          </w:p>
        </w:tc>
      </w:tr>
      <w:tr>
        <w:trPr>
          <w:trHeight w:val="173"/>
        </w:trPr>
        <w:tc>
          <w:tcPr>
            <w:tcW w:w="5580" w:type="dxa"/>
            <w:vAlign w:val="bottom"/>
          </w:tcPr>
          <w:p>
            <w:pPr>
              <w:spacing w:after="0"/>
              <w:rPr>
                <w:sz w:val="15"/>
                <w:szCs w:val="15"/>
                <w:color w:val="auto"/>
              </w:rPr>
            </w:pPr>
          </w:p>
        </w:tc>
        <w:tc>
          <w:tcPr>
            <w:tcW w:w="15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2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Common</w:t>
            </w:r>
          </w:p>
        </w:tc>
      </w:tr>
      <w:tr>
        <w:trPr>
          <w:trHeight w:val="196"/>
        </w:trPr>
        <w:tc>
          <w:tcPr>
            <w:tcW w:w="558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Numerator:</w:t>
            </w:r>
          </w:p>
        </w:tc>
        <w:tc>
          <w:tcPr>
            <w:tcW w:w="114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r>
      <w:tr>
        <w:trPr>
          <w:trHeight w:val="216"/>
        </w:trPr>
        <w:tc>
          <w:tcPr>
            <w:tcW w:w="5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 attributable to common shareholders</w:t>
            </w:r>
          </w:p>
        </w:tc>
        <w:tc>
          <w:tcPr>
            <w:tcW w:w="15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(502,733)</w:t>
            </w: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(368,219)</w:t>
            </w:r>
          </w:p>
        </w:tc>
      </w:tr>
      <w:tr>
        <w:trPr>
          <w:trHeight w:val="216"/>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Denominator:</w:t>
            </w:r>
          </w:p>
        </w:tc>
        <w:tc>
          <w:tcPr>
            <w:tcW w:w="1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5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Weighted-average number of common shares outstanding</w:t>
            </w:r>
          </w:p>
        </w:tc>
        <w:tc>
          <w:tcPr>
            <w:tcW w:w="15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304,981,454</w:t>
            </w: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226,227,618</w:t>
            </w:r>
          </w:p>
        </w:tc>
      </w:tr>
      <w:tr>
        <w:trPr>
          <w:trHeight w:val="216"/>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per share (in ones):</w:t>
            </w:r>
          </w:p>
        </w:tc>
        <w:tc>
          <w:tcPr>
            <w:tcW w:w="1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38"/>
        </w:trPr>
        <w:tc>
          <w:tcPr>
            <w:tcW w:w="5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Basic and diluted</w:t>
            </w:r>
          </w:p>
        </w:tc>
        <w:tc>
          <w:tcPr>
            <w:tcW w:w="15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(1.65)</w:t>
            </w: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(1.63)</w:t>
            </w:r>
          </w:p>
        </w:tc>
      </w:tr>
    </w:tbl>
    <w:p>
      <w:pPr>
        <w:spacing w:after="0" w:line="17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Refer to Note 6 - Equity for more details on the rights of Class A and B common shareholders.</w:t>
      </w:r>
    </w:p>
    <w:p>
      <w:pPr>
        <w:spacing w:after="0" w:line="158"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F-80</w:t>
      </w:r>
    </w:p>
    <w:p>
      <w:pPr>
        <w:sectPr>
          <w:pgSz w:w="11900" w:h="16838" w:orient="portrait"/>
          <w:cols w:equalWidth="0" w:num="1">
            <w:col w:w="11120"/>
          </w:cols>
          <w:pgMar w:left="320" w:top="455" w:right="459" w:bottom="1440" w:gutter="0" w:footer="0" w:header="0"/>
        </w:sectPr>
      </w:pPr>
    </w:p>
    <w:bookmarkStart w:id="315" w:name="page316"/>
    <w:bookmarkEnd w:id="3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3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(in thousands of U.S. dollars unless otherwise stated)</w:t>
      </w:r>
    </w:p>
    <w:p>
      <w:pPr>
        <w:spacing w:after="0" w:line="2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5 - Intangible assets and goodwill</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Intangible assets were as follows:</w:t>
      </w:r>
    </w:p>
    <w:p>
      <w:pPr>
        <w:spacing w:after="0" w:line="233"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740" w:type="dxa"/>
            <w:vAlign w:val="bottom"/>
          </w:tcPr>
          <w:p>
            <w:pPr>
              <w:spacing w:after="0"/>
              <w:rPr>
                <w:sz w:val="13"/>
                <w:szCs w:val="13"/>
                <w:color w:val="auto"/>
              </w:rPr>
            </w:pPr>
          </w:p>
        </w:tc>
        <w:tc>
          <w:tcPr>
            <w:tcW w:w="1240" w:type="dxa"/>
            <w:vAlign w:val="bottom"/>
            <w:gridSpan w:val="3"/>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Internally</w:t>
            </w:r>
          </w:p>
        </w:tc>
        <w:tc>
          <w:tcPr>
            <w:tcW w:w="96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Software</w:t>
            </w:r>
          </w:p>
        </w:tc>
        <w:tc>
          <w:tcPr>
            <w:tcW w:w="122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Acquired</w:t>
            </w:r>
          </w:p>
        </w:tc>
        <w:tc>
          <w:tcPr>
            <w:tcW w:w="94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740" w:type="dxa"/>
            <w:vAlign w:val="bottom"/>
          </w:tcPr>
          <w:p>
            <w:pPr>
              <w:spacing w:after="0"/>
              <w:rPr>
                <w:sz w:val="15"/>
                <w:szCs w:val="15"/>
                <w:color w:val="auto"/>
              </w:rPr>
            </w:pPr>
          </w:p>
        </w:tc>
        <w:tc>
          <w:tcPr>
            <w:tcW w:w="1240" w:type="dxa"/>
            <w:vAlign w:val="bottom"/>
            <w:gridSpan w:val="3"/>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developed IP</w:t>
            </w:r>
          </w:p>
        </w:tc>
        <w:tc>
          <w:tcPr>
            <w:tcW w:w="960" w:type="dxa"/>
            <w:vAlign w:val="bottom"/>
            <w:gridSpan w:val="2"/>
            <w:vMerge w:val="continue"/>
          </w:tcPr>
          <w:p>
            <w:pPr>
              <w:spacing w:after="0"/>
              <w:rPr>
                <w:sz w:val="15"/>
                <w:szCs w:val="15"/>
                <w:color w:val="auto"/>
              </w:rPr>
            </w:pPr>
          </w:p>
        </w:tc>
        <w:tc>
          <w:tcPr>
            <w:tcW w:w="1220" w:type="dxa"/>
            <w:vAlign w:val="bottom"/>
            <w:gridSpan w:val="2"/>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IP</w:t>
            </w:r>
          </w:p>
        </w:tc>
        <w:tc>
          <w:tcPr>
            <w:tcW w:w="9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7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Acquisition cost</w:t>
            </w:r>
          </w:p>
        </w:tc>
        <w:tc>
          <w:tcPr>
            <w:tcW w:w="8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Balance as of January 1, 2022</w:t>
            </w: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151,884</w:t>
            </w:r>
          </w:p>
        </w:tc>
        <w:tc>
          <w:tcPr>
            <w:tcW w:w="400" w:type="dxa"/>
            <w:vAlign w:val="bottom"/>
          </w:tcPr>
          <w:p>
            <w:pPr>
              <w:spacing w:after="0"/>
              <w:rPr>
                <w:sz w:val="18"/>
                <w:szCs w:val="18"/>
                <w:color w:val="auto"/>
              </w:rPr>
            </w:pPr>
          </w:p>
        </w:tc>
        <w:tc>
          <w:tcPr>
            <w:tcW w:w="9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1,267</w:t>
            </w:r>
          </w:p>
        </w:tc>
        <w:tc>
          <w:tcPr>
            <w:tcW w:w="12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1,541,855</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1,695,006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Additions</w:t>
            </w:r>
            <w:r>
              <w:rPr>
                <w:rFonts w:ascii="Times New Roman" w:cs="Times New Roman" w:eastAsia="Times New Roman" w:hAnsi="Times New Roman"/>
                <w:sz w:val="25"/>
                <w:szCs w:val="25"/>
                <w:color w:val="auto"/>
                <w:vertAlign w:val="superscript"/>
              </w:rPr>
              <w:t>1</w:t>
            </w: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46,292</w:t>
            </w:r>
          </w:p>
        </w:tc>
        <w:tc>
          <w:tcPr>
            <w:tcW w:w="4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177,959</w:t>
            </w: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224,251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Replacement cost development project</w:t>
            </w:r>
          </w:p>
        </w:tc>
        <w:tc>
          <w:tcPr>
            <w:tcW w:w="124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(9,565)</w:t>
            </w:r>
          </w:p>
        </w:tc>
        <w:tc>
          <w:tcPr>
            <w:tcW w:w="9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(9,565)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foreign currency exchange rate differences</w:t>
            </w:r>
          </w:p>
        </w:tc>
        <w:tc>
          <w:tcPr>
            <w:tcW w:w="124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(21,207)</w:t>
            </w:r>
          </w:p>
        </w:tc>
        <w:tc>
          <w:tcPr>
            <w:tcW w:w="9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(134)</w:t>
            </w:r>
          </w:p>
        </w:tc>
        <w:tc>
          <w:tcPr>
            <w:tcW w:w="12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(165,792)</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(187,133)</w:t>
            </w:r>
          </w:p>
        </w:tc>
        <w:tc>
          <w:tcPr>
            <w:tcW w:w="0" w:type="dxa"/>
            <w:vAlign w:val="bottom"/>
          </w:tcPr>
          <w:p>
            <w:pPr>
              <w:spacing w:after="0"/>
              <w:rPr>
                <w:sz w:val="1"/>
                <w:szCs w:val="1"/>
                <w:color w:val="auto"/>
              </w:rPr>
            </w:pPr>
          </w:p>
        </w:tc>
      </w:tr>
      <w:tr>
        <w:trPr>
          <w:trHeight w:val="230"/>
        </w:trPr>
        <w:tc>
          <w:tcPr>
            <w:tcW w:w="57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Balance as of June 30, 2022</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167,404</w:t>
            </w: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1,133</w:t>
            </w:r>
          </w:p>
        </w:tc>
        <w:tc>
          <w:tcPr>
            <w:tcW w:w="400" w:type="dxa"/>
            <w:vAlign w:val="bottom"/>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1,554,022</w:t>
            </w:r>
          </w:p>
        </w:tc>
        <w:tc>
          <w:tcPr>
            <w:tcW w:w="400" w:type="dxa"/>
            <w:vAlign w:val="bottom"/>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1,722,559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Accumulated amortisation and impairment</w:t>
            </w: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Balance as of January 1, 2022</w:t>
            </w:r>
          </w:p>
        </w:tc>
        <w:tc>
          <w:tcPr>
            <w:tcW w:w="124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(15,659)</w:t>
            </w:r>
          </w:p>
        </w:tc>
        <w:tc>
          <w:tcPr>
            <w:tcW w:w="9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(283)</w:t>
            </w:r>
          </w:p>
        </w:tc>
        <w:tc>
          <w:tcPr>
            <w:tcW w:w="12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(366,637)</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(382,579)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Amortisation expense</w:t>
            </w:r>
          </w:p>
        </w:tc>
        <w:tc>
          <w:tcPr>
            <w:tcW w:w="124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(397)</w:t>
            </w:r>
          </w:p>
        </w:tc>
        <w:tc>
          <w:tcPr>
            <w:tcW w:w="9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(76)</w:t>
            </w:r>
          </w:p>
        </w:tc>
        <w:tc>
          <w:tcPr>
            <w:tcW w:w="12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(56,193)</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(56,666)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Effect of foreign currency exchange rate differences</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1,892</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34</w:t>
            </w:r>
          </w:p>
        </w:tc>
        <w:tc>
          <w:tcPr>
            <w:tcW w:w="12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41,242</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43,168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74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June 30, 2022</w:t>
            </w:r>
          </w:p>
        </w:tc>
        <w:tc>
          <w:tcPr>
            <w:tcW w:w="124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(14,164)</w:t>
            </w:r>
          </w:p>
        </w:tc>
        <w:tc>
          <w:tcPr>
            <w:tcW w:w="9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(325)</w:t>
            </w:r>
          </w:p>
        </w:tc>
        <w:tc>
          <w:tcPr>
            <w:tcW w:w="12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(381,588)</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(396,077)</w:t>
            </w:r>
          </w:p>
        </w:tc>
        <w:tc>
          <w:tcPr>
            <w:tcW w:w="0" w:type="dxa"/>
            <w:vAlign w:val="bottom"/>
          </w:tcPr>
          <w:p>
            <w:pPr>
              <w:spacing w:after="0"/>
              <w:rPr>
                <w:sz w:val="1"/>
                <w:szCs w:val="1"/>
                <w:color w:val="auto"/>
              </w:rPr>
            </w:pPr>
          </w:p>
        </w:tc>
      </w:tr>
      <w:tr>
        <w:trPr>
          <w:trHeight w:val="223"/>
        </w:trPr>
        <w:tc>
          <w:tcPr>
            <w:tcW w:w="57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Carrying amount as of June 30, 2022</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153,240</w:t>
            </w:r>
          </w:p>
        </w:tc>
        <w:tc>
          <w:tcPr>
            <w:tcW w:w="20" w:type="dxa"/>
            <w:vAlign w:val="bottom"/>
            <w:tcBorders>
              <w:bottom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808</w:t>
            </w:r>
          </w:p>
        </w:tc>
        <w:tc>
          <w:tcPr>
            <w:tcW w:w="40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1,172,434</w:t>
            </w:r>
          </w:p>
        </w:tc>
        <w:tc>
          <w:tcPr>
            <w:tcW w:w="40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1,326,482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ind w:left="660" w:right="80" w:hanging="552"/>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1 –</w:t>
      </w:r>
      <w:r>
        <w:rPr>
          <w:sz w:val="20"/>
          <w:szCs w:val="20"/>
          <w:color w:val="auto"/>
        </w:rPr>
        <w:tab/>
      </w:r>
      <w:r>
        <w:rPr>
          <w:rFonts w:ascii="Times New Roman" w:cs="Times New Roman" w:eastAsia="Times New Roman" w:hAnsi="Times New Roman"/>
          <w:sz w:val="18"/>
          <w:szCs w:val="18"/>
          <w:color w:val="auto"/>
        </w:rPr>
        <w:t>Of $224,251 in additions for the six months ended 30 June 2022, $66,449 has been settled in cash. These $66,449 are included in the $510,301 in the cash-flow statement in cash from from investing activities related to additions to intangible assets, while $443,852 is settled in cash in 2022 but added as investments in balance sheet in prior years.</w:t>
      </w:r>
    </w:p>
    <w:p>
      <w:pPr>
        <w:spacing w:after="0" w:line="176" w:lineRule="exact"/>
        <w:rPr>
          <w:sz w:val="20"/>
          <w:szCs w:val="20"/>
          <w:color w:val="auto"/>
        </w:rPr>
      </w:pPr>
    </w:p>
    <w:p>
      <w:pPr>
        <w:ind w:left="120" w:right="300"/>
        <w:spacing w:after="0" w:line="261" w:lineRule="auto"/>
        <w:rPr>
          <w:sz w:val="20"/>
          <w:szCs w:val="20"/>
          <w:color w:val="auto"/>
        </w:rPr>
      </w:pPr>
      <w:r>
        <w:rPr>
          <w:rFonts w:ascii="Times New Roman" w:cs="Times New Roman" w:eastAsia="Times New Roman" w:hAnsi="Times New Roman"/>
          <w:sz w:val="18"/>
          <w:szCs w:val="18"/>
          <w:color w:val="auto"/>
        </w:rPr>
        <w:t>Additions to internally developed IP are primarily related to the Polestar Precept concept car and various other internal programs for the six months ended June 30, 2022. Additions of acquired IP during the six months ended June 30, 2022 were related to acquisitions of the Polestar 2 (“PS2”) and Polestar 3 (“PS3”) IP from Volvo Cars. Polestar also acquired IP related to the Polestar 4 (“PS4”) from Geely. Refer to Note 9 - Related party transactions for further details.</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Changes to the carrying amount of goodwill and trademarks during the period were as follows:</w:t>
      </w:r>
    </w:p>
    <w:p>
      <w:pPr>
        <w:spacing w:after="0" w:line="246"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920" w:type="dxa"/>
            <w:vAlign w:val="bottom"/>
          </w:tcPr>
          <w:p>
            <w:pPr>
              <w:spacing w:after="0"/>
              <w:rPr>
                <w:sz w:val="15"/>
                <w:szCs w:val="15"/>
                <w:color w:val="auto"/>
              </w:rPr>
            </w:pPr>
          </w:p>
        </w:tc>
        <w:tc>
          <w:tcPr>
            <w:tcW w:w="2080" w:type="dxa"/>
            <w:vAlign w:val="bottom"/>
            <w:gridSpan w:val="3"/>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Goodwill</w:t>
            </w:r>
          </w:p>
        </w:tc>
        <w:tc>
          <w:tcPr>
            <w:tcW w:w="1580" w:type="dxa"/>
            <w:vAlign w:val="bottom"/>
            <w:gridSpan w:val="3"/>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Trademarks</w:t>
            </w: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0"/>
        </w:trPr>
        <w:tc>
          <w:tcPr>
            <w:tcW w:w="20" w:type="dxa"/>
            <w:vAlign w:val="bottom"/>
          </w:tcPr>
          <w:p>
            <w:pPr>
              <w:spacing w:after="0"/>
              <w:rPr>
                <w:sz w:val="18"/>
                <w:szCs w:val="18"/>
                <w:color w:val="auto"/>
              </w:rPr>
            </w:pPr>
          </w:p>
        </w:tc>
        <w:tc>
          <w:tcPr>
            <w:tcW w:w="49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January 1, 2022</w:t>
            </w:r>
          </w:p>
        </w:tc>
        <w:tc>
          <w:tcPr>
            <w:tcW w:w="12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53,282</w:t>
            </w: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2,647</w:t>
            </w:r>
          </w:p>
        </w:tc>
        <w:tc>
          <w:tcPr>
            <w:tcW w:w="56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55,929</w:t>
            </w:r>
          </w:p>
        </w:tc>
        <w:tc>
          <w:tcPr>
            <w:tcW w:w="120" w:type="dxa"/>
            <w:vAlign w:val="bottom"/>
            <w:tcBorders>
              <w:top w:val="single" w:sz="8" w:color="CCEEFF"/>
            </w:tcBorders>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Effect of foreign currency exchange rate differences</w:t>
            </w:r>
          </w:p>
        </w:tc>
        <w:tc>
          <w:tcPr>
            <w:tcW w:w="1200" w:type="dxa"/>
            <w:vAlign w:val="bottom"/>
          </w:tcPr>
          <w:p>
            <w:pPr>
              <w:spacing w:after="0"/>
              <w:rPr>
                <w:sz w:val="19"/>
                <w:szCs w:val="19"/>
                <w:color w:val="auto"/>
              </w:rPr>
            </w:pP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(6,319)</w:t>
            </w:r>
          </w:p>
        </w:tc>
        <w:tc>
          <w:tcPr>
            <w:tcW w:w="158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auto"/>
              </w:rPr>
              <w:t>(314)</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(6,633)</w:t>
            </w: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June 30, 2022</w:t>
            </w:r>
          </w:p>
        </w:tc>
        <w:tc>
          <w:tcPr>
            <w:tcW w:w="1200" w:type="dxa"/>
            <w:vAlign w:val="bottom"/>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46,963</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2,333</w:t>
            </w:r>
          </w:p>
        </w:tc>
        <w:tc>
          <w:tcPr>
            <w:tcW w:w="560" w:type="dxa"/>
            <w:vAlign w:val="bottom"/>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49,296</w:t>
            </w:r>
          </w:p>
        </w:tc>
        <w:tc>
          <w:tcPr>
            <w:tcW w:w="120" w:type="dxa"/>
            <w:vAlign w:val="bottom"/>
            <w:shd w:val="clear" w:color="auto" w:fill="CCEEFF"/>
          </w:tcPr>
          <w:p>
            <w:pPr>
              <w:spacing w:after="0"/>
              <w:rPr>
                <w:sz w:val="18"/>
                <w:szCs w:val="18"/>
                <w:color w:val="auto"/>
              </w:rPr>
            </w:pPr>
          </w:p>
        </w:tc>
      </w:tr>
    </w:tbl>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6 - Equity</w:t>
      </w:r>
    </w:p>
    <w:p>
      <w:pPr>
        <w:spacing w:after="0" w:line="121"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Between January 1, 2022 and prior to the Closing of the merger with GGI, there were no events impacting the Group’s equity other than the issuance of 50,000 British Pound Sterling (“GBP”) Redeemable Preferred Shares in ListCo with a par value of GBP 1.00, equivalent to $ 65,202 to the Former Parent. This issuance was part of ListCo’s incorporation in the United Kingdom as a subsidiary of the Former Parent in preparation for the Closing of the merger with GGI. The issuance was included in Other contributed capital within the Unaudited Condensed Consolidated Statement of Financial Position. Refer to Note 1 - Significant accounting policies and judgements</w:t>
      </w:r>
    </w:p>
    <w:p>
      <w:pPr>
        <w:spacing w:after="0" w:line="11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F-81</w:t>
      </w:r>
    </w:p>
    <w:p>
      <w:pPr>
        <w:sectPr>
          <w:pgSz w:w="11900" w:h="16838" w:orient="portrait"/>
          <w:cols w:equalWidth="0" w:num="1">
            <w:col w:w="11040"/>
          </w:cols>
          <w:pgMar w:left="320" w:top="455" w:right="539" w:bottom="1440" w:gutter="0" w:footer="0" w:header="0"/>
        </w:sectPr>
      </w:pPr>
    </w:p>
    <w:bookmarkStart w:id="316" w:name="page317"/>
    <w:bookmarkEnd w:id="3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(in thousands of U.S. dollars unless otherwise stated)</w:t>
      </w:r>
    </w:p>
    <w:p>
      <w:pPr>
        <w:spacing w:after="0" w:line="23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for the list of events impacting equity upon the Closing of the merger with GGI. The following instruments of ListCo were issued and outstanding as of</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June 30, 2022:</w:t>
      </w:r>
    </w:p>
    <w:p>
      <w:pPr>
        <w:spacing w:after="0" w:line="112" w:lineRule="exact"/>
        <w:rPr>
          <w:sz w:val="20"/>
          <w:szCs w:val="20"/>
          <w:color w:val="auto"/>
        </w:rPr>
      </w:pPr>
    </w:p>
    <w:p>
      <w:pPr>
        <w:ind w:left="1080" w:hanging="424"/>
        <w:spacing w:after="0"/>
        <w:tabs>
          <w:tab w:leader="none" w:pos="108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466,801,222 Class A Shares with a par value of $0.01, of which 241,264,235 were owned by related parties;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1,642,233,575 Class B Shares with a par value of $0.01, of which all were owned by related parties;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15,999,965 Class C-1 Shares with a par value of $0.10;</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9,000,000 Class C-2 Shares with a par value of $0.10;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50,000 Redeemable Preferred Shares with a par value of GBP 1.00.</w:t>
      </w:r>
    </w:p>
    <w:p>
      <w:pPr>
        <w:spacing w:after="0" w:line="225"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Holders of Class A Shares in ListCo are entitled to one vote per share and holders of Class B Shares in ListCo are entitled to ten votes per share. Holders of Class C Shares in ListCo are entitled to one vote per share for certain matters holders, but have no voting rights with respect to general matters voted on by holders of Class A Shares and Class B Shares in ListCo. Additionally, holders of GBP Redeemable Preferred Shares in ListCo have no voting rights. Any dividends or other distributions paid by ListCo shall be issued to holders of outstanding Class A Shares and Class B Shares in ListCo. Holders of Class C Shares and GBP Redeemable Preferred Shares in ListCo are not entitled to participate in any dividends or other distributions. Refer to Note 10 - Reverse recapitalisation for additional information on the Class C Shares. Changes to the number of Class A Shares and Class B Shares in ListCo issued and outstanding during the period were as follows:</w:t>
      </w:r>
    </w:p>
    <w:p>
      <w:pPr>
        <w:spacing w:after="0" w:line="209"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5340" w:type="dxa"/>
            <w:vAlign w:val="bottom"/>
          </w:tcPr>
          <w:p>
            <w:pPr>
              <w:spacing w:after="0"/>
              <w:rPr>
                <w:sz w:val="15"/>
                <w:szCs w:val="15"/>
                <w:color w:val="auto"/>
              </w:rPr>
            </w:pPr>
          </w:p>
        </w:tc>
        <w:tc>
          <w:tcPr>
            <w:tcW w:w="1580" w:type="dxa"/>
            <w:vAlign w:val="bottom"/>
            <w:gridSpan w:val="2"/>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144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Class B</w:t>
            </w:r>
          </w:p>
        </w:tc>
      </w:tr>
      <w:tr>
        <w:trPr>
          <w:trHeight w:val="210"/>
        </w:trPr>
        <w:tc>
          <w:tcPr>
            <w:tcW w:w="53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January 1, 2022</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197,026,729</w:t>
            </w:r>
          </w:p>
        </w:tc>
        <w:tc>
          <w:tcPr>
            <w:tcW w:w="36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35,377,866</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Issuance during the period</w:t>
            </w:r>
          </w:p>
        </w:tc>
        <w:tc>
          <w:tcPr>
            <w:tcW w:w="15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Conversion from Class A to Class B</w:t>
            </w:r>
          </w:p>
        </w:tc>
        <w:tc>
          <w:tcPr>
            <w:tcW w:w="15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as of June 23, 2022</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197,026,729</w:t>
            </w:r>
          </w:p>
        </w:tc>
        <w:tc>
          <w:tcPr>
            <w:tcW w:w="360" w:type="dxa"/>
            <w:vAlign w:val="bottom"/>
          </w:tcPr>
          <w:p>
            <w:pPr>
              <w:spacing w:after="0"/>
              <w:rPr>
                <w:sz w:val="20"/>
                <w:szCs w:val="20"/>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35,377,866</w:t>
            </w:r>
          </w:p>
        </w:tc>
        <w:tc>
          <w:tcPr>
            <w:tcW w:w="120" w:type="dxa"/>
            <w:vAlign w:val="bottom"/>
          </w:tcPr>
          <w:p>
            <w:pPr>
              <w:spacing w:after="0"/>
              <w:rPr>
                <w:sz w:val="20"/>
                <w:szCs w:val="20"/>
                <w:color w:val="auto"/>
              </w:rPr>
            </w:pPr>
          </w:p>
        </w:tc>
      </w:tr>
      <w:tr>
        <w:trPr>
          <w:trHeight w:val="216"/>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during the period</w:t>
            </w:r>
          </w:p>
        </w:tc>
        <w:tc>
          <w:tcPr>
            <w:tcW w:w="15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171,923,873</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Removal of Polestar Automotive Holding Limited from the Group</w:t>
            </w:r>
          </w:p>
        </w:tc>
        <w:tc>
          <w:tcPr>
            <w:tcW w:w="1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Conversion from Class A to Class B</w:t>
            </w:r>
          </w:p>
        </w:tc>
        <w:tc>
          <w:tcPr>
            <w:tcW w:w="15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(197,026,729)</w:t>
            </w: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1,642,233,575</w:t>
            </w:r>
          </w:p>
        </w:tc>
      </w:tr>
      <w:tr>
        <w:trPr>
          <w:trHeight w:val="223"/>
        </w:trPr>
        <w:tc>
          <w:tcPr>
            <w:tcW w:w="5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Conversion from Class B to Class A</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294,877,349</w:t>
            </w:r>
          </w:p>
        </w:tc>
        <w:tc>
          <w:tcPr>
            <w:tcW w:w="360" w:type="dxa"/>
            <w:vAlign w:val="bottom"/>
          </w:tcPr>
          <w:p>
            <w:pPr>
              <w:spacing w:after="0"/>
              <w:rPr>
                <w:sz w:val="19"/>
                <w:szCs w:val="19"/>
                <w:color w:val="auto"/>
              </w:rPr>
            </w:pP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(35,377,866)</w:t>
            </w:r>
          </w:p>
        </w:tc>
      </w:tr>
      <w:tr>
        <w:trPr>
          <w:trHeight w:val="216"/>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June 30, 2022</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466,801,222</w:t>
            </w:r>
          </w:p>
        </w:tc>
        <w:tc>
          <w:tcPr>
            <w:tcW w:w="360" w:type="dxa"/>
            <w:vAlign w:val="bottom"/>
            <w:shd w:val="clear" w:color="auto" w:fill="CCEEFF"/>
          </w:tcPr>
          <w:p>
            <w:pPr>
              <w:spacing w:after="0"/>
              <w:rPr>
                <w:sz w:val="18"/>
                <w:szCs w:val="18"/>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1,642,233,575</w:t>
            </w:r>
          </w:p>
        </w:tc>
        <w:tc>
          <w:tcPr>
            <w:tcW w:w="120" w:type="dxa"/>
            <w:vAlign w:val="bottom"/>
            <w:shd w:val="clear" w:color="auto" w:fill="CCEEFF"/>
          </w:tcPr>
          <w:p>
            <w:pPr>
              <w:spacing w:after="0"/>
              <w:rPr>
                <w:sz w:val="18"/>
                <w:szCs w:val="18"/>
                <w:color w:val="auto"/>
              </w:rPr>
            </w:pPr>
          </w:p>
        </w:tc>
      </w:tr>
    </w:tbl>
    <w:p>
      <w:pPr>
        <w:spacing w:after="0" w:line="211" w:lineRule="exact"/>
        <w:rPr>
          <w:sz w:val="20"/>
          <w:szCs w:val="20"/>
          <w:color w:val="auto"/>
        </w:rPr>
      </w:pPr>
    </w:p>
    <w:p>
      <w:pPr>
        <w:ind w:left="120" w:right="180"/>
        <w:spacing w:after="0" w:line="282" w:lineRule="auto"/>
        <w:rPr>
          <w:sz w:val="20"/>
          <w:szCs w:val="20"/>
          <w:color w:val="auto"/>
        </w:rPr>
      </w:pPr>
      <w:r>
        <w:rPr>
          <w:rFonts w:ascii="Times New Roman" w:cs="Times New Roman" w:eastAsia="Times New Roman" w:hAnsi="Times New Roman"/>
          <w:sz w:val="18"/>
          <w:szCs w:val="18"/>
          <w:color w:val="auto"/>
        </w:rPr>
        <w:t>As of June 30, 2022, there were an additional 4,533,198,778 Class A Shares and 135,133,164 Class B Shares with a par values of $0.01 authorized for issuance. No additional Class C Shares or Redeemable Preferred Shares were authorized for issuance.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7 - Liabilities to credit institutions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carrying amount of Polestar Group’s borrowings as of June 30, 2022 are as follows:</w:t>
      </w:r>
    </w:p>
    <w:p>
      <w:pPr>
        <w:spacing w:after="0" w:line="23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600" w:type="dxa"/>
            <w:vAlign w:val="bottom"/>
          </w:tcPr>
          <w:p>
            <w:pPr>
              <w:spacing w:after="0"/>
              <w:rPr>
                <w:sz w:val="13"/>
                <w:szCs w:val="13"/>
                <w:color w:val="auto"/>
              </w:rPr>
            </w:pPr>
          </w:p>
        </w:tc>
        <w:tc>
          <w:tcPr>
            <w:tcW w:w="5160" w:type="dxa"/>
            <w:vAlign w:val="bottom"/>
          </w:tcPr>
          <w:p>
            <w:pPr>
              <w:spacing w:after="0"/>
              <w:rPr>
                <w:sz w:val="13"/>
                <w:szCs w:val="13"/>
                <w:color w:val="auto"/>
              </w:rPr>
            </w:pPr>
          </w:p>
        </w:tc>
        <w:tc>
          <w:tcPr>
            <w:tcW w:w="1900" w:type="dxa"/>
            <w:vAlign w:val="bottom"/>
            <w:gridSpan w:val="2"/>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Nominal amount in</w:t>
            </w: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6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5160" w:type="dxa"/>
            <w:vAlign w:val="bottom"/>
          </w:tcPr>
          <w:p>
            <w:pPr>
              <w:spacing w:after="0"/>
              <w:rPr>
                <w:sz w:val="12"/>
                <w:szCs w:val="12"/>
                <w:color w:val="auto"/>
              </w:rPr>
            </w:pPr>
          </w:p>
        </w:tc>
        <w:tc>
          <w:tcPr>
            <w:tcW w:w="1900" w:type="dxa"/>
            <w:vAlign w:val="bottom"/>
            <w:gridSpan w:val="2"/>
          </w:tcPr>
          <w:p>
            <w:pPr>
              <w:jc w:val="right"/>
              <w:ind w:right="700"/>
              <w:spacing w:after="0" w:line="149" w:lineRule="exact"/>
              <w:rPr>
                <w:sz w:val="20"/>
                <w:szCs w:val="20"/>
                <w:color w:val="auto"/>
              </w:rPr>
            </w:pPr>
            <w:r>
              <w:rPr>
                <w:rFonts w:ascii="Times New Roman" w:cs="Times New Roman" w:eastAsia="Times New Roman" w:hAnsi="Times New Roman"/>
                <w:sz w:val="14"/>
                <w:szCs w:val="14"/>
                <w:b w:val="1"/>
                <w:bCs w:val="1"/>
                <w:color w:val="auto"/>
              </w:rPr>
              <w:t>respective currency</w:t>
            </w:r>
          </w:p>
        </w:tc>
        <w:tc>
          <w:tcPr>
            <w:tcW w:w="7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TUSD</w:t>
            </w:r>
          </w:p>
        </w:tc>
        <w:tc>
          <w:tcPr>
            <w:tcW w:w="0" w:type="dxa"/>
            <w:vAlign w:val="bottom"/>
          </w:tcPr>
          <w:p>
            <w:pPr>
              <w:spacing w:after="0"/>
              <w:rPr>
                <w:sz w:val="1"/>
                <w:szCs w:val="1"/>
                <w:color w:val="auto"/>
              </w:rPr>
            </w:pPr>
          </w:p>
        </w:tc>
      </w:tr>
      <w:tr>
        <w:trPr>
          <w:trHeight w:val="180"/>
        </w:trPr>
        <w:tc>
          <w:tcPr>
            <w:tcW w:w="600" w:type="dxa"/>
            <w:vAlign w:val="bottom"/>
            <w:tcBorders>
              <w:bottom w:val="single" w:sz="8" w:color="auto"/>
            </w:tcBorders>
            <w:vMerge w:val="continue"/>
          </w:tcPr>
          <w:p>
            <w:pPr>
              <w:spacing w:after="0"/>
              <w:rPr>
                <w:sz w:val="15"/>
                <w:szCs w:val="15"/>
                <w:color w:val="auto"/>
              </w:rPr>
            </w:pPr>
          </w:p>
        </w:tc>
        <w:tc>
          <w:tcPr>
            <w:tcW w:w="5160" w:type="dxa"/>
            <w:vAlign w:val="bottom"/>
          </w:tcPr>
          <w:p>
            <w:pPr>
              <w:spacing w:after="0"/>
              <w:rPr>
                <w:sz w:val="15"/>
                <w:szCs w:val="15"/>
                <w:color w:val="auto"/>
              </w:rPr>
            </w:pPr>
          </w:p>
        </w:tc>
        <w:tc>
          <w:tcPr>
            <w:tcW w:w="1900" w:type="dxa"/>
            <w:vAlign w:val="bottom"/>
            <w:gridSpan w:val="2"/>
          </w:tcPr>
          <w:p>
            <w:pPr>
              <w:jc w:val="right"/>
              <w:ind w:right="940"/>
              <w:spacing w:after="0" w:line="160" w:lineRule="exact"/>
              <w:rPr>
                <w:sz w:val="20"/>
                <w:szCs w:val="20"/>
                <w:color w:val="auto"/>
              </w:rPr>
            </w:pPr>
            <w:r>
              <w:rPr>
                <w:rFonts w:ascii="Times New Roman" w:cs="Times New Roman" w:eastAsia="Times New Roman" w:hAnsi="Times New Roman"/>
                <w:sz w:val="14"/>
                <w:szCs w:val="14"/>
                <w:b w:val="1"/>
                <w:bCs w:val="1"/>
                <w:color w:val="auto"/>
              </w:rPr>
              <w:t>(thousands)</w:t>
            </w:r>
          </w:p>
        </w:tc>
        <w:tc>
          <w:tcPr>
            <w:tcW w:w="7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00" w:type="dxa"/>
            <w:vAlign w:val="bottom"/>
            <w:tcBorders>
              <w:top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CNY</w:t>
            </w:r>
          </w:p>
        </w:tc>
        <w:tc>
          <w:tcPr>
            <w:tcW w:w="516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500,000</w:t>
            </w:r>
          </w:p>
        </w:tc>
        <w:tc>
          <w:tcPr>
            <w:tcW w:w="70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74,705</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CNY</w:t>
            </w:r>
          </w:p>
        </w:tc>
        <w:tc>
          <w:tcPr>
            <w:tcW w:w="7060" w:type="dxa"/>
            <w:vAlign w:val="bottom"/>
            <w:gridSpan w:val="3"/>
          </w:tcPr>
          <w:p>
            <w:pPr>
              <w:jc w:val="right"/>
              <w:ind w:right="700"/>
              <w:spacing w:after="0"/>
              <w:rPr>
                <w:sz w:val="20"/>
                <w:szCs w:val="20"/>
                <w:color w:val="auto"/>
              </w:rPr>
            </w:pPr>
            <w:r>
              <w:rPr>
                <w:rFonts w:ascii="Times New Roman" w:cs="Times New Roman" w:eastAsia="Times New Roman" w:hAnsi="Times New Roman"/>
                <w:sz w:val="18"/>
                <w:szCs w:val="18"/>
                <w:color w:val="auto"/>
              </w:rPr>
              <w:t>830,000</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124,010</w:t>
            </w:r>
          </w:p>
        </w:tc>
        <w:tc>
          <w:tcPr>
            <w:tcW w:w="0" w:type="dxa"/>
            <w:vAlign w:val="bottom"/>
          </w:tcPr>
          <w:p>
            <w:pPr>
              <w:spacing w:after="0"/>
              <w:rPr>
                <w:sz w:val="1"/>
                <w:szCs w:val="1"/>
                <w:color w:val="auto"/>
              </w:rPr>
            </w:pPr>
          </w:p>
        </w:tc>
      </w:tr>
      <w:tr>
        <w:trPr>
          <w:trHeight w:val="216"/>
        </w:trPr>
        <w:tc>
          <w:tcPr>
            <w:tcW w:w="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USD</w:t>
            </w:r>
          </w:p>
        </w:tc>
        <w:tc>
          <w:tcPr>
            <w:tcW w:w="7060" w:type="dxa"/>
            <w:vAlign w:val="bottom"/>
            <w:gridSpan w:val="3"/>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400,000</w:t>
            </w: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400,000</w:t>
            </w:r>
          </w:p>
        </w:tc>
        <w:tc>
          <w:tcPr>
            <w:tcW w:w="0" w:type="dxa"/>
            <w:vAlign w:val="bottom"/>
          </w:tcPr>
          <w:p>
            <w:pPr>
              <w:spacing w:after="0"/>
              <w:rPr>
                <w:sz w:val="1"/>
                <w:szCs w:val="1"/>
                <w:color w:val="auto"/>
              </w:rPr>
            </w:pPr>
          </w:p>
        </w:tc>
      </w:tr>
      <w:tr>
        <w:trPr>
          <w:trHeight w:val="223"/>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EUR</w:t>
            </w:r>
          </w:p>
        </w:tc>
        <w:tc>
          <w:tcPr>
            <w:tcW w:w="7060" w:type="dxa"/>
            <w:vAlign w:val="bottom"/>
            <w:gridSpan w:val="3"/>
          </w:tcPr>
          <w:p>
            <w:pPr>
              <w:jc w:val="right"/>
              <w:ind w:right="700"/>
              <w:spacing w:after="0"/>
              <w:rPr>
                <w:sz w:val="20"/>
                <w:szCs w:val="20"/>
                <w:color w:val="auto"/>
              </w:rPr>
            </w:pPr>
            <w:r>
              <w:rPr>
                <w:rFonts w:ascii="Times New Roman" w:cs="Times New Roman" w:eastAsia="Times New Roman" w:hAnsi="Times New Roman"/>
                <w:sz w:val="18"/>
                <w:szCs w:val="18"/>
                <w:color w:val="auto"/>
              </w:rPr>
              <w:t>170,643</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177,716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5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776,431</w:t>
            </w:r>
          </w:p>
        </w:tc>
        <w:tc>
          <w:tcPr>
            <w:tcW w:w="0" w:type="dxa"/>
            <w:vAlign w:val="bottom"/>
          </w:tcPr>
          <w:p>
            <w:pPr>
              <w:spacing w:after="0"/>
              <w:rPr>
                <w:sz w:val="1"/>
                <w:szCs w:val="1"/>
                <w:color w:val="auto"/>
              </w:rPr>
            </w:pPr>
          </w:p>
        </w:tc>
      </w:tr>
      <w:tr>
        <w:trPr>
          <w:trHeight w:val="372"/>
        </w:trPr>
        <w:tc>
          <w:tcPr>
            <w:tcW w:w="600" w:type="dxa"/>
            <w:vAlign w:val="bottom"/>
          </w:tcPr>
          <w:p>
            <w:pPr>
              <w:spacing w:after="0"/>
              <w:rPr>
                <w:sz w:val="24"/>
                <w:szCs w:val="24"/>
                <w:color w:val="auto"/>
              </w:rPr>
            </w:pPr>
          </w:p>
        </w:tc>
        <w:tc>
          <w:tcPr>
            <w:tcW w:w="7060" w:type="dxa"/>
            <w:vAlign w:val="bottom"/>
            <w:gridSpan w:val="3"/>
          </w:tcPr>
          <w:p>
            <w:pPr>
              <w:jc w:val="right"/>
              <w:ind w:right="3300"/>
              <w:spacing w:after="0"/>
              <w:rPr>
                <w:sz w:val="20"/>
                <w:szCs w:val="20"/>
                <w:color w:val="auto"/>
              </w:rPr>
            </w:pPr>
            <w:r>
              <w:rPr>
                <w:rFonts w:ascii="Times New Roman" w:cs="Times New Roman" w:eastAsia="Times New Roman" w:hAnsi="Times New Roman"/>
                <w:sz w:val="18"/>
                <w:szCs w:val="18"/>
                <w:color w:val="auto"/>
              </w:rPr>
              <w:t>F-82</w:t>
            </w:r>
          </w:p>
        </w:tc>
        <w:tc>
          <w:tcPr>
            <w:tcW w:w="66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320" w:top="455" w:right="459" w:bottom="1440" w:gutter="0" w:footer="0" w:header="0"/>
        </w:sectPr>
      </w:pPr>
    </w:p>
    <w:bookmarkStart w:id="317" w:name="page318"/>
    <w:bookmarkEnd w:id="3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(in thousands of U.S. dollars unless otherwise stated)</w:t>
      </w:r>
    </w:p>
    <w:p>
      <w:pPr>
        <w:spacing w:after="0" w:line="23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As of June 30, 2022, the Group had four outstanding bank loans:</w:t>
      </w:r>
    </w:p>
    <w:p>
      <w:pPr>
        <w:spacing w:after="0" w:line="117" w:lineRule="exact"/>
        <w:rPr>
          <w:sz w:val="20"/>
          <w:szCs w:val="20"/>
          <w:color w:val="auto"/>
        </w:rPr>
      </w:pPr>
    </w:p>
    <w:p>
      <w:pPr>
        <w:ind w:left="120" w:hanging="4"/>
        <w:spacing w:after="0" w:line="282" w:lineRule="auto"/>
        <w:tabs>
          <w:tab w:leader="none" w:pos="305"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unsecured working capital loan from a bank in China. The outstanding principal balance as of June 30, 2022 was $74,705. This loan was agreed to in June 2022 with an expiry of June 2023. The loan carries interest at the latest 12-month prime loan rate plus 1.25%, settled monthly.</w:t>
      </w:r>
    </w:p>
    <w:p>
      <w:pPr>
        <w:spacing w:after="0" w:line="53" w:lineRule="exact"/>
        <w:rPr>
          <w:rFonts w:ascii="Times New Roman" w:cs="Times New Roman" w:eastAsia="Times New Roman" w:hAnsi="Times New Roman"/>
          <w:sz w:val="18"/>
          <w:szCs w:val="18"/>
          <w:color w:val="auto"/>
        </w:rPr>
      </w:pPr>
    </w:p>
    <w:p>
      <w:pPr>
        <w:jc w:val="both"/>
        <w:ind w:left="120" w:right="80" w:hanging="4"/>
        <w:spacing w:after="0" w:line="266" w:lineRule="auto"/>
        <w:tabs>
          <w:tab w:leader="none" w:pos="315"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unsecured working capital loan from a bank in China. The outstanding principal balance as of June 30, 2022 was $124,010. This loan was agreed to in July 2021; part of this loan was funded in July 2021 and part was funded in September 2021, with an overall expiry of July 2022. The loan carries interest at a rate of 3.915% per annum.</w:t>
      </w:r>
    </w:p>
    <w:p>
      <w:pPr>
        <w:spacing w:after="0" w:line="67" w:lineRule="exact"/>
        <w:rPr>
          <w:rFonts w:ascii="Times New Roman" w:cs="Times New Roman" w:eastAsia="Times New Roman" w:hAnsi="Times New Roman"/>
          <w:sz w:val="18"/>
          <w:szCs w:val="18"/>
          <w:color w:val="auto"/>
        </w:rPr>
      </w:pPr>
    </w:p>
    <w:p>
      <w:pPr>
        <w:jc w:val="both"/>
        <w:ind w:left="120" w:right="280" w:hanging="4"/>
        <w:spacing w:after="0" w:line="266" w:lineRule="auto"/>
        <w:tabs>
          <w:tab w:leader="none" w:pos="305"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working capital loan agreement from a bank in China. The loan is secured by Geely for approximately 70% of the principal amount, including a subsidiary guarantee from Polestar Shanghai as well as letters of keep well from both Volvo Cars and Geely. The outstanding principal balance as of June 30, 2022 was $400,000. This loan was agreed to in December 2021. The loan carries interest at a rate of 1.833% per annum.</w:t>
      </w:r>
    </w:p>
    <w:p>
      <w:pPr>
        <w:spacing w:after="0" w:line="67" w:lineRule="exact"/>
        <w:rPr>
          <w:rFonts w:ascii="Times New Roman" w:cs="Times New Roman" w:eastAsia="Times New Roman" w:hAnsi="Times New Roman"/>
          <w:sz w:val="18"/>
          <w:szCs w:val="18"/>
          <w:color w:val="auto"/>
        </w:rPr>
      </w:pPr>
    </w:p>
    <w:p>
      <w:pPr>
        <w:ind w:left="120" w:right="40" w:hanging="4"/>
        <w:spacing w:after="0" w:line="256" w:lineRule="auto"/>
        <w:tabs>
          <w:tab w:leader="none" w:pos="315"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February 28, 2022, Polestar entered into a 12-month single currency, green trade facility with an aggregate principal amount of EUR 350,000,000 with Standard Chartered Bank, Nordea Bank ABP, Citibank Europe PLC and ING Belgium SA. Polestar has the option to extend this facility by an additional 12 months and request an accordion increase for an additional principal amount of EUR 250,000,000. The outstanding principal balance as of June 30, 2022 was $177,716. This loan carries interest at the relevant interbank offered rate plus 2.1% per annum plus a flat arrangement fee of .15% to be paid on the value of the facility payable. The facility has a repayment period of 90 days and includes a covenant tied to the Group’s financial performance.</w:t>
      </w:r>
    </w:p>
    <w:p>
      <w:pPr>
        <w:spacing w:after="0" w:line="187" w:lineRule="exact"/>
        <w:rPr>
          <w:sz w:val="20"/>
          <w:szCs w:val="20"/>
          <w:color w:val="auto"/>
        </w:rPr>
      </w:pPr>
    </w:p>
    <w:p>
      <w:pPr>
        <w:ind w:left="120" w:right="140"/>
        <w:spacing w:after="0" w:line="256" w:lineRule="auto"/>
        <w:rPr>
          <w:sz w:val="20"/>
          <w:szCs w:val="20"/>
          <w:color w:val="auto"/>
        </w:rPr>
      </w:pPr>
      <w:r>
        <w:rPr>
          <w:rFonts w:ascii="Times New Roman" w:cs="Times New Roman" w:eastAsia="Times New Roman" w:hAnsi="Times New Roman"/>
          <w:sz w:val="18"/>
          <w:szCs w:val="18"/>
          <w:color w:val="auto"/>
        </w:rPr>
        <w:t>In the ordinary course of business, Polestar, on a market-by-market basis, enters into multiple low-value working capital credit facilities with various financial service providers to fund operations related to vehicle sales. These facilities provide access to credit for 1-3 years, with the option to renew as mutually determined by Polestar Group and the financial service provider. As of June 30, 2022 and December 31, 2021, the aggregate amount outstanding under these arrangements was $29,571 and $32,453, respectively. Of the $29,571 outstanding as of June 30, 2022, $11,902 was related to the working capital loan with the related party Volvo Cars and included in Interest-bearing current liabilities - related parties within the Unaudited Condensed Consolidated Statement of Financial Position. Refer to Note 9 - Related party transactions for further details.</w:t>
      </w:r>
    </w:p>
    <w:p>
      <w:pPr>
        <w:spacing w:after="0" w:line="187"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Since the contracts identified above are short-term with a duration of 12 months or less, the carrying amount of the contracts is deemed to be a reasonable approximation of their fair value. The Group’s risk management policies related to debt instruments are further detailed in Note 2 - Financial risk management of the Consolidated Financial Statements, as of, and for the year ended, December 31, 2021 that were included in the Form 20-F filed with the SEC on June 29, 2022. There are no changes in terms of risk management policies for the periods presented in these Unaudited Condensed Consolidated Financial Statements.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Financing obligations</w:t>
      </w:r>
    </w:p>
    <w:p>
      <w:pPr>
        <w:spacing w:after="0" w:line="121" w:lineRule="exact"/>
        <w:rPr>
          <w:sz w:val="20"/>
          <w:szCs w:val="20"/>
          <w:color w:val="auto"/>
        </w:rPr>
      </w:pPr>
    </w:p>
    <w:p>
      <w:pPr>
        <w:ind w:left="120" w:right="280"/>
        <w:spacing w:after="0" w:line="258" w:lineRule="auto"/>
        <w:rPr>
          <w:sz w:val="20"/>
          <w:szCs w:val="20"/>
          <w:color w:val="auto"/>
        </w:rPr>
      </w:pPr>
      <w:r>
        <w:rPr>
          <w:rFonts w:ascii="Times New Roman" w:cs="Times New Roman" w:eastAsia="Times New Roman" w:hAnsi="Times New Roman"/>
          <w:sz w:val="18"/>
          <w:szCs w:val="18"/>
          <w:color w:val="auto"/>
        </w:rPr>
        <w:t>Polestar has entered into contracts to sell vehicles and then lease such vehicles back for a period of up to twelve months. At the end of the lease-back period, Polestar is obligated to re-purchase the vehicles. Accordingly, the consideration received for these transactions was recorded as a financing transaction. As of June 30, 2022 and December 31, 2021, $15,833 and $14,465 of this financing obligation was outstanding, respectively, and had accrued interest of $73 and $1,679, respectively. As the financing obligation is short-term in nature, the total outstanding amount is reflected in Liabilities to credit institutions in the Unaudited Condensed Consolidated Statement of Financial Position.</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F-83</w:t>
      </w:r>
    </w:p>
    <w:p>
      <w:pPr>
        <w:sectPr>
          <w:pgSz w:w="11900" w:h="16838" w:orient="portrait"/>
          <w:cols w:equalWidth="0" w:num="1">
            <w:col w:w="11120"/>
          </w:cols>
          <w:pgMar w:left="320" w:top="455" w:right="459" w:bottom="1440" w:gutter="0" w:footer="0" w:header="0"/>
        </w:sectPr>
      </w:pPr>
    </w:p>
    <w:bookmarkStart w:id="318" w:name="page319"/>
    <w:bookmarkEnd w:id="3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31"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(in thousands of U.S. dollars unless otherwise stated)</w:t>
      </w:r>
    </w:p>
    <w:p>
      <w:pPr>
        <w:spacing w:after="0" w:line="2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8 - Commitments and contingencies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Commitments</w:t>
      </w:r>
    </w:p>
    <w:p>
      <w:pPr>
        <w:spacing w:after="0" w:line="121" w:lineRule="exact"/>
        <w:rPr>
          <w:sz w:val="20"/>
          <w:szCs w:val="20"/>
          <w:color w:val="auto"/>
        </w:rPr>
      </w:pPr>
    </w:p>
    <w:p>
      <w:pPr>
        <w:ind w:left="120" w:right="660"/>
        <w:spacing w:after="0" w:line="282" w:lineRule="auto"/>
        <w:rPr>
          <w:sz w:val="20"/>
          <w:szCs w:val="20"/>
          <w:color w:val="auto"/>
        </w:rPr>
      </w:pPr>
      <w:r>
        <w:rPr>
          <w:rFonts w:ascii="Times New Roman" w:cs="Times New Roman" w:eastAsia="Times New Roman" w:hAnsi="Times New Roman"/>
          <w:sz w:val="18"/>
          <w:szCs w:val="18"/>
          <w:color w:val="auto"/>
        </w:rPr>
        <w:t>As of June 30, 2022, commitments to acquire PPE and intangible assets were $190,129 and $307,944, respectively. As of December 31, 2021, commitments to acquire PPE and intangible assets were $235,573 and $501,207, respectively.</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Contingencies</w:t>
      </w:r>
    </w:p>
    <w:p>
      <w:pPr>
        <w:spacing w:after="0" w:line="121"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In the normal course of business, the Group is subject to contingencies related to legal proceedings and claims and assessments that cover a wide range of matters. Liabilities for such contingencies are recorded to the extent that it is probable the liability is incurred, and the amount is reasonably estimable. Associated legal costs related to such contingencies are expensed as incurred.</w:t>
      </w:r>
    </w:p>
    <w:p>
      <w:pPr>
        <w:spacing w:after="0" w:line="176"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In March 2021, a Swedish investment firm specialising in class action lawsuits, initiated class action activities in Norway against Polestar Norway. The class action suit alleges the Polestar Norway issued misleading statements regarding the range of the PS2 vehicle, which Polestar Norway rejects. No claim has been filed in court. The Swedish investment firm refers to a potential total claim of $2,530. Simultaneously, a Norwegian automobile association for car owners (“NAF”) has sent separate claim letters to Polestar Norway on behalf of a few members, on the same grounds as the class action lawsuit. These claims have also been rejected by Polestar Norway.</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9 - Related party transactions</w:t>
      </w:r>
    </w:p>
    <w:p>
      <w:pPr>
        <w:spacing w:after="0" w:line="121"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For a detailed description of the Group’s related parties, refer to Note 23 - Related party transactions of the Consolidated Financial Statements, as of, and for the year ended, December 31, 2021 that were included in the Form 20-F filed with the SEC on June 29, 2022. There are no changes in terms of the Group’s related parties for the periods presented in these Unaudited Condensed Consolidated Financial Statements.</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As of June 30, 2022, the Group has related party agreements in the following functions: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Product development</w:t>
      </w:r>
    </w:p>
    <w:p>
      <w:pPr>
        <w:spacing w:after="0" w:line="121" w:lineRule="exact"/>
        <w:rPr>
          <w:sz w:val="20"/>
          <w:szCs w:val="20"/>
          <w:color w:val="auto"/>
        </w:rPr>
      </w:pPr>
    </w:p>
    <w:p>
      <w:pPr>
        <w:jc w:val="both"/>
        <w:ind w:left="120" w:right="300"/>
        <w:spacing w:after="0" w:line="266" w:lineRule="auto"/>
        <w:rPr>
          <w:sz w:val="20"/>
          <w:szCs w:val="20"/>
          <w:color w:val="auto"/>
        </w:rPr>
      </w:pPr>
      <w:r>
        <w:rPr>
          <w:rFonts w:ascii="Times New Roman" w:cs="Times New Roman" w:eastAsia="Times New Roman" w:hAnsi="Times New Roman"/>
          <w:sz w:val="18"/>
          <w:szCs w:val="18"/>
          <w:color w:val="auto"/>
        </w:rPr>
        <w:t>The agreements in place to support the Group’s product development includes license and intellectual property, patents, R&amp;D services, design, and technology agreements with Volvo Cars and Geely. The Group owns its developed Polestar Unique technology, which was created using purchased R&amp;D, design services, and licenses to critical common technology from Volvo Cars.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Procurement</w:t>
      </w:r>
    </w:p>
    <w:p>
      <w:pPr>
        <w:spacing w:after="0" w:line="121" w:lineRule="exact"/>
        <w:rPr>
          <w:sz w:val="20"/>
          <w:szCs w:val="20"/>
          <w:color w:val="auto"/>
        </w:rPr>
      </w:pPr>
    </w:p>
    <w:p>
      <w:pPr>
        <w:ind w:left="120" w:right="120"/>
        <w:spacing w:after="0" w:line="282" w:lineRule="auto"/>
        <w:rPr>
          <w:sz w:val="20"/>
          <w:szCs w:val="20"/>
          <w:color w:val="auto"/>
        </w:rPr>
      </w:pPr>
      <w:r>
        <w:rPr>
          <w:rFonts w:ascii="Times New Roman" w:cs="Times New Roman" w:eastAsia="Times New Roman" w:hAnsi="Times New Roman"/>
          <w:sz w:val="18"/>
          <w:szCs w:val="18"/>
          <w:color w:val="auto"/>
        </w:rPr>
        <w:t>The Group has entered into Service Agreements with Volvo Cars regarding the procurement of direct (production related) materials, whereas the joint sourcing of direct material for the Group and Volvo Cars has allowed both companies to leverage economies of scale.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Manufacturing</w:t>
      </w:r>
    </w:p>
    <w:p>
      <w:pPr>
        <w:spacing w:after="0" w:line="121"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The Group purchases contract manufacturing services, manufacturing and logistics engineering services, and entered into tool sharing agreements with related parties.</w:t>
      </w:r>
    </w:p>
    <w:p>
      <w:pPr>
        <w:spacing w:after="0" w:line="162"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In December 2021, Polestar Group entered into agreements with Geely to acquire technology and related services leveraged in the development of the PS4. Under these agreements, Geely will perform development services in</w:t>
      </w:r>
    </w:p>
    <w:p>
      <w:pPr>
        <w:spacing w:after="0" w:line="94"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F-84</w:t>
      </w:r>
    </w:p>
    <w:p>
      <w:pPr>
        <w:sectPr>
          <w:pgSz w:w="11900" w:h="16838" w:orient="portrait"/>
          <w:cols w:equalWidth="0" w:num="1">
            <w:col w:w="11020"/>
          </w:cols>
          <w:pgMar w:left="320" w:top="455" w:right="559" w:bottom="1440" w:gutter="0" w:footer="0" w:header="0"/>
        </w:sectPr>
      </w:pPr>
    </w:p>
    <w:bookmarkStart w:id="319" w:name="page320"/>
    <w:bookmarkEnd w:id="3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3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(in thousands of U.S. dollars unless otherwise stated)</w:t>
      </w:r>
    </w:p>
    <w:p>
      <w:pPr>
        <w:spacing w:after="0" w:line="234"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pursuit of achieving project milestones through 2025 for which the Group will make certain milestone payments to Geely. The agreements also obligate Polestar to make certain royalty payments per vehicle sold once the PS4 reaches commercialisation.</w:t>
      </w:r>
    </w:p>
    <w:p>
      <w:pPr>
        <w:spacing w:after="0" w:line="162" w:lineRule="exact"/>
        <w:rPr>
          <w:sz w:val="20"/>
          <w:szCs w:val="20"/>
          <w:color w:val="auto"/>
        </w:rPr>
      </w:pPr>
    </w:p>
    <w:p>
      <w:pPr>
        <w:ind w:left="120" w:right="260"/>
        <w:spacing w:after="0" w:line="266" w:lineRule="auto"/>
        <w:rPr>
          <w:sz w:val="20"/>
          <w:szCs w:val="20"/>
          <w:color w:val="auto"/>
        </w:rPr>
      </w:pPr>
      <w:r>
        <w:rPr>
          <w:rFonts w:ascii="Times New Roman" w:cs="Times New Roman" w:eastAsia="Times New Roman" w:hAnsi="Times New Roman"/>
          <w:sz w:val="18"/>
          <w:szCs w:val="18"/>
          <w:color w:val="auto"/>
        </w:rPr>
        <w:t>Polestar also entered into a unique vendor tooling agreement and a unique in-house tooling and equipment agreement for the PS4. These agreements were entered into as part of Polestar’s and Geely’s intent to enter into a more detailed agreement related to manufacturing original equipment manufacturer (“OEM”) services for the PS4 prior to the commencement of production.</w:t>
      </w:r>
    </w:p>
    <w:p>
      <w:pPr>
        <w:spacing w:after="0" w:line="176" w:lineRule="exact"/>
        <w:rPr>
          <w:sz w:val="20"/>
          <w:szCs w:val="20"/>
          <w:color w:val="auto"/>
        </w:rPr>
      </w:pPr>
    </w:p>
    <w:p>
      <w:pPr>
        <w:ind w:left="120" w:right="340"/>
        <w:spacing w:after="0" w:line="282" w:lineRule="auto"/>
        <w:rPr>
          <w:sz w:val="20"/>
          <w:szCs w:val="20"/>
          <w:color w:val="auto"/>
        </w:rPr>
      </w:pPr>
      <w:r>
        <w:rPr>
          <w:rFonts w:ascii="Times New Roman" w:cs="Times New Roman" w:eastAsia="Times New Roman" w:hAnsi="Times New Roman"/>
          <w:sz w:val="18"/>
          <w:szCs w:val="18"/>
          <w:color w:val="auto"/>
        </w:rPr>
        <w:t>In 2021, production of the PS2 was commenced at the Geely owned Luqiao plant through contract manufacturing agreements. In the second half of 2021, ownership transferred to Volvo Cars and the plant was renamed to Taizhou.</w:t>
      </w:r>
    </w:p>
    <w:p>
      <w:pPr>
        <w:spacing w:after="0" w:line="162" w:lineRule="exact"/>
        <w:rPr>
          <w:sz w:val="20"/>
          <w:szCs w:val="20"/>
          <w:color w:val="auto"/>
        </w:rPr>
      </w:pPr>
    </w:p>
    <w:p>
      <w:pPr>
        <w:jc w:val="both"/>
        <w:ind w:left="120" w:right="400"/>
        <w:spacing w:after="0" w:line="312" w:lineRule="auto"/>
        <w:rPr>
          <w:sz w:val="20"/>
          <w:szCs w:val="20"/>
          <w:color w:val="auto"/>
        </w:rPr>
      </w:pPr>
      <w:r>
        <w:rPr>
          <w:rFonts w:ascii="Times New Roman" w:cs="Times New Roman" w:eastAsia="Times New Roman" w:hAnsi="Times New Roman"/>
          <w:sz w:val="17"/>
          <w:szCs w:val="17"/>
          <w:color w:val="auto"/>
        </w:rPr>
        <w:t>Manufacturing engineering includes activities related to the development of the production process (i.e., deciding which manufacturing equipment should be utilised and where equipment should be situated to ensure an efficient production process), rather than development of the vehicle itself.</w:t>
      </w:r>
    </w:p>
    <w:p>
      <w:pPr>
        <w:spacing w:after="0" w:line="1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Group outsourced the manufacturing engineering for the production process of the PS1, PS2 and PS3 to Volvo Cars.</w:t>
      </w:r>
    </w:p>
    <w:p>
      <w:pPr>
        <w:spacing w:after="0" w:line="225"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Activities related to logistics engineering (i.e., activities related to the determination of how different components are delivered to the production sites) were outsourced to Volvo Cars for the PS1, PS2, and PS3.</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Tool sharing occurs when the Group purchases production tools, together with Volvo Cars, to obtain synergies from utilising the same tools.</w:t>
      </w:r>
    </w:p>
    <w:p>
      <w:pPr>
        <w:spacing w:after="0" w:line="225" w:lineRule="exact"/>
        <w:rPr>
          <w:sz w:val="20"/>
          <w:szCs w:val="20"/>
          <w:color w:val="auto"/>
        </w:rPr>
      </w:pPr>
    </w:p>
    <w:p>
      <w:pPr>
        <w:ind w:left="120" w:right="120"/>
        <w:spacing w:after="0" w:line="282" w:lineRule="auto"/>
        <w:rPr>
          <w:sz w:val="20"/>
          <w:szCs w:val="20"/>
          <w:color w:val="auto"/>
        </w:rPr>
      </w:pPr>
      <w:r>
        <w:rPr>
          <w:rFonts w:ascii="Times New Roman" w:cs="Times New Roman" w:eastAsia="Times New Roman" w:hAnsi="Times New Roman"/>
          <w:sz w:val="18"/>
          <w:szCs w:val="18"/>
          <w:color w:val="auto"/>
        </w:rPr>
        <w:t>Polestar enters into machinery and equipment lease arrangements with Geely and certain building lease agreements with Volvo Cars. Refer to Note 3 - Leases for more information on Polestar’s leasing arrangements.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Sales and distribution</w:t>
      </w:r>
    </w:p>
    <w:p>
      <w:pPr>
        <w:spacing w:after="0" w:line="121"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Prior to entering the commercial space in the third quarter of 2020, the Group’s principal operations related to the sale of R&amp;D services to Volvo Cars and Geely, and the sale of software and performance engineering kits to Volvo Cars. In addition to these sales agreements, in 2020, the Group has agreements in place to begin selling commercial vehicles, prototype engines and carbon credits to Geely and Volvo Cars, respectively. Refer to Note 2 - Revenue for further discussion on revenue recognised in accordance with IFRS 15. The Group leverages Volvo Cars sales and services network for go-to-market strategies and dealer support to assist with tasks, which include agreements related to distribution and outbound logistics, market research, delivery of vehicles and other products and global customer service.</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Information technology</w:t>
      </w:r>
    </w:p>
    <w:p>
      <w:pPr>
        <w:spacing w:after="0" w:line="121"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While the Group has their own information technology (“IT”) department, they operate in a shared IT environment with Volvo Cars and have service and software license agreements related to the support, maintenance and operation of IT processes associated with the Group. These IT services include resource planning systems, operations, infrastructure, networking, communications, collaboration, integration and application hosting.</w:t>
      </w:r>
    </w:p>
    <w:p>
      <w:pPr>
        <w:spacing w:after="0" w:line="10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F-85</w:t>
      </w:r>
    </w:p>
    <w:p>
      <w:pPr>
        <w:sectPr>
          <w:pgSz w:w="11900" w:h="16838" w:orient="portrait"/>
          <w:cols w:equalWidth="0" w:num="1">
            <w:col w:w="11060"/>
          </w:cols>
          <w:pgMar w:left="320" w:top="455" w:right="519" w:bottom="1440" w:gutter="0" w:footer="0" w:header="0"/>
        </w:sectPr>
      </w:pPr>
    </w:p>
    <w:bookmarkStart w:id="320" w:name="page321"/>
    <w:bookmarkEnd w:id="3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(in thousands of U.S. dollars unless otherwise stated)</w:t>
      </w:r>
    </w:p>
    <w:p>
      <w:pPr>
        <w:spacing w:after="0" w:line="2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Other support</w:t>
      </w:r>
    </w:p>
    <w:p>
      <w:pPr>
        <w:spacing w:after="0" w:line="121" w:lineRule="exact"/>
        <w:rPr>
          <w:sz w:val="20"/>
          <w:szCs w:val="20"/>
          <w:color w:val="auto"/>
        </w:rPr>
      </w:pPr>
    </w:p>
    <w:p>
      <w:pPr>
        <w:ind w:left="120" w:right="560"/>
        <w:spacing w:after="0" w:line="282" w:lineRule="auto"/>
        <w:rPr>
          <w:sz w:val="20"/>
          <w:szCs w:val="20"/>
          <w:color w:val="auto"/>
        </w:rPr>
      </w:pPr>
      <w:r>
        <w:rPr>
          <w:rFonts w:ascii="Times New Roman" w:cs="Times New Roman" w:eastAsia="Times New Roman" w:hAnsi="Times New Roman"/>
          <w:sz w:val="18"/>
          <w:szCs w:val="18"/>
          <w:color w:val="auto"/>
        </w:rPr>
        <w:t>The Group has various other related party agreements in place with Volvo Cars. These are primarily service agreements that relate to support for corporate or back-office functions, including legal entity accounting.</w:t>
      </w:r>
    </w:p>
    <w:p>
      <w:pPr>
        <w:spacing w:after="0" w:line="162"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Additionally, the Group has service agreements in place with Volvo Cars over the inbound and outbound logistics, as well as customs handling. Inbound logistics relate to supplier shipments to various production sites, while outbound logistics relate to the transport of final vehicles to end customers. As the Group’s vehicles and Volvo Cars’ vehicles are typically manufactured at the same production sites, the inbound logistics functions are outsourced to Volvo Cars. While the outbound logistics functions are also outsourced to Volvo Cars in order to obtain synergies. Customs handling services are performed by Volvo Cars on behalf of the Group, as the Group does not currently have their own customs department.</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Financing</w:t>
      </w:r>
    </w:p>
    <w:p>
      <w:pPr>
        <w:spacing w:after="0" w:line="121" w:lineRule="exact"/>
        <w:rPr>
          <w:sz w:val="20"/>
          <w:szCs w:val="20"/>
          <w:color w:val="auto"/>
        </w:rPr>
      </w:pPr>
    </w:p>
    <w:p>
      <w:pPr>
        <w:ind w:left="120" w:right="140"/>
        <w:spacing w:after="0" w:line="261" w:lineRule="auto"/>
        <w:rPr>
          <w:sz w:val="20"/>
          <w:szCs w:val="20"/>
          <w:color w:val="auto"/>
        </w:rPr>
      </w:pPr>
      <w:r>
        <w:rPr>
          <w:rFonts w:ascii="Times New Roman" w:cs="Times New Roman" w:eastAsia="Times New Roman" w:hAnsi="Times New Roman"/>
          <w:sz w:val="18"/>
          <w:szCs w:val="18"/>
          <w:color w:val="auto"/>
        </w:rPr>
        <w:t>In May 2021, the Group entered into a working capital credit facility with Volvo Cars and subsequently borrowed $13,789 of the line, which has a maturity of one year. As of June 30, 2022, $11,902 of this financing arrangement remained outstanding, which is included in Interest-bearing current liabilities - related parties on the Unaudited Condensed Consolidated Statement of Financial Position. Refer to Note 7 - Liabilities to credit institutions for further details.</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Convertible notes</w:t>
      </w:r>
    </w:p>
    <w:p>
      <w:pPr>
        <w:spacing w:after="0" w:line="119" w:lineRule="exact"/>
        <w:rPr>
          <w:sz w:val="20"/>
          <w:szCs w:val="20"/>
          <w:color w:val="auto"/>
        </w:rPr>
      </w:pPr>
    </w:p>
    <w:p>
      <w:pPr>
        <w:jc w:val="both"/>
        <w:ind w:left="120" w:right="120"/>
        <w:spacing w:after="0" w:line="266" w:lineRule="auto"/>
        <w:rPr>
          <w:sz w:val="20"/>
          <w:szCs w:val="20"/>
          <w:color w:val="auto"/>
        </w:rPr>
      </w:pPr>
      <w:r>
        <w:rPr>
          <w:rFonts w:ascii="Times New Roman" w:cs="Times New Roman" w:eastAsia="Times New Roman" w:hAnsi="Times New Roman"/>
          <w:sz w:val="18"/>
          <w:szCs w:val="18"/>
          <w:color w:val="auto"/>
        </w:rPr>
        <w:t>Of the $35,231 in convertible notes issued on July 28, 2021, $9,531 was related to Geely. Upon the Closing of the merger with GGI, the Notes held by Geely were automatically converted to 1,165,041 shares of Class A Shares in ListCo. Refer to Note 1 - Significant accounting policies and judgements and Note 6 - Equity for further details.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Sale of goods, services and other</w:t>
      </w:r>
    </w:p>
    <w:p>
      <w:pPr>
        <w:spacing w:after="0" w:line="121" w:lineRule="exact"/>
        <w:rPr>
          <w:sz w:val="20"/>
          <w:szCs w:val="20"/>
          <w:color w:val="auto"/>
        </w:rPr>
      </w:pPr>
    </w:p>
    <w:p>
      <w:pPr>
        <w:ind w:left="120" w:right="240"/>
        <w:spacing w:after="0" w:line="266" w:lineRule="auto"/>
        <w:rPr>
          <w:sz w:val="20"/>
          <w:szCs w:val="20"/>
          <w:color w:val="auto"/>
        </w:rPr>
      </w:pPr>
      <w:r>
        <w:rPr>
          <w:rFonts w:ascii="Times New Roman" w:cs="Times New Roman" w:eastAsia="Times New Roman" w:hAnsi="Times New Roman"/>
          <w:sz w:val="18"/>
          <w:szCs w:val="18"/>
          <w:color w:val="auto"/>
        </w:rPr>
        <w:t>Revenue from related parties relates to the product development and sales and distribution agreements discussed above. These transactions are comprised of sales of products and related goods and services, sales of software and performance engineered kits, sales of carbon credits and sales of prototype engines. The total revenue recognised for each related party is shown in the table below:</w:t>
      </w:r>
    </w:p>
    <w:p>
      <w:pPr>
        <w:spacing w:after="0" w:line="196" w:lineRule="exact"/>
        <w:rPr>
          <w:sz w:val="20"/>
          <w:szCs w:val="20"/>
          <w:color w:val="auto"/>
        </w:rPr>
      </w:pPr>
    </w:p>
    <w:p>
      <w:pPr>
        <w:jc w:val="center"/>
        <w:ind w:left="6680"/>
        <w:spacing w:after="0"/>
        <w:rPr>
          <w:sz w:val="20"/>
          <w:szCs w:val="20"/>
          <w:color w:val="auto"/>
        </w:rPr>
      </w:pPr>
      <w:r>
        <w:rPr>
          <w:rFonts w:ascii="Times New Roman" w:cs="Times New Roman" w:eastAsia="Times New Roman" w:hAnsi="Times New Roman"/>
          <w:sz w:val="14"/>
          <w:szCs w:val="14"/>
          <w:b w:val="1"/>
          <w:bCs w:val="1"/>
          <w:color w:val="auto"/>
        </w:rPr>
        <w:t>For the six months</w:t>
      </w:r>
    </w:p>
    <w:p>
      <w:pPr>
        <w:jc w:val="center"/>
        <w:ind w:left="6680"/>
        <w:spacing w:after="0"/>
        <w:rPr>
          <w:sz w:val="20"/>
          <w:szCs w:val="20"/>
          <w:color w:val="auto"/>
        </w:rPr>
      </w:pPr>
      <w:r>
        <w:rPr>
          <w:rFonts w:ascii="Times New Roman" w:cs="Times New Roman" w:eastAsia="Times New Roman" w:hAnsi="Times New Roman"/>
          <w:sz w:val="14"/>
          <w:szCs w:val="14"/>
          <w:b w:val="1"/>
          <w:bCs w:val="1"/>
          <w:color w:val="auto"/>
        </w:rPr>
        <w:t>ended June 30,</w:t>
      </w:r>
    </w:p>
    <w:tbl>
      <w:tblPr>
        <w:tblLayout w:type="fixed"/>
        <w:tblInd w:w="1440" w:type="dxa"/>
        <w:tblCellMar>
          <w:top w:w="0" w:type="dxa"/>
          <w:left w:w="0" w:type="dxa"/>
          <w:bottom w:w="0" w:type="dxa"/>
          <w:right w:w="0" w:type="dxa"/>
        </w:tblCellMar>
      </w:tblPr>
      <w:tr>
        <w:trPr>
          <w:trHeight w:val="209"/>
        </w:trPr>
        <w:tc>
          <w:tcPr>
            <w:tcW w:w="6760" w:type="dxa"/>
            <w:vAlign w:val="bottom"/>
          </w:tcPr>
          <w:p>
            <w:pPr>
              <w:spacing w:after="0"/>
              <w:rPr>
                <w:sz w:val="18"/>
                <w:szCs w:val="18"/>
                <w:color w:val="auto"/>
              </w:rPr>
            </w:pPr>
          </w:p>
        </w:tc>
        <w:tc>
          <w:tcPr>
            <w:tcW w:w="60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60" w:type="dxa"/>
            <w:vAlign w:val="bottom"/>
          </w:tcPr>
          <w:p>
            <w:pPr>
              <w:spacing w:after="0"/>
              <w:rPr>
                <w:sz w:val="18"/>
                <w:szCs w:val="18"/>
                <w:color w:val="auto"/>
              </w:rPr>
            </w:pPr>
          </w:p>
        </w:tc>
      </w:tr>
      <w:tr>
        <w:trPr>
          <w:trHeight w:val="216"/>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Volvo Cars</w:t>
            </w:r>
          </w:p>
        </w:tc>
        <w:tc>
          <w:tcPr>
            <w:tcW w:w="6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96"/>
              </w:rPr>
              <w:t>44,452</w:t>
            </w:r>
          </w:p>
        </w:tc>
        <w:tc>
          <w:tcPr>
            <w:tcW w:w="2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28,351</w:t>
            </w:r>
          </w:p>
        </w:tc>
      </w:tr>
      <w:tr>
        <w:trPr>
          <w:trHeight w:val="216"/>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Volvofinans Bank AB</w:t>
            </w:r>
          </w:p>
        </w:tc>
        <w:tc>
          <w:tcPr>
            <w:tcW w:w="6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96"/>
              </w:rPr>
              <w:t>39,115</w:t>
            </w:r>
          </w:p>
        </w:tc>
        <w:tc>
          <w:tcPr>
            <w:tcW w:w="28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21,240</w:t>
            </w:r>
          </w:p>
        </w:tc>
      </w:tr>
      <w:tr>
        <w:trPr>
          <w:trHeight w:val="216"/>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Geely</w:t>
            </w:r>
          </w:p>
        </w:tc>
        <w:tc>
          <w:tcPr>
            <w:tcW w:w="90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141</w:t>
            </w:r>
          </w:p>
        </w:tc>
      </w:tr>
      <w:tr>
        <w:trPr>
          <w:trHeight w:val="223"/>
        </w:trPr>
        <w:tc>
          <w:tcPr>
            <w:tcW w:w="6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600" w:type="dxa"/>
            <w:vAlign w:val="bottom"/>
            <w:tcBorders>
              <w:top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w w:val="92"/>
              </w:rPr>
              <w:t>83,567</w:t>
            </w:r>
          </w:p>
        </w:tc>
        <w:tc>
          <w:tcPr>
            <w:tcW w:w="2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49,732</w:t>
            </w:r>
          </w:p>
        </w:tc>
        <w:tc>
          <w:tcPr>
            <w:tcW w:w="60" w:type="dxa"/>
            <w:vAlign w:val="bottom"/>
          </w:tcPr>
          <w:p>
            <w:pPr>
              <w:spacing w:after="0"/>
              <w:rPr>
                <w:sz w:val="19"/>
                <w:szCs w:val="19"/>
                <w:color w:val="auto"/>
              </w:rPr>
            </w:pPr>
          </w:p>
        </w:tc>
      </w:tr>
    </w:tbl>
    <w:p>
      <w:pPr>
        <w:spacing w:after="0" w:line="211"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For the six months ended June 30, 2022 revenue from related parties amounted to $83,567 (8.03%) of total revenue. For the six months ended June 30, 2021, related party revenue was $49,732 (9.30%) of total revenue.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Purchases of goods, services and other</w:t>
      </w:r>
    </w:p>
    <w:p>
      <w:pPr>
        <w:spacing w:after="0" w:line="121" w:lineRule="exact"/>
        <w:rPr>
          <w:sz w:val="20"/>
          <w:szCs w:val="20"/>
          <w:color w:val="auto"/>
        </w:rPr>
      </w:pPr>
    </w:p>
    <w:p>
      <w:pPr>
        <w:jc w:val="both"/>
        <w:ind w:left="120" w:right="320"/>
        <w:spacing w:after="0" w:line="261" w:lineRule="auto"/>
        <w:rPr>
          <w:sz w:val="20"/>
          <w:szCs w:val="20"/>
          <w:color w:val="auto"/>
        </w:rPr>
      </w:pPr>
      <w:r>
        <w:rPr>
          <w:rFonts w:ascii="Times New Roman" w:cs="Times New Roman" w:eastAsia="Times New Roman" w:hAnsi="Times New Roman"/>
          <w:sz w:val="18"/>
          <w:szCs w:val="18"/>
          <w:color w:val="auto"/>
        </w:rPr>
        <w:t>Purchases from related parties include agreements related to product development, procurement, manufacturing, IT and other support (specifically, inbound and outbound logistics) agreements discussed above. These agreements include work in progress and finished goods. Inventory cost of the Group is comprised of all costs of purchase, production charges and other expenditures incurred in bringing the inventory to its present location and condition.</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F-86</w:t>
      </w:r>
    </w:p>
    <w:p>
      <w:pPr>
        <w:sectPr>
          <w:pgSz w:w="11900" w:h="16838" w:orient="portrait"/>
          <w:cols w:equalWidth="0" w:num="1">
            <w:col w:w="11080"/>
          </w:cols>
          <w:pgMar w:left="320" w:top="455" w:right="499" w:bottom="1440" w:gutter="0" w:footer="0" w:header="0"/>
        </w:sectPr>
      </w:pPr>
    </w:p>
    <w:bookmarkStart w:id="321" w:name="page322"/>
    <w:bookmarkEnd w:id="3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(in thousands of U.S. dollars unless otherwise stated)</w:t>
      </w:r>
    </w:p>
    <w:p>
      <w:pPr>
        <w:spacing w:after="0" w:line="234"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Additionally, purchases from related parties include administrative costs associated with service agreements with Volvo Cars that relate to corporate or back-office functions. IT service and software related agreements are also included in administrative costs.</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total purchases of goods, services and other for each related party is shown in the table below:</w:t>
      </w:r>
    </w:p>
    <w:p>
      <w:pPr>
        <w:spacing w:after="0" w:line="246" w:lineRule="exact"/>
        <w:rPr>
          <w:sz w:val="20"/>
          <w:szCs w:val="20"/>
          <w:color w:val="auto"/>
        </w:rPr>
      </w:pPr>
    </w:p>
    <w:p>
      <w:pPr>
        <w:jc w:val="center"/>
        <w:ind w:left="6340"/>
        <w:spacing w:after="0"/>
        <w:rPr>
          <w:sz w:val="20"/>
          <w:szCs w:val="20"/>
          <w:color w:val="auto"/>
        </w:rPr>
      </w:pPr>
      <w:r>
        <w:rPr>
          <w:rFonts w:ascii="Times New Roman" w:cs="Times New Roman" w:eastAsia="Times New Roman" w:hAnsi="Times New Roman"/>
          <w:sz w:val="14"/>
          <w:szCs w:val="14"/>
          <w:b w:val="1"/>
          <w:bCs w:val="1"/>
          <w:color w:val="auto"/>
        </w:rPr>
        <w:t>For the six months</w:t>
      </w:r>
    </w:p>
    <w:p>
      <w:pPr>
        <w:jc w:val="center"/>
        <w:ind w:left="6340"/>
        <w:spacing w:after="0"/>
        <w:rPr>
          <w:sz w:val="20"/>
          <w:szCs w:val="20"/>
          <w:color w:val="auto"/>
        </w:rPr>
      </w:pPr>
      <w:r>
        <w:rPr>
          <w:rFonts w:ascii="Times New Roman" w:cs="Times New Roman" w:eastAsia="Times New Roman" w:hAnsi="Times New Roman"/>
          <w:sz w:val="14"/>
          <w:szCs w:val="14"/>
          <w:b w:val="1"/>
          <w:bCs w:val="1"/>
          <w:color w:val="auto"/>
        </w:rPr>
        <w:t>ended June 30,</w:t>
      </w:r>
    </w:p>
    <w:tbl>
      <w:tblPr>
        <w:tblLayout w:type="fixed"/>
        <w:tblInd w:w="1440" w:type="dxa"/>
        <w:tblCellMar>
          <w:top w:w="0" w:type="dxa"/>
          <w:left w:w="0" w:type="dxa"/>
          <w:bottom w:w="0" w:type="dxa"/>
          <w:right w:w="0" w:type="dxa"/>
        </w:tblCellMar>
      </w:tblPr>
      <w:tr>
        <w:trPr>
          <w:trHeight w:val="142"/>
        </w:trPr>
        <w:tc>
          <w:tcPr>
            <w:tcW w:w="6420" w:type="dxa"/>
            <w:vAlign w:val="bottom"/>
            <w:tcBorders>
              <w:bottom w:val="single" w:sz="8" w:color="CCEEFF"/>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154"/>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Borders>
              <w:top w:val="single" w:sz="8" w:color="auto"/>
              <w:bottom w:val="single" w:sz="8" w:color="CCEEFF"/>
            </w:tcBorders>
          </w:tcPr>
          <w:p>
            <w:pPr>
              <w:spacing w:after="0"/>
              <w:rPr>
                <w:sz w:val="12"/>
                <w:szCs w:val="12"/>
                <w:color w:val="auto"/>
              </w:rPr>
            </w:pPr>
          </w:p>
        </w:tc>
        <w:tc>
          <w:tcPr>
            <w:tcW w:w="280" w:type="dxa"/>
            <w:vAlign w:val="bottom"/>
            <w:tcBorders>
              <w:top w:val="single" w:sz="8" w:color="auto"/>
              <w:bottom w:val="single" w:sz="8" w:color="CCEEFF"/>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174"/>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60" w:type="dxa"/>
            <w:vAlign w:val="bottom"/>
            <w:tcBorders>
              <w:bottom w:val="single" w:sz="8" w:color="CCEEFF"/>
            </w:tcBorders>
          </w:tcPr>
          <w:p>
            <w:pPr>
              <w:spacing w:after="0"/>
              <w:rPr>
                <w:sz w:val="12"/>
                <w:szCs w:val="12"/>
                <w:color w:val="auto"/>
              </w:rPr>
            </w:pPr>
          </w:p>
        </w:tc>
      </w:tr>
      <w:tr>
        <w:trPr>
          <w:trHeight w:val="210"/>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Volvo Cars</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752,493</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248,984</w:t>
            </w:r>
          </w:p>
        </w:tc>
        <w:tc>
          <w:tcPr>
            <w:tcW w:w="60" w:type="dxa"/>
            <w:vAlign w:val="bottom"/>
            <w:shd w:val="clear" w:color="auto" w:fill="CCEEFF"/>
          </w:tcPr>
          <w:p>
            <w:pPr>
              <w:spacing w:after="0"/>
              <w:rPr>
                <w:sz w:val="18"/>
                <w:szCs w:val="18"/>
                <w:color w:val="auto"/>
              </w:rPr>
            </w:pPr>
          </w:p>
        </w:tc>
      </w:tr>
      <w:tr>
        <w:trPr>
          <w:trHeight w:val="216"/>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Volvofinans Bank AB</w:t>
            </w: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334</w:t>
            </w:r>
          </w:p>
        </w:tc>
        <w:tc>
          <w:tcPr>
            <w:tcW w:w="28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Geely</w:t>
            </w: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106,862</w:t>
            </w:r>
          </w:p>
        </w:tc>
        <w:tc>
          <w:tcPr>
            <w:tcW w:w="2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316,745</w:t>
            </w:r>
          </w:p>
        </w:tc>
      </w:tr>
      <w:tr>
        <w:trPr>
          <w:trHeight w:val="223"/>
        </w:trPr>
        <w:tc>
          <w:tcPr>
            <w:tcW w:w="6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859,689</w:t>
            </w:r>
          </w:p>
        </w:tc>
        <w:tc>
          <w:tcPr>
            <w:tcW w:w="2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565,735</w:t>
            </w:r>
          </w:p>
        </w:tc>
        <w:tc>
          <w:tcPr>
            <w:tcW w:w="60" w:type="dxa"/>
            <w:vAlign w:val="bottom"/>
          </w:tcPr>
          <w:p>
            <w:pPr>
              <w:spacing w:after="0"/>
              <w:rPr>
                <w:sz w:val="19"/>
                <w:szCs w:val="19"/>
                <w:color w:val="auto"/>
              </w:rPr>
            </w:pPr>
          </w:p>
        </w:tc>
      </w:tr>
    </w:tbl>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Cost of R&amp;D and intellectual property</w:t>
      </w:r>
    </w:p>
    <w:p>
      <w:pPr>
        <w:spacing w:after="0" w:line="121"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Polestar Group entered into agreements with Volvo Cars and Geely regarding the development of technology. The Group is in control of the developed product either through a license or through ownership of the IP and the recognised asset reflects the relevant proportion of Polestar Group’s interest. The recognised asset associated with these agreements as of June 30, 2022 was $1,172,434, of which acquisitions attributable to 2022 were $177,959. As of December 31, 2021, the recognised asset associated with these agreements was $1,175,218 and acquisitions attributable to 2021 were $349,876.</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Amounts due to related parties</w:t>
      </w:r>
    </w:p>
    <w:p>
      <w:pPr>
        <w:spacing w:after="0" w:line="121"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Amounts due to related parties include transactions from agreements associated with purchases of intangible assets, sales and distribution, procurement, manufacturing and other support with Volvo Cars and Geely.</w:t>
      </w:r>
    </w:p>
    <w:p>
      <w:pPr>
        <w:spacing w:after="0" w:line="170"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9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Trade payables - related parties and accrued expenses to</w:t>
            </w:r>
          </w:p>
        </w:tc>
        <w:tc>
          <w:tcPr>
            <w:tcW w:w="142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As of June 30,</w:t>
            </w:r>
          </w:p>
        </w:tc>
        <w:tc>
          <w:tcPr>
            <w:tcW w:w="100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7"/>
              </w:rPr>
              <w:t>As of</w:t>
            </w:r>
          </w:p>
        </w:tc>
        <w:tc>
          <w:tcPr>
            <w:tcW w:w="0" w:type="dxa"/>
            <w:vAlign w:val="bottom"/>
          </w:tcPr>
          <w:p>
            <w:pPr>
              <w:spacing w:after="0"/>
              <w:rPr>
                <w:sz w:val="1"/>
                <w:szCs w:val="1"/>
                <w:color w:val="auto"/>
              </w:rPr>
            </w:pPr>
          </w:p>
        </w:tc>
      </w:tr>
      <w:tr>
        <w:trPr>
          <w:trHeight w:val="149"/>
        </w:trPr>
        <w:tc>
          <w:tcPr>
            <w:tcW w:w="5940" w:type="dxa"/>
            <w:vAlign w:val="bottom"/>
            <w:vMerge w:val="continue"/>
          </w:tcPr>
          <w:p>
            <w:pPr>
              <w:spacing w:after="0"/>
              <w:rPr>
                <w:sz w:val="12"/>
                <w:szCs w:val="12"/>
                <w:color w:val="auto"/>
              </w:rPr>
            </w:pPr>
          </w:p>
        </w:tc>
        <w:tc>
          <w:tcPr>
            <w:tcW w:w="1420" w:type="dxa"/>
            <w:vAlign w:val="bottom"/>
            <w:gridSpan w:val="3"/>
            <w:vMerge w:val="continue"/>
          </w:tcPr>
          <w:p>
            <w:pPr>
              <w:spacing w:after="0"/>
              <w:rPr>
                <w:sz w:val="12"/>
                <w:szCs w:val="12"/>
                <w:color w:val="auto"/>
              </w:rPr>
            </w:pPr>
          </w:p>
        </w:tc>
        <w:tc>
          <w:tcPr>
            <w:tcW w:w="100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59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b w:val="1"/>
                <w:bCs w:val="1"/>
                <w:color w:val="auto"/>
              </w:rPr>
              <w:t>related parties</w:t>
            </w:r>
          </w:p>
        </w:tc>
        <w:tc>
          <w:tcPr>
            <w:tcW w:w="94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Borders>
              <w:bottom w:val="single" w:sz="8" w:color="CCEEFF"/>
            </w:tcBorders>
          </w:tcPr>
          <w:p>
            <w:pPr>
              <w:spacing w:after="0"/>
              <w:rPr>
                <w:sz w:val="15"/>
                <w:szCs w:val="15"/>
                <w:color w:val="auto"/>
              </w:rPr>
            </w:pPr>
          </w:p>
        </w:tc>
        <w:tc>
          <w:tcPr>
            <w:tcW w:w="46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Volvo Cars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838,861</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1,507,308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Geely</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234,566</w:t>
            </w:r>
          </w:p>
        </w:tc>
        <w:tc>
          <w:tcPr>
            <w:tcW w:w="46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235,622</w:t>
            </w: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Volvofinans Bank AB</w:t>
            </w:r>
          </w:p>
        </w:tc>
        <w:tc>
          <w:tcPr>
            <w:tcW w:w="1420" w:type="dxa"/>
            <w:vAlign w:val="bottom"/>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536</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504</w:t>
            </w:r>
          </w:p>
        </w:tc>
        <w:tc>
          <w:tcPr>
            <w:tcW w:w="0" w:type="dxa"/>
            <w:vAlign w:val="bottom"/>
          </w:tcPr>
          <w:p>
            <w:pPr>
              <w:spacing w:after="0"/>
              <w:rPr>
                <w:sz w:val="1"/>
                <w:szCs w:val="1"/>
                <w:color w:val="auto"/>
              </w:rPr>
            </w:pPr>
          </w:p>
        </w:tc>
      </w:tr>
      <w:tr>
        <w:trPr>
          <w:trHeight w:val="223"/>
        </w:trPr>
        <w:tc>
          <w:tcPr>
            <w:tcW w:w="5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1,073,963</w:t>
            </w:r>
          </w:p>
        </w:tc>
        <w:tc>
          <w:tcPr>
            <w:tcW w:w="20" w:type="dxa"/>
            <w:vAlign w:val="bottom"/>
            <w:tcBorders>
              <w:bottom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1,743,434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Amounts due from related parties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Amounts due from related parties include transactions related to product development and sales and distribution agreements discussed above.</w:t>
      </w:r>
    </w:p>
    <w:p>
      <w:pPr>
        <w:spacing w:after="0" w:line="23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8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Trade receivables - related parties and accrued income -</w:t>
            </w:r>
          </w:p>
        </w:tc>
        <w:tc>
          <w:tcPr>
            <w:tcW w:w="16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As of June 30,</w:t>
            </w:r>
          </w:p>
        </w:tc>
        <w:tc>
          <w:tcPr>
            <w:tcW w:w="88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0" w:type="dxa"/>
            <w:vAlign w:val="bottom"/>
          </w:tcPr>
          <w:p>
            <w:pPr>
              <w:spacing w:after="0"/>
              <w:rPr>
                <w:sz w:val="1"/>
                <w:szCs w:val="1"/>
                <w:color w:val="auto"/>
              </w:rPr>
            </w:pPr>
          </w:p>
        </w:tc>
      </w:tr>
      <w:tr>
        <w:trPr>
          <w:trHeight w:val="149"/>
        </w:trPr>
        <w:tc>
          <w:tcPr>
            <w:tcW w:w="5860" w:type="dxa"/>
            <w:vAlign w:val="bottom"/>
            <w:vMerge w:val="continue"/>
          </w:tcPr>
          <w:p>
            <w:pPr>
              <w:spacing w:after="0"/>
              <w:rPr>
                <w:sz w:val="12"/>
                <w:szCs w:val="12"/>
                <w:color w:val="auto"/>
              </w:rPr>
            </w:pPr>
          </w:p>
        </w:tc>
        <w:tc>
          <w:tcPr>
            <w:tcW w:w="1620" w:type="dxa"/>
            <w:vAlign w:val="bottom"/>
            <w:gridSpan w:val="3"/>
            <w:vMerge w:val="continue"/>
          </w:tcPr>
          <w:p>
            <w:pPr>
              <w:spacing w:after="0"/>
              <w:rPr>
                <w:sz w:val="12"/>
                <w:szCs w:val="12"/>
                <w:color w:val="auto"/>
              </w:rPr>
            </w:pPr>
          </w:p>
        </w:tc>
        <w:tc>
          <w:tcPr>
            <w:tcW w:w="88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58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b w:val="1"/>
                <w:bCs w:val="1"/>
                <w:color w:val="auto"/>
              </w:rPr>
              <w:t>related parties</w:t>
            </w:r>
          </w:p>
        </w:tc>
        <w:tc>
          <w:tcPr>
            <w:tcW w:w="86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Borders>
              <w:bottom w:val="single" w:sz="8" w:color="CCEEFF"/>
            </w:tcBorders>
          </w:tcPr>
          <w:p>
            <w:pPr>
              <w:spacing w:after="0"/>
              <w:rPr>
                <w:sz w:val="15"/>
                <w:szCs w:val="15"/>
                <w:color w:val="auto"/>
              </w:rPr>
            </w:pPr>
          </w:p>
        </w:tc>
        <w:tc>
          <w:tcPr>
            <w:tcW w:w="74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4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Volvo Cars</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18,674</w:t>
            </w:r>
          </w:p>
        </w:tc>
        <w:tc>
          <w:tcPr>
            <w:tcW w:w="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15,457</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Geely</w:t>
            </w: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7,698</w:t>
            </w:r>
          </w:p>
        </w:tc>
        <w:tc>
          <w:tcPr>
            <w:tcW w:w="74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4,025</w:t>
            </w:r>
          </w:p>
        </w:tc>
        <w:tc>
          <w:tcPr>
            <w:tcW w:w="0" w:type="dxa"/>
            <w:vAlign w:val="bottom"/>
          </w:tcPr>
          <w:p>
            <w:pPr>
              <w:spacing w:after="0"/>
              <w:rPr>
                <w:sz w:val="1"/>
                <w:szCs w:val="1"/>
                <w:color w:val="auto"/>
              </w:rPr>
            </w:pPr>
          </w:p>
        </w:tc>
      </w:tr>
      <w:tr>
        <w:trPr>
          <w:trHeight w:val="229"/>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Volvofinans Bank AB</w:t>
            </w: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828</w:t>
            </w:r>
          </w:p>
        </w:tc>
        <w:tc>
          <w:tcPr>
            <w:tcW w:w="7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309</w:t>
            </w:r>
          </w:p>
        </w:tc>
        <w:tc>
          <w:tcPr>
            <w:tcW w:w="0" w:type="dxa"/>
            <w:vAlign w:val="bottom"/>
          </w:tcPr>
          <w:p>
            <w:pPr>
              <w:spacing w:after="0"/>
              <w:rPr>
                <w:sz w:val="1"/>
                <w:szCs w:val="1"/>
                <w:color w:val="auto"/>
              </w:rPr>
            </w:pPr>
          </w:p>
        </w:tc>
      </w:tr>
      <w:tr>
        <w:trPr>
          <w:trHeight w:val="223"/>
        </w:trPr>
        <w:tc>
          <w:tcPr>
            <w:tcW w:w="5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27,200</w:t>
            </w:r>
          </w:p>
        </w:tc>
        <w:tc>
          <w:tcPr>
            <w:tcW w:w="20" w:type="dxa"/>
            <w:vAlign w:val="bottom"/>
            <w:tcBorders>
              <w:bottom w:val="single" w:sz="8" w:color="auto"/>
            </w:tcBorders>
          </w:tcPr>
          <w:p>
            <w:pPr>
              <w:spacing w:after="0"/>
              <w:rPr>
                <w:sz w:val="19"/>
                <w:szCs w:val="19"/>
                <w:color w:val="auto"/>
              </w:rPr>
            </w:pPr>
          </w:p>
        </w:tc>
        <w:tc>
          <w:tcPr>
            <w:tcW w:w="74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19,791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120" w:right="520"/>
        <w:spacing w:after="0" w:line="282" w:lineRule="auto"/>
        <w:rPr>
          <w:sz w:val="20"/>
          <w:szCs w:val="20"/>
          <w:color w:val="auto"/>
        </w:rPr>
      </w:pPr>
      <w:r>
        <w:rPr>
          <w:rFonts w:ascii="Times New Roman" w:cs="Times New Roman" w:eastAsia="Times New Roman" w:hAnsi="Times New Roman"/>
          <w:sz w:val="18"/>
          <w:szCs w:val="18"/>
          <w:color w:val="auto"/>
        </w:rPr>
        <w:t>The Group’s interest expense on related party trade payables for amounts past due for the six months ended June 30, 2022 and June 30, 2021 was $24,275 and $2,852, respectively.</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F-87</w:t>
      </w:r>
    </w:p>
    <w:p>
      <w:pPr>
        <w:sectPr>
          <w:pgSz w:w="11900" w:h="16838" w:orient="portrait"/>
          <w:cols w:equalWidth="0" w:num="1">
            <w:col w:w="11100"/>
          </w:cols>
          <w:pgMar w:left="320" w:top="455" w:right="479" w:bottom="1440" w:gutter="0" w:footer="0" w:header="0"/>
        </w:sectPr>
      </w:pPr>
    </w:p>
    <w:bookmarkStart w:id="322" w:name="page323"/>
    <w:bookmarkEnd w:id="3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(in thousands of U.S. dollars unless otherwise stated)</w:t>
      </w:r>
    </w:p>
    <w:p>
      <w:pPr>
        <w:spacing w:after="0" w:line="2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10 - Reverse recapitalisation</w:t>
      </w:r>
    </w:p>
    <w:p>
      <w:pPr>
        <w:spacing w:after="0" w:line="121"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As previously outlined in Note 1 - Significant accounting policies and judgements, Polestar underwent a reverse recapitalisation through the merger with GGI and related arrangements. Under this type of transaction structure, Polestar Group is the accounting acquirer and accounting predecessor while GGI is treated as the acquired entity for financial reporting purposes. The Group was deemed to be the accounting acquirer based on an evaluation of the following facts and circumstances:</w:t>
      </w:r>
    </w:p>
    <w:p>
      <w:pPr>
        <w:spacing w:after="0" w:line="85" w:lineRule="exact"/>
        <w:rPr>
          <w:sz w:val="20"/>
          <w:szCs w:val="20"/>
          <w:color w:val="auto"/>
        </w:rPr>
      </w:pPr>
    </w:p>
    <w:p>
      <w:pPr>
        <w:ind w:left="1080" w:hanging="424"/>
        <w:spacing w:after="0"/>
        <w:tabs>
          <w:tab w:leader="none" w:pos="108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Shareholders of the Former Parent retained the largest voting interest in the Group with over 99% of the voting interests;</w:t>
      </w:r>
    </w:p>
    <w:p>
      <w:pPr>
        <w:spacing w:after="0" w:line="130"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 of the Group comprises four members nominated by the Former Parent, as compared to one member nominated by certain investors in GGI;</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Former Parent has the ability to appoint the remaining members of the Board as deemed necessary;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Former Parent’s senior management is the senior management of the Group;</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Former Parent’s operations comprise substantially all of the ongoing operations of the Group following the merger with GGI; and</w:t>
      </w:r>
    </w:p>
    <w:p>
      <w:pPr>
        <w:spacing w:after="0" w:line="130" w:lineRule="exact"/>
        <w:rPr>
          <w:rFonts w:ascii="Times New Roman" w:cs="Times New Roman" w:eastAsia="Times New Roman" w:hAnsi="Times New Roman"/>
          <w:sz w:val="18"/>
          <w:szCs w:val="18"/>
          <w:color w:val="auto"/>
        </w:rPr>
      </w:pPr>
    </w:p>
    <w:p>
      <w:pPr>
        <w:ind w:left="1080" w:right="360" w:hanging="424"/>
        <w:spacing w:after="0" w:line="282" w:lineRule="auto"/>
        <w:tabs>
          <w:tab w:leader="none" w:pos="108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Group was the larger entity by substantive operations and employee base while GGI lacked operating activities and maintained net assets principally comprised of cash.</w:t>
      </w:r>
    </w:p>
    <w:p>
      <w:pPr>
        <w:spacing w:after="0" w:line="162"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Therefore, GGI did not meet the definition of a business in accordance with IFRS 3 and the merger with GGI was instead accounted for within the scope of IFRS 2 as a share-based payment transaction in exchange for a public listing service. Under IFRS 2, the Group recorded a one-time share-based expense of $372,318 at the Closing of the BCA that was calculated based on the excess of the fair value of the Group issued to public investors via Class A Shares in ListCo utilising the publicly traded share price at the Closing of $11.23 over the fair value of the identifiable net assets of GGI that were acquired. The amount of GGI’s identifiable net assets of acquired at Closing, were as follows:</w:t>
      </w:r>
    </w:p>
    <w:p>
      <w:pPr>
        <w:spacing w:after="0" w:line="229" w:lineRule="exact"/>
        <w:rPr>
          <w:sz w:val="20"/>
          <w:szCs w:val="20"/>
          <w:color w:val="auto"/>
        </w:rPr>
      </w:pPr>
    </w:p>
    <w:tbl>
      <w:tblPr>
        <w:tblLayout w:type="fixed"/>
        <w:tblInd w:w="18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579,146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Prepaid assets</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6,050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Public warrant liability</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(40,320)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Private warrant liability</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(22,770)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6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GGI identifiable net assets at fair value</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522,106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The net assets of GGI are stated at fair value, with no goodwill or other intangible assets recorded. The IFRS 2 listing expense was calculated as follows:</w:t>
      </w:r>
    </w:p>
    <w:p>
      <w:pPr>
        <w:spacing w:after="0" w:line="282" w:lineRule="exact"/>
        <w:rPr>
          <w:sz w:val="20"/>
          <w:szCs w:val="20"/>
          <w:color w:val="auto"/>
        </w:rPr>
      </w:pPr>
    </w:p>
    <w:tbl>
      <w:tblPr>
        <w:tblLayout w:type="fixed"/>
        <w:tblInd w:w="18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Polestar*</w:t>
            </w: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22,183,823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Equity interest in Polestar issued to GGI shareholders</w:t>
            </w: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interest in Polestar issued to Former Parent shareholders</w:t>
            </w: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Deemed cost of shares issued by Polestar*</w:t>
            </w: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1,131,375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GGI identifiable net assets at fair value</w:t>
            </w: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522,106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Sponsor and third party PIPE Cash</w:t>
            </w: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236,951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4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IFRS 2 Listing Expense</w:t>
            </w: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372,318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ind w:left="540" w:right="120" w:hanging="424"/>
        <w:spacing w:after="0" w:line="282" w:lineRule="auto"/>
        <w:tabs>
          <w:tab w:leader="none" w:pos="54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deemed cost of the shares issued by Polestar was estimated based on the fair value of Polestar at Closing, less an adjustment in respect to the fair value of the earn out rights (discussed below).</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F-88</w:t>
      </w:r>
    </w:p>
    <w:p>
      <w:pPr>
        <w:sectPr>
          <w:pgSz w:w="11900" w:h="16838" w:orient="portrait"/>
          <w:cols w:equalWidth="0" w:num="1">
            <w:col w:w="11120"/>
          </w:cols>
          <w:pgMar w:left="320" w:top="455" w:right="459" w:bottom="1440" w:gutter="0" w:footer="0" w:header="0"/>
        </w:sectPr>
      </w:pPr>
    </w:p>
    <w:bookmarkStart w:id="323" w:name="page324"/>
    <w:bookmarkEnd w:id="3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3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(in thousands of U.S. dollars unless otherwise stated)</w:t>
      </w:r>
    </w:p>
    <w:p>
      <w:pPr>
        <w:spacing w:after="0" w:line="2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Class C Shares</w:t>
      </w:r>
    </w:p>
    <w:p>
      <w:pPr>
        <w:spacing w:after="0" w:line="121"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On the Closing of the BCA, all Public Warrants and Private Warrants in GGI issued and outstanding immediately prior to the Closing were exchanged for Class C-1 Shares and Class C-2 Shares in ListCo. Class C-1 Shares have the following terms:</w:t>
      </w:r>
    </w:p>
    <w:p>
      <w:pPr>
        <w:spacing w:after="0" w:line="67" w:lineRule="exact"/>
        <w:rPr>
          <w:sz w:val="20"/>
          <w:szCs w:val="20"/>
          <w:color w:val="auto"/>
        </w:rPr>
      </w:pPr>
    </w:p>
    <w:p>
      <w:pPr>
        <w:ind w:left="1080" w:right="640" w:hanging="424"/>
        <w:spacing w:after="0" w:line="282" w:lineRule="auto"/>
        <w:tabs>
          <w:tab w:leader="none" w:pos="108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whole Class C-1 Shares entitles the holder to purchase one Class A Share in ListCo at an exercise price of $11.50, subject to adjustments for split-ups and dividends. The Class C-1 Shares may also be exercised on a cashless basis by the holder</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whole Class C-1 Shares is exercisable 30 days after the Closing of the BCA and expires on the earlier of:</w:t>
      </w:r>
    </w:p>
    <w:p>
      <w:pPr>
        <w:spacing w:after="0" w:line="27"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June 23, 2027,</w:t>
      </w:r>
    </w:p>
    <w:p>
      <w:pPr>
        <w:spacing w:after="0" w:line="112"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the Class C-1 Shares are redeemed by the Group, or</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liquidation of the Group.</w:t>
      </w:r>
    </w:p>
    <w:p>
      <w:pPr>
        <w:spacing w:after="0" w:line="130" w:lineRule="exact"/>
        <w:rPr>
          <w:rFonts w:ascii="Times New Roman" w:cs="Times New Roman" w:eastAsia="Times New Roman" w:hAnsi="Times New Roman"/>
          <w:sz w:val="18"/>
          <w:szCs w:val="18"/>
          <w:color w:val="auto"/>
        </w:rPr>
      </w:pPr>
    </w:p>
    <w:p>
      <w:pPr>
        <w:ind w:left="1080" w:hanging="424"/>
        <w:spacing w:after="0" w:line="258" w:lineRule="auto"/>
        <w:tabs>
          <w:tab w:leader="none" w:pos="108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Group may (1) redeem the outstanding whole Class C-1 Shares at a price of $0.01 per Class C-1 Share or (2) convert the outstanding whole Class C-1 Shares in Class A Shares in ListCo on a cashless basis any time while the warrants are exercisable upon a minimum of 30 days prior written notice of redemption if, and only if, the last sales price of the Class A Shares in ListCo equals or exceeds $18 per share (as adjusted for split-ups, dividends, and the like) on each of 20 trading days within any 30 trading day period ending on the third business day prior to the date on which redemption notice is given.</w:t>
      </w:r>
    </w:p>
    <w:p>
      <w:pPr>
        <w:spacing w:after="0" w:line="88" w:lineRule="exact"/>
        <w:rPr>
          <w:rFonts w:ascii="Times New Roman" w:cs="Times New Roman" w:eastAsia="Times New Roman" w:hAnsi="Times New Roman"/>
          <w:sz w:val="18"/>
          <w:szCs w:val="18"/>
          <w:color w:val="auto"/>
        </w:rPr>
      </w:pPr>
    </w:p>
    <w:p>
      <w:pPr>
        <w:ind w:left="1080" w:right="600" w:hanging="424"/>
        <w:spacing w:after="0" w:line="282" w:lineRule="auto"/>
        <w:tabs>
          <w:tab w:leader="none" w:pos="108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Group may require the conversion of all of the outstanding Class C-1 Shares into Class A Shares in ListCo on a cashless basis beginning on October 24, 2022, provided:</w:t>
      </w:r>
    </w:p>
    <w:p>
      <w:pPr>
        <w:spacing w:after="0" w:line="67" w:lineRule="exact"/>
        <w:rPr>
          <w:rFonts w:ascii="Times New Roman" w:cs="Times New Roman" w:eastAsia="Times New Roman" w:hAnsi="Times New Roman"/>
          <w:sz w:val="18"/>
          <w:szCs w:val="18"/>
          <w:color w:val="auto"/>
        </w:rPr>
      </w:pPr>
    </w:p>
    <w:p>
      <w:pPr>
        <w:ind w:left="1540" w:right="20" w:hanging="331"/>
        <w:spacing w:after="0" w:line="282" w:lineRule="auto"/>
        <w:tabs>
          <w:tab w:leader="none" w:pos="1540" w:val="left"/>
        </w:tabs>
        <w:numPr>
          <w:ilvl w:val="1"/>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last reported price of the Class A Shares in ListCo was at least $10.00 per share (as adjusted for split-ups, dividends, and the like) on the trading day prior to the date on which redemption notice is given,</w:t>
      </w:r>
    </w:p>
    <w:p>
      <w:pPr>
        <w:spacing w:after="0" w:line="67"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C-2 Shares are converted on the same basis as the outstanding Class C-1 Shares, and</w:t>
      </w:r>
    </w:p>
    <w:p>
      <w:pPr>
        <w:spacing w:after="0" w:line="130" w:lineRule="exact"/>
        <w:rPr>
          <w:rFonts w:ascii="Times New Roman" w:cs="Times New Roman" w:eastAsia="Times New Roman" w:hAnsi="Times New Roman"/>
          <w:sz w:val="18"/>
          <w:szCs w:val="18"/>
          <w:color w:val="auto"/>
        </w:rPr>
      </w:pPr>
    </w:p>
    <w:p>
      <w:pPr>
        <w:ind w:left="1540" w:right="240" w:hanging="331"/>
        <w:spacing w:after="0" w:line="282" w:lineRule="auto"/>
        <w:tabs>
          <w:tab w:leader="none" w:pos="1540" w:val="left"/>
        </w:tabs>
        <w:numPr>
          <w:ilvl w:val="1"/>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an effective registration statement covering the Class A Shares in ListCo arising upon conversion of the Class C Shares is available for 30 days prior to the date the Class C-1 Shares are redeemed by the Group.</w:t>
      </w:r>
    </w:p>
    <w:p>
      <w:pPr>
        <w:spacing w:after="0" w:line="67"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C-1 Shares may be exercised, on a cash or cashless basis at any time after a notice of redemption shall have been given by the Group and prior to the date the Class C-1 Shares are redeemed by the Group.</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Class C-2 Shares are identical to the Class C-1 Shares, except that the Class C-2 Shares:</w:t>
      </w:r>
    </w:p>
    <w:p>
      <w:pPr>
        <w:spacing w:after="0" w:line="131" w:lineRule="exact"/>
        <w:rPr>
          <w:sz w:val="20"/>
          <w:szCs w:val="20"/>
          <w:color w:val="auto"/>
        </w:rPr>
      </w:pPr>
    </w:p>
    <w:p>
      <w:pPr>
        <w:ind w:left="1080" w:hanging="424"/>
        <w:spacing w:after="0"/>
        <w:tabs>
          <w:tab w:leader="none" w:pos="108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not redeemable by the Group as long as they are held by certain GGI investors and their permitted transferees;</w:t>
      </w:r>
    </w:p>
    <w:p>
      <w:pPr>
        <w:spacing w:after="0" w:line="130" w:lineRule="exact"/>
        <w:rPr>
          <w:rFonts w:ascii="Times New Roman" w:cs="Times New Roman" w:eastAsia="Times New Roman" w:hAnsi="Times New Roman"/>
          <w:sz w:val="18"/>
          <w:szCs w:val="18"/>
          <w:color w:val="auto"/>
        </w:rPr>
      </w:pPr>
    </w:p>
    <w:p>
      <w:pPr>
        <w:ind w:left="1080" w:right="560" w:hanging="424"/>
        <w:spacing w:after="0" w:line="282" w:lineRule="auto"/>
        <w:tabs>
          <w:tab w:leader="none" w:pos="108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automatically convert to Class C-1 Shares if they are transferred to individuals other than certain GGI investors and their permitted transferees;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be converted to Class C-1 Shares at any time by the holder upon notification to the Group;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exercisable on a cashless basis by the holder</w:t>
      </w:r>
    </w:p>
    <w:p>
      <w:pPr>
        <w:spacing w:after="0" w:line="15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F-89</w:t>
      </w:r>
    </w:p>
    <w:p>
      <w:pPr>
        <w:sectPr>
          <w:pgSz w:w="11900" w:h="16838" w:orient="portrait"/>
          <w:cols w:equalWidth="0" w:num="1">
            <w:col w:w="11080"/>
          </w:cols>
          <w:pgMar w:left="320" w:top="455" w:right="499" w:bottom="1440" w:gutter="0" w:footer="0" w:header="0"/>
        </w:sectPr>
      </w:pPr>
    </w:p>
    <w:bookmarkStart w:id="324" w:name="page325"/>
    <w:bookmarkEnd w:id="3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3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(in thousands of U.S. dollars unless otherwise stated)</w:t>
      </w:r>
    </w:p>
    <w:p>
      <w:pPr>
        <w:spacing w:after="0" w:line="234"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The Group applied the provisions of IAS 32 and IFRS 9 in accounting for the Class C Shares. Under IAS 32 and IFRS 9, the Class C Shares failed to meet the definition of equity because they could result in the issuance of a variable number of Class A Shares in ListCo in the case of a cashless basis exercise. Additionally, in the case of a redemption or conversion, the Group would be required to either pay cash or issue a variable number of shares to the holders of the Class C Shares. Instead, the Class C Shares meet the definition of derivative liabilities that are carried at fair value with subsequent changes in fair value recognised in the Unaudited Condensed Consolidated Statement of Loss and Comprehensive Loss at each reporting date.</w:t>
      </w:r>
    </w:p>
    <w:p>
      <w:pPr>
        <w:spacing w:after="0" w:line="192"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540" w:type="dxa"/>
            <w:vAlign w:val="bottom"/>
          </w:tcPr>
          <w:p>
            <w:pPr>
              <w:spacing w:after="0"/>
              <w:rPr>
                <w:sz w:val="13"/>
                <w:szCs w:val="13"/>
                <w:color w:val="auto"/>
              </w:rPr>
            </w:pPr>
          </w:p>
        </w:tc>
        <w:tc>
          <w:tcPr>
            <w:tcW w:w="92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As of June 30,</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54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Class C-1 Shares</w:t>
            </w:r>
          </w:p>
        </w:tc>
        <w:tc>
          <w:tcPr>
            <w:tcW w:w="8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w w:val="92"/>
              </w:rPr>
              <w:t>26,560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Class C-2 Shares</w:t>
            </w:r>
          </w:p>
        </w:tc>
        <w:tc>
          <w:tcPr>
            <w:tcW w:w="9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14,999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54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Class C Shares</w:t>
            </w:r>
          </w:p>
        </w:tc>
        <w:tc>
          <w:tcPr>
            <w:tcW w:w="9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b w:val="1"/>
                <w:bCs w:val="1"/>
                <w:color w:val="auto"/>
              </w:rPr>
              <w:t>41,559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The Class C-1 Shares are publicly traded on the Nasdaq (i.e., Level 1 input) and the closing share price of the GGI Public Warrants on June 23, 2022 was used to measure their fair value upon initial recognition, at which time the Class C-1 Shares had a fair value of $40,320. On June 30, 2022, the fair value of the Class C-1 Shares was remeasured at $26,560, for a total gain related to the change in fair value of $13,760.</w:t>
      </w:r>
    </w:p>
    <w:p>
      <w:pPr>
        <w:sectPr>
          <w:pgSz w:w="11900" w:h="16838" w:orient="portrait"/>
          <w:cols w:equalWidth="0" w:num="1">
            <w:col w:w="11060"/>
          </w:cols>
          <w:pgMar w:left="320" w:top="455" w:right="519" w:bottom="1440" w:gutter="0" w:footer="0" w:header="0"/>
        </w:sectPr>
      </w:pPr>
    </w:p>
    <w:p>
      <w:pPr>
        <w:spacing w:after="0" w:line="200" w:lineRule="exact"/>
        <w:rPr>
          <w:sz w:val="20"/>
          <w:szCs w:val="20"/>
          <w:color w:val="auto"/>
        </w:rPr>
      </w:pPr>
    </w:p>
    <w:p>
      <w:pPr>
        <w:spacing w:after="0" w:line="296"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b w:val="1"/>
          <w:bCs w:val="1"/>
          <w:color w:val="auto"/>
        </w:rPr>
        <w:t>As of January 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-116840</wp:posOffset>
            </wp:positionV>
            <wp:extent cx="4749165" cy="14605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4749165" cy="146050"/>
                    </a:xfrm>
                    <a:prstGeom prst="rect">
                      <a:avLst/>
                    </a:prstGeom>
                    <a:noFill/>
                  </pic:spPr>
                </pic:pic>
              </a:graphicData>
            </a:graphic>
          </wp:anchor>
        </w:drawing>
      </w:r>
    </w:p>
    <w:p>
      <w:pPr>
        <w:spacing w:after="0" w:line="11"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Class C-1 Shares acquired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14605</wp:posOffset>
            </wp:positionV>
            <wp:extent cx="4749165" cy="13716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spacing w:after="0" w:line="3"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Class C-1 Shares exercised</w:t>
      </w:r>
    </w:p>
    <w:p>
      <w:pPr>
        <w:spacing w:after="0" w:line="9"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Change in fair value measurement</w:t>
      </w:r>
    </w:p>
    <w:p>
      <w:pPr>
        <w:spacing w:after="0" w:line="14"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b w:val="1"/>
          <w:bCs w:val="1"/>
          <w:color w:val="auto"/>
        </w:rPr>
        <w:t>As of June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-116840</wp:posOffset>
            </wp:positionV>
            <wp:extent cx="4749165" cy="13716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jc w:val="center"/>
        <w:ind w:right="1840"/>
        <w:spacing w:after="0"/>
        <w:rPr>
          <w:sz w:val="20"/>
          <w:szCs w:val="20"/>
          <w:color w:val="auto"/>
        </w:rPr>
      </w:pPr>
      <w:r>
        <w:rPr>
          <w:rFonts w:ascii="Times New Roman" w:cs="Times New Roman" w:eastAsia="Times New Roman" w:hAnsi="Times New Roman"/>
          <w:sz w:val="14"/>
          <w:szCs w:val="14"/>
          <w:b w:val="1"/>
          <w:bCs w:val="1"/>
          <w:color w:val="auto"/>
        </w:rPr>
        <w:t>Class C-1</w:t>
      </w:r>
    </w:p>
    <w:p>
      <w:pPr>
        <w:spacing w:after="0" w:line="6" w:lineRule="exact"/>
        <w:rPr>
          <w:sz w:val="20"/>
          <w:szCs w:val="20"/>
          <w:color w:val="auto"/>
        </w:rPr>
      </w:pPr>
    </w:p>
    <w:p>
      <w:pPr>
        <w:jc w:val="center"/>
        <w:ind w:right="1840"/>
        <w:spacing w:after="0"/>
        <w:rPr>
          <w:sz w:val="20"/>
          <w:szCs w:val="20"/>
          <w:color w:val="auto"/>
        </w:rPr>
      </w:pPr>
      <w:r>
        <w:rPr>
          <w:rFonts w:ascii="Times New Roman" w:cs="Times New Roman" w:eastAsia="Times New Roman" w:hAnsi="Times New Roman"/>
          <w:sz w:val="14"/>
          <w:szCs w:val="14"/>
          <w:b w:val="1"/>
          <w:bCs w:val="1"/>
          <w:color w:val="auto"/>
        </w:rPr>
        <w:t>Shares</w:t>
      </w:r>
    </w:p>
    <w:p>
      <w:pPr>
        <w:spacing w:after="0" w:line="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40,320</w:t>
      </w:r>
    </w:p>
    <w:p>
      <w:pPr>
        <w:spacing w:after="0" w:line="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(13,760)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5715</wp:posOffset>
            </wp:positionV>
            <wp:extent cx="411480"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411480" cy="8255"/>
                    </a:xfrm>
                    <a:prstGeom prst="rect">
                      <a:avLst/>
                    </a:prstGeom>
                    <a:noFill/>
                  </pic:spPr>
                </pic:pic>
              </a:graphicData>
            </a:graphic>
          </wp:anchor>
        </w:drawing>
      </w:r>
    </w:p>
    <w:p>
      <w:pPr>
        <w:ind w:left="120"/>
        <w:spacing w:after="0"/>
        <w:rPr>
          <w:sz w:val="20"/>
          <w:szCs w:val="20"/>
          <w:color w:val="auto"/>
        </w:rPr>
      </w:pPr>
      <w:r>
        <w:rPr>
          <w:rFonts w:ascii="Times New Roman" w:cs="Times New Roman" w:eastAsia="Times New Roman" w:hAnsi="Times New Roman"/>
          <w:sz w:val="18"/>
          <w:szCs w:val="18"/>
          <w:b w:val="1"/>
          <w:bCs w:val="1"/>
          <w:color w:val="auto"/>
        </w:rPr>
        <w:t>26,560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19685</wp:posOffset>
            </wp:positionV>
            <wp:extent cx="411480"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41148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900" w:space="720"/>
            <w:col w:w="2440"/>
          </w:cols>
          <w:pgMar w:left="320" w:top="455" w:right="519" w:bottom="1440" w:gutter="0" w:footer="0" w:header="0"/>
          <w:type w:val="continuous"/>
        </w:sectPr>
      </w:pPr>
    </w:p>
    <w:p>
      <w:pPr>
        <w:spacing w:after="0" w:line="56"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The Class C-2 Shares had a fair value as of June 23, 2022, of $22,770. On June 30, 2022, the fair value of the Class C-2 Shares was remeasured at $14,999, for a total gain related to the change in fair value of $7,771. The Class C-2 Shares are not publicly traded and require a valuation approach leveraging Level 2 inputs. Refer to Note 1 - Significant accounting policies and judgements for further details on the valuation methodology utilised to determine the fair value of the Class C-2 Shares.</w:t>
      </w:r>
    </w:p>
    <w:p>
      <w:pPr>
        <w:sectPr>
          <w:pgSz w:w="11900" w:h="16838" w:orient="portrait"/>
          <w:cols w:equalWidth="0" w:num="1">
            <w:col w:w="11060"/>
          </w:cols>
          <w:pgMar w:left="320" w:top="455" w:right="519" w:bottom="1440" w:gutter="0" w:footer="0" w:header="0"/>
          <w:type w:val="continuous"/>
        </w:sectPr>
      </w:pPr>
    </w:p>
    <w:p>
      <w:pPr>
        <w:spacing w:after="0" w:line="200" w:lineRule="exact"/>
        <w:rPr>
          <w:sz w:val="20"/>
          <w:szCs w:val="20"/>
          <w:color w:val="auto"/>
        </w:rPr>
      </w:pPr>
    </w:p>
    <w:p>
      <w:pPr>
        <w:spacing w:after="0" w:line="300"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b w:val="1"/>
          <w:bCs w:val="1"/>
          <w:color w:val="auto"/>
        </w:rPr>
        <w:t>As of January 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-116840</wp:posOffset>
            </wp:positionV>
            <wp:extent cx="4749165" cy="14605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4749165" cy="146050"/>
                    </a:xfrm>
                    <a:prstGeom prst="rect">
                      <a:avLst/>
                    </a:prstGeom>
                    <a:noFill/>
                  </pic:spPr>
                </pic:pic>
              </a:graphicData>
            </a:graphic>
          </wp:anchor>
        </w:drawing>
      </w:r>
    </w:p>
    <w:p>
      <w:pPr>
        <w:spacing w:after="0" w:line="11"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Class C-2 Shares acquired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14605</wp:posOffset>
            </wp:positionV>
            <wp:extent cx="4749165" cy="13716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spacing w:after="0" w:line="3"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Class C-2 Shares exercised</w:t>
      </w:r>
    </w:p>
    <w:p>
      <w:pPr>
        <w:spacing w:after="0" w:line="9"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Change in fair value measurement</w:t>
      </w:r>
    </w:p>
    <w:p>
      <w:pPr>
        <w:spacing w:after="0" w:line="14"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b w:val="1"/>
          <w:bCs w:val="1"/>
          <w:color w:val="auto"/>
        </w:rPr>
        <w:t>As of June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-116840</wp:posOffset>
            </wp:positionV>
            <wp:extent cx="4749165" cy="13716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spacing w:after="0" w:line="3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Earn out rights</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jc w:val="center"/>
        <w:ind w:right="1800"/>
        <w:spacing w:after="0"/>
        <w:rPr>
          <w:sz w:val="20"/>
          <w:szCs w:val="20"/>
          <w:color w:val="auto"/>
        </w:rPr>
      </w:pPr>
      <w:r>
        <w:rPr>
          <w:rFonts w:ascii="Times New Roman" w:cs="Times New Roman" w:eastAsia="Times New Roman" w:hAnsi="Times New Roman"/>
          <w:sz w:val="14"/>
          <w:szCs w:val="14"/>
          <w:b w:val="1"/>
          <w:bCs w:val="1"/>
          <w:color w:val="auto"/>
        </w:rPr>
        <w:t>Class C-2</w:t>
      </w:r>
    </w:p>
    <w:p>
      <w:pPr>
        <w:spacing w:after="0" w:line="6" w:lineRule="exact"/>
        <w:rPr>
          <w:sz w:val="20"/>
          <w:szCs w:val="20"/>
          <w:color w:val="auto"/>
        </w:rPr>
      </w:pPr>
    </w:p>
    <w:p>
      <w:pPr>
        <w:jc w:val="center"/>
        <w:ind w:right="1800"/>
        <w:spacing w:after="0"/>
        <w:rPr>
          <w:sz w:val="20"/>
          <w:szCs w:val="20"/>
          <w:color w:val="auto"/>
        </w:rPr>
      </w:pPr>
      <w:r>
        <w:rPr>
          <w:rFonts w:ascii="Times New Roman" w:cs="Times New Roman" w:eastAsia="Times New Roman" w:hAnsi="Times New Roman"/>
          <w:sz w:val="14"/>
          <w:szCs w:val="14"/>
          <w:b w:val="1"/>
          <w:bCs w:val="1"/>
          <w:color w:val="auto"/>
        </w:rPr>
        <w:t>Shares</w:t>
      </w:r>
    </w:p>
    <w:p>
      <w:pPr>
        <w:spacing w:after="0" w:line="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22,770</w:t>
      </w:r>
    </w:p>
    <w:p>
      <w:pPr>
        <w:spacing w:after="0" w:line="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right"/>
        <w:ind w:right="1740"/>
        <w:spacing w:after="0"/>
        <w:rPr>
          <w:sz w:val="20"/>
          <w:szCs w:val="20"/>
          <w:color w:val="auto"/>
        </w:rPr>
      </w:pPr>
      <w:r>
        <w:rPr>
          <w:rFonts w:ascii="Times New Roman" w:cs="Times New Roman" w:eastAsia="Times New Roman" w:hAnsi="Times New Roman"/>
          <w:sz w:val="18"/>
          <w:szCs w:val="18"/>
          <w:color w:val="auto"/>
        </w:rPr>
        <w:t>(7,771)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5715</wp:posOffset>
            </wp:positionV>
            <wp:extent cx="377190"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377190" cy="8255"/>
                    </a:xfrm>
                    <a:prstGeom prst="rect">
                      <a:avLst/>
                    </a:prstGeom>
                    <a:noFill/>
                  </pic:spPr>
                </pic:pic>
              </a:graphicData>
            </a:graphic>
          </wp:anchor>
        </w:drawing>
      </w:r>
    </w:p>
    <w:p>
      <w:pPr>
        <w:ind w:left="100"/>
        <w:spacing w:after="0"/>
        <w:rPr>
          <w:sz w:val="20"/>
          <w:szCs w:val="20"/>
          <w:color w:val="auto"/>
        </w:rPr>
      </w:pPr>
      <w:r>
        <w:rPr>
          <w:rFonts w:ascii="Times New Roman" w:cs="Times New Roman" w:eastAsia="Times New Roman" w:hAnsi="Times New Roman"/>
          <w:sz w:val="18"/>
          <w:szCs w:val="18"/>
          <w:b w:val="1"/>
          <w:bCs w:val="1"/>
          <w:color w:val="auto"/>
        </w:rPr>
        <w:t>14,999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19685</wp:posOffset>
            </wp:positionV>
            <wp:extent cx="377190" cy="88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377190" cy="8890"/>
                    </a:xfrm>
                    <a:prstGeom prst="rect">
                      <a:avLst/>
                    </a:prstGeom>
                    <a:noFill/>
                  </pic:spPr>
                </pic:pic>
              </a:graphicData>
            </a:graphic>
          </wp:anchor>
        </w:drawing>
      </w:r>
    </w:p>
    <w:p>
      <w:pPr>
        <w:spacing w:after="0" w:line="687" w:lineRule="exact"/>
        <w:rPr>
          <w:sz w:val="20"/>
          <w:szCs w:val="20"/>
          <w:color w:val="auto"/>
        </w:rPr>
      </w:pPr>
    </w:p>
    <w:p>
      <w:pPr>
        <w:sectPr>
          <w:pgSz w:w="11900" w:h="16838" w:orient="portrait"/>
          <w:cols w:equalWidth="0" w:num="2">
            <w:col w:w="7940" w:space="720"/>
            <w:col w:w="2400"/>
          </w:cols>
          <w:pgMar w:left="320" w:top="455" w:right="519" w:bottom="1440" w:gutter="0" w:footer="0" w:header="0"/>
          <w:type w:val="continuous"/>
        </w:sectPr>
      </w:pPr>
    </w:p>
    <w:p>
      <w:pPr>
        <w:ind w:left="120" w:right="40"/>
        <w:spacing w:after="0" w:line="289" w:lineRule="auto"/>
        <w:rPr>
          <w:sz w:val="20"/>
          <w:szCs w:val="20"/>
          <w:color w:val="auto"/>
        </w:rPr>
      </w:pPr>
      <w:r>
        <w:rPr>
          <w:rFonts w:ascii="Times New Roman" w:cs="Times New Roman" w:eastAsia="Times New Roman" w:hAnsi="Times New Roman"/>
          <w:sz w:val="17"/>
          <w:szCs w:val="17"/>
          <w:color w:val="auto"/>
        </w:rPr>
        <w:t>On the Closing of the BCA, the Former Parent (or the shareholders of the Former Parent if the Former Parent is dissolved or liquidated) was issued a contingent right to receive earn outs of up to 24,078,639 Class A Shares and 134,098,970 Class B Shares in ListCo, issuable in five tranches that each comprise 4,815,728 Class A Shares and 26,819,794 Class B Shares in ListCo. Each tranche is issuable once the daily volume weighted average price of</w:t>
      </w:r>
    </w:p>
    <w:p>
      <w:pPr>
        <w:spacing w:after="0" w:line="9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F-90</w:t>
      </w:r>
    </w:p>
    <w:p>
      <w:pPr>
        <w:sectPr>
          <w:pgSz w:w="11900" w:h="16838" w:orient="portrait"/>
          <w:cols w:equalWidth="0" w:num="1">
            <w:col w:w="11060"/>
          </w:cols>
          <w:pgMar w:left="320" w:top="455" w:right="519" w:bottom="1440" w:gutter="0" w:footer="0" w:header="0"/>
          <w:type w:val="continuous"/>
        </w:sectPr>
      </w:pPr>
    </w:p>
    <w:bookmarkStart w:id="325" w:name="page326"/>
    <w:bookmarkEnd w:id="3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(in thousands of U.S. dollars unless otherwise stated)</w:t>
      </w:r>
    </w:p>
    <w:p>
      <w:pPr>
        <w:spacing w:after="0" w:line="234" w:lineRule="exact"/>
        <w:rPr>
          <w:sz w:val="20"/>
          <w:szCs w:val="20"/>
          <w:color w:val="auto"/>
        </w:rPr>
      </w:pPr>
    </w:p>
    <w:p>
      <w:pPr>
        <w:ind w:left="120" w:right="500"/>
        <w:spacing w:after="0" w:line="266" w:lineRule="auto"/>
        <w:rPr>
          <w:sz w:val="20"/>
          <w:szCs w:val="20"/>
          <w:color w:val="auto"/>
        </w:rPr>
      </w:pPr>
      <w:r>
        <w:rPr>
          <w:rFonts w:ascii="Times New Roman" w:cs="Times New Roman" w:eastAsia="Times New Roman" w:hAnsi="Times New Roman"/>
          <w:sz w:val="18"/>
          <w:szCs w:val="18"/>
          <w:color w:val="auto"/>
        </w:rPr>
        <w:t>Class A Shares in ListCo meets specific price hurdles for 20 trading days out of any 30 day trading period beginning after December 23, 2022 and ending on December 23, 2028. The daily volume weighted average price of Class A Shares in ListCo that is required to trigger each tranche is as follows:</w:t>
      </w:r>
    </w:p>
    <w:p>
      <w:pPr>
        <w:spacing w:after="0" w:line="81" w:lineRule="exact"/>
        <w:rPr>
          <w:sz w:val="20"/>
          <w:szCs w:val="20"/>
          <w:color w:val="auto"/>
        </w:rPr>
      </w:pPr>
    </w:p>
    <w:p>
      <w:pPr>
        <w:ind w:left="1080" w:hanging="424"/>
        <w:spacing w:after="0"/>
        <w:tabs>
          <w:tab w:leader="none" w:pos="108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Tranche 1 — $13 per share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Tranche 2 — $15.50 per share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Tranche 3 — $18 per share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Tranche 4 — $20.50 per share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Tranche 5 — $23 per share</w:t>
      </w:r>
    </w:p>
    <w:p>
      <w:pPr>
        <w:spacing w:after="0" w:line="225" w:lineRule="exact"/>
        <w:rPr>
          <w:sz w:val="20"/>
          <w:szCs w:val="20"/>
          <w:color w:val="auto"/>
        </w:rPr>
      </w:pPr>
    </w:p>
    <w:p>
      <w:pPr>
        <w:ind w:left="120" w:right="320"/>
        <w:spacing w:after="0" w:line="261" w:lineRule="auto"/>
        <w:rPr>
          <w:sz w:val="20"/>
          <w:szCs w:val="20"/>
          <w:color w:val="auto"/>
        </w:rPr>
      </w:pPr>
      <w:r>
        <w:rPr>
          <w:rFonts w:ascii="Times New Roman" w:cs="Times New Roman" w:eastAsia="Times New Roman" w:hAnsi="Times New Roman"/>
          <w:sz w:val="18"/>
          <w:szCs w:val="18"/>
          <w:color w:val="auto"/>
        </w:rPr>
        <w:t>If the daily volume weighted average price of Class A Shares in ListCo triggers a higher price tranche prior to triggering a lower price tranche, all tranches below the tranche triggered are also triggered for (e.g., if tranche 5 is triggered, tranches 1 through 4 are also triggered). Additionally, in the event there is a change of control of the Group, all five tranches are automatically triggered for issuance. The Former Parent’s contingent right to the earn out tranches that are not triggered for issuance by December 23, 2028 will expire immediately.</w:t>
      </w:r>
    </w:p>
    <w:p>
      <w:pPr>
        <w:spacing w:after="0" w:line="180"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The Group applied the provisions of IAS 32 and IFRS 9 in accounting for the contingent earn out rights of the Former Parent. Under IAS 32 and IFRS 9, the contingent earn out right failed to meet the definition of equity because it could result in the issuance of a variable number of Class A Shares and Class B Shares in ListCo and the triggering events are subject to price hurdles (i.e., a market condition) that are outside of the control of the Group. Instead, it meets definition of a derivative liability that is carried at fair value with subsequent changes in fair value recognised in the Unaudited Condensed Consolidated Statement of Loss and Comprehensive Loss at each reporting date. However, since it provides value to owners of the Former Parent effectively in the form of a pro rata dividend, the fair value at the Closing of the BCA was charged to Accumulated deficit.</w:t>
      </w:r>
    </w:p>
    <w:p>
      <w:pPr>
        <w:spacing w:after="0" w:line="187"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At the Closing of the BCA, the fair value of the contingent earn out rights was approximately $1,500,638. The financial liability was remeasured at June 30, 2022, resulting in a decrease of $418,707 to $1,081,931 on June 30, 2022. Refer to Note 1 - Significant accounting policies and judgements for further details on the valuation methodology utilised to determine the fair value of the earn out.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Volvo Cars Preference Shares</w:t>
      </w:r>
    </w:p>
    <w:p>
      <w:pPr>
        <w:spacing w:after="0" w:line="121" w:lineRule="exact"/>
        <w:rPr>
          <w:sz w:val="20"/>
          <w:szCs w:val="20"/>
          <w:color w:val="auto"/>
        </w:rPr>
      </w:pPr>
    </w:p>
    <w:p>
      <w:pPr>
        <w:ind w:left="120" w:right="120"/>
        <w:spacing w:after="0" w:line="256" w:lineRule="auto"/>
        <w:rPr>
          <w:sz w:val="20"/>
          <w:szCs w:val="20"/>
          <w:color w:val="auto"/>
        </w:rPr>
      </w:pPr>
      <w:r>
        <w:rPr>
          <w:rFonts w:ascii="Times New Roman" w:cs="Times New Roman" w:eastAsia="Times New Roman" w:hAnsi="Times New Roman"/>
          <w:sz w:val="18"/>
          <w:szCs w:val="18"/>
          <w:color w:val="auto"/>
        </w:rPr>
        <w:t>At the Closing of the BCA and pursuant to the Volvo Cars Preference Subscription Agreement, Volvo Cars agreed to subscribe for Preference Shares in ListCo in exchange for a cash payment of $588,826. The cash proceeds were used to pay down outstanding payables owed to VCC. Each Preference Share in ListCo automatically converted into Class A Shares in ListCo at a conversion price of $10 per share thereafter. The Group applied the provisions of IAS 32 and IFRS 9 in accounting for the Volvo Cars Preference Shares. Under IAS 32, the preference shares do not meet the definition of a financial liability but instead represent a fixed residual interest in ListCo (i.e., Class A shares). As such, the initial carrying value of the Volvo Cars Preference Shares was equity classified and accounted for as capital contribution from Volvo Cars.</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F-91</w:t>
      </w:r>
    </w:p>
    <w:p>
      <w:pPr>
        <w:sectPr>
          <w:pgSz w:w="11900" w:h="16838" w:orient="portrait"/>
          <w:cols w:equalWidth="0" w:num="1">
            <w:col w:w="11140"/>
          </w:cols>
          <w:pgMar w:left="320" w:top="455" w:right="439" w:bottom="1440" w:gutter="0" w:footer="0" w:header="0"/>
        </w:sectPr>
      </w:pPr>
    </w:p>
    <w:bookmarkStart w:id="326" w:name="page327"/>
    <w:bookmarkEnd w:id="3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 thousands of U.S. dollars unless otherwise stated)</w:t>
      </w:r>
    </w:p>
    <w:p>
      <w:pPr>
        <w:spacing w:after="0" w:line="2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11 - Financial instruments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table shows the carrying amounts of financial assets and liabilities measured at fair value through profit and loss on a recurring basis:</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51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Assets measured at FVTPL</w:t>
            </w:r>
          </w:p>
        </w:tc>
        <w:tc>
          <w:tcPr>
            <w:tcW w:w="5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4"/>
          </w:tcPr>
          <w:p>
            <w:pPr>
              <w:ind w:left="46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80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48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160" w:type="dxa"/>
            <w:vAlign w:val="bottom"/>
            <w:vMerge w:val="continue"/>
          </w:tcPr>
          <w:p>
            <w:pPr>
              <w:spacing w:after="0"/>
              <w:rPr>
                <w:sz w:val="12"/>
                <w:szCs w:val="12"/>
                <w:color w:val="auto"/>
              </w:rPr>
            </w:pPr>
          </w:p>
        </w:tc>
        <w:tc>
          <w:tcPr>
            <w:tcW w:w="740" w:type="dxa"/>
            <w:vAlign w:val="bottom"/>
            <w:gridSpan w:val="3"/>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72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980" w:type="dxa"/>
            <w:vAlign w:val="bottom"/>
            <w:gridSpan w:val="2"/>
          </w:tcPr>
          <w:p>
            <w:pPr>
              <w:ind w:left="180"/>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800" w:type="dxa"/>
            <w:vAlign w:val="bottom"/>
          </w:tcPr>
          <w:p>
            <w:pPr>
              <w:jc w:val="right"/>
              <w:ind w:right="152"/>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60" w:type="dxa"/>
            <w:vAlign w:val="bottom"/>
          </w:tcPr>
          <w:p>
            <w:pPr>
              <w:spacing w:after="0"/>
              <w:rPr>
                <w:sz w:val="12"/>
                <w:szCs w:val="12"/>
                <w:color w:val="auto"/>
              </w:rPr>
            </w:pPr>
          </w:p>
        </w:tc>
        <w:tc>
          <w:tcPr>
            <w:tcW w:w="54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100" w:type="dxa"/>
            <w:vAlign w:val="bottom"/>
          </w:tcPr>
          <w:p>
            <w:pPr>
              <w:spacing w:after="0"/>
              <w:rPr>
                <w:sz w:val="12"/>
                <w:szCs w:val="12"/>
                <w:color w:val="auto"/>
              </w:rPr>
            </w:pPr>
          </w:p>
        </w:tc>
        <w:tc>
          <w:tcPr>
            <w:tcW w:w="46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w w:val="97"/>
              </w:rPr>
              <w:t>Level 2</w:t>
            </w:r>
          </w:p>
        </w:tc>
        <w:tc>
          <w:tcPr>
            <w:tcW w:w="160" w:type="dxa"/>
            <w:vAlign w:val="bottom"/>
          </w:tcPr>
          <w:p>
            <w:pPr>
              <w:spacing w:after="0"/>
              <w:rPr>
                <w:sz w:val="12"/>
                <w:szCs w:val="12"/>
                <w:color w:val="auto"/>
              </w:rPr>
            </w:pPr>
          </w:p>
        </w:tc>
        <w:tc>
          <w:tcPr>
            <w:tcW w:w="64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480" w:type="dxa"/>
            <w:vAlign w:val="bottom"/>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Marketable securities</w:t>
            </w:r>
          </w:p>
        </w:tc>
        <w:tc>
          <w:tcPr>
            <w:tcW w:w="74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1,258</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1,258</w:t>
            </w: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Other investments</w:t>
            </w:r>
          </w:p>
        </w:tc>
        <w:tc>
          <w:tcPr>
            <w:tcW w:w="5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tcPr>
          <w:p>
            <w:pPr>
              <w:spacing w:after="0"/>
              <w:rPr>
                <w:sz w:val="18"/>
                <w:szCs w:val="18"/>
                <w:color w:val="auto"/>
              </w:rPr>
            </w:pPr>
          </w:p>
        </w:tc>
        <w:tc>
          <w:tcPr>
            <w:tcW w:w="5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2,359</w:t>
            </w:r>
          </w:p>
        </w:tc>
        <w:tc>
          <w:tcPr>
            <w:tcW w:w="16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2,359</w:t>
            </w:r>
          </w:p>
        </w:tc>
        <w:tc>
          <w:tcPr>
            <w:tcW w:w="5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8"/>
                <w:szCs w:val="18"/>
                <w:color w:val="auto"/>
              </w:rPr>
            </w:pPr>
          </w:p>
        </w:tc>
        <w:tc>
          <w:tcPr>
            <w:tcW w:w="4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6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5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gridSpan w:val="2"/>
            <w:shd w:val="clear" w:color="auto" w:fill="CCEEFF"/>
          </w:tcPr>
          <w:p>
            <w:pPr>
              <w:spacing w:after="0"/>
              <w:rPr>
                <w:sz w:val="18"/>
                <w:szCs w:val="18"/>
                <w:color w:val="auto"/>
              </w:rPr>
            </w:pPr>
          </w:p>
        </w:tc>
        <w:tc>
          <w:tcPr>
            <w:tcW w:w="5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2,359</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2,359</w:t>
            </w:r>
          </w:p>
        </w:tc>
        <w:tc>
          <w:tcPr>
            <w:tcW w:w="5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1,258</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1,258</w:t>
            </w:r>
          </w:p>
        </w:tc>
        <w:tc>
          <w:tcPr>
            <w:tcW w:w="0" w:type="dxa"/>
            <w:vAlign w:val="bottom"/>
          </w:tcPr>
          <w:p>
            <w:pPr>
              <w:spacing w:after="0"/>
              <w:rPr>
                <w:sz w:val="1"/>
                <w:szCs w:val="1"/>
                <w:color w:val="auto"/>
              </w:rPr>
            </w:pPr>
          </w:p>
        </w:tc>
      </w:tr>
      <w:tr>
        <w:trPr>
          <w:trHeight w:val="223"/>
        </w:trPr>
        <w:tc>
          <w:tcPr>
            <w:tcW w:w="5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 measured at FVTPL</w:t>
            </w:r>
          </w:p>
        </w:tc>
        <w:tc>
          <w:tcPr>
            <w:tcW w:w="58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 out rights</w:t>
            </w:r>
          </w:p>
        </w:tc>
        <w:tc>
          <w:tcPr>
            <w:tcW w:w="74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1,081,931</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1,081,931</w:t>
            </w:r>
          </w:p>
        </w:tc>
        <w:tc>
          <w:tcPr>
            <w:tcW w:w="5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Class C-1 Shares</w:t>
            </w:r>
          </w:p>
        </w:tc>
        <w:tc>
          <w:tcPr>
            <w:tcW w:w="6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26,560</w:t>
            </w:r>
          </w:p>
        </w:tc>
        <w:tc>
          <w:tcPr>
            <w:tcW w:w="140" w:type="dxa"/>
            <w:vAlign w:val="bottom"/>
          </w:tcPr>
          <w:p>
            <w:pPr>
              <w:spacing w:after="0"/>
              <w:rPr>
                <w:sz w:val="18"/>
                <w:szCs w:val="18"/>
                <w:color w:val="auto"/>
              </w:rPr>
            </w:pPr>
          </w:p>
        </w:tc>
        <w:tc>
          <w:tcPr>
            <w:tcW w:w="72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26,560</w:t>
            </w:r>
          </w:p>
        </w:tc>
        <w:tc>
          <w:tcPr>
            <w:tcW w:w="5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8"/>
                <w:szCs w:val="18"/>
                <w:color w:val="auto"/>
              </w:rPr>
            </w:pPr>
          </w:p>
        </w:tc>
        <w:tc>
          <w:tcPr>
            <w:tcW w:w="4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6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Class C-2 Shares</w:t>
            </w:r>
          </w:p>
        </w:tc>
        <w:tc>
          <w:tcPr>
            <w:tcW w:w="74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14,999</w:t>
            </w:r>
          </w:p>
        </w:tc>
        <w:tc>
          <w:tcPr>
            <w:tcW w:w="9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14,999</w:t>
            </w:r>
          </w:p>
        </w:tc>
        <w:tc>
          <w:tcPr>
            <w:tcW w:w="5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23"/>
        </w:trPr>
        <w:tc>
          <w:tcPr>
            <w:tcW w:w="5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58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w w:val="96"/>
              </w:rPr>
              <w:t>26,560</w:t>
            </w:r>
          </w:p>
        </w:tc>
        <w:tc>
          <w:tcPr>
            <w:tcW w:w="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w w:val="96"/>
              </w:rPr>
              <w:t>14,999</w:t>
            </w:r>
          </w:p>
        </w:tc>
        <w:tc>
          <w:tcPr>
            <w:tcW w:w="16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1,081,931</w:t>
            </w:r>
          </w:p>
        </w:tc>
        <w:tc>
          <w:tcPr>
            <w:tcW w:w="16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1,123,490</w:t>
            </w:r>
          </w:p>
        </w:tc>
        <w:tc>
          <w:tcPr>
            <w:tcW w:w="16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center"/>
              <w:ind w:left="52"/>
              <w:spacing w:after="0"/>
              <w:rPr>
                <w:sz w:val="20"/>
                <w:szCs w:val="20"/>
                <w:color w:val="auto"/>
              </w:rPr>
            </w:pPr>
            <w:r>
              <w:rPr>
                <w:rFonts w:ascii="Times New Roman" w:cs="Times New Roman" w:eastAsia="Times New Roman" w:hAnsi="Times New Roman"/>
                <w:sz w:val="18"/>
                <w:szCs w:val="18"/>
                <w:color w:val="auto"/>
                <w:w w:val="99"/>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Borders>
              <w:top w:val="single" w:sz="8" w:color="auto"/>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480" w:type="dxa"/>
            <w:vAlign w:val="bottom"/>
            <w:tcBorders>
              <w:top w:val="single" w:sz="8" w:color="auto"/>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center"/>
              <w:ind w:left="52"/>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During the six months ended June 30, 2022, Polestar made a $2,480 investment in the fast charging innovator, StoreDot. This investment is presented in Other investments in the Unaudited Condensed Consolidated Statement of Financial Position and is valued at $2,359 as of June 30, 2022. Refer to Note 1 - Significant accounting policies and judgements and Note 10 - Reverse recapitalisation for more detail on the financial liabilities related to the Class C-2 Shares and the Former Parent’s earn-out rights.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12 - Subsequent events</w:t>
      </w:r>
    </w:p>
    <w:p>
      <w:pPr>
        <w:spacing w:after="0" w:line="31" w:lineRule="exact"/>
        <w:rPr>
          <w:sz w:val="20"/>
          <w:szCs w:val="20"/>
          <w:color w:val="auto"/>
        </w:rPr>
      </w:pPr>
    </w:p>
    <w:p>
      <w:pPr>
        <w:ind w:left="120" w:right="80"/>
        <w:spacing w:after="0" w:line="253" w:lineRule="auto"/>
        <w:rPr>
          <w:sz w:val="20"/>
          <w:szCs w:val="20"/>
          <w:color w:val="auto"/>
        </w:rPr>
      </w:pPr>
      <w:r>
        <w:rPr>
          <w:rFonts w:ascii="Times New Roman" w:cs="Times New Roman" w:eastAsia="Times New Roman" w:hAnsi="Times New Roman"/>
          <w:sz w:val="18"/>
          <w:szCs w:val="18"/>
          <w:color w:val="auto"/>
        </w:rPr>
        <w:t>Management has evaluated events subsequent to June 30, 2022 and through September 1, 2022, the date these Unaudited Condensed Consolidated Financial Statements were authorised for issuance by the Board of Directors. The following events which occurred subsequent to June 30, 2022 merited disclosure in these Unaudited Condensed Consolidated Financial Statements. Management determined that no adjustments were required to the figures presented as a result of these events.</w:t>
      </w:r>
    </w:p>
    <w:p>
      <w:pPr>
        <w:spacing w:after="0" w:line="189" w:lineRule="exact"/>
        <w:rPr>
          <w:sz w:val="20"/>
          <w:szCs w:val="20"/>
          <w:color w:val="auto"/>
        </w:rPr>
      </w:pPr>
    </w:p>
    <w:p>
      <w:pPr>
        <w:ind w:left="120" w:right="320"/>
        <w:spacing w:after="0" w:line="261" w:lineRule="auto"/>
        <w:rPr>
          <w:sz w:val="20"/>
          <w:szCs w:val="20"/>
          <w:color w:val="auto"/>
        </w:rPr>
      </w:pPr>
      <w:r>
        <w:rPr>
          <w:rFonts w:ascii="Times New Roman" w:cs="Times New Roman" w:eastAsia="Times New Roman" w:hAnsi="Times New Roman"/>
          <w:sz w:val="18"/>
          <w:szCs w:val="18"/>
          <w:color w:val="auto"/>
        </w:rPr>
        <w:t>On August 16, 2022, Polestar announced plans to put the Polestar electric roadster concept into production as Polestar 6. Production of the vehicle is expected to launch in 2026. Interested customers in all active Polestar markets were able to submit online reservations for a special edition launch variant of the vehicle, the Polestar 6 LA Concept edition, beginning on August 16, 2022. All 500 build slots of Polestar 6 LA Concept edition were reserved online within a week of the production announcement.</w:t>
      </w:r>
    </w:p>
    <w:p>
      <w:pPr>
        <w:spacing w:after="0" w:line="180"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On August 29, 2022, Polestar entered into an unsecured working capital loan agreement for up to $147,000 with a bank in China. The full principal balance of this loan was drawn on and is outstanding. The loan has a duration of 12 months, carries interest at the latest 3-month LIBOR rate plus 2.3%, and benefits from letters of comfort from Volvo Cars and Geely.</w:t>
      </w:r>
    </w:p>
    <w:p>
      <w:pPr>
        <w:spacing w:after="0" w:line="176" w:lineRule="exact"/>
        <w:rPr>
          <w:sz w:val="20"/>
          <w:szCs w:val="20"/>
          <w:color w:val="auto"/>
        </w:rPr>
      </w:pPr>
    </w:p>
    <w:p>
      <w:pPr>
        <w:ind w:left="120" w:right="180"/>
        <w:spacing w:after="0" w:line="266" w:lineRule="auto"/>
        <w:rPr>
          <w:sz w:val="20"/>
          <w:szCs w:val="20"/>
          <w:color w:val="auto"/>
        </w:rPr>
      </w:pPr>
      <w:r>
        <w:rPr>
          <w:rFonts w:ascii="Times New Roman" w:cs="Times New Roman" w:eastAsia="Times New Roman" w:hAnsi="Times New Roman"/>
          <w:sz w:val="18"/>
          <w:szCs w:val="18"/>
          <w:color w:val="auto"/>
        </w:rPr>
        <w:t>On August 1, 2022, Polestar repaid the $124,010 (TCNY 830,000) loan from a bank in China. On August 29, 2022 Polestar entered into a new unsecured working capital loan agreement with the same bank for up to $144,760 (TCNY 1,000,000). The outstanding principal balance of this loan is $103,634 (TCNY 716,000). The loan has a duration of 12 months and carries interest at the latest 12-month Chinese loan prime rate plus 0.05%.</w:t>
      </w:r>
    </w:p>
    <w:p>
      <w:pPr>
        <w:spacing w:after="0" w:line="10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F-92</w:t>
      </w:r>
    </w:p>
    <w:sectPr>
      <w:pgSz w:w="11900" w:h="16838" w:orient="portrait"/>
      <w:cols w:equalWidth="0" w:num="1">
        <w:col w:w="11140"/>
      </w:cols>
      <w:pgMar w:left="320" w:top="455"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7FB7E0AA"/>
    <w:multiLevelType w:val="hybridMultilevel"/>
    <w:lvl w:ilvl="0">
      <w:lvlJc w:val="left"/>
      <w:lvlText w:val="(%1)"/>
      <w:numFmt w:val="lowerRoman"/>
      <w:start w:val="10"/>
    </w:lvl>
  </w:abstractNum>
  <w:abstractNum w:abstractNumId="1">
    <w:nsid w:val="6EB5BD4"/>
    <w:multiLevelType w:val="hybridMultilevel"/>
    <w:lvl w:ilvl="0">
      <w:lvlJc w:val="left"/>
      <w:lvlText w:val="•"/>
      <w:numFmt w:val="bullet"/>
      <w:start w:val="1"/>
    </w:lvl>
  </w:abstractNum>
  <w:abstractNum w:abstractNumId="2">
    <w:nsid w:val="6F6DD9AC"/>
    <w:multiLevelType w:val="hybridMultilevel"/>
    <w:lvl w:ilvl="0">
      <w:lvlJc w:val="left"/>
      <w:lvlText w:val="•"/>
      <w:numFmt w:val="bullet"/>
      <w:start w:val="1"/>
    </w:lvl>
  </w:abstractNum>
  <w:abstractNum w:abstractNumId="3">
    <w:nsid w:val="94211F2"/>
    <w:multiLevelType w:val="hybridMultilevel"/>
    <w:lvl w:ilvl="0">
      <w:lvlJc w:val="left"/>
      <w:lvlText w:val="1"/>
      <w:numFmt w:val="bullet"/>
      <w:start w:val="1"/>
    </w:lvl>
  </w:abstractNum>
  <w:abstractNum w:abstractNumId="4">
    <w:nsid w:val="885E1B"/>
    <w:multiLevelType w:val="hybridMultilevel"/>
    <w:lvl w:ilvl="0">
      <w:lvlJc w:val="left"/>
      <w:lvlText w:val="2"/>
      <w:numFmt w:val="bullet"/>
      <w:start w:val="1"/>
    </w:lvl>
  </w:abstractNum>
  <w:abstractNum w:abstractNumId="5">
    <w:nsid w:val="76272110"/>
    <w:multiLevelType w:val="hybridMultilevel"/>
    <w:lvl w:ilvl="0">
      <w:lvlJc w:val="left"/>
      <w:lvlText w:val="3"/>
      <w:numFmt w:val="bullet"/>
      <w:start w:val="1"/>
    </w:lvl>
  </w:abstractNum>
  <w:abstractNum w:abstractNumId="6">
    <w:nsid w:val="4C04A8AF"/>
    <w:multiLevelType w:val="hybridMultilevel"/>
    <w:lvl w:ilvl="0">
      <w:lvlJc w:val="left"/>
      <w:lvlText w:val="4"/>
      <w:numFmt w:val="bullet"/>
      <w:start w:val="1"/>
    </w:lvl>
  </w:abstractNum>
  <w:abstractNum w:abstractNumId="7">
    <w:nsid w:val="1716703B"/>
    <w:multiLevelType w:val="hybridMultilevel"/>
    <w:lvl w:ilvl="0">
      <w:lvlJc w:val="left"/>
      <w:lvlText w:val="5"/>
      <w:numFmt w:val="bullet"/>
      <w:start w:val="1"/>
    </w:lvl>
  </w:abstractNum>
  <w:abstractNum w:abstractNumId="8">
    <w:nsid w:val="14E17E33"/>
    <w:multiLevelType w:val="hybridMultilevel"/>
    <w:lvl w:ilvl="0">
      <w:lvlJc w:val="left"/>
      <w:lvlText w:val="6"/>
      <w:numFmt w:val="bullet"/>
      <w:start w:val="1"/>
    </w:lvl>
  </w:abstractNum>
  <w:abstractNum w:abstractNumId="9">
    <w:nsid w:val="3222E7CD"/>
    <w:multiLevelType w:val="hybridMultilevel"/>
    <w:lvl w:ilvl="0">
      <w:lvlJc w:val="left"/>
      <w:lvlText w:val="7"/>
      <w:numFmt w:val="bullet"/>
      <w:start w:val="1"/>
    </w:lvl>
  </w:abstractNum>
  <w:abstractNum w:abstractNumId="10">
    <w:nsid w:val="74DE0EE3"/>
    <w:multiLevelType w:val="hybridMultilevel"/>
    <w:lvl w:ilvl="0">
      <w:lvlJc w:val="left"/>
      <w:lvlText w:val="•"/>
      <w:numFmt w:val="bullet"/>
      <w:start w:val="1"/>
    </w:lvl>
  </w:abstractNum>
  <w:abstractNum w:abstractNumId="11">
    <w:nsid w:val="68EBC550"/>
    <w:multiLevelType w:val="hybridMultilevel"/>
    <w:lvl w:ilvl="0">
      <w:lvlJc w:val="left"/>
      <w:lvlText w:val="•"/>
      <w:numFmt w:val="bullet"/>
      <w:start w:val="1"/>
    </w:lvl>
  </w:abstractNum>
  <w:abstractNum w:abstractNumId="12">
    <w:nsid w:val="2DF6D648"/>
    <w:multiLevelType w:val="hybridMultilevel"/>
    <w:lvl w:ilvl="0">
      <w:lvlJc w:val="left"/>
      <w:lvlText w:val="•"/>
      <w:numFmt w:val="bullet"/>
      <w:start w:val="1"/>
    </w:lvl>
  </w:abstractNum>
  <w:abstractNum w:abstractNumId="13">
    <w:nsid w:val="46B7D447"/>
    <w:multiLevelType w:val="hybridMultilevel"/>
    <w:lvl w:ilvl="0">
      <w:lvlJc w:val="left"/>
      <w:lvlText w:val="•"/>
      <w:numFmt w:val="bullet"/>
      <w:start w:val="1"/>
    </w:lvl>
  </w:abstractNum>
  <w:abstractNum w:abstractNumId="14">
    <w:nsid w:val="4A2AC315"/>
    <w:multiLevelType w:val="hybridMultilevel"/>
    <w:lvl w:ilvl="0">
      <w:lvlJc w:val="left"/>
      <w:lvlText w:val="•"/>
      <w:numFmt w:val="bullet"/>
      <w:start w:val="1"/>
    </w:lvl>
  </w:abstractNum>
  <w:abstractNum w:abstractNumId="15">
    <w:nsid w:val="39EE015C"/>
    <w:multiLevelType w:val="hybridMultilevel"/>
    <w:lvl w:ilvl="0">
      <w:lvlJc w:val="left"/>
      <w:lvlText w:val="•"/>
      <w:numFmt w:val="bullet"/>
      <w:start w:val="1"/>
    </w:lvl>
  </w:abstractNum>
  <w:abstractNum w:abstractNumId="16">
    <w:nsid w:val="57FC4FBB"/>
    <w:multiLevelType w:val="hybridMultilevel"/>
    <w:lvl w:ilvl="0">
      <w:lvlJc w:val="left"/>
      <w:lvlText w:val="•"/>
      <w:numFmt w:val="bullet"/>
      <w:start w:val="1"/>
    </w:lvl>
  </w:abstractNum>
  <w:abstractNum w:abstractNumId="17">
    <w:nsid w:val="CC1016F"/>
    <w:multiLevelType w:val="hybridMultilevel"/>
    <w:lvl w:ilvl="0">
      <w:lvlJc w:val="left"/>
      <w:lvlText w:val="•"/>
      <w:numFmt w:val="bullet"/>
      <w:start w:val="1"/>
    </w:lvl>
  </w:abstractNum>
  <w:abstractNum w:abstractNumId="18">
    <w:nsid w:val="43F18422"/>
    <w:multiLevelType w:val="hybridMultilevel"/>
    <w:lvl w:ilvl="0">
      <w:lvlJc w:val="left"/>
      <w:lvlText w:val="•"/>
      <w:numFmt w:val="bullet"/>
      <w:start w:val="1"/>
    </w:lvl>
  </w:abstractNum>
  <w:abstractNum w:abstractNumId="19">
    <w:nsid w:val="60EF0119"/>
    <w:multiLevelType w:val="hybridMultilevel"/>
    <w:lvl w:ilvl="0">
      <w:lvlJc w:val="left"/>
      <w:lvlText w:val="•"/>
      <w:numFmt w:val="bullet"/>
      <w:start w:val="1"/>
    </w:lvl>
  </w:abstractNum>
  <w:abstractNum w:abstractNumId="20">
    <w:nsid w:val="26F324BA"/>
    <w:multiLevelType w:val="hybridMultilevel"/>
    <w:lvl w:ilvl="0">
      <w:lvlJc w:val="left"/>
      <w:lvlText w:val="•"/>
      <w:numFmt w:val="bullet"/>
      <w:start w:val="1"/>
    </w:lvl>
  </w:abstractNum>
  <w:abstractNum w:abstractNumId="21">
    <w:nsid w:val="7F01579B"/>
    <w:multiLevelType w:val="hybridMultilevel"/>
    <w:lvl w:ilvl="0">
      <w:lvlJc w:val="left"/>
      <w:lvlText w:val="•"/>
      <w:numFmt w:val="bullet"/>
      <w:start w:val="1"/>
    </w:lvl>
  </w:abstractNum>
  <w:abstractNum w:abstractNumId="22">
    <w:nsid w:val="49DA307D"/>
    <w:multiLevelType w:val="hybridMultilevel"/>
    <w:lvl w:ilvl="0">
      <w:lvlJc w:val="left"/>
      <w:lvlText w:val="•"/>
      <w:numFmt w:val="bullet"/>
      <w:start w:val="1"/>
    </w:lvl>
  </w:abstractNum>
  <w:abstractNum w:abstractNumId="23">
    <w:nsid w:val="7055A5F5"/>
    <w:multiLevelType w:val="hybridMultilevel"/>
    <w:lvl w:ilvl="0">
      <w:lvlJc w:val="left"/>
      <w:lvlText w:val="•"/>
      <w:numFmt w:val="bullet"/>
      <w:start w:val="1"/>
    </w:lvl>
  </w:abstractNum>
  <w:abstractNum w:abstractNumId="24">
    <w:nsid w:val="5FB8370B"/>
    <w:multiLevelType w:val="hybridMultilevel"/>
    <w:lvl w:ilvl="0">
      <w:lvlJc w:val="left"/>
      <w:lvlText w:val="•"/>
      <w:numFmt w:val="bullet"/>
      <w:start w:val="1"/>
    </w:lvl>
  </w:abstractNum>
  <w:abstractNum w:abstractNumId="25">
    <w:nsid w:val="50801EE1"/>
    <w:multiLevelType w:val="hybridMultilevel"/>
    <w:lvl w:ilvl="0">
      <w:lvlJc w:val="left"/>
      <w:lvlText w:val="•"/>
      <w:numFmt w:val="bullet"/>
      <w:start w:val="1"/>
    </w:lvl>
  </w:abstractNum>
  <w:abstractNum w:abstractNumId="26">
    <w:nsid w:val="488AC1A"/>
    <w:multiLevelType w:val="hybridMultilevel"/>
    <w:lvl w:ilvl="0">
      <w:lvlJc w:val="left"/>
      <w:lvlText w:val="•"/>
      <w:numFmt w:val="bullet"/>
      <w:start w:val="1"/>
    </w:lvl>
  </w:abstractNum>
  <w:abstractNum w:abstractNumId="27">
    <w:nsid w:val="5FB8011C"/>
    <w:multiLevelType w:val="hybridMultilevel"/>
    <w:lvl w:ilvl="0">
      <w:lvlJc w:val="left"/>
      <w:lvlText w:val="•"/>
      <w:numFmt w:val="bullet"/>
      <w:start w:val="1"/>
    </w:lvl>
  </w:abstractNum>
  <w:abstractNum w:abstractNumId="28">
    <w:nsid w:val="6AA78F7F"/>
    <w:multiLevelType w:val="hybridMultilevel"/>
    <w:lvl w:ilvl="0">
      <w:lvlJc w:val="left"/>
      <w:lvlText w:val="•"/>
      <w:numFmt w:val="bullet"/>
      <w:start w:val="1"/>
    </w:lvl>
  </w:abstractNum>
  <w:abstractNum w:abstractNumId="29">
    <w:nsid w:val="7672BD23"/>
    <w:multiLevelType w:val="hybridMultilevel"/>
    <w:lvl w:ilvl="0">
      <w:lvlJc w:val="left"/>
      <w:lvlText w:val="•"/>
      <w:numFmt w:val="bullet"/>
      <w:start w:val="1"/>
    </w:lvl>
  </w:abstractNum>
  <w:abstractNum w:abstractNumId="30">
    <w:nsid w:val="6FC75AF8"/>
    <w:multiLevelType w:val="hybridMultilevel"/>
    <w:lvl w:ilvl="0">
      <w:lvlJc w:val="left"/>
      <w:lvlText w:val="•"/>
      <w:numFmt w:val="bullet"/>
      <w:start w:val="1"/>
    </w:lvl>
  </w:abstractNum>
  <w:abstractNum w:abstractNumId="31">
    <w:nsid w:val="6A5F7029"/>
    <w:multiLevelType w:val="hybridMultilevel"/>
    <w:lvl w:ilvl="0">
      <w:lvlJc w:val="left"/>
      <w:lvlText w:val="(%1)"/>
      <w:numFmt w:val="lowerRoman"/>
      <w:start w:val="1"/>
    </w:lvl>
  </w:abstractNum>
  <w:abstractNum w:abstractNumId="32">
    <w:nsid w:val="7D5E18F8"/>
    <w:multiLevelType w:val="hybridMultilevel"/>
    <w:lvl w:ilvl="0">
      <w:lvlJc w:val="left"/>
      <w:lvlText w:val="•"/>
      <w:numFmt w:val="bullet"/>
      <w:start w:val="1"/>
    </w:lvl>
  </w:abstractNum>
  <w:abstractNum w:abstractNumId="33">
    <w:nsid w:val="5F3534A4"/>
    <w:multiLevelType w:val="hybridMultilevel"/>
    <w:lvl w:ilvl="0">
      <w:lvlJc w:val="left"/>
      <w:lvlText w:val="•"/>
      <w:numFmt w:val="bullet"/>
      <w:start w:val="1"/>
    </w:lvl>
  </w:abstractNum>
  <w:abstractNum w:abstractNumId="34">
    <w:nsid w:val="73A1821B"/>
    <w:multiLevelType w:val="hybridMultilevel"/>
    <w:lvl w:ilvl="0">
      <w:lvlJc w:val="left"/>
      <w:lvlText w:val="(%1)"/>
      <w:numFmt w:val="lowerLetter"/>
      <w:start w:val="3"/>
    </w:lvl>
  </w:abstractNum>
  <w:abstractNum w:abstractNumId="35">
    <w:nsid w:val="7DE67713"/>
    <w:multiLevelType w:val="hybridMultilevel"/>
    <w:lvl w:ilvl="0">
      <w:lvlJc w:val="left"/>
      <w:lvlText w:val="(%1)"/>
      <w:numFmt w:val="lowerRoman"/>
      <w:start w:val="3"/>
    </w:lvl>
  </w:abstractNum>
  <w:abstractNum w:abstractNumId="36">
    <w:nsid w:val="555C55B5"/>
    <w:multiLevelType w:val="hybridMultilevel"/>
    <w:lvl w:ilvl="0">
      <w:lvlJc w:val="left"/>
      <w:lvlText w:val="•"/>
      <w:numFmt w:val="bullet"/>
      <w:start w:val="1"/>
    </w:lvl>
  </w:abstractNum>
  <w:abstractNum w:abstractNumId="37">
    <w:nsid w:val="3FA62ACA"/>
    <w:multiLevelType w:val="hybridMultilevel"/>
    <w:lvl w:ilvl="0">
      <w:lvlJc w:val="left"/>
      <w:lvlText w:val="•"/>
      <w:numFmt w:val="bullet"/>
      <w:start w:val="1"/>
    </w:lvl>
  </w:abstractNum>
  <w:abstractNum w:abstractNumId="38">
    <w:nsid w:val="14FCE74E"/>
    <w:multiLevelType w:val="hybridMultilevel"/>
    <w:lvl w:ilvl="0">
      <w:lvlJc w:val="left"/>
      <w:lvlText w:val="•"/>
      <w:numFmt w:val="bullet"/>
      <w:start w:val="1"/>
    </w:lvl>
  </w:abstractNum>
  <w:abstractNum w:abstractNumId="39">
    <w:nsid w:val="6A3DD3E8"/>
    <w:multiLevelType w:val="hybridMultilevel"/>
    <w:lvl w:ilvl="0">
      <w:lvlJc w:val="left"/>
      <w:lvlText w:val="•"/>
      <w:numFmt w:val="bullet"/>
      <w:start w:val="1"/>
    </w:lvl>
  </w:abstractNum>
  <w:abstractNum w:abstractNumId="40">
    <w:nsid w:val="71C91298"/>
    <w:multiLevelType w:val="hybridMultilevel"/>
    <w:lvl w:ilvl="0">
      <w:lvlJc w:val="left"/>
      <w:lvlText w:val="(%1)"/>
      <w:numFmt w:val="lowerRoman"/>
      <w:start w:val="1"/>
    </w:lvl>
  </w:abstractNum>
  <w:abstractNum w:abstractNumId="41">
    <w:nsid w:val="9DAF632"/>
    <w:multiLevelType w:val="hybridMultilevel"/>
    <w:lvl w:ilvl="0">
      <w:lvlJc w:val="left"/>
      <w:lvlText w:val="(%1)"/>
      <w:numFmt w:val="lowerRoman"/>
      <w:start w:val="3"/>
    </w:lvl>
  </w:abstractNum>
  <w:abstractNum w:abstractNumId="42">
    <w:nsid w:val="53299938"/>
    <w:multiLevelType w:val="hybridMultilevel"/>
    <w:lvl w:ilvl="0">
      <w:lvlJc w:val="left"/>
      <w:lvlText w:val="•"/>
      <w:numFmt w:val="bullet"/>
      <w:start w:val="1"/>
    </w:lvl>
  </w:abstractNum>
  <w:abstractNum w:abstractNumId="43">
    <w:nsid w:val="1FBFE8E0"/>
    <w:multiLevelType w:val="hybridMultilevel"/>
    <w:lvl w:ilvl="0">
      <w:lvlJc w:val="left"/>
      <w:lvlText w:val="(%1)"/>
      <w:numFmt w:val="lowerRoman"/>
      <w:start w:val="2"/>
    </w:lvl>
  </w:abstractNum>
  <w:abstractNum w:abstractNumId="44">
    <w:nsid w:val="5092CA79"/>
    <w:multiLevelType w:val="hybridMultilevel"/>
    <w:lvl w:ilvl="0">
      <w:lvlJc w:val="left"/>
      <w:lvlText w:val="1"/>
      <w:numFmt w:val="bullet"/>
      <w:start w:val="1"/>
    </w:lvl>
  </w:abstractNum>
  <w:abstractNum w:abstractNumId="45">
    <w:nsid w:val="1D545C4D"/>
    <w:multiLevelType w:val="hybridMultilevel"/>
    <w:lvl w:ilvl="0">
      <w:lvlJc w:val="left"/>
      <w:lvlText w:val="2"/>
      <w:numFmt w:val="bullet"/>
      <w:start w:val="1"/>
    </w:lvl>
  </w:abstractNum>
  <w:abstractNum w:abstractNumId="46">
    <w:nsid w:val="59ADEA3D"/>
    <w:multiLevelType w:val="hybridMultilevel"/>
    <w:lvl w:ilvl="0">
      <w:lvlJc w:val="left"/>
      <w:lvlText w:val="3"/>
      <w:numFmt w:val="bullet"/>
      <w:start w:val="1"/>
    </w:lvl>
  </w:abstractNum>
  <w:abstractNum w:abstractNumId="47">
    <w:nsid w:val="288F1A34"/>
    <w:multiLevelType w:val="hybridMultilevel"/>
    <w:lvl w:ilvl="0">
      <w:lvlJc w:val="left"/>
      <w:lvlText w:val="4"/>
      <w:numFmt w:val="bullet"/>
      <w:start w:val="1"/>
    </w:lvl>
  </w:abstractNum>
  <w:abstractNum w:abstractNumId="48">
    <w:nsid w:val="2A155DBC"/>
    <w:multiLevelType w:val="hybridMultilevel"/>
    <w:lvl w:ilvl="0">
      <w:lvlJc w:val="left"/>
      <w:lvlText w:val="5"/>
      <w:numFmt w:val="bullet"/>
      <w:start w:val="1"/>
    </w:lvl>
  </w:abstractNum>
  <w:abstractNum w:abstractNumId="49">
    <w:nsid w:val="1D9F6E5F"/>
    <w:multiLevelType w:val="hybridMultilevel"/>
    <w:lvl w:ilvl="0">
      <w:lvlJc w:val="left"/>
      <w:lvlText w:val="6"/>
      <w:numFmt w:val="bullet"/>
      <w:start w:val="1"/>
    </w:lvl>
  </w:abstractNum>
  <w:abstractNum w:abstractNumId="50">
    <w:nsid w:val="97E1B4E"/>
    <w:multiLevelType w:val="hybridMultilevel"/>
    <w:lvl w:ilvl="0">
      <w:lvlJc w:val="left"/>
      <w:lvlText w:val="7"/>
      <w:numFmt w:val="bullet"/>
      <w:start w:val="1"/>
    </w:lvl>
  </w:abstractNum>
  <w:abstractNum w:abstractNumId="51">
    <w:nsid w:val="51088277"/>
    <w:multiLevelType w:val="hybridMultilevel"/>
    <w:lvl w:ilvl="0">
      <w:lvlJc w:val="left"/>
      <w:lvlText w:val="•"/>
      <w:numFmt w:val="bullet"/>
      <w:start w:val="1"/>
    </w:lvl>
  </w:abstractNum>
  <w:abstractNum w:abstractNumId="52">
    <w:nsid w:val="1CA0C5FA"/>
    <w:multiLevelType w:val="hybridMultilevel"/>
    <w:lvl w:ilvl="0">
      <w:lvlJc w:val="left"/>
      <w:lvlText w:val="•"/>
      <w:numFmt w:val="bullet"/>
      <w:start w:val="1"/>
    </w:lvl>
  </w:abstractNum>
  <w:abstractNum w:abstractNumId="53">
    <w:nsid w:val="53584BCB"/>
    <w:multiLevelType w:val="hybridMultilevel"/>
    <w:lvl w:ilvl="0">
      <w:lvlJc w:val="left"/>
      <w:lvlText w:val="•"/>
      <w:numFmt w:val="bullet"/>
      <w:start w:val="1"/>
    </w:lvl>
  </w:abstractNum>
  <w:abstractNum w:abstractNumId="54">
    <w:nsid w:val="415E286C"/>
    <w:multiLevelType w:val="hybridMultilevel"/>
    <w:lvl w:ilvl="0">
      <w:lvlJc w:val="left"/>
      <w:lvlText w:val="•"/>
      <w:numFmt w:val="bullet"/>
      <w:start w:val="1"/>
    </w:lvl>
  </w:abstractNum>
  <w:abstractNum w:abstractNumId="55">
    <w:nsid w:val="7C58FD05"/>
    <w:multiLevelType w:val="hybridMultilevel"/>
    <w:lvl w:ilvl="0">
      <w:lvlJc w:val="left"/>
      <w:lvlText w:val="•"/>
      <w:numFmt w:val="bullet"/>
      <w:start w:val="1"/>
    </w:lvl>
  </w:abstractNum>
  <w:abstractNum w:abstractNumId="56">
    <w:nsid w:val="23D86AAC"/>
    <w:multiLevelType w:val="hybridMultilevel"/>
    <w:lvl w:ilvl="0">
      <w:lvlJc w:val="left"/>
      <w:lvlText w:val="•"/>
      <w:numFmt w:val="bullet"/>
      <w:start w:val="1"/>
    </w:lvl>
  </w:abstractNum>
  <w:abstractNum w:abstractNumId="57">
    <w:nsid w:val="45E6D486"/>
    <w:multiLevelType w:val="hybridMultilevel"/>
    <w:lvl w:ilvl="0">
      <w:lvlJc w:val="left"/>
      <w:lvlText w:val="•"/>
      <w:numFmt w:val="bullet"/>
      <w:start w:val="1"/>
    </w:lvl>
  </w:abstractNum>
  <w:abstractNum w:abstractNumId="58">
    <w:nsid w:val="5C10FE21"/>
    <w:multiLevelType w:val="hybridMultilevel"/>
    <w:lvl w:ilvl="0">
      <w:lvlJc w:val="left"/>
      <w:lvlText w:val="•"/>
      <w:numFmt w:val="bullet"/>
      <w:start w:val="1"/>
    </w:lvl>
  </w:abstractNum>
  <w:abstractNum w:abstractNumId="59">
    <w:nsid w:val="E7FFA2B"/>
    <w:multiLevelType w:val="hybridMultilevel"/>
    <w:lvl w:ilvl="0">
      <w:lvlJc w:val="left"/>
      <w:lvlText w:val="•"/>
      <w:numFmt w:val="bullet"/>
      <w:start w:val="1"/>
    </w:lvl>
  </w:abstractNum>
  <w:abstractNum w:abstractNumId="60">
    <w:nsid w:val="3C5991AA"/>
    <w:multiLevelType w:val="hybridMultilevel"/>
    <w:lvl w:ilvl="0">
      <w:lvlJc w:val="left"/>
      <w:lvlText w:val="•"/>
      <w:numFmt w:val="bullet"/>
      <w:start w:val="1"/>
    </w:lvl>
  </w:abstractNum>
  <w:abstractNum w:abstractNumId="61">
    <w:nsid w:val="4BD8591A"/>
    <w:multiLevelType w:val="hybridMultilevel"/>
    <w:lvl w:ilvl="0">
      <w:lvlJc w:val="left"/>
      <w:lvlText w:val="(%1)"/>
      <w:numFmt w:val="decimal"/>
      <w:start w:val="1"/>
    </w:lvl>
  </w:abstractNum>
  <w:abstractNum w:abstractNumId="62">
    <w:nsid w:val="78DF6A55"/>
    <w:multiLevelType w:val="hybridMultilevel"/>
    <w:lvl w:ilvl="0">
      <w:lvlJc w:val="left"/>
      <w:lvlText w:val="1"/>
      <w:numFmt w:val="bullet"/>
      <w:start w:val="1"/>
    </w:lvl>
  </w:abstractNum>
  <w:abstractNum w:abstractNumId="63">
    <w:nsid w:val="39B7AAA2"/>
    <w:multiLevelType w:val="hybridMultilevel"/>
    <w:lvl w:ilvl="0">
      <w:lvlJc w:val="left"/>
      <w:lvlText w:val="2"/>
      <w:numFmt w:val="bullet"/>
      <w:start w:val="1"/>
    </w:lvl>
  </w:abstractNum>
  <w:abstractNum w:abstractNumId="64">
    <w:nsid w:val="2B0D8DBE"/>
    <w:multiLevelType w:val="hybridMultilevel"/>
    <w:lvl w:ilvl="0">
      <w:lvlJc w:val="left"/>
      <w:lvlText w:val="3"/>
      <w:numFmt w:val="bullet"/>
      <w:start w:val="1"/>
    </w:lvl>
  </w:abstractNum>
  <w:abstractNum w:abstractNumId="65">
    <w:nsid w:val="6C80EC70"/>
    <w:multiLevelType w:val="hybridMultilevel"/>
    <w:lvl w:ilvl="0">
      <w:lvlJc w:val="left"/>
      <w:lvlText w:val="4"/>
      <w:numFmt w:val="bullet"/>
      <w:start w:val="1"/>
    </w:lvl>
  </w:abstractNum>
  <w:abstractNum w:abstractNumId="66">
    <w:nsid w:val="379E21B5"/>
    <w:multiLevelType w:val="hybridMultilevel"/>
    <w:lvl w:ilvl="0">
      <w:lvlJc w:val="left"/>
      <w:lvlText w:val="5"/>
      <w:numFmt w:val="bullet"/>
      <w:start w:val="1"/>
    </w:lvl>
  </w:abstractNum>
  <w:abstractNum w:abstractNumId="67">
    <w:nsid w:val="69E373"/>
    <w:multiLevelType w:val="hybridMultilevel"/>
    <w:lvl w:ilvl="0">
      <w:lvlJc w:val="left"/>
      <w:lvlText w:val="6"/>
      <w:numFmt w:val="bullet"/>
      <w:start w:val="1"/>
    </w:lvl>
  </w:abstractNum>
  <w:abstractNum w:abstractNumId="68">
    <w:nsid w:val="2C27173B"/>
    <w:multiLevelType w:val="hybridMultilevel"/>
    <w:lvl w:ilvl="0">
      <w:lvlJc w:val="left"/>
      <w:lvlText w:val="7"/>
      <w:numFmt w:val="bullet"/>
      <w:start w:val="1"/>
    </w:lvl>
  </w:abstractNum>
  <w:abstractNum w:abstractNumId="69">
    <w:nsid w:val="4C9B0904"/>
    <w:multiLevelType w:val="hybridMultilevel"/>
    <w:lvl w:ilvl="0">
      <w:lvlJc w:val="left"/>
      <w:lvlText w:val="•"/>
      <w:numFmt w:val="bullet"/>
      <w:start w:val="1"/>
    </w:lvl>
  </w:abstractNum>
  <w:abstractNum w:abstractNumId="70">
    <w:nsid w:val="6AA7B75C"/>
    <w:multiLevelType w:val="hybridMultilevel"/>
    <w:lvl w:ilvl="0">
      <w:lvlJc w:val="left"/>
      <w:lvlText w:val="(%1)"/>
      <w:numFmt w:val="decimal"/>
      <w:start w:val="4"/>
    </w:lvl>
  </w:abstractNum>
  <w:abstractNum w:abstractNumId="71">
    <w:nsid w:val="1DF029D3"/>
    <w:multiLevelType w:val="hybridMultilevel"/>
    <w:lvl w:ilvl="0">
      <w:lvlJc w:val="left"/>
      <w:lvlText w:val="(%1)"/>
      <w:numFmt w:val="lowerRoman"/>
      <w:start w:val="2"/>
    </w:lvl>
  </w:abstractNum>
  <w:abstractNum w:abstractNumId="72">
    <w:nsid w:val="5675FF36"/>
    <w:multiLevelType w:val="hybridMultilevel"/>
    <w:lvl w:ilvl="0">
      <w:lvlJc w:val="left"/>
      <w:lvlText w:val="•"/>
      <w:numFmt w:val="bullet"/>
      <w:start w:val="1"/>
    </w:lvl>
  </w:abstractNum>
  <w:abstractNum w:abstractNumId="73">
    <w:nsid w:val="3DD15094"/>
    <w:multiLevelType w:val="hybridMultilevel"/>
    <w:lvl w:ilvl="0">
      <w:lvlJc w:val="left"/>
      <w:lvlText w:val="•"/>
      <w:numFmt w:val="bullet"/>
      <w:start w:val="1"/>
    </w:lvl>
  </w:abstractNum>
  <w:abstractNum w:abstractNumId="74">
    <w:nsid w:val="3DB012B3"/>
    <w:multiLevelType w:val="hybridMultilevel"/>
    <w:lvl w:ilvl="0">
      <w:lvlJc w:val="left"/>
      <w:lvlText w:val="•"/>
      <w:numFmt w:val="bullet"/>
      <w:start w:val="1"/>
    </w:lvl>
  </w:abstractNum>
  <w:abstractNum w:abstractNumId="75">
    <w:nsid w:val="2708C9AF"/>
    <w:multiLevelType w:val="hybridMultilevel"/>
    <w:lvl w:ilvl="0">
      <w:lvlJc w:val="left"/>
      <w:lvlText w:val="•"/>
      <w:numFmt w:val="bullet"/>
      <w:start w:val="1"/>
    </w:lvl>
  </w:abstractNum>
  <w:abstractNum w:abstractNumId="76">
    <w:nsid w:val="5B25ACE2"/>
    <w:multiLevelType w:val="hybridMultilevel"/>
    <w:lvl w:ilvl="0">
      <w:lvlJc w:val="left"/>
      <w:lvlText w:val="•"/>
      <w:numFmt w:val="bullet"/>
      <w:start w:val="1"/>
    </w:lvl>
  </w:abstractNum>
  <w:abstractNum w:abstractNumId="77">
    <w:nsid w:val="175DFCF0"/>
    <w:multiLevelType w:val="hybridMultilevel"/>
    <w:lvl w:ilvl="0">
      <w:lvlJc w:val="left"/>
      <w:lvlText w:val="•"/>
      <w:numFmt w:val="bullet"/>
      <w:start w:val="1"/>
    </w:lvl>
  </w:abstractNum>
  <w:abstractNum w:abstractNumId="78">
    <w:nsid w:val="4F97E3E4"/>
    <w:multiLevelType w:val="hybridMultilevel"/>
    <w:lvl w:ilvl="0">
      <w:lvlJc w:val="left"/>
      <w:lvlText w:val="•"/>
      <w:numFmt w:val="bullet"/>
      <w:start w:val="1"/>
    </w:lvl>
  </w:abstractNum>
  <w:abstractNum w:abstractNumId="79">
    <w:nsid w:val="53B0A9E"/>
    <w:multiLevelType w:val="hybridMultilevel"/>
    <w:lvl w:ilvl="0">
      <w:lvlJc w:val="left"/>
      <w:lvlText w:val="(%1)"/>
      <w:numFmt w:val="lowerRoman"/>
      <w:start w:val="2"/>
    </w:lvl>
  </w:abstractNum>
  <w:abstractNum w:abstractNumId="80">
    <w:nsid w:val="34FD6B4F"/>
    <w:multiLevelType w:val="hybridMultilevel"/>
    <w:lvl w:ilvl="0">
      <w:lvlJc w:val="left"/>
      <w:lvlText w:val="(%1)"/>
      <w:numFmt w:val="lowerRoman"/>
      <w:start w:val="2"/>
    </w:lvl>
  </w:abstractNum>
  <w:abstractNum w:abstractNumId="81">
    <w:nsid w:val="5915FF32"/>
    <w:multiLevelType w:val="hybridMultilevel"/>
    <w:lvl w:ilvl="0">
      <w:lvlJc w:val="left"/>
      <w:lvlText w:val="•"/>
      <w:numFmt w:val="bullet"/>
      <w:start w:val="1"/>
    </w:lvl>
  </w:abstractNum>
  <w:abstractNum w:abstractNumId="82">
    <w:nsid w:val="56438D15"/>
    <w:multiLevelType w:val="hybridMultilevel"/>
    <w:lvl w:ilvl="0">
      <w:lvlJc w:val="left"/>
      <w:lvlText w:val="*"/>
      <w:numFmt w:val="bullet"/>
      <w:start w:val="1"/>
    </w:lvl>
  </w:abstractNum>
  <w:abstractNum w:abstractNumId="83">
    <w:nsid w:val="519E3149"/>
    <w:multiLevelType w:val="hybridMultilevel"/>
    <w:lvl w:ilvl="0">
      <w:lvlJc w:val="left"/>
      <w:lvlText w:val="(%1)"/>
      <w:numFmt w:val="decimal"/>
      <w:start w:val="1"/>
    </w:lvl>
  </w:abstractNum>
  <w:abstractNum w:abstractNumId="84">
    <w:nsid w:val="2C6E4AFD"/>
    <w:multiLevelType w:val="hybridMultilevel"/>
    <w:lvl w:ilvl="0">
      <w:lvlJc w:val="left"/>
      <w:lvlText w:val="*"/>
      <w:numFmt w:val="bullet"/>
      <w:start w:val="1"/>
    </w:lvl>
  </w:abstractNum>
  <w:abstractNum w:abstractNumId="85">
    <w:nsid w:val="17A1B582"/>
    <w:multiLevelType w:val="hybridMultilevel"/>
    <w:lvl w:ilvl="0">
      <w:lvlJc w:val="left"/>
      <w:lvlText w:val="(%1)"/>
      <w:numFmt w:val="decimal"/>
      <w:start w:val="1"/>
    </w:lvl>
  </w:abstractNum>
  <w:abstractNum w:abstractNumId="86">
    <w:nsid w:val="4DF72E4E"/>
    <w:multiLevelType w:val="hybridMultilevel"/>
    <w:lvl w:ilvl="0">
      <w:lvlJc w:val="left"/>
      <w:lvlText w:val="(%1)"/>
      <w:numFmt w:val="decimal"/>
      <w:start w:val="9"/>
    </w:lvl>
  </w:abstractNum>
  <w:abstractNum w:abstractNumId="87">
    <w:nsid w:val="5046B5A9"/>
    <w:multiLevelType w:val="hybridMultilevel"/>
    <w:lvl w:ilvl="0">
      <w:lvlJc w:val="left"/>
      <w:lvlText w:val="(%1)"/>
      <w:numFmt w:val="decimal"/>
      <w:start w:val="17"/>
    </w:lvl>
  </w:abstractNum>
  <w:abstractNum w:abstractNumId="88">
    <w:nsid w:val="5D888A08"/>
    <w:multiLevelType w:val="hybridMultilevel"/>
    <w:lvl w:ilvl="0">
      <w:lvlJc w:val="left"/>
      <w:lvlText w:val="(%1)"/>
      <w:numFmt w:val="decimal"/>
      <w:start w:val="25"/>
    </w:lvl>
    <w:lvl w:ilvl="1">
      <w:lvlJc w:val="left"/>
      <w:lvlText w:val="(%2)"/>
      <w:numFmt w:val="lowerRoman"/>
      <w:start w:val="4"/>
    </w:lvl>
  </w:abstractNum>
  <w:abstractNum w:abstractNumId="89">
    <w:nsid w:val="2A082C70"/>
    <w:multiLevelType w:val="hybridMultilevel"/>
    <w:lvl w:ilvl="0">
      <w:lvlJc w:val="left"/>
      <w:lvlText w:val="(%1)"/>
      <w:numFmt w:val="decimal"/>
      <w:start w:val="31"/>
    </w:lvl>
  </w:abstractNum>
  <w:abstractNum w:abstractNumId="90">
    <w:nsid w:val="5EC6AFD4"/>
    <w:multiLevelType w:val="hybridMultilevel"/>
    <w:lvl w:ilvl="0">
      <w:lvlJc w:val="left"/>
      <w:lvlText w:val="(%1)"/>
      <w:numFmt w:val="decimal"/>
      <w:start w:val="37"/>
    </w:lvl>
  </w:abstractNum>
  <w:abstractNum w:abstractNumId="91">
    <w:nsid w:val="19E21BB2"/>
    <w:multiLevelType w:val="hybridMultilevel"/>
    <w:lvl w:ilvl="0">
      <w:lvlJc w:val="left"/>
      <w:lvlText w:val="(%1)"/>
      <w:numFmt w:val="lowerRoman"/>
      <w:start w:val="1"/>
    </w:lvl>
  </w:abstractNum>
  <w:abstractNum w:abstractNumId="92">
    <w:nsid w:val="75E0858A"/>
    <w:multiLevelType w:val="hybridMultilevel"/>
    <w:lvl w:ilvl="0">
      <w:lvlJc w:val="left"/>
      <w:lvlText w:val="(%1)"/>
      <w:numFmt w:val="lowerRoman"/>
      <w:start w:val="3"/>
    </w:lvl>
  </w:abstractNum>
  <w:abstractNum w:abstractNumId="93">
    <w:nsid w:val="57A61A29"/>
    <w:multiLevelType w:val="hybridMultilevel"/>
    <w:lvl w:ilvl="0">
      <w:lvlJc w:val="left"/>
      <w:lvlText w:val="(%1)"/>
      <w:numFmt w:val="lowerRoman"/>
      <w:start w:val="3"/>
    </w:lvl>
  </w:abstractNum>
  <w:abstractNum w:abstractNumId="94">
    <w:nsid w:val="5399C654"/>
    <w:multiLevelType w:val="hybridMultilevel"/>
    <w:lvl w:ilvl="0">
      <w:lvlJc w:val="left"/>
      <w:lvlText w:val="(%1)"/>
      <w:numFmt w:val="lowerLetter"/>
      <w:start w:val="1"/>
    </w:lvl>
  </w:abstractNum>
  <w:abstractNum w:abstractNumId="95">
    <w:nsid w:val="20EE1348"/>
    <w:multiLevelType w:val="hybridMultilevel"/>
    <w:lvl w:ilvl="0">
      <w:lvlJc w:val="left"/>
      <w:lvlText w:val="(%1)"/>
      <w:numFmt w:val="lowerLetter"/>
      <w:start w:val="2"/>
    </w:lvl>
  </w:abstractNum>
  <w:abstractNum w:abstractNumId="96">
    <w:nsid w:val="4427069A"/>
    <w:multiLevelType w:val="hybridMultilevel"/>
    <w:lvl w:ilvl="0">
      <w:lvlJc w:val="left"/>
      <w:lvlText w:val="%1)"/>
      <w:numFmt w:val="lowerLetter"/>
      <w:start w:val="1"/>
    </w:lvl>
    <w:lvl w:ilvl="1">
      <w:lvlJc w:val="left"/>
      <w:lvlText w:val="•"/>
      <w:numFmt w:val="bullet"/>
      <w:start w:val="1"/>
    </w:lvl>
  </w:abstractNum>
  <w:abstractNum w:abstractNumId="97">
    <w:nsid w:val="B37E80A"/>
    <w:multiLevelType w:val="hybridMultilevel"/>
    <w:lvl w:ilvl="0">
      <w:lvlJc w:val="left"/>
      <w:lvlText w:val="(%1)"/>
      <w:numFmt w:val="lowerLetter"/>
      <w:start w:val="1"/>
    </w:lvl>
  </w:abstractNum>
  <w:abstractNum w:abstractNumId="98">
    <w:nsid w:val="2157F6BC"/>
    <w:multiLevelType w:val="hybridMultilevel"/>
    <w:lvl w:ilvl="0">
      <w:lvlJc w:val="left"/>
      <w:lvlText w:val="(%1)"/>
      <w:numFmt w:val="lowerRoman"/>
      <w:start w:val="1"/>
    </w:lvl>
  </w:abstractNum>
  <w:abstractNum w:abstractNumId="99">
    <w:nsid w:val="704E1DD5"/>
    <w:multiLevelType w:val="hybridMultilevel"/>
    <w:lvl w:ilvl="0">
      <w:lvlJc w:val="left"/>
      <w:lvlText w:val="(%1)"/>
      <w:numFmt w:val="lowerLetter"/>
      <w:start w:val="1"/>
    </w:lvl>
  </w:abstractNum>
  <w:abstractNum w:abstractNumId="100">
    <w:nsid w:val="57D2F10E"/>
    <w:multiLevelType w:val="hybridMultilevel"/>
    <w:lvl w:ilvl="0">
      <w:lvlJc w:val="left"/>
      <w:lvlText w:val="(%1)"/>
      <w:numFmt w:val="lowerLetter"/>
      <w:start w:val="1"/>
    </w:lvl>
  </w:abstractNum>
  <w:abstractNum w:abstractNumId="101">
    <w:nsid w:val="BFFAE18"/>
    <w:multiLevelType w:val="hybridMultilevel"/>
    <w:lvl w:ilvl="0">
      <w:lvlJc w:val="left"/>
      <w:lvlText w:val="(%1)"/>
      <w:numFmt w:val="lowerLetter"/>
      <w:start w:val="2"/>
    </w:lvl>
  </w:abstractNum>
  <w:abstractNum w:abstractNumId="102">
    <w:nsid w:val="E3E47A8"/>
    <w:multiLevelType w:val="hybridMultilevel"/>
    <w:lvl w:ilvl="0">
      <w:lvlJc w:val="left"/>
      <w:lvlText w:val="•"/>
      <w:numFmt w:val="bullet"/>
      <w:start w:val="1"/>
    </w:lvl>
  </w:abstractNum>
  <w:abstractNum w:abstractNumId="103">
    <w:nsid w:val="2E48F044"/>
    <w:multiLevelType w:val="hybridMultilevel"/>
    <w:lvl w:ilvl="0">
      <w:lvlJc w:val="left"/>
      <w:lvlText w:val="•"/>
      <w:numFmt w:val="bullet"/>
      <w:start w:val="1"/>
    </w:lvl>
  </w:abstractNum>
  <w:abstractNum w:abstractNumId="104">
    <w:nsid w:val="49D0FEAC"/>
    <w:multiLevelType w:val="hybridMultilevel"/>
    <w:lvl w:ilvl="0">
      <w:lvlJc w:val="left"/>
      <w:lvlText w:val="(%1)"/>
      <w:numFmt w:val="lowerRoman"/>
      <w:start w:val="1"/>
    </w:lvl>
  </w:abstractNum>
  <w:abstractNum w:abstractNumId="105">
    <w:nsid w:val="4BEE5A5B"/>
    <w:multiLevelType w:val="hybridMultilevel"/>
    <w:lvl w:ilvl="0">
      <w:lvlJc w:val="left"/>
      <w:lvlText w:val="•"/>
      <w:numFmt w:val="bullet"/>
      <w:start w:val="1"/>
    </w:lvl>
  </w:abstractNum>
  <w:abstractNum w:abstractNumId="106">
    <w:nsid w:val="5551B9F3"/>
    <w:multiLevelType w:val="hybridMultilevel"/>
    <w:lvl w:ilvl="0">
      <w:lvlJc w:val="left"/>
      <w:lvlText w:val="•"/>
      <w:numFmt w:val="bullet"/>
      <w:start w:val="1"/>
    </w:lvl>
  </w:abstractNum>
  <w:abstractNum w:abstractNumId="107">
    <w:nsid w:val="24F6AB8E"/>
    <w:multiLevelType w:val="hybridMultilevel"/>
    <w:lvl w:ilvl="0">
      <w:lvlJc w:val="left"/>
      <w:lvlText w:val="•"/>
      <w:numFmt w:val="bullet"/>
      <w:start w:val="1"/>
    </w:lvl>
  </w:abstractNum>
  <w:abstractNum w:abstractNumId="108">
    <w:nsid w:val="634C574C"/>
    <w:multiLevelType w:val="hybridMultilevel"/>
    <w:lvl w:ilvl="0">
      <w:lvlJc w:val="left"/>
      <w:lvlText w:val="•"/>
      <w:numFmt w:val="bullet"/>
      <w:start w:val="1"/>
    </w:lvl>
  </w:abstractNum>
  <w:abstractNum w:abstractNumId="109">
    <w:nsid w:val="24E99DD7"/>
    <w:multiLevelType w:val="hybridMultilevel"/>
    <w:lvl w:ilvl="0">
      <w:lvlJc w:val="left"/>
      <w:lvlText w:val="•"/>
      <w:numFmt w:val="bullet"/>
      <w:start w:val="1"/>
    </w:lvl>
  </w:abstractNum>
  <w:abstractNum w:abstractNumId="110">
    <w:nsid w:val="2A31B62D"/>
    <w:multiLevelType w:val="hybridMultilevel"/>
    <w:lvl w:ilvl="0">
      <w:lvlJc w:val="left"/>
      <w:lvlText w:val="•"/>
      <w:numFmt w:val="bullet"/>
      <w:start w:val="1"/>
    </w:lvl>
  </w:abstractNum>
  <w:abstractNum w:abstractNumId="111">
    <w:nsid w:val="1849C29B"/>
    <w:multiLevelType w:val="hybridMultilevel"/>
    <w:lvl w:ilvl="0">
      <w:lvlJc w:val="left"/>
      <w:lvlText w:val="•"/>
      <w:numFmt w:val="bullet"/>
      <w:start w:val="1"/>
    </w:lvl>
  </w:abstractNum>
  <w:abstractNum w:abstractNumId="112">
    <w:nsid w:val="7DFF9D09"/>
    <w:multiLevelType w:val="hybridMultilevel"/>
    <w:lvl w:ilvl="0">
      <w:lvlJc w:val="left"/>
      <w:lvlText w:val="(%1)"/>
      <w:numFmt w:val="lowerRoman"/>
      <w:start w:val="1"/>
    </w:lvl>
  </w:abstractNum>
  <w:abstractNum w:abstractNumId="113">
    <w:nsid w:val="754342"/>
    <w:multiLevelType w:val="hybridMultilevel"/>
    <w:lvl w:ilvl="0">
      <w:lvlJc w:val="left"/>
      <w:lvlText w:val="•"/>
      <w:numFmt w:val="bullet"/>
      <w:start w:val="1"/>
    </w:lvl>
  </w:abstractNum>
  <w:abstractNum w:abstractNumId="114">
    <w:nsid w:val="69E7F3E5"/>
    <w:multiLevelType w:val="hybridMultilevel"/>
    <w:lvl w:ilvl="0">
      <w:lvlJc w:val="left"/>
      <w:lvlText w:val="•"/>
      <w:numFmt w:val="bullet"/>
      <w:start w:val="1"/>
    </w:lvl>
  </w:abstractNum>
  <w:abstractNum w:abstractNumId="115">
    <w:nsid w:val="2A6DE806"/>
    <w:multiLevelType w:val="hybridMultilevel"/>
    <w:lvl w:ilvl="0">
      <w:lvlJc w:val="left"/>
      <w:lvlText w:val="•"/>
      <w:numFmt w:val="bullet"/>
      <w:start w:val="1"/>
    </w:lvl>
  </w:abstractNum>
  <w:abstractNum w:abstractNumId="116">
    <w:nsid w:val="1816F8C4"/>
    <w:multiLevelType w:val="hybridMultilevel"/>
    <w:lvl w:ilvl="0">
      <w:lvlJc w:val="left"/>
      <w:lvlText w:val="•"/>
      <w:numFmt w:val="bullet"/>
      <w:start w:val="1"/>
    </w:lvl>
  </w:abstractNum>
  <w:abstractNum w:abstractNumId="117">
    <w:nsid w:val="37DF2233"/>
    <w:multiLevelType w:val="hybridMultilevel"/>
    <w:lvl w:ilvl="0">
      <w:lvlJc w:val="left"/>
      <w:lvlText w:val="•"/>
      <w:numFmt w:val="bullet"/>
      <w:start w:val="1"/>
    </w:lvl>
  </w:abstractNum>
  <w:abstractNum w:abstractNumId="118">
    <w:nsid w:val="7AB49DAF"/>
    <w:multiLevelType w:val="hybridMultilevel"/>
    <w:lvl w:ilvl="0">
      <w:lvlJc w:val="left"/>
      <w:lvlText w:val="•"/>
      <w:numFmt w:val="bullet"/>
      <w:start w:val="1"/>
    </w:lvl>
  </w:abstractNum>
  <w:abstractNum w:abstractNumId="119">
    <w:nsid w:val="759F82CD"/>
    <w:multiLevelType w:val="hybridMultilevel"/>
    <w:lvl w:ilvl="0">
      <w:lvlJc w:val="left"/>
      <w:lvlText w:val="(%1)"/>
      <w:numFmt w:val="lowerRoman"/>
      <w:start w:val="3"/>
    </w:lvl>
  </w:abstractNum>
  <w:abstractNum w:abstractNumId="120">
    <w:nsid w:val="61E74EA3"/>
    <w:multiLevelType w:val="hybridMultilevel"/>
    <w:lvl w:ilvl="0">
      <w:lvlJc w:val="left"/>
      <w:lvlText w:val="•"/>
      <w:numFmt w:val="bullet"/>
      <w:start w:val="1"/>
    </w:lvl>
  </w:abstractNum>
  <w:abstractNum w:abstractNumId="121">
    <w:nsid w:val="597B4D84"/>
    <w:multiLevelType w:val="hybridMultilevel"/>
    <w:lvl w:ilvl="0">
      <w:lvlJc w:val="left"/>
      <w:lvlText w:val="•"/>
      <w:numFmt w:val="bullet"/>
      <w:start w:val="1"/>
    </w:lvl>
  </w:abstractNum>
  <w:abstractNum w:abstractNumId="122">
    <w:nsid w:val="F819E7F"/>
    <w:multiLevelType w:val="hybridMultilevel"/>
    <w:lvl w:ilvl="0">
      <w:lvlJc w:val="left"/>
      <w:lvlText w:val="•"/>
      <w:numFmt w:val="bullet"/>
      <w:start w:val="1"/>
    </w:lvl>
  </w:abstractNum>
  <w:abstractNum w:abstractNumId="123">
    <w:nsid w:val="57C7D42D"/>
    <w:multiLevelType w:val="hybridMultilevel"/>
    <w:lvl w:ilvl="0">
      <w:lvlJc w:val="left"/>
      <w:lvlText w:val="•"/>
      <w:numFmt w:val="bullet"/>
      <w:start w:val="1"/>
    </w:lvl>
  </w:abstractNum>
  <w:abstractNum w:abstractNumId="124">
    <w:nsid w:val="312167AD"/>
    <w:multiLevelType w:val="hybridMultilevel"/>
    <w:lvl w:ilvl="0">
      <w:lvlJc w:val="left"/>
      <w:lvlText w:val="•"/>
      <w:numFmt w:val="bullet"/>
      <w:start w:val="1"/>
    </w:lvl>
  </w:abstractNum>
  <w:abstractNum w:abstractNumId="125">
    <w:nsid w:val="631B64D4"/>
    <w:multiLevelType w:val="hybridMultilevel"/>
    <w:lvl w:ilvl="0">
      <w:lvlJc w:val="left"/>
      <w:lvlText w:val="%1."/>
      <w:numFmt w:val="lowerLetter"/>
      <w:start w:val="1"/>
    </w:lvl>
  </w:abstractNum>
  <w:abstractNum w:abstractNumId="126">
    <w:nsid w:val="78B5E776"/>
    <w:multiLevelType w:val="hybridMultilevel"/>
    <w:lvl w:ilvl="0">
      <w:lvlJc w:val="left"/>
      <w:lvlText w:val="%1."/>
      <w:numFmt w:val="lowerLetter"/>
      <w:start w:val="2"/>
    </w:lvl>
  </w:abstractNum>
  <w:abstractNum w:abstractNumId="127">
    <w:nsid w:val="75486E47"/>
    <w:multiLevelType w:val="hybridMultilevel"/>
    <w:lvl w:ilvl="0">
      <w:lvlJc w:val="left"/>
      <w:lvlText w:val="(%1)"/>
      <w:numFmt w:val="lowerRoman"/>
      <w:start w:val="2"/>
    </w:lvl>
  </w:abstractNum>
  <w:abstractNum w:abstractNumId="128">
    <w:nsid w:val="6E534CDE"/>
    <w:multiLevelType w:val="hybridMultilevel"/>
    <w:lvl w:ilvl="0">
      <w:lvlJc w:val="left"/>
      <w:lvlText w:val="%1."/>
      <w:numFmt w:val="lowerLetter"/>
      <w:start w:val="1"/>
    </w:lvl>
  </w:abstractNum>
  <w:abstractNum w:abstractNumId="129">
    <w:nsid w:val="1A0DDE32"/>
    <w:multiLevelType w:val="hybridMultilevel"/>
    <w:lvl w:ilvl="0">
      <w:lvlJc w:val="left"/>
      <w:lvlText w:val="%1."/>
      <w:numFmt w:val="lowerRoman"/>
      <w:start w:val="1"/>
    </w:lvl>
  </w:abstractNum>
  <w:abstractNum w:abstractNumId="130">
    <w:nsid w:val="65968C1C"/>
    <w:multiLevelType w:val="hybridMultilevel"/>
    <w:lvl w:ilvl="0">
      <w:lvlJc w:val="left"/>
      <w:lvlText w:val="%1."/>
      <w:numFmt w:val="lowerRoman"/>
      <w:start w:val="2"/>
    </w:lvl>
  </w:abstractNum>
  <w:abstractNum w:abstractNumId="131">
    <w:nsid w:val="46263DEC"/>
    <w:multiLevelType w:val="hybridMultilevel"/>
    <w:lvl w:ilvl="0">
      <w:lvlJc w:val="left"/>
      <w:lvlText w:val="%1."/>
      <w:numFmt w:val="lowerLetter"/>
      <w:start w:val="2"/>
    </w:lvl>
  </w:abstractNum>
  <w:abstractNum w:abstractNumId="132">
    <w:nsid w:val="260D8C4A"/>
    <w:multiLevelType w:val="hybridMultilevel"/>
    <w:lvl w:ilvl="0">
      <w:lvlJc w:val="left"/>
      <w:lvlText w:val="%1."/>
      <w:numFmt w:val="lowerRoman"/>
      <w:start w:val="1"/>
    </w:lvl>
  </w:abstractNum>
  <w:abstractNum w:abstractNumId="133">
    <w:nsid w:val="73D4D3C4"/>
    <w:multiLevelType w:val="hybridMultilevel"/>
    <w:lvl w:ilvl="0">
      <w:lvlJc w:val="left"/>
      <w:lvlText w:val="%1."/>
      <w:numFmt w:val="lowerRoman"/>
      <w:start w:val="2"/>
    </w:lvl>
  </w:abstractNum>
  <w:abstractNum w:abstractNumId="134">
    <w:nsid w:val="746F2E30"/>
    <w:multiLevelType w:val="hybridMultilevel"/>
    <w:lvl w:ilvl="0">
      <w:lvlJc w:val="left"/>
      <w:lvlText w:val="•"/>
      <w:numFmt w:val="bullet"/>
      <w:start w:val="1"/>
    </w:lvl>
  </w:abstractNum>
  <w:abstractNum w:abstractNumId="135">
    <w:nsid w:val="6FDE8AF6"/>
    <w:multiLevelType w:val="hybridMultilevel"/>
    <w:lvl w:ilvl="0">
      <w:lvlJc w:val="left"/>
      <w:lvlText w:val="(%1)"/>
      <w:numFmt w:val="lowerRoman"/>
      <w:start w:val="1"/>
    </w:lvl>
  </w:abstractNum>
  <w:abstractNum w:abstractNumId="136">
    <w:nsid w:val="3FC32E20"/>
    <w:multiLevelType w:val="hybridMultilevel"/>
    <w:lvl w:ilvl="0">
      <w:lvlJc w:val="left"/>
      <w:lvlText w:val="•"/>
      <w:numFmt w:val="bullet"/>
      <w:start w:val="1"/>
    </w:lvl>
  </w:abstractNum>
  <w:abstractNum w:abstractNumId="137">
    <w:nsid w:val="49C0E823"/>
    <w:multiLevelType w:val="hybridMultilevel"/>
    <w:lvl w:ilvl="0">
      <w:lvlJc w:val="left"/>
      <w:lvlText w:val="•"/>
      <w:numFmt w:val="bullet"/>
      <w:start w:val="1"/>
    </w:lvl>
  </w:abstractNum>
  <w:abstractNum w:abstractNumId="138">
    <w:nsid w:val="14D53685"/>
    <w:multiLevelType w:val="hybridMultilevel"/>
    <w:lvl w:ilvl="0">
      <w:lvlJc w:val="left"/>
      <w:lvlText w:val="•"/>
      <w:numFmt w:val="bullet"/>
      <w:start w:val="1"/>
    </w:lvl>
  </w:abstractNum>
  <w:abstractNum w:abstractNumId="139">
    <w:nsid w:val="230F856C"/>
    <w:multiLevelType w:val="hybridMultilevel"/>
    <w:lvl w:ilvl="0">
      <w:lvlJc w:val="left"/>
      <w:lvlText w:val="•"/>
      <w:numFmt w:val="bullet"/>
      <w:start w:val="1"/>
    </w:lvl>
  </w:abstractNum>
  <w:abstractNum w:abstractNumId="140">
    <w:nsid w:val="6EAA85FB"/>
    <w:multiLevelType w:val="hybridMultilevel"/>
    <w:lvl w:ilvl="0">
      <w:lvlJc w:val="left"/>
      <w:lvlText w:val="(%1)"/>
      <w:numFmt w:val="lowerLetter"/>
      <w:start w:val="1"/>
    </w:lvl>
  </w:abstractNum>
  <w:abstractNum w:abstractNumId="141">
    <w:nsid w:val="3F06ECB2"/>
    <w:multiLevelType w:val="hybridMultilevel"/>
    <w:lvl w:ilvl="0">
      <w:lvlJc w:val="left"/>
      <w:lvlText w:val="(%1)"/>
      <w:numFmt w:val="lowerLetter"/>
      <w:start w:val="3"/>
    </w:lvl>
  </w:abstractNum>
  <w:abstractNum w:abstractNumId="142">
    <w:nsid w:val="3B594807"/>
    <w:multiLevelType w:val="hybridMultilevel"/>
    <w:lvl w:ilvl="0">
      <w:lvlJc w:val="left"/>
      <w:lvlText w:val="*"/>
      <w:numFmt w:val="bullet"/>
      <w:start w:val="1"/>
    </w:lvl>
  </w:abstractNum>
  <w:abstractNum w:abstractNumId="143">
    <w:nsid w:val="6CAA2304"/>
    <w:multiLevelType w:val="hybridMultilevel"/>
    <w:lvl w:ilvl="0">
      <w:lvlJc w:val="left"/>
      <w:lvlText w:val="(%1)"/>
      <w:numFmt w:val="decimal"/>
      <w:start w:val="2"/>
    </w:lvl>
  </w:abstractNum>
  <w:abstractNum w:abstractNumId="144">
    <w:nsid w:val="3F7C2FF4"/>
    <w:multiLevelType w:val="hybridMultilevel"/>
    <w:lvl w:ilvl="0">
      <w:lvlJc w:val="left"/>
      <w:lvlText w:val="•"/>
      <w:numFmt w:val="bullet"/>
      <w:start w:val="1"/>
    </w:lvl>
    <w:lvl w:ilvl="1">
      <w:lvlJc w:val="left"/>
      <w:lvlText w:val="•"/>
      <w:numFmt w:val="bullet"/>
      <w:start w:val="1"/>
    </w:lvl>
  </w:abstractNum>
  <w:abstractNum w:abstractNumId="145">
    <w:nsid w:val="25413BEC"/>
    <w:multiLevelType w:val="hybridMultilevel"/>
    <w:lvl w:ilvl="0">
      <w:lvlJc w:val="left"/>
      <w:lvlText w:val="1"/>
      <w:numFmt w:val="bullet"/>
      <w:start w:val="1"/>
    </w:lvl>
  </w:abstractNum>
  <w:abstractNum w:abstractNumId="146">
    <w:nsid w:val="17180B0B"/>
    <w:multiLevelType w:val="hybridMultilevel"/>
    <w:lvl w:ilvl="0">
      <w:lvlJc w:val="left"/>
      <w:lvlText w:val="%1)"/>
      <w:numFmt w:val="lowerLetter"/>
      <w:start w:val="1"/>
    </w:lvl>
  </w:abstractNum>
  <w:abstractNum w:abstractNumId="147">
    <w:nsid w:val="579328B9"/>
    <w:multiLevelType w:val="hybridMultilevel"/>
    <w:lvl w:ilvl="0">
      <w:lvlJc w:val="left"/>
      <w:lvlText w:val="(%1)"/>
      <w:numFmt w:val="decimal"/>
      <w:start w:val="3"/>
    </w:lvl>
  </w:abstractNum>
  <w:abstractNum w:abstractNumId="148">
    <w:nsid w:val="5D205E20"/>
    <w:multiLevelType w:val="hybridMultilevel"/>
    <w:lvl w:ilvl="0">
      <w:lvlJc w:val="left"/>
      <w:lvlText w:val="1"/>
      <w:numFmt w:val="bullet"/>
      <w:start w:val="1"/>
    </w:lvl>
  </w:abstractNum>
  <w:abstractNum w:abstractNumId="149">
    <w:nsid w:val="11CCA8BA"/>
    <w:multiLevelType w:val="hybridMultilevel"/>
    <w:lvl w:ilvl="0">
      <w:lvlJc w:val="left"/>
      <w:lvlText w:val="%1)"/>
      <w:numFmt w:val="lowerLetter"/>
      <w:start w:val="1"/>
    </w:lvl>
  </w:abstractNum>
  <w:abstractNum w:abstractNumId="150">
    <w:nsid w:val="4D32AB86"/>
    <w:multiLevelType w:val="hybridMultilevel"/>
    <w:lvl w:ilvl="0">
      <w:lvlJc w:val="left"/>
      <w:lvlText w:val="%1)"/>
      <w:numFmt w:val="lowerLetter"/>
      <w:start w:val="1"/>
    </w:lvl>
  </w:abstractNum>
  <w:abstractNum w:abstractNumId="151">
    <w:nsid w:val="3F07ACC3"/>
    <w:multiLevelType w:val="hybridMultilevel"/>
    <w:lvl w:ilvl="0">
      <w:lvlJc w:val="left"/>
      <w:lvlText w:val="%1)"/>
      <w:numFmt w:val="lowerLetter"/>
      <w:start w:val="1"/>
    </w:lvl>
  </w:abstractNum>
  <w:abstractNum w:abstractNumId="152">
    <w:nsid w:val="6B47F63E"/>
    <w:multiLevelType w:val="hybridMultilevel"/>
    <w:lvl w:ilvl="0">
      <w:lvlJc w:val="left"/>
      <w:lvlText w:val="1"/>
      <w:numFmt w:val="bullet"/>
      <w:start w:val="1"/>
    </w:lvl>
  </w:abstractNum>
  <w:abstractNum w:abstractNumId="153">
    <w:nsid w:val="5CB44A05"/>
    <w:multiLevelType w:val="hybridMultilevel"/>
    <w:lvl w:ilvl="0">
      <w:lvlJc w:val="left"/>
      <w:lvlText w:val="%1)"/>
      <w:numFmt w:val="lowerLetter"/>
      <w:start w:val="1"/>
    </w:lvl>
  </w:abstractNum>
  <w:abstractNum w:abstractNumId="154">
    <w:nsid w:val="16CF80F1"/>
    <w:multiLevelType w:val="hybridMultilevel"/>
    <w:lvl w:ilvl="0">
      <w:lvlJc w:val="left"/>
      <w:lvlText w:val="%1)"/>
      <w:numFmt w:val="lowerLetter"/>
      <w:start w:val="3"/>
    </w:lvl>
  </w:abstractNum>
  <w:abstractNum w:abstractNumId="155">
    <w:nsid w:val="1C695DEC"/>
    <w:multiLevelType w:val="hybridMultilevel"/>
    <w:lvl w:ilvl="0">
      <w:lvlJc w:val="left"/>
      <w:lvlText w:val="%1)"/>
      <w:numFmt w:val="lowerLetter"/>
      <w:start w:val="1"/>
    </w:lvl>
  </w:abstractNum>
  <w:abstractNum w:abstractNumId="156">
    <w:nsid w:val="3FCFAED9"/>
    <w:multiLevelType w:val="hybridMultilevel"/>
    <w:lvl w:ilvl="0">
      <w:lvlJc w:val="left"/>
      <w:lvlText w:val="%1)"/>
      <w:numFmt w:val="lowerLetter"/>
      <w:start w:val="1"/>
    </w:lvl>
  </w:abstractNum>
  <w:abstractNum w:abstractNumId="157">
    <w:nsid w:val="F856867"/>
    <w:multiLevelType w:val="hybridMultilevel"/>
    <w:lvl w:ilvl="0">
      <w:lvlJc w:val="left"/>
      <w:lvlText w:val="•"/>
      <w:numFmt w:val="bullet"/>
      <w:start w:val="1"/>
    </w:lvl>
  </w:abstractNum>
  <w:abstractNum w:abstractNumId="158">
    <w:nsid w:val="11B1CC33"/>
    <w:multiLevelType w:val="hybridMultilevel"/>
    <w:lvl w:ilvl="0">
      <w:lvlJc w:val="left"/>
      <w:lvlText w:val="•"/>
      <w:numFmt w:val="bullet"/>
      <w:start w:val="1"/>
    </w:lvl>
  </w:abstractNum>
  <w:abstractNum w:abstractNumId="159">
    <w:nsid w:val="2E22FBB7"/>
    <w:multiLevelType w:val="hybridMultilevel"/>
    <w:lvl w:ilvl="0">
      <w:lvlJc w:val="left"/>
      <w:lvlText w:val="•"/>
      <w:numFmt w:val="bullet"/>
      <w:start w:val="1"/>
    </w:lvl>
  </w:abstractNum>
  <w:abstractNum w:abstractNumId="160">
    <w:nsid w:val="29934699"/>
    <w:multiLevelType w:val="hybridMultilevel"/>
    <w:lvl w:ilvl="0">
      <w:lvlJc w:val="left"/>
      <w:lvlText w:val="%1)"/>
      <w:numFmt w:val="lowerLetter"/>
      <w:start w:val="1"/>
    </w:lvl>
  </w:abstractNum>
  <w:abstractNum w:abstractNumId="161">
    <w:nsid w:val="77485850"/>
    <w:multiLevelType w:val="hybridMultilevel"/>
    <w:lvl w:ilvl="0">
      <w:lvlJc w:val="left"/>
      <w:lvlText w:val="•"/>
      <w:numFmt w:val="bullet"/>
      <w:start w:val="1"/>
    </w:lvl>
  </w:abstractNum>
  <w:abstractNum w:abstractNumId="162">
    <w:nsid w:val="744939A3"/>
    <w:multiLevelType w:val="hybridMultilevel"/>
    <w:lvl w:ilvl="0">
      <w:lvlJc w:val="left"/>
      <w:lvlText w:val="%1)"/>
      <w:numFmt w:val="lowerLetter"/>
      <w:start w:val="1"/>
    </w:lvl>
  </w:abstractNum>
  <w:abstractNum w:abstractNumId="163">
    <w:nsid w:val="4FA0D2E3"/>
    <w:multiLevelType w:val="hybridMultilevel"/>
    <w:lvl w:ilvl="0">
      <w:lvlJc w:val="left"/>
      <w:lvlText w:val="•"/>
      <w:numFmt w:val="bullet"/>
      <w:start w:val="1"/>
    </w:lvl>
  </w:abstractNum>
  <w:abstractNum w:abstractNumId="164">
    <w:nsid w:val="6B1D2C14"/>
    <w:multiLevelType w:val="hybridMultilevel"/>
    <w:lvl w:ilvl="0">
      <w:lvlJc w:val="left"/>
      <w:lvlText w:val="*"/>
      <w:numFmt w:val="bullet"/>
      <w:start w:val="1"/>
    </w:lvl>
  </w:abstractNum>
  <w:abstractNum w:abstractNumId="165">
    <w:nsid w:val="68B867D3"/>
    <w:multiLevelType w:val="hybridMultilevel"/>
    <w:lvl w:ilvl="0">
      <w:lvlJc w:val="left"/>
      <w:lvlText w:val="•"/>
      <w:numFmt w:val="bullet"/>
      <w:start w:val="1"/>
    </w:lvl>
    <w:lvl w:ilvl="1">
      <w:lvlJc w:val="left"/>
      <w:lvlText w:val="•"/>
      <w:numFmt w:val="bullet"/>
      <w:start w:val="1"/>
    </w:lvl>
  </w:abstractNum>
  <w:abstractNum w:abstractNumId="166">
    <w:nsid w:val="3F7F5DD9"/>
    <w:multiLevelType w:val="hybridMultilevel"/>
    <w:lvl w:ilvl="0">
      <w:lvlJc w:val="left"/>
      <w:lvlText w:val="•"/>
      <w:numFmt w:val="bullet"/>
      <w:start w:val="1"/>
    </w:lvl>
  </w:abstractNum>
  <w:abstractNum w:abstractNumId="167">
    <w:nsid w:val="2AE05A34"/>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2022-09-26T17:26:35Z</dcterms:created>
  <dcterms:modified xsi:type="dcterms:W3CDTF">2022-09-26T17:26:35Z</dcterms:modified>
</cp:coreProperties>
</file>