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Polestar Automotive Holding UK Limited</w:t>
      </w:r>
    </w:p>
    <w:p>
      <w:pPr>
        <w:jc w:val="right"/>
        <w:spacing w:after="0" w:line="234" w:lineRule="auto"/>
        <w:rPr>
          <w:sz w:val="20"/>
          <w:szCs w:val="20"/>
          <w:color w:val="auto"/>
        </w:rPr>
      </w:pPr>
      <w:r>
        <w:rPr>
          <w:rFonts w:ascii="Arial" w:cs="Arial" w:eastAsia="Arial" w:hAnsi="Arial"/>
          <w:sz w:val="18"/>
          <w:szCs w:val="18"/>
          <w:color w:val="auto"/>
        </w:rPr>
        <w:t>Pursuant to Rule 425 under the Securities Act of 1933</w:t>
      </w:r>
    </w:p>
    <w:p>
      <w:pPr>
        <w:jc w:val="right"/>
        <w:spacing w:after="0" w:line="235" w:lineRule="auto"/>
        <w:rPr>
          <w:sz w:val="20"/>
          <w:szCs w:val="20"/>
          <w:color w:val="auto"/>
        </w:rPr>
      </w:pPr>
      <w:r>
        <w:rPr>
          <w:rFonts w:ascii="Arial" w:cs="Arial" w:eastAsia="Arial" w:hAnsi="Arial"/>
          <w:sz w:val="18"/>
          <w:szCs w:val="18"/>
          <w:color w:val="auto"/>
        </w:rPr>
        <w:t>and deemed filed pursuant to 14a-12 under the</w:t>
      </w:r>
    </w:p>
    <w:p>
      <w:pPr>
        <w:jc w:val="right"/>
        <w:spacing w:after="0" w:line="235" w:lineRule="auto"/>
        <w:rPr>
          <w:sz w:val="20"/>
          <w:szCs w:val="20"/>
          <w:color w:val="auto"/>
        </w:rPr>
      </w:pPr>
      <w:r>
        <w:rPr>
          <w:rFonts w:ascii="Arial" w:cs="Arial" w:eastAsia="Arial" w:hAnsi="Arial"/>
          <w:sz w:val="18"/>
          <w:szCs w:val="18"/>
          <w:color w:val="auto"/>
        </w:rPr>
        <w:t>Securities Exchange Act of 1934</w:t>
      </w:r>
    </w:p>
    <w:p>
      <w:pPr>
        <w:jc w:val="right"/>
        <w:spacing w:after="0" w:line="235" w:lineRule="auto"/>
        <w:rPr>
          <w:sz w:val="20"/>
          <w:szCs w:val="20"/>
          <w:color w:val="auto"/>
        </w:rPr>
      </w:pPr>
      <w:r>
        <w:rPr>
          <w:rFonts w:ascii="Arial" w:cs="Arial" w:eastAsia="Arial" w:hAnsi="Arial"/>
          <w:sz w:val="18"/>
          <w:szCs w:val="18"/>
          <w:color w:val="auto"/>
        </w:rPr>
        <w:t>Form F-4 File No. (333- )</w:t>
      </w:r>
    </w:p>
    <w:p>
      <w:pPr>
        <w:jc w:val="right"/>
        <w:spacing w:after="0" w:line="235" w:lineRule="auto"/>
        <w:rPr>
          <w:sz w:val="20"/>
          <w:szCs w:val="20"/>
          <w:color w:val="auto"/>
        </w:rPr>
      </w:pPr>
      <w:r>
        <w:rPr>
          <w:rFonts w:ascii="Arial" w:cs="Arial" w:eastAsia="Arial" w:hAnsi="Arial"/>
          <w:sz w:val="18"/>
          <w:szCs w:val="18"/>
          <w:color w:val="auto"/>
        </w:rPr>
        <w:t>Subject Companies:</w:t>
      </w:r>
    </w:p>
    <w:p>
      <w:pPr>
        <w:jc w:val="right"/>
        <w:spacing w:after="0" w:line="234" w:lineRule="auto"/>
        <w:rPr>
          <w:sz w:val="20"/>
          <w:szCs w:val="20"/>
          <w:color w:val="auto"/>
        </w:rPr>
      </w:pPr>
      <w:r>
        <w:rPr>
          <w:rFonts w:ascii="Arial" w:cs="Arial" w:eastAsia="Arial" w:hAnsi="Arial"/>
          <w:sz w:val="18"/>
          <w:szCs w:val="18"/>
          <w:color w:val="auto"/>
        </w:rPr>
        <w:t>Polestar Automotive Holding UK Limited</w:t>
      </w:r>
    </w:p>
    <w:p>
      <w:pPr>
        <w:jc w:val="right"/>
        <w:spacing w:after="0" w:line="235" w:lineRule="auto"/>
        <w:rPr>
          <w:sz w:val="20"/>
          <w:szCs w:val="20"/>
          <w:color w:val="auto"/>
        </w:rPr>
      </w:pPr>
      <w:r>
        <w:rPr>
          <w:rFonts w:ascii="Arial" w:cs="Arial" w:eastAsia="Arial" w:hAnsi="Arial"/>
          <w:sz w:val="18"/>
          <w:szCs w:val="18"/>
          <w:color w:val="auto"/>
        </w:rPr>
        <w:t>Gores Guggenheim, Inc.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001-40265)</w:t>
      </w:r>
    </w:p>
    <w:p>
      <w:pPr>
        <w:spacing w:after="0" w:line="19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Polestar funding announcement</w:t>
      </w:r>
    </w:p>
    <w:p>
      <w:pPr>
        <w:spacing w:after="0" w:line="18"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Internal Q&amp;A</w:t>
      </w:r>
    </w:p>
    <w:p>
      <w:pPr>
        <w:spacing w:after="0" w:line="19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FF4338"/>
        </w:rPr>
        <w:t>Due to strict legal and regulatory requirements, Polestar employees and other representatives are instructed not to discuss</w:t>
      </w:r>
    </w:p>
    <w:p>
      <w:pPr>
        <w:spacing w:after="0" w:line="13"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FF4338"/>
        </w:rPr>
        <w:t xml:space="preserve">Polestar’s proposed business combination </w:t>
      </w:r>
      <w:r>
        <w:rPr>
          <w:rFonts w:ascii="Arial" w:cs="Arial" w:eastAsia="Arial" w:hAnsi="Arial"/>
          <w:sz w:val="18"/>
          <w:szCs w:val="18"/>
          <w:b w:val="1"/>
          <w:bCs w:val="1"/>
          <w:u w:val="single" w:color="auto"/>
          <w:color w:val="FF4338"/>
        </w:rPr>
        <w:t>in any public channels</w:t>
      </w:r>
      <w:r>
        <w:rPr>
          <w:rFonts w:ascii="Arial" w:cs="Arial" w:eastAsia="Arial" w:hAnsi="Arial"/>
          <w:sz w:val="18"/>
          <w:szCs w:val="18"/>
          <w:b w:val="1"/>
          <w:bCs w:val="1"/>
          <w:color w:val="FF4338"/>
        </w:rPr>
        <w:t>, including official and personal social media channels.</w:t>
      </w:r>
    </w:p>
    <w:p>
      <w:pPr>
        <w:ind w:left="4"/>
        <w:spacing w:after="0"/>
        <w:rPr>
          <w:sz w:val="20"/>
          <w:szCs w:val="20"/>
          <w:color w:val="auto"/>
        </w:rPr>
      </w:pPr>
      <w:r>
        <w:rPr>
          <w:rFonts w:ascii="Arial" w:cs="Arial" w:eastAsia="Arial" w:hAnsi="Arial"/>
          <w:sz w:val="18"/>
          <w:szCs w:val="18"/>
          <w:b w:val="1"/>
          <w:bCs w:val="1"/>
          <w:color w:val="FF4338"/>
        </w:rPr>
        <w:t>Thomas Ingenlath is the only spokesperson for the company on this topic.</w:t>
      </w:r>
    </w:p>
    <w:p>
      <w:pPr>
        <w:spacing w:after="0" w:line="8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FF4338"/>
        </w:rPr>
        <w:t>This includes:</w:t>
      </w:r>
    </w:p>
    <w:p>
      <w:pPr>
        <w:spacing w:after="0" w:line="117" w:lineRule="exact"/>
        <w:rPr>
          <w:sz w:val="24"/>
          <w:szCs w:val="24"/>
          <w:color w:val="auto"/>
        </w:rPr>
      </w:pPr>
    </w:p>
    <w:p>
      <w:pPr>
        <w:ind w:left="964" w:hanging="532"/>
        <w:spacing w:after="0"/>
        <w:tabs>
          <w:tab w:leader="none" w:pos="964" w:val="left"/>
        </w:tabs>
        <w:numPr>
          <w:ilvl w:val="0"/>
          <w:numId w:val="1"/>
        </w:numPr>
        <w:rPr>
          <w:rFonts w:ascii="Arial" w:cs="Arial" w:eastAsia="Arial" w:hAnsi="Arial"/>
          <w:sz w:val="18"/>
          <w:szCs w:val="18"/>
          <w:color w:val="FF4338"/>
        </w:rPr>
      </w:pPr>
      <w:r>
        <w:rPr>
          <w:rFonts w:ascii="Arial" w:cs="Arial" w:eastAsia="Arial" w:hAnsi="Arial"/>
          <w:sz w:val="18"/>
          <w:szCs w:val="18"/>
          <w:b w:val="1"/>
          <w:bCs w:val="1"/>
          <w:color w:val="FF4338"/>
        </w:rPr>
        <w:t>No liking</w:t>
      </w:r>
    </w:p>
    <w:p>
      <w:pPr>
        <w:spacing w:after="0" w:line="117" w:lineRule="exact"/>
        <w:rPr>
          <w:rFonts w:ascii="Arial" w:cs="Arial" w:eastAsia="Arial" w:hAnsi="Arial"/>
          <w:sz w:val="18"/>
          <w:szCs w:val="18"/>
          <w:color w:val="FF4338"/>
        </w:rPr>
      </w:pPr>
    </w:p>
    <w:p>
      <w:pPr>
        <w:ind w:left="964" w:hanging="532"/>
        <w:spacing w:after="0"/>
        <w:tabs>
          <w:tab w:leader="none" w:pos="964" w:val="left"/>
        </w:tabs>
        <w:numPr>
          <w:ilvl w:val="0"/>
          <w:numId w:val="1"/>
        </w:numPr>
        <w:rPr>
          <w:rFonts w:ascii="Arial" w:cs="Arial" w:eastAsia="Arial" w:hAnsi="Arial"/>
          <w:sz w:val="18"/>
          <w:szCs w:val="18"/>
          <w:color w:val="FF4338"/>
        </w:rPr>
      </w:pPr>
      <w:r>
        <w:rPr>
          <w:rFonts w:ascii="Arial" w:cs="Arial" w:eastAsia="Arial" w:hAnsi="Arial"/>
          <w:sz w:val="18"/>
          <w:szCs w:val="18"/>
          <w:b w:val="1"/>
          <w:bCs w:val="1"/>
          <w:color w:val="FF4338"/>
        </w:rPr>
        <w:t>No sharing</w:t>
      </w:r>
    </w:p>
    <w:p>
      <w:pPr>
        <w:spacing w:after="0" w:line="117" w:lineRule="exact"/>
        <w:rPr>
          <w:rFonts w:ascii="Arial" w:cs="Arial" w:eastAsia="Arial" w:hAnsi="Arial"/>
          <w:sz w:val="18"/>
          <w:szCs w:val="18"/>
          <w:color w:val="FF4338"/>
        </w:rPr>
      </w:pPr>
    </w:p>
    <w:p>
      <w:pPr>
        <w:ind w:left="964" w:hanging="532"/>
        <w:spacing w:after="0"/>
        <w:tabs>
          <w:tab w:leader="none" w:pos="964" w:val="left"/>
        </w:tabs>
        <w:numPr>
          <w:ilvl w:val="0"/>
          <w:numId w:val="1"/>
        </w:numPr>
        <w:rPr>
          <w:rFonts w:ascii="Arial" w:cs="Arial" w:eastAsia="Arial" w:hAnsi="Arial"/>
          <w:sz w:val="18"/>
          <w:szCs w:val="18"/>
          <w:color w:val="FF4338"/>
        </w:rPr>
      </w:pPr>
      <w:r>
        <w:rPr>
          <w:rFonts w:ascii="Arial" w:cs="Arial" w:eastAsia="Arial" w:hAnsi="Arial"/>
          <w:sz w:val="18"/>
          <w:szCs w:val="18"/>
          <w:b w:val="1"/>
          <w:bCs w:val="1"/>
          <w:color w:val="FF4338"/>
        </w:rPr>
        <w:t>No retweeting</w:t>
      </w:r>
    </w:p>
    <w:p>
      <w:pPr>
        <w:spacing w:after="0" w:line="117" w:lineRule="exact"/>
        <w:rPr>
          <w:rFonts w:ascii="Arial" w:cs="Arial" w:eastAsia="Arial" w:hAnsi="Arial"/>
          <w:sz w:val="18"/>
          <w:szCs w:val="18"/>
          <w:color w:val="FF4338"/>
        </w:rPr>
      </w:pPr>
    </w:p>
    <w:p>
      <w:pPr>
        <w:ind w:left="964" w:hanging="532"/>
        <w:spacing w:after="0"/>
        <w:tabs>
          <w:tab w:leader="none" w:pos="964" w:val="left"/>
        </w:tabs>
        <w:numPr>
          <w:ilvl w:val="0"/>
          <w:numId w:val="1"/>
        </w:numPr>
        <w:rPr>
          <w:rFonts w:ascii="Arial" w:cs="Arial" w:eastAsia="Arial" w:hAnsi="Arial"/>
          <w:sz w:val="18"/>
          <w:szCs w:val="18"/>
          <w:color w:val="FF4338"/>
        </w:rPr>
      </w:pPr>
      <w:r>
        <w:rPr>
          <w:rFonts w:ascii="Arial" w:cs="Arial" w:eastAsia="Arial" w:hAnsi="Arial"/>
          <w:sz w:val="18"/>
          <w:szCs w:val="18"/>
          <w:b w:val="1"/>
          <w:bCs w:val="1"/>
          <w:color w:val="FF4338"/>
        </w:rPr>
        <w:t>No commenting</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FF4338"/>
        </w:rPr>
        <w:t>The Q&amp;A contained below are for internal reference ONLY.</w:t>
      </w:r>
    </w:p>
    <w:p>
      <w:pPr>
        <w:spacing w:after="0" w:line="212" w:lineRule="exact"/>
        <w:rPr>
          <w:sz w:val="24"/>
          <w:szCs w:val="24"/>
          <w:color w:val="auto"/>
        </w:rPr>
      </w:pPr>
    </w:p>
    <w:p>
      <w:pPr>
        <w:ind w:left="4" w:right="5440"/>
        <w:spacing w:after="0" w:line="301" w:lineRule="auto"/>
        <w:rPr>
          <w:sz w:val="20"/>
          <w:szCs w:val="20"/>
          <w:color w:val="auto"/>
        </w:rPr>
      </w:pPr>
      <w:r>
        <w:rPr>
          <w:rFonts w:ascii="Arial" w:cs="Arial" w:eastAsia="Arial" w:hAnsi="Arial"/>
          <w:sz w:val="17"/>
          <w:szCs w:val="17"/>
          <w:b w:val="1"/>
          <w:bCs w:val="1"/>
          <w:color w:val="FF4338"/>
        </w:rPr>
        <w:t xml:space="preserve">Refer any queries to the global press release at </w:t>
      </w:r>
      <w:r>
        <w:rPr>
          <w:rFonts w:ascii="Arial" w:cs="Arial" w:eastAsia="Arial" w:hAnsi="Arial"/>
          <w:sz w:val="17"/>
          <w:szCs w:val="17"/>
          <w:b w:val="1"/>
          <w:bCs w:val="1"/>
          <w:u w:val="single" w:color="auto"/>
          <w:color w:val="0563C1"/>
        </w:rPr>
        <w:t>https://media.polestar.com/global/en/media/pressreleases/638625</w:t>
      </w:r>
    </w:p>
    <w:p>
      <w:pPr>
        <w:spacing w:after="0" w:line="131" w:lineRule="exact"/>
        <w:rPr>
          <w:sz w:val="24"/>
          <w:szCs w:val="24"/>
          <w:color w:val="auto"/>
        </w:rPr>
      </w:pPr>
    </w:p>
    <w:p>
      <w:pPr>
        <w:ind w:left="4" w:right="20"/>
        <w:spacing w:after="0" w:line="271" w:lineRule="auto"/>
        <w:rPr>
          <w:sz w:val="20"/>
          <w:szCs w:val="20"/>
          <w:color w:val="auto"/>
        </w:rPr>
      </w:pPr>
      <w:r>
        <w:rPr>
          <w:rFonts w:ascii="Arial" w:cs="Arial" w:eastAsia="Arial" w:hAnsi="Arial"/>
          <w:sz w:val="18"/>
          <w:szCs w:val="18"/>
          <w:b w:val="1"/>
          <w:bCs w:val="1"/>
          <w:color w:val="FF4338"/>
        </w:rPr>
        <w:t>Refer to the global PR &amp; Comms team if you are unsure. If you receive queries from potential investors, refer to Investor Relations (</w:t>
      </w:r>
      <w:r>
        <w:rPr>
          <w:rFonts w:ascii="Arial" w:cs="Arial" w:eastAsia="Arial" w:hAnsi="Arial"/>
          <w:sz w:val="18"/>
          <w:szCs w:val="18"/>
          <w:b w:val="1"/>
          <w:bCs w:val="1"/>
          <w:u w:val="single" w:color="auto"/>
          <w:color w:val="0563C1"/>
        </w:rPr>
        <w:t>bojana.flint@polestar.com</w:t>
      </w:r>
      <w:r>
        <w:rPr>
          <w:rFonts w:ascii="Arial" w:cs="Arial" w:eastAsia="Arial" w:hAnsi="Arial"/>
          <w:sz w:val="18"/>
          <w:szCs w:val="18"/>
          <w:b w:val="1"/>
          <w:bCs w:val="1"/>
          <w:color w:val="FF4338"/>
        </w:rPr>
        <w:t>).</w:t>
      </w:r>
    </w:p>
    <w:p>
      <w:pPr>
        <w:spacing w:after="0" w:line="26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Polestar employees</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Q: What does this mean to me?</w:t>
      </w:r>
    </w:p>
    <w:p>
      <w:pPr>
        <w:spacing w:after="0" w:line="126" w:lineRule="exact"/>
        <w:rPr>
          <w:sz w:val="24"/>
          <w:szCs w:val="24"/>
          <w:color w:val="auto"/>
        </w:rPr>
      </w:pPr>
    </w:p>
    <w:p>
      <w:pPr>
        <w:jc w:val="both"/>
        <w:ind w:left="4" w:right="20" w:hanging="4"/>
        <w:spacing w:after="0" w:line="238" w:lineRule="auto"/>
        <w:tabs>
          <w:tab w:leader="none" w:pos="25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is a recognition of the tremendous contribution you have made to get Polestar to where it is today. Our main task remains unchanged from the one outlined in our employee day last week. We must all continue to focus on the organisational and personal objectives that we have set out. Now more than ever, we need to deliver operational excellence and the growth that we have set out to achieve, whilst of course not compromising on outstanding service and experience for our partners and our customers.</w:t>
      </w:r>
    </w:p>
    <w:p>
      <w:pPr>
        <w:spacing w:after="0" w:line="29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Q: Are Polestar employees able to buy shares in Gores Guggenheim, Inc.?</w:t>
      </w:r>
    </w:p>
    <w:p>
      <w:pPr>
        <w:spacing w:after="0" w:line="126" w:lineRule="exact"/>
        <w:rPr>
          <w:sz w:val="24"/>
          <w:szCs w:val="24"/>
          <w:color w:val="auto"/>
        </w:rPr>
      </w:pPr>
    </w:p>
    <w:p>
      <w:pPr>
        <w:ind w:left="4" w:right="20" w:hanging="4"/>
        <w:spacing w:after="0" w:line="246" w:lineRule="auto"/>
        <w:tabs>
          <w:tab w:leader="none" w:pos="23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securities laws prohibit the trading of public securities while in possession of material non-public information. You should not buy or sell any shares of Gores Guggenheim, Inc. without the express prior approval of Anna Rudensjö (Polestar Legal).</w:t>
      </w:r>
    </w:p>
    <w:p>
      <w:pPr>
        <w:spacing w:after="0" w:line="283"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Q: Can I share this news on my social media channels?</w:t>
      </w:r>
    </w:p>
    <w:p>
      <w:pPr>
        <w:spacing w:after="0" w:line="104" w:lineRule="exact"/>
        <w:rPr>
          <w:sz w:val="24"/>
          <w:szCs w:val="24"/>
          <w:color w:val="auto"/>
        </w:rPr>
      </w:pPr>
    </w:p>
    <w:p>
      <w:pPr>
        <w:jc w:val="both"/>
        <w:ind w:left="4" w:hanging="4"/>
        <w:spacing w:after="0" w:line="247" w:lineRule="auto"/>
        <w:tabs>
          <w:tab w:leader="none" w:pos="237"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FF4338"/>
        </w:rPr>
        <w:t>No.</w:t>
      </w:r>
      <w:r>
        <w:rPr>
          <w:rFonts w:ascii="Arial" w:cs="Arial" w:eastAsia="Arial" w:hAnsi="Arial"/>
          <w:sz w:val="18"/>
          <w:szCs w:val="18"/>
          <w:b w:val="1"/>
          <w:bCs w:val="1"/>
          <w:color w:val="FF4338"/>
        </w:rPr>
        <w:t xml:space="preserve"> </w:t>
      </w:r>
      <w:r>
        <w:rPr>
          <w:rFonts w:ascii="Arial" w:cs="Arial" w:eastAsia="Arial" w:hAnsi="Arial"/>
          <w:sz w:val="18"/>
          <w:szCs w:val="18"/>
          <w:color w:val="000000"/>
        </w:rPr>
        <w:t>As representatives of the company, we must not speak publicly about this transaction in any channels. The proposed business</w:t>
      </w:r>
      <w:r>
        <w:rPr>
          <w:rFonts w:ascii="Arial" w:cs="Arial" w:eastAsia="Arial" w:hAnsi="Arial"/>
          <w:sz w:val="18"/>
          <w:szCs w:val="18"/>
          <w:b w:val="1"/>
          <w:bCs w:val="1"/>
          <w:color w:val="FF4338"/>
        </w:rPr>
        <w:t xml:space="preserve"> </w:t>
      </w:r>
      <w:r>
        <w:rPr>
          <w:rFonts w:ascii="Arial" w:cs="Arial" w:eastAsia="Arial" w:hAnsi="Arial"/>
          <w:sz w:val="18"/>
          <w:szCs w:val="18"/>
          <w:color w:val="000000"/>
        </w:rPr>
        <w:t xml:space="preserve">combination falls under the remit of the Securities and Exchange Commission (the “SEC”) in the USA and as such there are serious legal and regulatory requirements around the communication of this news. While we understand that this is exciting news, </w:t>
      </w:r>
      <w:r>
        <w:rPr>
          <w:rFonts w:ascii="Arial" w:cs="Arial" w:eastAsia="Arial" w:hAnsi="Arial"/>
          <w:sz w:val="18"/>
          <w:szCs w:val="18"/>
          <w:b w:val="1"/>
          <w:bCs w:val="1"/>
          <w:u w:val="single" w:color="auto"/>
          <w:color w:val="000000"/>
        </w:rPr>
        <w:t>we are instructed</w:t>
      </w:r>
      <w:r>
        <w:rPr>
          <w:rFonts w:ascii="Arial" w:cs="Arial" w:eastAsia="Arial" w:hAnsi="Arial"/>
          <w:sz w:val="18"/>
          <w:szCs w:val="18"/>
          <w:color w:val="000000"/>
        </w:rPr>
        <w:t xml:space="preserve"> </w:t>
      </w:r>
      <w:r>
        <w:rPr>
          <w:rFonts w:ascii="Arial" w:cs="Arial" w:eastAsia="Arial" w:hAnsi="Arial"/>
          <w:sz w:val="18"/>
          <w:szCs w:val="18"/>
          <w:b w:val="1"/>
          <w:bCs w:val="1"/>
          <w:u w:val="single" w:color="auto"/>
          <w:color w:val="000000"/>
        </w:rPr>
        <w:t>not to interact in social media regarding the proposed transaction</w:t>
      </w:r>
      <w:r>
        <w:rPr>
          <w:rFonts w:ascii="Arial" w:cs="Arial" w:eastAsia="Arial" w:hAnsi="Arial"/>
          <w:sz w:val="18"/>
          <w:szCs w:val="18"/>
          <w:b w:val="1"/>
          <w:bCs w:val="1"/>
          <w:color w:val="000000"/>
        </w:rPr>
        <w:t>.</w:t>
      </w:r>
    </w:p>
    <w:p>
      <w:pPr>
        <w:sectPr>
          <w:pgSz w:w="11900" w:h="16838" w:orient="portrait"/>
          <w:cols w:equalWidth="0" w:num="1">
            <w:col w:w="11024"/>
          </w:cols>
          <w:pgMar w:left="436" w:top="242"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includes:</w:t>
      </w:r>
    </w:p>
    <w:p>
      <w:pPr>
        <w:spacing w:after="0" w:line="117"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liking</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sharing</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retweeting</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commenting</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Will employees receive shares in the company?</w:t>
      </w:r>
    </w:p>
    <w:p>
      <w:pPr>
        <w:spacing w:after="0" w:line="126" w:lineRule="exact"/>
        <w:rPr>
          <w:sz w:val="20"/>
          <w:szCs w:val="20"/>
          <w:color w:val="auto"/>
        </w:rPr>
      </w:pPr>
    </w:p>
    <w:p>
      <w:pPr>
        <w:jc w:val="both"/>
        <w:ind w:left="4" w:hanging="4"/>
        <w:spacing w:after="0"/>
        <w:tabs>
          <w:tab w:leader="none" w:pos="227"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Polestar has agreed to adopt an incentive equity plan and employee share purchase plan in connection with the transaction with Gores Guggenheim, Inc. More information will be available at a later date as Polestar implements these programmes following the closing of the transaction which is expected in the first half of 2022 (subject to customary closing conditions).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Will this affect my day-to-day life at Polestar?</w:t>
      </w:r>
    </w:p>
    <w:p>
      <w:pPr>
        <w:spacing w:after="0" w:line="126" w:lineRule="exact"/>
        <w:rPr>
          <w:sz w:val="20"/>
          <w:szCs w:val="20"/>
          <w:color w:val="auto"/>
        </w:rPr>
      </w:pPr>
    </w:p>
    <w:p>
      <w:pPr>
        <w:jc w:val="both"/>
        <w:ind w:left="4" w:hanging="4"/>
        <w:spacing w:after="0" w:line="238"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announcement should not significantly affect your day-to-day life as a Polestar. This is a recognition of the tremendous contribution you have made to get Polestar to where it is today. Our task remains unchanged from the one outlined in our employee day last week. We must all continue to focus on the organisational and personal objectives that we have set out. Now more than ever, we need to deliver operational excellence and the growth that we have set out to achieve, whilst of course not compromising on outstanding service and experience for our partners and our customers.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If I get questions about future products and projects, what do I answer?</w:t>
      </w:r>
    </w:p>
    <w:p>
      <w:pPr>
        <w:spacing w:after="0" w:line="126" w:lineRule="exact"/>
        <w:rPr>
          <w:sz w:val="20"/>
          <w:szCs w:val="20"/>
          <w:color w:val="auto"/>
        </w:rPr>
      </w:pPr>
    </w:p>
    <w:p>
      <w:pPr>
        <w:jc w:val="both"/>
        <w:ind w:left="4" w:hanging="4"/>
        <w:spacing w:after="0"/>
        <w:tabs>
          <w:tab w:leader="none" w:pos="24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policy is to not comment publicly on future products or projects and this announcement does not change that. The </w:t>
      </w:r>
      <w:r>
        <w:rPr>
          <w:rFonts w:ascii="Arial" w:cs="Arial" w:eastAsia="Arial" w:hAnsi="Arial"/>
          <w:sz w:val="18"/>
          <w:szCs w:val="18"/>
          <w:u w:val="single" w:color="auto"/>
          <w:color w:val="0563C1"/>
        </w:rPr>
        <w:t>One Voice</w:t>
      </w:r>
      <w:r>
        <w:rPr>
          <w:rFonts w:ascii="Arial" w:cs="Arial" w:eastAsia="Arial" w:hAnsi="Arial"/>
          <w:sz w:val="18"/>
          <w:szCs w:val="18"/>
          <w:color w:val="auto"/>
        </w:rPr>
        <w:t xml:space="preserve"> should always be your first point of reference. If you are approached or asked for comment, please do not answer and direct the query to your local PR Manager.</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We have revealed our next 3 cars in teaser images as part of this news. What can we say about them?</w:t>
      </w:r>
    </w:p>
    <w:p>
      <w:pPr>
        <w:spacing w:after="0" w:line="126" w:lineRule="exact"/>
        <w:rPr>
          <w:sz w:val="20"/>
          <w:szCs w:val="20"/>
          <w:color w:val="auto"/>
        </w:rPr>
      </w:pPr>
    </w:p>
    <w:p>
      <w:pPr>
        <w:jc w:val="both"/>
        <w:ind w:left="4" w:hanging="4"/>
        <w:spacing w:after="0"/>
        <w:tabs>
          <w:tab w:leader="none" w:pos="2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part of the SPAC business combination process, Polestar has shared information regarding business strategy and future products. This includes the confirmation that we plan to reveal one new car every year for the next three years, starting with Polestar 3 in 2022. Further details on these cars will be officially announced in due course. We will not be making further announcements now.</w:t>
      </w:r>
    </w:p>
    <w:p>
      <w:pPr>
        <w:spacing w:after="0" w:line="289" w:lineRule="exact"/>
        <w:rPr>
          <w:sz w:val="20"/>
          <w:szCs w:val="20"/>
          <w:color w:val="auto"/>
        </w:rPr>
      </w:pPr>
    </w:p>
    <w:p>
      <w:pPr>
        <w:ind w:left="4" w:hanging="4"/>
        <w:spacing w:after="0" w:line="271" w:lineRule="auto"/>
        <w:tabs>
          <w:tab w:leader="none" w:pos="27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Some information on the future cars is described in other official public documents relating to this news. What can I say publicly about future products?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A: We should not describe future products in detail outside of official channels.</w:t>
      </w:r>
    </w:p>
    <w:p>
      <w:pPr>
        <w:sectPr>
          <w:pgSz w:w="11900" w:h="16838" w:orient="portrait"/>
          <w:cols w:equalWidth="0" w:num="1">
            <w:col w:w="11004"/>
          </w:cols>
          <w:pgMar w:left="436" w:top="287"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 How does the Polestar organisation need to react to this news. Do we need to behave differently?</w:t>
      </w:r>
    </w:p>
    <w:p>
      <w:pPr>
        <w:spacing w:after="0" w:line="126" w:lineRule="exact"/>
        <w:rPr>
          <w:sz w:val="20"/>
          <w:szCs w:val="20"/>
          <w:color w:val="auto"/>
        </w:rPr>
      </w:pPr>
    </w:p>
    <w:p>
      <w:pPr>
        <w:jc w:val="both"/>
        <w:ind w:left="4" w:hanging="4"/>
        <w:spacing w:after="0" w:line="238" w:lineRule="auto"/>
        <w:tabs>
          <w:tab w:leader="none" w:pos="2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announcement should not significantly affect your day-to-day life as a Polestar. This is a recognition of the tremendous contribution you have made to get Polestar to where it is today. Our task remains unchanged from the one outlined in our employee day last week. Now more than ever, we need to deliver operational excellence and the growth that we have set out to achieve, whilst of course not compromising on outstanding service and experience for our partners and our customers.</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SEC has strict guidelines governing publicity and solicitation. In light of these rules, we must not speak publicly about the process.</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Are we still employed by Polestar Performance AB or the relevant Polestar sales organisation in-market?</w:t>
      </w:r>
    </w:p>
    <w:p>
      <w:pPr>
        <w:spacing w:after="0" w:line="126" w:lineRule="exact"/>
        <w:rPr>
          <w:sz w:val="20"/>
          <w:szCs w:val="20"/>
          <w:color w:val="auto"/>
        </w:rPr>
      </w:pPr>
    </w:p>
    <w:p>
      <w:pPr>
        <w:ind w:left="4" w:right="20" w:hanging="4"/>
        <w:spacing w:after="0" w:line="246" w:lineRule="auto"/>
        <w:tabs>
          <w:tab w:leader="none" w:pos="2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Yes, you are still employed by your existing Polestar organisation, depending on your location and local setup. The Polestar management team will continue to run the company with Thomas as CEO.</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Polestar organization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Is Thomas Ingenlath still the CEO?</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Yes, Thomas Ingenlath and the existing management team will continue to run Polestar as before.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How does this affect the Polestar Board?</w:t>
      </w:r>
    </w:p>
    <w:p>
      <w:pPr>
        <w:spacing w:after="0" w:line="126" w:lineRule="exact"/>
        <w:rPr>
          <w:sz w:val="20"/>
          <w:szCs w:val="20"/>
          <w:color w:val="auto"/>
        </w:rPr>
      </w:pPr>
    </w:p>
    <w:p>
      <w:pPr>
        <w:ind w:left="4" w:right="20" w:hanging="4"/>
        <w:spacing w:after="0" w:line="246" w:lineRule="auto"/>
        <w:tabs>
          <w:tab w:leader="none" w:pos="2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Polestar has agreed to adopt a majority independent Board in connection with the business combination. We are working to finalise the membership of the Board.</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Will our global headquarters still be in Gothenburg?</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Yes, the company’s global headquarters will remain in Gothenburg, at the affectionately named Polestar Cube.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Does this have any implications for Polestar customers?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No – this will not affect Polestar customers and they can continue to enjoy their electric performance cars as before.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What does this mean for Volvo Cars and Geely? What is the new ownership split?</w:t>
      </w:r>
    </w:p>
    <w:p>
      <w:pPr>
        <w:spacing w:after="0" w:line="139" w:lineRule="exact"/>
        <w:rPr>
          <w:sz w:val="20"/>
          <w:szCs w:val="20"/>
          <w:color w:val="auto"/>
        </w:rPr>
      </w:pPr>
    </w:p>
    <w:p>
      <w:pPr>
        <w:ind w:left="424" w:right="20" w:hanging="424"/>
        <w:spacing w:after="0" w:line="246"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Assuming no redemptions of shares held by Gores Guggenheim, Inc.’s shareholders, Volvo Cars and PSD Investment Limited (an entity indirectly owned by Eric Li, Chairman of Geely Holding) are expected to hold approximately 94% of the post-transaction entity.</w:t>
      </w:r>
    </w:p>
    <w:p>
      <w:pPr>
        <w:sectPr>
          <w:pgSz w:w="11900" w:h="16838" w:orient="portrait"/>
          <w:cols w:equalWidth="0" w:num="1">
            <w:col w:w="11024"/>
          </w:cols>
          <w:pgMar w:left="436" w:top="265" w:right="439" w:bottom="1440" w:gutter="0" w:footer="0" w:header="0"/>
        </w:sectPr>
      </w:pPr>
    </w:p>
    <w:bookmarkStart w:id="3" w:name="page4"/>
    <w:bookmarkEnd w:id="3"/>
    <w:p>
      <w:pPr>
        <w:ind w:left="244" w:hanging="244"/>
        <w:spacing w:after="0"/>
        <w:tabs>
          <w:tab w:leader="none" w:pos="2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Does this change any of our daily operations with Volvo Cars and our suppliers?</w:t>
      </w:r>
    </w:p>
    <w:p>
      <w:pPr>
        <w:spacing w:after="0" w:line="125" w:lineRule="exact"/>
        <w:rPr>
          <w:rFonts w:ascii="Arial" w:cs="Arial" w:eastAsia="Arial" w:hAnsi="Arial"/>
          <w:sz w:val="18"/>
          <w:szCs w:val="18"/>
          <w:b w:val="1"/>
          <w:bCs w:val="1"/>
          <w:color w:val="auto"/>
        </w:rPr>
      </w:pPr>
    </w:p>
    <w:p>
      <w:pPr>
        <w:ind w:left="224" w:hanging="224"/>
        <w:spacing w:after="0"/>
        <w:tabs>
          <w:tab w:leader="none" w:pos="2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we will continue to operate in the same manner.</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Does the transaction change our company focus?</w:t>
      </w:r>
    </w:p>
    <w:p>
      <w:pPr>
        <w:spacing w:after="0" w:line="126" w:lineRule="exact"/>
        <w:rPr>
          <w:sz w:val="20"/>
          <w:szCs w:val="20"/>
          <w:color w:val="auto"/>
        </w:rPr>
      </w:pPr>
    </w:p>
    <w:p>
      <w:pPr>
        <w:ind w:left="4" w:right="20" w:hanging="4"/>
        <w:spacing w:after="0" w:line="246" w:lineRule="auto"/>
        <w:tabs>
          <w:tab w:leader="none" w:pos="2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it does not – in fact, it will accelerate our strategy. Becoming a public company simply means that we will have more resources to invest in realising our mission.</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Celebrity involvement</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part of the financial announcement, Leonardo DiCaprio has been named as an existing investor in Polestar.</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Does Leonardo DiCaprio own a part of the business?</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8"/>
          <w:szCs w:val="18"/>
          <w:color w:val="auto"/>
        </w:rPr>
        <w:t>A: Leonardo DiCaprio, actor and activist, is an existing investor in Polestar.</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Financial elements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What is a SPAC?</w:t>
      </w:r>
    </w:p>
    <w:p>
      <w:pPr>
        <w:spacing w:after="0" w:line="126" w:lineRule="exact"/>
        <w:rPr>
          <w:sz w:val="20"/>
          <w:szCs w:val="20"/>
          <w:color w:val="auto"/>
        </w:rPr>
      </w:pPr>
    </w:p>
    <w:p>
      <w:pPr>
        <w:ind w:left="4" w:right="20" w:hanging="4"/>
        <w:spacing w:after="0" w:line="246" w:lineRule="auto"/>
        <w:tabs>
          <w:tab w:leader="none" w:pos="22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special purpose acquisition company (SPAC) is a blank cheque corporation listed on a stock exchange with the purpose of acquiring a private company, thus making it public.</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Is Polestar now listed on a stock exchange?</w:t>
      </w:r>
    </w:p>
    <w:p>
      <w:pPr>
        <w:spacing w:after="0" w:line="126" w:lineRule="exact"/>
        <w:rPr>
          <w:sz w:val="20"/>
          <w:szCs w:val="20"/>
          <w:color w:val="auto"/>
        </w:rPr>
      </w:pPr>
    </w:p>
    <w:p>
      <w:pPr>
        <w:ind w:left="4" w:right="20" w:hanging="4"/>
        <w:spacing w:after="0" w:line="246"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Polestar has signed a definitive business combination agreement with Gores Guggenheim, Inc. with the aim to be listed on the Nasdaq in the first half of 2022 subject to approval by stockholders of Gores Guggenheim, Inc. and other customary closing conditions.</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When will Polestar be listed on the stock exchange?</w:t>
      </w:r>
    </w:p>
    <w:p>
      <w:pPr>
        <w:spacing w:after="0" w:line="126" w:lineRule="exact"/>
        <w:rPr>
          <w:sz w:val="20"/>
          <w:szCs w:val="20"/>
          <w:color w:val="auto"/>
        </w:rPr>
      </w:pPr>
    </w:p>
    <w:p>
      <w:pPr>
        <w:ind w:left="4" w:right="20" w:hanging="4"/>
        <w:spacing w:after="0" w:line="246" w:lineRule="auto"/>
        <w:tabs>
          <w:tab w:leader="none" w:pos="2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the successful closing of the proposed transaction, this is expected to be in the first half of 2022. The combined company will be named Polestar Automotive Holding UK Limited (“Polestar”) and is expected to be listed on the Nasdaq under the ticker symbol “PSNY”.</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What are the next milestones, following today’s announcement, ahead of listing?</w:t>
      </w:r>
    </w:p>
    <w:p>
      <w:pPr>
        <w:spacing w:after="0" w:line="126" w:lineRule="exact"/>
        <w:rPr>
          <w:sz w:val="20"/>
          <w:szCs w:val="20"/>
          <w:color w:val="auto"/>
        </w:rPr>
      </w:pPr>
    </w:p>
    <w:p>
      <w:pPr>
        <w:jc w:val="both"/>
        <w:ind w:left="4" w:hanging="4"/>
        <w:spacing w:after="0" w:line="238" w:lineRule="auto"/>
        <w:tabs>
          <w:tab w:leader="none" w:pos="2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the Boards of Directors of both Polestar and Gores Guggenheim, Inc. unanimously approving the proposed transaction, the parties intend to file a registration statement and proxy statement with the United States Securities and Exchange Commission (SEC). We expect to complete the closing process, subject to customary closing conditions and the receipt of Gores Guggenheim, Inc. stockholder approval, in the first half of 2022, when the post-combination company “Polestar Automotive Holding UK Limited” is expected to become a public company and commence trading under the ticker “PSNY”.</w:t>
      </w:r>
    </w:p>
    <w:p>
      <w:pPr>
        <w:sectPr>
          <w:pgSz w:w="11900" w:h="16838" w:orient="portrait"/>
          <w:cols w:equalWidth="0" w:num="1">
            <w:col w:w="11024"/>
          </w:cols>
          <w:pgMar w:left="436" w:top="265"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What is Polestar’s investment case?</w:t>
      </w:r>
    </w:p>
    <w:p>
      <w:pPr>
        <w:spacing w:after="0" w:line="126" w:lineRule="exact"/>
        <w:rPr>
          <w:sz w:val="20"/>
          <w:szCs w:val="20"/>
          <w:color w:val="auto"/>
        </w:rPr>
      </w:pPr>
    </w:p>
    <w:p>
      <w:pPr>
        <w:ind w:left="224" w:hanging="224"/>
        <w:spacing w:after="0"/>
        <w:tabs>
          <w:tab w:leader="none" w:pos="2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Polestar we believe that we have a very strong investment case, by nature of four distinguishing factors:</w:t>
      </w:r>
    </w:p>
    <w:p>
      <w:pPr>
        <w:spacing w:after="0" w:line="117" w:lineRule="exact"/>
        <w:rPr>
          <w:rFonts w:ascii="Arial" w:cs="Arial" w:eastAsia="Arial" w:hAnsi="Arial"/>
          <w:sz w:val="18"/>
          <w:szCs w:val="18"/>
          <w:color w:val="auto"/>
        </w:rPr>
      </w:pPr>
    </w:p>
    <w:p>
      <w:pPr>
        <w:ind w:left="1424" w:hanging="439"/>
        <w:spacing w:after="0"/>
        <w:tabs>
          <w:tab w:leader="none" w:pos="14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Our cars are on the road already</w:t>
      </w:r>
    </w:p>
    <w:p>
      <w:pPr>
        <w:spacing w:after="0" w:line="117" w:lineRule="exact"/>
        <w:rPr>
          <w:rFonts w:ascii="Arial" w:cs="Arial" w:eastAsia="Arial" w:hAnsi="Arial"/>
          <w:sz w:val="18"/>
          <w:szCs w:val="18"/>
          <w:color w:val="auto"/>
        </w:rPr>
      </w:pPr>
    </w:p>
    <w:p>
      <w:pPr>
        <w:ind w:left="1424" w:hanging="439"/>
        <w:spacing w:after="0"/>
        <w:tabs>
          <w:tab w:leader="none" w:pos="14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have had a global footprint across 14 markets</w:t>
      </w:r>
    </w:p>
    <w:p>
      <w:pPr>
        <w:spacing w:after="0" w:line="117" w:lineRule="exact"/>
        <w:rPr>
          <w:rFonts w:ascii="Arial" w:cs="Arial" w:eastAsia="Arial" w:hAnsi="Arial"/>
          <w:sz w:val="18"/>
          <w:szCs w:val="18"/>
          <w:color w:val="auto"/>
        </w:rPr>
      </w:pPr>
    </w:p>
    <w:p>
      <w:pPr>
        <w:ind w:left="1424" w:hanging="439"/>
        <w:spacing w:after="0"/>
        <w:tabs>
          <w:tab w:leader="none" w:pos="14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believe that we have unique operational capacity through manufacturing contracts with Volvo Cars and Geely</w:t>
      </w:r>
    </w:p>
    <w:p>
      <w:pPr>
        <w:spacing w:after="0" w:line="117" w:lineRule="exact"/>
        <w:rPr>
          <w:rFonts w:ascii="Arial" w:cs="Arial" w:eastAsia="Arial" w:hAnsi="Arial"/>
          <w:sz w:val="18"/>
          <w:szCs w:val="18"/>
          <w:color w:val="auto"/>
        </w:rPr>
      </w:pPr>
    </w:p>
    <w:p>
      <w:pPr>
        <w:ind w:left="1424" w:hanging="439"/>
        <w:spacing w:after="0"/>
        <w:tabs>
          <w:tab w:leader="none" w:pos="14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operate in the fast-growing premium electric vehicle space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Q: Why will we apply to be listed on the Nasdaq and not on another exchange in Stockholm or Hong Kong, etc.?</w:t>
      </w:r>
    </w:p>
    <w:p>
      <w:pPr>
        <w:spacing w:after="0" w:line="126" w:lineRule="exact"/>
        <w:rPr>
          <w:sz w:val="20"/>
          <w:szCs w:val="20"/>
          <w:color w:val="auto"/>
        </w:rPr>
      </w:pPr>
    </w:p>
    <w:p>
      <w:pPr>
        <w:ind w:left="4" w:hanging="4"/>
        <w:spacing w:after="0" w:line="246" w:lineRule="auto"/>
        <w:tabs>
          <w:tab w:leader="none" w:pos="2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Nasdaq is the logical stock exchange for a technology focused electric vehicle company, giving us access to global investors with an interest in our sector and strategy.</w:t>
      </w:r>
    </w:p>
    <w:p>
      <w:pPr>
        <w:sectPr>
          <w:pgSz w:w="11900" w:h="16838" w:orient="portrait"/>
          <w:cols w:equalWidth="0" w:num="1">
            <w:col w:w="11004"/>
          </w:cols>
          <w:pgMar w:left="436" w:top="26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 -Looking Statements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proposed business combination between Gores Guggenheim, the Company, ListCo and the other parties thereto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w:t>
      </w:r>
    </w:p>
    <w:p>
      <w:pPr>
        <w:sectPr>
          <w:pgSz w:w="11900" w:h="16838" w:orient="portrait"/>
          <w:cols w:equalWidth="0" w:num="1">
            <w:col w:w="11020"/>
          </w:cols>
          <w:pgMar w:left="440" w:top="265" w:right="439" w:bottom="1440" w:gutter="0" w:footer="0" w:header="0"/>
        </w:sectPr>
      </w:pPr>
    </w:p>
    <w:bookmarkStart w:id="6" w:name="page7"/>
    <w:bookmarkEnd w:id="6"/>
    <w:p>
      <w:pPr>
        <w:jc w:val="both"/>
        <w:ind w:left="4" w:right="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experience in producing electric vehicles, and on the allocation of sufficient production capacity to the Company by its partners in order for the Company to be able to increase its vehicle production capacities; (21) risks related to the Company’s distribution model;</w:t>
      </w:r>
    </w:p>
    <w:p>
      <w:pPr>
        <w:spacing w:after="0" w:line="1" w:lineRule="exact"/>
        <w:rPr>
          <w:sz w:val="20"/>
          <w:szCs w:val="20"/>
          <w:color w:val="auto"/>
        </w:rPr>
      </w:pPr>
    </w:p>
    <w:p>
      <w:pPr>
        <w:jc w:val="both"/>
        <w:ind w:left="4" w:right="20" w:hanging="4"/>
        <w:spacing w:after="0" w:line="234" w:lineRule="auto"/>
        <w:tabs>
          <w:tab w:leader="none" w:pos="3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 the global COVID-19 pandemic on Gores Guggenheim, the Company, the Company’s post business combination’s projected results of operations, financial performance or other financial metrics, or on any of the foregoing risks; and</w:t>
      </w:r>
    </w:p>
    <w:p>
      <w:pPr>
        <w:spacing w:after="0" w:line="2" w:lineRule="exact"/>
        <w:rPr>
          <w:rFonts w:ascii="Arial" w:cs="Arial" w:eastAsia="Arial" w:hAnsi="Arial"/>
          <w:sz w:val="18"/>
          <w:szCs w:val="18"/>
          <w:color w:val="auto"/>
        </w:rPr>
      </w:pPr>
    </w:p>
    <w:p>
      <w:pPr>
        <w:jc w:val="both"/>
        <w:ind w:left="4" w:hanging="4"/>
        <w:spacing w:after="0" w:line="237" w:lineRule="auto"/>
        <w:tabs>
          <w:tab w:leader="none" w:pos="4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U.S. Securities and Exchange Commission (the “SEC”) by Gores Guggenheim or ListCo, including the Registration/Proxy Statement (as defined below).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205" w:lineRule="exact"/>
        <w:rPr>
          <w:sz w:val="20"/>
          <w:szCs w:val="20"/>
          <w:color w:val="auto"/>
        </w:rPr>
      </w:pPr>
    </w:p>
    <w:p>
      <w:pPr>
        <w:jc w:val="both"/>
        <w:ind w:left="4" w:right="20"/>
        <w:spacing w:after="0" w:line="238" w:lineRule="auto"/>
        <w:rPr>
          <w:sz w:val="20"/>
          <w:szCs w:val="20"/>
          <w:color w:val="auto"/>
        </w:rPr>
      </w:pPr>
      <w:r>
        <w:rPr>
          <w:rFonts w:ascii="Arial" w:cs="Arial" w:eastAsia="Arial" w:hAnsi="Arial"/>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6"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8"/>
          <w:szCs w:val="18"/>
          <w:color w:val="auto"/>
        </w:rPr>
        <w:t>In connection with the proposed Business Combination, (i) ListCo is expected to file with the SEC a registration statement on Form F-4 containing a preliminary proxy statement of Gores Guggenheim and a preliminary prospectus (the “Registration/Proxy Statement”), and</w:t>
      </w:r>
    </w:p>
    <w:p>
      <w:pPr>
        <w:spacing w:after="0" w:line="1" w:lineRule="exact"/>
        <w:rPr>
          <w:sz w:val="20"/>
          <w:szCs w:val="20"/>
          <w:color w:val="auto"/>
        </w:rPr>
      </w:pPr>
    </w:p>
    <w:p>
      <w:pPr>
        <w:jc w:val="both"/>
        <w:ind w:left="4" w:hanging="4"/>
        <w:spacing w:after="0" w:line="235"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Communication does not contain all the information that should be considered concerning the proposed Business Combination and is not intended to form the basis of any investment decision or any other decision in respect of the Business Combination. </w:t>
      </w:r>
      <w:r>
        <w:rPr>
          <w:rFonts w:ascii="Arial" w:cs="Arial" w:eastAsia="Arial" w:hAnsi="Arial"/>
          <w:sz w:val="18"/>
          <w:szCs w:val="18"/>
          <w:b w:val="1"/>
          <w:bCs w:val="1"/>
          <w:color w:val="auto"/>
        </w:rPr>
        <w:t>Before making any voting or other investment decisions, securityholders of Gores Guggenheim and other</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interested persons are advised to read, when available,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299"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24"/>
          </w:cols>
          <w:pgMar w:left="436" w:top="287"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GGPI, the Company and Polestar assume no obligation and, except as required by law, do not intend to update or revise these forward-looking statements, whether as a result of new information, future events, or otherwise. None of GGPI, the Company or Polestar give any assurance that either GGPI, the Company or Polestar will achieve its expectations.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will be contained in the Registration/Proxy Statement for the proposed Business Combination when available.</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will be included in the Registration/Proxy Statement for the proposed Business Combination when available.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Communication relates to the proposed Business Combination. This document does not Communication is not a proxy statement or solicitation of a proxy, consent or authorization with respect to any securities or in respect of the potential transaction and shall not constitute an offer to sell or exchange, or thea solicitation of an offer to buy or exchange, anythe securities of Gores Guggenheim, the Company or ListCo, nor shall there be any sale of any such securities in any state or jurisdiction in which such offer, solicitation, or sale or exchange would be unlawful prior to registration or qualification under the securities laws of any such state or jurisdiction. No offer of securities shall be made except by means of a prospectus meeting the requirements of the Securities Act of 1933, as amended.</w:t>
      </w: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1"/>
    </w:lvl>
  </w:abstractNum>
  <w:abstractNum w:abstractNumId="2">
    <w:nsid w:val="7FDCC233"/>
    <w:multiLevelType w:val="hybridMultilevel"/>
    <w:lvl w:ilvl="0">
      <w:lvlJc w:val="left"/>
      <w:lvlText w:val="%1:"/>
      <w:numFmt w:val="upperLetter"/>
      <w:start w:val="1"/>
    </w:lvl>
  </w:abstractNum>
  <w:abstractNum w:abstractNumId="3">
    <w:nsid w:val="1BEFD79F"/>
    <w:multiLevelType w:val="hybridMultilevel"/>
    <w:lvl w:ilvl="0">
      <w:lvlJc w:val="left"/>
      <w:lvlText w:val="%1:"/>
      <w:numFmt w:val="upp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upperLetter"/>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upperLetter"/>
      <w:start w:val="1"/>
    </w:lvl>
  </w:abstractNum>
  <w:abstractNum w:abstractNumId="8">
    <w:nsid w:val="519B500D"/>
    <w:multiLevelType w:val="hybridMultilevel"/>
    <w:lvl w:ilvl="0">
      <w:lvlJc w:val="left"/>
      <w:lvlText w:val="%1:"/>
      <w:numFmt w:val="upperLetter"/>
      <w:start w:val="1"/>
    </w:lvl>
  </w:abstractNum>
  <w:abstractNum w:abstractNumId="9">
    <w:nsid w:val="431BD7B7"/>
    <w:multiLevelType w:val="hybridMultilevel"/>
    <w:lvl w:ilvl="0">
      <w:lvlJc w:val="left"/>
      <w:lvlText w:val="%1:"/>
      <w:numFmt w:val="upperLetter"/>
      <w:start w:val="17"/>
    </w:lvl>
  </w:abstractNum>
  <w:abstractNum w:abstractNumId="10">
    <w:nsid w:val="3F2DBA31"/>
    <w:multiLevelType w:val="hybridMultilevel"/>
    <w:lvl w:ilvl="0">
      <w:lvlJc w:val="left"/>
      <w:lvlText w:val="%1:"/>
      <w:numFmt w:val="upperLetter"/>
      <w:start w:val="1"/>
    </w:lvl>
  </w:abstractNum>
  <w:abstractNum w:abstractNumId="11">
    <w:nsid w:val="7C83E458"/>
    <w:multiLevelType w:val="hybridMultilevel"/>
    <w:lvl w:ilvl="0">
      <w:lvlJc w:val="left"/>
      <w:lvlText w:val="%1:"/>
      <w:numFmt w:val="upperLetter"/>
      <w:start w:val="1"/>
    </w:lvl>
  </w:abstractNum>
  <w:abstractNum w:abstractNumId="12">
    <w:nsid w:val="257130A3"/>
    <w:multiLevelType w:val="hybridMultilevel"/>
    <w:lvl w:ilvl="0">
      <w:lvlJc w:val="left"/>
      <w:lvlText w:val="%1:"/>
      <w:numFmt w:val="upperLetter"/>
      <w:start w:val="1"/>
    </w:lvl>
  </w:abstractNum>
  <w:abstractNum w:abstractNumId="13">
    <w:nsid w:val="62BBD95A"/>
    <w:multiLevelType w:val="hybridMultilevel"/>
    <w:lvl w:ilvl="0">
      <w:lvlJc w:val="left"/>
      <w:lvlText w:val="%1:"/>
      <w:numFmt w:val="upperLetter"/>
      <w:start w:val="1"/>
    </w:lvl>
  </w:abstractNum>
  <w:abstractNum w:abstractNumId="14">
    <w:nsid w:val="436C6125"/>
    <w:multiLevelType w:val="hybridMultilevel"/>
    <w:lvl w:ilvl="0">
      <w:lvlJc w:val="left"/>
      <w:lvlText w:val="%1:"/>
      <w:numFmt w:val="upperLetter"/>
      <w:start w:val="17"/>
    </w:lvl>
  </w:abstractNum>
  <w:abstractNum w:abstractNumId="15">
    <w:nsid w:val="628C895D"/>
    <w:multiLevelType w:val="hybridMultilevel"/>
    <w:lvl w:ilvl="0">
      <w:lvlJc w:val="left"/>
      <w:lvlText w:val="%1:"/>
      <w:numFmt w:val="upperLetter"/>
      <w:start w:val="1"/>
    </w:lvl>
  </w:abstractNum>
  <w:abstractNum w:abstractNumId="16">
    <w:nsid w:val="333AB105"/>
    <w:multiLevelType w:val="hybridMultilevel"/>
    <w:lvl w:ilvl="0">
      <w:lvlJc w:val="left"/>
      <w:lvlText w:val="%1:"/>
      <w:numFmt w:val="upperLetter"/>
      <w:start w:val="1"/>
    </w:lvl>
  </w:abstractNum>
  <w:abstractNum w:abstractNumId="17">
    <w:nsid w:val="721DA317"/>
    <w:multiLevelType w:val="hybridMultilevel"/>
    <w:lvl w:ilvl="0">
      <w:lvlJc w:val="left"/>
      <w:lvlText w:val="%1:"/>
      <w:numFmt w:val="upperLetter"/>
      <w:start w:val="1"/>
    </w:lvl>
  </w:abstractNum>
  <w:abstractNum w:abstractNumId="18">
    <w:nsid w:val="2443A858"/>
    <w:multiLevelType w:val="hybridMultilevel"/>
    <w:lvl w:ilvl="0">
      <w:lvlJc w:val="left"/>
      <w:lvlText w:val="%1:"/>
      <w:numFmt w:val="upperLetter"/>
      <w:start w:val="1"/>
    </w:lvl>
  </w:abstractNum>
  <w:abstractNum w:abstractNumId="19">
    <w:nsid w:val="2D1D5AE9"/>
    <w:multiLevelType w:val="hybridMultilevel"/>
    <w:lvl w:ilvl="0">
      <w:lvlJc w:val="left"/>
      <w:lvlText w:val="%1:"/>
      <w:numFmt w:val="upperLetter"/>
      <w:start w:val="1"/>
    </w:lvl>
  </w:abstractNum>
  <w:abstractNum w:abstractNumId="20">
    <w:nsid w:val="6763845E"/>
    <w:multiLevelType w:val="hybridMultilevel"/>
    <w:lvl w:ilvl="0">
      <w:lvlJc w:val="left"/>
      <w:lvlText w:val="%1:"/>
      <w:numFmt w:val="upperLetter"/>
      <w:start w:val="1"/>
    </w:lvl>
  </w:abstractNum>
  <w:abstractNum w:abstractNumId="21">
    <w:nsid w:val="75A2A8D4"/>
    <w:multiLevelType w:val="hybridMultilevel"/>
    <w:lvl w:ilvl="0">
      <w:lvlJc w:val="left"/>
      <w:lvlText w:val="%1:"/>
      <w:numFmt w:val="upperLetter"/>
      <w:start w:val="1"/>
    </w:lvl>
    <w:lvl w:ilvl="1">
      <w:lvlJc w:val="left"/>
      <w:lvlText w:val="•"/>
      <w:numFmt w:val="bullet"/>
      <w:start w:val="1"/>
    </w:lvl>
  </w:abstractNum>
  <w:abstractNum w:abstractNumId="22">
    <w:nsid w:val="8EDBDAB"/>
    <w:multiLevelType w:val="hybridMultilevel"/>
    <w:lvl w:ilvl="0">
      <w:lvlJc w:val="left"/>
      <w:lvlText w:val="%1:"/>
      <w:numFmt w:val="upperLetter"/>
      <w:start w:val="1"/>
    </w:lvl>
  </w:abstractNum>
  <w:abstractNum w:abstractNumId="23">
    <w:nsid w:val="79838CB2"/>
    <w:multiLevelType w:val="hybridMultilevel"/>
    <w:lvl w:ilvl="0">
      <w:lvlJc w:val="left"/>
      <w:lvlText w:val="(%1)"/>
      <w:numFmt w:val="decimal"/>
      <w:start w:val="22"/>
    </w:lvl>
  </w:abstractNum>
  <w:abstractNum w:abstractNumId="24">
    <w:nsid w:val="4353D0CD"/>
    <w:multiLevelType w:val="hybridMultilevel"/>
    <w:lvl w:ilvl="0">
      <w:lvlJc w:val="left"/>
      <w:lvlText w:val="(%1)"/>
      <w:numFmt w:val="decimal"/>
      <w:start w:val="25"/>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2021-09-27T08:03:22Z</dcterms:created>
  <dcterms:modified xsi:type="dcterms:W3CDTF">2021-09-27T08:03:22Z</dcterms:modified>
</cp:coreProperties>
</file>