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Simonsson Beatrice Ingmarie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tcPr>
          <w:p>
            <w:pPr>
              <w:ind w:left="40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ASSAR GABRIELSSONS VAG 9</w:t>
            </w:r>
          </w:p>
        </w:tc>
        <w:tc>
          <w:tcPr>
            <w:tcW w:w="12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62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r>
      <w:tr>
        <w:trPr>
          <w:trHeight w:val="2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GOTHENBURG V7</w:t>
            </w: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SE-405 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tcPr>
          <w:p>
            <w:pPr>
              <w:ind w:left="400"/>
              <w:spacing w:after="0"/>
              <w:rPr>
                <w:sz w:val="20"/>
                <w:szCs w:val="20"/>
                <w:color w:val="auto"/>
              </w:rPr>
            </w:pPr>
            <w:r>
              <w:rPr>
                <w:rFonts w:ascii="Arial" w:cs="Arial" w:eastAsia="Arial" w:hAnsi="Arial"/>
                <w:sz w:val="13"/>
                <w:szCs w:val="13"/>
                <w:color w:val="auto"/>
              </w:rPr>
              <w:t>(State)</w:t>
            </w:r>
          </w:p>
        </w:tc>
        <w:tc>
          <w:tcPr>
            <w:tcW w:w="120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Polestar Automotive Holding UK PLC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80" w:type="dxa"/>
            <w:vAlign w:val="bottom"/>
            <w:tcBorders>
              <w:bottom w:val="single" w:sz="8" w:color="0000EE"/>
            </w:tcBorders>
          </w:tcPr>
          <w:p>
            <w:pPr>
              <w:spacing w:after="0"/>
              <w:rPr>
                <w:sz w:val="3"/>
                <w:szCs w:val="3"/>
                <w:color w:val="auto"/>
              </w:rPr>
            </w:pPr>
          </w:p>
        </w:tc>
        <w:tc>
          <w:tcPr>
            <w:tcW w:w="44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PSNY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1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3300" w:type="dxa"/>
            <w:vAlign w:val="bottom"/>
            <w:gridSpan w:val="2"/>
            <w:vMerge w:val="restart"/>
          </w:tcPr>
          <w:p>
            <w:pPr>
              <w:ind w:left="920"/>
              <w:spacing w:after="0"/>
              <w:rPr>
                <w:sz w:val="20"/>
                <w:szCs w:val="20"/>
                <w:color w:val="auto"/>
              </w:rPr>
            </w:pPr>
            <w:r>
              <w:rPr>
                <w:rFonts w:ascii="Times New Roman" w:cs="Times New Roman" w:eastAsia="Times New Roman" w:hAnsi="Times New Roman"/>
                <w:sz w:val="17"/>
                <w:szCs w:val="17"/>
                <w:color w:val="0000FF"/>
              </w:rPr>
              <w:t>Chief Digital Officer</w:t>
            </w:r>
          </w:p>
        </w:tc>
        <w:tc>
          <w:tcPr>
            <w:tcW w:w="0" w:type="dxa"/>
            <w:vAlign w:val="bottom"/>
          </w:tcPr>
          <w:p>
            <w:pPr>
              <w:spacing w:after="0"/>
              <w:rPr>
                <w:sz w:val="1"/>
                <w:szCs w:val="1"/>
                <w:color w:val="auto"/>
              </w:rPr>
            </w:pPr>
          </w:p>
        </w:tc>
      </w:tr>
      <w:tr>
        <w:trPr>
          <w:trHeight w:val="120"/>
        </w:trPr>
        <w:tc>
          <w:tcPr>
            <w:tcW w:w="3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04/27/2026</w:t>
            </w:r>
          </w:p>
        </w:tc>
        <w:tc>
          <w:tcPr>
            <w:tcW w:w="44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38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1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gridSpan w:val="2"/>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9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American Depositary Shares</w:t>
            </w:r>
          </w:p>
        </w:tc>
        <w:tc>
          <w:tcPr>
            <w:tcW w:w="19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04/27/2026</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ind w:left="180"/>
              <w:spacing w:after="0" w:line="320" w:lineRule="exact"/>
              <w:rPr>
                <w:sz w:val="20"/>
                <w:szCs w:val="20"/>
                <w:color w:val="auto"/>
              </w:rPr>
            </w:pPr>
            <w:r>
              <w:rPr>
                <w:rFonts w:ascii="Times New Roman" w:cs="Times New Roman" w:eastAsia="Times New Roman" w:hAnsi="Times New Roman"/>
                <w:sz w:val="34"/>
                <w:szCs w:val="34"/>
                <w:color w:val="0000FF"/>
                <w:vertAlign w:val="subscript"/>
              </w:rPr>
              <w:t>527</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17.6824</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612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11"/>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of the Class A American Depositary Shares ("ADSs") were sold pursuant to a sell to cover transaction to satisfy tax withholding obligations upon the vesting of equity awards. The sale was executed automatically pursuant to a sell to cover arrangement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ADSs were sold as part of block trades by the broker executing the sell to cover transactions over several days for multiple security holders of the Issuer at weighted average prices ranging from $17.5813 to $17.7911, inclusive.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Chris Bailey-Gates, Attorney-  </w:t>
      </w:r>
      <w:r>
        <w:rPr>
          <w:rFonts w:ascii="Times New Roman" w:cs="Times New Roman" w:eastAsia="Times New Roman" w:hAnsi="Times New Roman"/>
          <w:sz w:val="34"/>
          <w:szCs w:val="34"/>
          <w:color w:val="0000FF"/>
          <w:vertAlign w:val="subscript"/>
        </w:rPr>
        <w:t>04/29/2026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2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18762" TargetMode="External"/><Relationship Id="rId14" Type="http://schemas.openxmlformats.org/officeDocument/2006/relationships/hyperlink" Target="http://www.sec.gov/cgi-bin/browse-edgar?action=getcompany&amp;CIK=00018840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2026-04-29T16:36:34Z</dcterms:created>
  <dcterms:modified xsi:type="dcterms:W3CDTF">2026-04-29T16:36:34Z</dcterms:modified>
</cp:coreProperties>
</file>