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18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250825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2280" w:right="10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For the month of October 2024</w:t>
      </w:r>
    </w:p>
    <w:p>
      <w:pPr>
        <w:spacing w:after="0" w:line="225"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251460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50"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2" w:lineRule="exact"/>
        <w:rPr>
          <w:sz w:val="24"/>
          <w:szCs w:val="24"/>
          <w:color w:val="auto"/>
        </w:rPr>
      </w:pPr>
    </w:p>
    <w:p>
      <w:pPr>
        <w:ind w:left="43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101(b)(1): 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Times New Roman" w:cs="Times New Roman" w:eastAsia="Times New Roman" w:hAnsi="Times New Roman"/>
          <w:sz w:val="17"/>
          <w:szCs w:val="17"/>
          <w:color w:val="auto"/>
        </w:rPr>
        <w:t xml:space="preserve">Indicate by check mark if the registrant is submitting the Form 6-K in paper as permitted by Regulation S-T Rule 101(b)(7): 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239395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76" w:right="1440" w:bottom="1440" w:gutter="0" w:footer="0" w:header="0"/>
        </w:sectPr>
      </w:pPr>
    </w:p>
    <w:bookmarkStart w:id="1" w:name="page2"/>
    <w:bookmarkEnd w:id="1"/>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INFORMATION CONTAINED IN THIS REPORT ON FORM 6-K</w:t>
      </w:r>
    </w:p>
    <w:p>
      <w:pPr>
        <w:spacing w:after="0" w:line="229" w:lineRule="exact"/>
        <w:rPr>
          <w:sz w:val="20"/>
          <w:szCs w:val="20"/>
          <w:color w:val="auto"/>
        </w:rPr>
      </w:pPr>
    </w:p>
    <w:p>
      <w:pPr>
        <w:ind w:right="160" w:firstLine="440"/>
        <w:spacing w:after="0" w:line="282" w:lineRule="auto"/>
        <w:rPr>
          <w:sz w:val="20"/>
          <w:szCs w:val="20"/>
          <w:color w:val="auto"/>
        </w:rPr>
      </w:pPr>
      <w:r>
        <w:rPr>
          <w:rFonts w:ascii="Times New Roman" w:cs="Times New Roman" w:eastAsia="Times New Roman" w:hAnsi="Times New Roman"/>
          <w:sz w:val="18"/>
          <w:szCs w:val="18"/>
          <w:color w:val="auto"/>
        </w:rPr>
        <w:t>On October 11, 2024, Polestar Automotive Holding UK PLC (“Polestar”) issued a press release announcing its preliminary estimates for global volumes for the third quarter of 2024. A copy of the press release is attached hereto as Exhibit 99.1.</w:t>
      </w:r>
    </w:p>
    <w:p>
      <w:pPr>
        <w:spacing w:after="0" w:line="162" w:lineRule="exact"/>
        <w:rPr>
          <w:sz w:val="20"/>
          <w:szCs w:val="20"/>
          <w:color w:val="auto"/>
        </w:rPr>
      </w:pPr>
    </w:p>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t xml:space="preserve">Polestar expects to release select financial and operational highlights for the third quarter of 2024 on Thursday, January 16, 2025, and to hold a live audio webcast on that date. Webcast details will be made available on the Polestar Investor Relations website: </w:t>
      </w:r>
      <w:r>
        <w:rPr>
          <w:rFonts w:ascii="Times New Roman" w:cs="Times New Roman" w:eastAsia="Times New Roman" w:hAnsi="Times New Roman"/>
          <w:sz w:val="18"/>
          <w:szCs w:val="18"/>
          <w:u w:val="single" w:color="auto"/>
          <w:color w:val="auto"/>
        </w:rPr>
        <w:t>www.investors.polestar.com</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ectPr>
          <w:pgSz w:w="11900" w:h="16838" w:orient="portrait"/>
          <w:cols w:equalWidth="0" w:num="1">
            <w:col w:w="10920"/>
          </w:cols>
          <w:pgMar w:left="440" w:top="266" w:right="5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560" w:type="dxa"/>
            <w:vAlign w:val="bottom"/>
            <w:gridSpan w:val="2"/>
          </w:tcPr>
          <w:p>
            <w:pPr>
              <w:ind w:left="334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8"/>
        </w:trPr>
        <w:tc>
          <w:tcPr>
            <w:tcW w:w="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740" w:type="dxa"/>
            <w:vAlign w:val="bottom"/>
          </w:tcPr>
          <w:p>
            <w:pPr>
              <w:spacing w:after="0"/>
              <w:rPr>
                <w:sz w:val="24"/>
                <w:szCs w:val="24"/>
                <w:color w:val="auto"/>
              </w:rPr>
            </w:pPr>
          </w:p>
        </w:tc>
        <w:tc>
          <w:tcPr>
            <w:tcW w:w="9560" w:type="dxa"/>
            <w:vAlign w:val="bottom"/>
            <w:tcBorders>
              <w:bottom w:val="single" w:sz="8" w:color="auto"/>
            </w:tcBorders>
            <w:gridSpan w:val="2"/>
          </w:tcPr>
          <w:p>
            <w:pPr>
              <w:ind w:left="4100"/>
              <w:spacing w:after="0"/>
              <w:rPr>
                <w:sz w:val="20"/>
                <w:szCs w:val="20"/>
                <w:color w:val="auto"/>
              </w:rPr>
            </w:pPr>
            <w:r>
              <w:rPr>
                <w:rFonts w:ascii="Times New Roman" w:cs="Times New Roman" w:eastAsia="Times New Roman" w:hAnsi="Times New Roman"/>
                <w:sz w:val="14"/>
                <w:szCs w:val="14"/>
                <w:b w:val="1"/>
                <w:bCs w:val="1"/>
                <w:color w:val="auto"/>
              </w:rPr>
              <w:t>Description of Exhibit</w:t>
            </w:r>
          </w:p>
        </w:tc>
      </w:tr>
      <w:tr>
        <w:trPr>
          <w:trHeight w:val="270"/>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740" w:type="dxa"/>
            <w:vAlign w:val="bottom"/>
          </w:tcPr>
          <w:p>
            <w:pPr>
              <w:spacing w:after="0"/>
              <w:rPr>
                <w:sz w:val="23"/>
                <w:szCs w:val="23"/>
                <w:color w:val="auto"/>
              </w:rPr>
            </w:pPr>
          </w:p>
        </w:tc>
        <w:tc>
          <w:tcPr>
            <w:tcW w:w="584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9"/>
              </w:rPr>
              <w:t>Press Release of Polestar Automotive Holding UK PLC, dated October 11, 2024.</w:t>
            </w:r>
          </w:p>
        </w:tc>
        <w:tc>
          <w:tcPr>
            <w:tcW w:w="3720" w:type="dxa"/>
            <w:vAlign w:val="bottom"/>
          </w:tcPr>
          <w:p>
            <w:pPr>
              <w:spacing w:after="0"/>
              <w:rPr>
                <w:sz w:val="23"/>
                <w:szCs w:val="23"/>
                <w:color w:val="auto"/>
              </w:rPr>
            </w:pPr>
          </w:p>
        </w:tc>
      </w:tr>
    </w:tbl>
    <w:p>
      <w:pPr>
        <w:spacing w:after="0"/>
        <w:rPr>
          <w:sz w:val="20"/>
          <w:szCs w:val="20"/>
          <w:color w:val="auto"/>
        </w:rPr>
        <w:sectPr>
          <w:pgSz w:w="11900" w:h="16838" w:orient="portrait"/>
          <w:cols w:equalWidth="0" w:num="1">
            <w:col w:w="11020"/>
          </w:cols>
          <w:pgMar w:left="440" w:top="266"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420" w:type="dxa"/>
            <w:vAlign w:val="bottom"/>
            <w:gridSpan w:val="2"/>
          </w:tcPr>
          <w:p>
            <w:pPr>
              <w:ind w:left="19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October 11, 2024</w:t>
            </w: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By:</w:t>
            </w:r>
          </w:p>
        </w:tc>
        <w:tc>
          <w:tcPr>
            <w:tcW w:w="4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Per Ansgar</w:t>
            </w:r>
          </w:p>
        </w:tc>
      </w:tr>
      <w:tr>
        <w:trPr>
          <w:trHeight w:val="205"/>
        </w:trPr>
        <w:tc>
          <w:tcPr>
            <w:tcW w:w="3600" w:type="dxa"/>
            <w:vAlign w:val="bottom"/>
          </w:tcPr>
          <w:p>
            <w:pPr>
              <w:spacing w:after="0"/>
              <w:rPr>
                <w:sz w:val="17"/>
                <w:szCs w:val="17"/>
                <w:color w:val="auto"/>
              </w:rPr>
            </w:pPr>
          </w:p>
        </w:tc>
        <w:tc>
          <w:tcPr>
            <w:tcW w:w="2560" w:type="dxa"/>
            <w:vAlign w:val="bottom"/>
          </w:tcPr>
          <w:p>
            <w:pPr>
              <w:ind w:left="1920"/>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auto"/>
              </w:rPr>
              <w:t>Per Ansgar</w:t>
            </w:r>
          </w:p>
        </w:tc>
      </w:tr>
      <w:tr>
        <w:trPr>
          <w:trHeight w:val="234"/>
        </w:trPr>
        <w:tc>
          <w:tcPr>
            <w:tcW w:w="3600" w:type="dxa"/>
            <w:vAlign w:val="bottom"/>
          </w:tcPr>
          <w:p>
            <w:pPr>
              <w:spacing w:after="0"/>
              <w:rPr>
                <w:sz w:val="20"/>
                <w:szCs w:val="20"/>
                <w:color w:val="auto"/>
              </w:rPr>
            </w:pPr>
          </w:p>
        </w:tc>
        <w:tc>
          <w:tcPr>
            <w:tcW w:w="2560" w:type="dxa"/>
            <w:vAlign w:val="bottom"/>
          </w:tcPr>
          <w:p>
            <w:pPr>
              <w:ind w:left="19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ectPr>
          <w:pgSz w:w="11900" w:h="16838" w:orient="portrait"/>
          <w:cols w:equalWidth="0" w:num="1">
            <w:col w:w="11020"/>
          </w:cols>
          <w:pgMar w:left="440" w:top="266" w:right="4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702945" cy="2400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02945" cy="240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announces global volumes for the third quarter; to provide business and strategy update on 16 January 2025</w:t>
      </w:r>
    </w:p>
    <w:p>
      <w:pPr>
        <w:spacing w:after="0" w:line="135" w:lineRule="exact"/>
        <w:rPr>
          <w:sz w:val="20"/>
          <w:szCs w:val="20"/>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11,900 cars delivered in Q3 2024 and 32,300 year-to-end September</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markets to implement active sales model showing solid order intake</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and strategy update, including select Q3 financial and operational highlights, to take place on 16 January 2025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GOTHENBURG, SWEDEN – 11 October 2024. </w:t>
      </w:r>
      <w:r>
        <w:rPr>
          <w:rFonts w:ascii="Times New Roman" w:cs="Times New Roman" w:eastAsia="Times New Roman" w:hAnsi="Times New Roman"/>
          <w:sz w:val="18"/>
          <w:szCs w:val="18"/>
          <w:color w:val="auto"/>
        </w:rPr>
        <w:t>Polestar (Nasdaq: PSNY) delivered approximately 11,900 cars in the third quarter, taking total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deliveries for the first nine months of the year to 32,300 (2023: 41,844).</w:t>
      </w:r>
    </w:p>
    <w:p>
      <w:pPr>
        <w:spacing w:after="0" w:line="207"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Michael Lohscheller, Polestar CEO, says: “Polestar has a great foundation to build upon, with access to the best EV technology, a global manufacturing capability and strong support from Geely. Together with the management team, we are conducting a review of our strategy and operations, to set out a clear path for Polestar’s development.”</w:t>
      </w:r>
    </w:p>
    <w:p>
      <w:pPr>
        <w:spacing w:after="0" w:line="176" w:lineRule="exact"/>
        <w:rPr>
          <w:sz w:val="20"/>
          <w:szCs w:val="20"/>
          <w:color w:val="auto"/>
        </w:rPr>
      </w:pPr>
    </w:p>
    <w:p>
      <w:pPr>
        <w:ind w:right="440"/>
        <w:spacing w:after="0" w:line="282" w:lineRule="auto"/>
        <w:rPr>
          <w:sz w:val="20"/>
          <w:szCs w:val="20"/>
          <w:color w:val="auto"/>
        </w:rPr>
      </w:pPr>
      <w:r>
        <w:rPr>
          <w:rFonts w:ascii="Times New Roman" w:cs="Times New Roman" w:eastAsia="Times New Roman" w:hAnsi="Times New Roman"/>
          <w:sz w:val="18"/>
          <w:szCs w:val="18"/>
          <w:color w:val="auto"/>
        </w:rPr>
        <w:t>“A key to our future success will be the development of our commercial capabilities: going from showing to actively selling cars. Adopting a more active sales model is already supporting our ambitions, as the first markets to implement it are showing solid order intake.”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With current market conditions and announced import duties impacting the automotive industry, the Company expects revenue in 2024 to be similar to 2023 and to achieve a positive gross profit margin in the fourth quarter. The Company reaffirms its target of achieving cash flow break-even towards the end of 2025 – at lower volume than previously targeted.</w:t>
      </w:r>
    </w:p>
    <w:p>
      <w:pPr>
        <w:spacing w:after="0" w:line="176"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Given market conditions and the Company’s anticipated performance in 2024, the Company, alongside Geely, is engaged in constructive dialogue with its club loan lenders, who remain supportive, regarding its loan covenants.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events</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On 16 January 2025, Polestar management will host a live webcast to provide a business and strategy update, including the publication of select Q3 financial and operational highlights. Reducing Q3 reporting disclosures will help focus company resources on the ongoing business and strategy review and on fulfilling 2024 annual reporting requirements.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Webcast access details will be made available on the Polestar Investor Relations website: </w:t>
      </w:r>
      <w:r>
        <w:rPr>
          <w:rFonts w:ascii="Times New Roman" w:cs="Times New Roman" w:eastAsia="Times New Roman" w:hAnsi="Times New Roman"/>
          <w:sz w:val="18"/>
          <w:szCs w:val="18"/>
          <w:u w:val="single" w:color="auto"/>
          <w:color w:val="auto"/>
        </w:rPr>
        <w:t>https://investors.polestar.com/</w:t>
      </w:r>
    </w:p>
    <w:p>
      <w:pPr>
        <w:sectPr>
          <w:pgSz w:w="11900" w:h="16838" w:orient="portrait"/>
          <w:cols w:equalWidth="0" w:num="1">
            <w:col w:w="11020"/>
          </w:cols>
          <w:pgMar w:left="440" w:top="117"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Ends.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Bojana Flint, Head of IR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Bojana.flint@polestar.com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 Head of Corporate Communication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119" w:lineRule="exact"/>
        <w:rPr>
          <w:sz w:val="20"/>
          <w:szCs w:val="20"/>
          <w:color w:val="auto"/>
        </w:rPr>
      </w:pPr>
    </w:p>
    <w:p>
      <w:pPr>
        <w:spacing w:after="0" w:line="267" w:lineRule="auto"/>
        <w:rPr>
          <w:sz w:val="20"/>
          <w:szCs w:val="20"/>
          <w:color w:val="auto"/>
        </w:rPr>
      </w:pPr>
      <w:r>
        <w:rPr>
          <w:rFonts w:ascii="Times New Roman" w:cs="Times New Roman" w:eastAsia="Times New Roman" w:hAnsi="Times New Roman"/>
          <w:sz w:val="18"/>
          <w:szCs w:val="18"/>
          <w:i w:val="1"/>
          <w:iCs w:val="1"/>
          <w:color w:val="auto"/>
        </w:rPr>
        <w:t>Polestar (Nasdaq: PSNY) is the Swedish electric performance car brand determined to improve society by using design and technology to accelerate the shift to sustainable mobility. Headquartered in Gothenburg, Sweden, its cars are available in 27 markets globally across North America, Europe and Asia Pacific. Polestar is scheduled to expand into additional markets in 2025.</w:t>
      </w:r>
    </w:p>
    <w:p>
      <w:pPr>
        <w:spacing w:after="0" w:line="173"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Polestar has three models in its line-up: Polestar 2, an electric performance fastback; Polestar 3, the SUV for the electric age; and Polestar 4, the SUV coupé transformed. With plans to have a line-up of five performance EVs by 2026, Polestar 5, an electric four-door GT and Polestar 6, an electric roadster, are coming soon.</w:t>
      </w:r>
    </w:p>
    <w:p>
      <w:pPr>
        <w:spacing w:after="0" w:line="173" w:lineRule="exact"/>
        <w:rPr>
          <w:sz w:val="20"/>
          <w:szCs w:val="20"/>
          <w:color w:val="auto"/>
        </w:rPr>
      </w:pPr>
    </w:p>
    <w:p>
      <w:pPr>
        <w:jc w:val="both"/>
        <w:ind w:right="180"/>
        <w:spacing w:after="0" w:line="267" w:lineRule="auto"/>
        <w:rPr>
          <w:sz w:val="20"/>
          <w:szCs w:val="20"/>
          <w:color w:val="auto"/>
        </w:rPr>
      </w:pPr>
      <w:r>
        <w:rPr>
          <w:rFonts w:ascii="Times New Roman" w:cs="Times New Roman" w:eastAsia="Times New Roman" w:hAnsi="Times New Roman"/>
          <w:sz w:val="18"/>
          <w:szCs w:val="18"/>
          <w:i w:val="1"/>
          <w:iCs w:val="1"/>
          <w:color w:val="auto"/>
        </w:rPr>
        <w:t>The Polestar 0 project supports the company’s ambitious goal of creating a truly climate-neutral production car by 2030. The research initiative also aims to create a sense of urgency to act on the climate crisis, by challenging employees, suppliers and the wider automotive industry, to drive towards zero.</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11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number of vehicle deliveries and gross margin. For example, projections of revenue, volumes, margins, cash flow break-even and other financial or operating metrics and statements regarding expectations of future needs for funding and plans related thereto are forward-looking statements.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185"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i w:val="1"/>
          <w:iCs w:val="1"/>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 (1) Polestar’s ability to maintain agreements or partnerships with its strategic partners, such as Volvo Cars, Geely or Xingji Meizu Group, and to develop new agreements or partnerships; (2) Polestar’s ability to maintain relationships with its</w:t>
      </w:r>
    </w:p>
    <w:p>
      <w:pPr>
        <w:sectPr>
          <w:pgSz w:w="11900" w:h="16838" w:orient="portrait"/>
          <w:cols w:equalWidth="0" w:num="1">
            <w:col w:w="10980"/>
          </w:cols>
          <w:pgMar w:left="440" w:top="270" w:right="479" w:bottom="1440" w:gutter="0" w:footer="0" w:header="0"/>
        </w:sectPr>
      </w:pPr>
    </w:p>
    <w:bookmarkStart w:id="6" w:name="page7"/>
    <w:bookmarkEnd w:id="6"/>
    <w:p>
      <w:pPr>
        <w:ind w:left="4"/>
        <w:spacing w:after="0" w:line="267" w:lineRule="auto"/>
        <w:rPr>
          <w:sz w:val="20"/>
          <w:szCs w:val="20"/>
          <w:color w:val="auto"/>
        </w:rPr>
      </w:pPr>
      <w:r>
        <w:rPr>
          <w:rFonts w:ascii="Times New Roman" w:cs="Times New Roman" w:eastAsia="Times New Roman" w:hAnsi="Times New Roman"/>
          <w:sz w:val="17"/>
          <w:szCs w:val="17"/>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existing suppliers, source new suppliers for its critical components and enter into longer term supply contracts and complete building out its supply chain, while effectively managing the risks due to such relationships; (3) Polestar’s reliance on its partnerships with vehicle charging networks to provide charging solutions for its vehicles and its reliance on strategic partners for servicing its vehicles and their integrated software; (4) Polestar’s reliance on its partners, some of which may have limited experience with electric vehicles, to manufacture vehicles at a high volume or develop devices, products, apps or operating systems for Polestar, and to allocate sufficient production capacity or resources to Polestar in order for Polestar to be able to increase its vehicle production capacities and product offerings; (5) the ability of Polestar to grow and manage growth profitably including expectations of growth and financial performance by generating expected revenues at expected selling prices, maintain relationships with customers and retain its management and key employees; (6) Polestar’s estimates of expenses, profitability, gross margin, cash flow, and cash reserves; (7) increases in costs, disruption of supply or shortage of materials, in particular for lithium-ion cells or semiconductors; (8) the possibility that Polestar may be adversely affected by other economic, business, and/or competitive factors; (9) the effects of competition and the high barriers to entry in the automotive industry, and the pace and depth of electric vehicle adoption generally on Polestar’s future business; (10) changes in regulatory requirements, governmental incentives and fuel and energy prices; (11) the outcome of any legal proceedings that may be instituted against Polestar or others, adverse results from litigation, governmental investigations or audits, or tax-related proceedings or audits; (12) the ability to meet stock exchange listing standards; (13) changes in applicable laws or regulations or governmental incentive programs; (14) Polestar’s ability to establish its brand and capture additional market share, (15) the risks associated with negative press or reputational harm, including from lithium-ion battery cells catching fire or venting smoke; (16) delays in the design, development, manufacture, launch and financing of Polestar’s vehicles and other product offerings, and Polestar’s reliance on a limited number of vehicle models to generate revenues; (17) Polestar’s ability to continuously and rapidly innovate, develop and market new products; (18) risks related to future market adoption of Polestar’s offerings; (19) risks related to Polestar’s distribution model; (20) the impact of the global COVID-19 pandemic, inflation, interest rate changes, the ongoing conflict between Ukraine and Russia and in Israel and the Gaza Strip, supply chain disruptions, fuel and energy prices and logistical constraints on Polestar, Polestar’s projected results of operations, financial performance or other financial and operational metrics, or on any of the foregoing risks; (21) Polestar’s ability to forecast demand for its vehicles;</w:t>
      </w:r>
    </w:p>
    <w:p>
      <w:pPr>
        <w:spacing w:after="0" w:line="207" w:lineRule="exact"/>
        <w:rPr>
          <w:sz w:val="20"/>
          <w:szCs w:val="20"/>
          <w:color w:val="auto"/>
        </w:rPr>
      </w:pPr>
    </w:p>
    <w:p>
      <w:pPr>
        <w:ind w:left="4" w:right="20" w:hanging="4"/>
        <w:spacing w:after="0" w:line="252" w:lineRule="auto"/>
        <w:tabs>
          <w:tab w:leader="none" w:pos="349" w:val="left"/>
        </w:tabs>
        <w:numPr>
          <w:ilvl w:val="0"/>
          <w:numId w:val="2"/>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Polestar’s ability to raise additional funding; (23) Polestar’s ability to successfully execute cost-cutting activities and strategic efficiency initiatives; (24) the identification of additional accounting errors and/or a final assessment of errors already identified that differs significantly from Polestar’s preliminary view of such errors; and (25)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88" w:lineRule="exact"/>
        <w:rPr>
          <w:sz w:val="20"/>
          <w:szCs w:val="20"/>
          <w:color w:val="auto"/>
        </w:rPr>
      </w:pPr>
    </w:p>
    <w:p>
      <w:pPr>
        <w:ind w:left="4" w:right="20"/>
        <w:spacing w:after="0" w:line="261" w:lineRule="auto"/>
        <w:rPr>
          <w:sz w:val="20"/>
          <w:szCs w:val="20"/>
          <w:color w:val="auto"/>
        </w:rPr>
      </w:pPr>
      <w:r>
        <w:rPr>
          <w:rFonts w:ascii="Times New Roman" w:cs="Times New Roman" w:eastAsia="Times New Roman" w:hAnsi="Times New Roman"/>
          <w:sz w:val="18"/>
          <w:szCs w:val="18"/>
          <w:i w:val="1"/>
          <w:iCs w:val="1"/>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sectPr>
      <w:pgSz w:w="11900" w:h="16838" w:orient="portrait"/>
      <w:cols w:equalWidth="0" w:num="1">
        <w:col w:w="11004"/>
      </w:cols>
      <w:pgMar w:left="436" w:top="268"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22"/>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2024-10-11T06:39:54Z</dcterms:created>
  <dcterms:modified xsi:type="dcterms:W3CDTF">2024-10-11T06:39:54Z</dcterms:modified>
</cp:coreProperties>
</file>