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December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40"/>
        <w:spacing w:after="0" w:line="207" w:lineRule="exact"/>
        <w:tabs>
          <w:tab w:leader="none" w:pos="59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720725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62" w:right="1440"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jc w:val="both"/>
        <w:ind w:firstLine="441"/>
        <w:spacing w:after="0" w:line="259" w:lineRule="auto"/>
        <w:rPr>
          <w:sz w:val="20"/>
          <w:szCs w:val="20"/>
          <w:color w:val="auto"/>
        </w:rPr>
      </w:pPr>
      <w:r>
        <w:rPr>
          <w:rFonts w:ascii="Times New Roman" w:cs="Times New Roman" w:eastAsia="Times New Roman" w:hAnsi="Times New Roman"/>
          <w:sz w:val="18"/>
          <w:szCs w:val="18"/>
          <w:color w:val="auto"/>
        </w:rPr>
        <w:t>On December 16, 2025, Polestar Automotive Holding UK PLC (“Polestar”), as borrower, entered into the credit agreement in relation to a USD 600,000,000 term loan facility (the “Term Loan Facility”) with Geely Sweden Automotive Investment AB, as original lender and agent (“GSAI”). GSAI is a wholly-owned subsidiary of Geely Sweden Holdings AB, the parent company of Volvo Car AB (publ), and one of Polestar’s affiliates. The first USD 300,000,000 of the Term Loan Facility is committed and the second USD 300,00,000 is uncommitted and therefore available only with lender consent.</w:t>
      </w:r>
    </w:p>
    <w:p>
      <w:pPr>
        <w:spacing w:after="0" w:line="200" w:lineRule="exact"/>
        <w:rPr>
          <w:sz w:val="20"/>
          <w:szCs w:val="20"/>
          <w:color w:val="auto"/>
        </w:rPr>
      </w:pPr>
    </w:p>
    <w:p>
      <w:pPr>
        <w:spacing w:after="0" w:line="203"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Term Loan Facility consists of a term loan denominated in U.S. dollars available for general corporate purposes. The Term Loan Facility is available for utilization until 31 March 2026 and is required to be repaid on the Termination Date falling six months from the Utilization Date, subject to GSAI exercising an option to convert all or part of the loan and accrued interest into shares of Polestar at an equity conversion price calculated based on an average closing price as reported by NASDAQ for the Class A American Depositary Shares of the Borrower over the 5 trading days immediately preceding the date of the Equity Conversion Exercise Notice (as defined in the Term Loan Facility).</w:t>
      </w:r>
    </w:p>
    <w:p>
      <w:pPr>
        <w:spacing w:after="0" w:line="183"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Term Loan is subordinated to the EUR 340,000,000 and USD 583,489,000 multicurrency green term loan facilities agreement entered into by Polestar as Borrower and amongst others, the Original Lenders (as defined in the agreement) as lenders and Standard Chartered Bank as security agent and agent on February 22, 2024 (the “Club Loan Facilities Agreement”). Repayment of Loans and accrued interest on the Termination Date is subject to the lenders under the Club Loan Facilities Agreement having consented to releasing the liabilities owed by the Borrower under the Term Loan Facility from the subordination.</w:t>
      </w:r>
    </w:p>
    <w:p>
      <w:pPr>
        <w:spacing w:after="0" w:line="183"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interest rate applicable to borrowings under the Term Loan Facility is Term SOFR (as described in the Term Loan Facility and subject to a zero floor) plus 3.00%. The interest period of the Term Loan Facility is one month and default interest is calculated as an additional 1% on the overdue amount. Polestar may voluntarily prepay loans or reduce commitments under the Term Loan Facility, in whole or in part, subject to minimum amounts, with prior notice but without premium or penalty. Polestar has an obligation to prepay the loan on the occurrence of a change of control or illegality.</w:t>
      </w:r>
    </w:p>
    <w:p>
      <w:pPr>
        <w:spacing w:after="0" w:line="180"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Polestar’s obligations under the Term Loan Facility are not guaranteed or secured. The Term Loan Facility contains customary negative covenants, including, but not limited to, restrictions on Polestar’s ability to make certain acquisitions, loans and guarantees. The Term Loan Facility also contains certain affirmative covenants, including, but not limited to, certain information undertakings and access to senior management.</w:t>
      </w:r>
    </w:p>
    <w:p>
      <w:pPr>
        <w:spacing w:after="0" w:line="176"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Term Loan Facility contains certain customary representations and warranties, subject to certain customary materiality, best knowledge and other qualifications, exceptions and baskets, and with certain representations and warranties being repeated, including: (i) status; (ii) binding obligations; (iii) non-conflict with constitutional documents, laws or other obligations; (iv) power and authority; (v) validity and admissibility in evidence; (vi) governing law and enforcement; (vii) ranking; and (viii) financial information.</w:t>
      </w:r>
    </w:p>
    <w:p>
      <w:pPr>
        <w:spacing w:after="0" w:line="180"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Term Loan Facility provides that, upon the occurrence of certain events of default, Polestar’s obligations thereunder may be accelerated. Such events of default include payment defaults to GSAI thereunder, material inaccuracies of representations and warranties, covenant defaults, cross acceleration with respect to our other indebtedness, corporate arrangement, winding-up, liquidation or similar proceedings, creditors’ process affecting assets over a certain minimum amount, and other customary events of default. The Term Loan Facility is governed by English law.</w:t>
      </w:r>
    </w:p>
    <w:p>
      <w:pPr>
        <w:spacing w:after="0" w:line="180"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As promptly as practicable following the Equity Conversion Date (as defined in the Term Loan Facility), the Borrower and the Lender will enter into a registration rights agreement that is, in form and substance, similar to the registration rights agreement dated 27 September 2021, as later amended, among the Borrower and other parties (the "Registration Rights Agreement"). Polestar has agreed to include any Conversion Shares issued by Polestar to GSAI pursuant to exercise of the Conversion Right pursuant to the Term loan Facility in the definition of "Registrable Securities" in the Registration Rights Agreement. Polestar has agreed, within 90 days following the Equity Conversion Date, to file a new shelf registration statement on Form F-3 in view of registering the resale of any Conversion Shares and cause such registration statement to become effective as soon as practicable after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A copy of the Term Loan Facility is included in this Report on Form 6-K as Exhibit 10.1 and the foregoing description of the Term Loan Facility is qualified in its entirety by reference thereto.</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December 16, 2025, Polestar issued a press release announcing the Term Loan Facility. A copy of the press release is attached hereto as Exhibit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w:t>
      </w:r>
    </w:p>
    <w:p>
      <w:pPr>
        <w:spacing w:after="0" w:line="20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Exhibits 99.1 and 10.1 to this Report on Form 6-K shall not be deemed “filed” for purposes of Section 18 of the Securities Exchange Act of 1934 (the “Exchange Act”) or otherwise subject to the liabilities of that section, nor shall they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100" w:type="dxa"/>
            <w:vAlign w:val="bottom"/>
            <w:gridSpan w:val="3"/>
          </w:tcPr>
          <w:p>
            <w:pPr>
              <w:ind w:left="37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64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3"/>
          </w:tcPr>
          <w:p>
            <w:pPr>
              <w:ind w:left="42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1"/>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82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GSAI AB Polestar Facilities Agreement dated December 16, 2025</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20" w:type="dxa"/>
            <w:vAlign w:val="bottom"/>
          </w:tcPr>
          <w:p>
            <w:pPr>
              <w:spacing w:after="0"/>
              <w:rPr>
                <w:sz w:val="17"/>
                <w:szCs w:val="17"/>
                <w:color w:val="auto"/>
              </w:rPr>
            </w:pPr>
          </w:p>
        </w:tc>
        <w:tc>
          <w:tcPr>
            <w:tcW w:w="101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Press Release of Polestar Automotive Holding UK PLC, dated December 16, 2025.</w:t>
            </w:r>
          </w:p>
        </w:tc>
      </w:tr>
      <w:tr>
        <w:trPr>
          <w:trHeight w:val="695"/>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780" w:type="dxa"/>
            <w:vAlign w:val="bottom"/>
            <w:tcBorders>
              <w:top w:val="single" w:sz="8" w:color="0000EE"/>
              <w:bottom w:val="single" w:sz="8" w:color="auto"/>
            </w:tcBorders>
          </w:tcPr>
          <w:p>
            <w:pPr>
              <w:spacing w:after="0"/>
              <w:rPr>
                <w:sz w:val="24"/>
                <w:szCs w:val="24"/>
                <w:color w:val="auto"/>
              </w:rPr>
            </w:pPr>
          </w:p>
        </w:tc>
        <w:tc>
          <w:tcPr>
            <w:tcW w:w="1220" w:type="dxa"/>
            <w:vAlign w:val="bottom"/>
            <w:tcBorders>
              <w:top w:val="single" w:sz="8" w:color="0000EE"/>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750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16, 2025</w:t>
            </w:r>
          </w:p>
        </w:tc>
        <w:tc>
          <w:tcPr>
            <w:tcW w:w="24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Lohscheller</w:t>
            </w:r>
          </w:p>
        </w:tc>
      </w:tr>
      <w:tr>
        <w:trPr>
          <w:trHeight w:val="191"/>
        </w:trPr>
        <w:tc>
          <w:tcPr>
            <w:tcW w:w="3740" w:type="dxa"/>
            <w:vAlign w:val="bottom"/>
          </w:tcPr>
          <w:p>
            <w:pPr>
              <w:spacing w:after="0"/>
              <w:rPr>
                <w:sz w:val="16"/>
                <w:szCs w:val="16"/>
                <w:color w:val="auto"/>
              </w:rPr>
            </w:pPr>
          </w:p>
        </w:tc>
        <w:tc>
          <w:tcPr>
            <w:tcW w:w="2460" w:type="dxa"/>
            <w:vAlign w:val="bottom"/>
          </w:tcPr>
          <w:p>
            <w:pPr>
              <w:ind w:left="19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Lohscheller</w:t>
            </w:r>
          </w:p>
        </w:tc>
      </w:tr>
      <w:tr>
        <w:trPr>
          <w:trHeight w:val="234"/>
        </w:trPr>
        <w:tc>
          <w:tcPr>
            <w:tcW w:w="3740" w:type="dxa"/>
            <w:vAlign w:val="bottom"/>
          </w:tcPr>
          <w:p>
            <w:pPr>
              <w:spacing w:after="0"/>
              <w:rPr>
                <w:sz w:val="20"/>
                <w:szCs w:val="20"/>
                <w:color w:val="auto"/>
              </w:rPr>
            </w:pPr>
          </w:p>
        </w:tc>
        <w:tc>
          <w:tcPr>
            <w:tcW w:w="24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16, 2025</w:t>
            </w:r>
          </w:p>
        </w:tc>
        <w:tc>
          <w:tcPr>
            <w:tcW w:w="24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Jean-François Mady</w:t>
            </w:r>
          </w:p>
        </w:tc>
      </w:tr>
      <w:tr>
        <w:trPr>
          <w:trHeight w:val="191"/>
        </w:trPr>
        <w:tc>
          <w:tcPr>
            <w:tcW w:w="3740" w:type="dxa"/>
            <w:vAlign w:val="bottom"/>
          </w:tcPr>
          <w:p>
            <w:pPr>
              <w:spacing w:after="0"/>
              <w:rPr>
                <w:sz w:val="16"/>
                <w:szCs w:val="16"/>
                <w:color w:val="auto"/>
              </w:rPr>
            </w:pPr>
          </w:p>
        </w:tc>
        <w:tc>
          <w:tcPr>
            <w:tcW w:w="2460" w:type="dxa"/>
            <w:vAlign w:val="bottom"/>
          </w:tcPr>
          <w:p>
            <w:pPr>
              <w:ind w:left="19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Jean-François Mady</w:t>
            </w:r>
          </w:p>
        </w:tc>
      </w:tr>
      <w:tr>
        <w:trPr>
          <w:trHeight w:val="234"/>
        </w:trPr>
        <w:tc>
          <w:tcPr>
            <w:tcW w:w="3740" w:type="dxa"/>
            <w:vAlign w:val="bottom"/>
          </w:tcPr>
          <w:p>
            <w:pPr>
              <w:spacing w:after="0"/>
              <w:rPr>
                <w:sz w:val="20"/>
                <w:szCs w:val="20"/>
                <w:color w:val="auto"/>
              </w:rPr>
            </w:pPr>
          </w:p>
        </w:tc>
        <w:tc>
          <w:tcPr>
            <w:tcW w:w="24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7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600,000,000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FACILITY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 DECEMBER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POLESTAR AUTOMOTIVE HOLDING UK PLC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Borrower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GEELY SWEDEN AUTOMOTIVE INVESTMENT AB</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Lender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TERM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0"/>
        </w:trPr>
        <w:tc>
          <w:tcPr>
            <w:tcW w:w="6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6760" w:type="dxa"/>
            <w:vAlign w:val="bottom"/>
          </w:tcPr>
          <w:p>
            <w:pPr>
              <w:jc w:val="right"/>
              <w:ind w:right="5030"/>
              <w:spacing w:after="0"/>
              <w:rPr>
                <w:sz w:val="20"/>
                <w:szCs w:val="20"/>
                <w:color w:val="auto"/>
              </w:rPr>
            </w:pPr>
            <w:r>
              <w:rPr>
                <w:rFonts w:ascii="Times New Roman" w:cs="Times New Roman" w:eastAsia="Times New Roman" w:hAnsi="Times New Roman"/>
                <w:sz w:val="18"/>
                <w:szCs w:val="18"/>
                <w:b w:val="1"/>
                <w:bCs w:val="1"/>
                <w:color w:val="auto"/>
              </w:rPr>
              <w:t>CONTENTS</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Clause</w:t>
            </w:r>
          </w:p>
        </w:tc>
        <w:tc>
          <w:tcPr>
            <w:tcW w:w="3860" w:type="dxa"/>
            <w:vAlign w:val="bottom"/>
          </w:tcPr>
          <w:p>
            <w:pPr>
              <w:spacing w:after="0"/>
              <w:rPr>
                <w:sz w:val="20"/>
                <w:szCs w:val="20"/>
                <w:color w:val="auto"/>
              </w:rPr>
            </w:pPr>
          </w:p>
        </w:tc>
        <w:tc>
          <w:tcPr>
            <w:tcW w:w="6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Page</w:t>
            </w:r>
          </w:p>
        </w:tc>
      </w:tr>
      <w:tr>
        <w:trPr>
          <w:trHeight w:val="45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Definitions and Interpretation</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Facility</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Purpose</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Conditions of Utilisation</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Utilisation</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Repayment</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Prepayment and Cancellation</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Periods</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to the Calculation of Interest</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Subordination</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Gross Up and Indemnities</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Increased Costs</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Indemnities</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Mitigation by the Lender</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Costs and Expenses</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Representations</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Information Undertakings</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Undertakings</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Events of Default</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to the Lender</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to the Borrower</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7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Role of the Agent</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7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Conduct of business by the Finance Parties</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7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Mechanics</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7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Set-off</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Calculations and Certificates</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7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Partial Invalidity</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7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30.</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Remedies and Waivers</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7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Amendments and Waivers</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7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Confidential Information</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7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Confidentiality of Funding Rates</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7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Counterparts</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7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Governing Law</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7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Enforcement</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702"/>
        </w:trPr>
        <w:tc>
          <w:tcPr>
            <w:tcW w:w="6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1 Conditions Precedent to Initial Utilisation</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7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Schedule 2</w:t>
            </w: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Utilisation Request</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7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Schedule 3</w:t>
            </w: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Equity Conversion Exercise Notice</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7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Schedule 4</w:t>
            </w: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Reference Rate Terms</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7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Schedule 5</w:t>
            </w: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Compliance Certificate</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702"/>
        </w:trPr>
        <w:tc>
          <w:tcPr>
            <w:tcW w:w="8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is dated 16 December 2025 and made between:</w:t>
      </w:r>
    </w:p>
    <w:p>
      <w:pPr>
        <w:spacing w:after="0" w:line="225" w:lineRule="exact"/>
        <w:rPr>
          <w:sz w:val="20"/>
          <w:szCs w:val="20"/>
          <w:color w:val="auto"/>
        </w:rPr>
      </w:pPr>
    </w:p>
    <w:p>
      <w:pPr>
        <w:ind w:left="660" w:hanging="652"/>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POLESTAR AUTOMOTIVE HOLDING UK PLC</w:t>
      </w:r>
      <w:r>
        <w:rPr>
          <w:rFonts w:ascii="Times New Roman" w:cs="Times New Roman" w:eastAsia="Times New Roman" w:hAnsi="Times New Roman"/>
          <w:sz w:val="18"/>
          <w:szCs w:val="18"/>
          <w:color w:val="auto"/>
        </w:rPr>
        <w:t>, a public limited company registered in England and Wales with number 13624182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GEELY SWEDEN AUTOMOTIVE INVESTMENT AB</w:t>
      </w:r>
      <w:r>
        <w:rPr>
          <w:rFonts w:ascii="Times New Roman" w:cs="Times New Roman" w:eastAsia="Times New Roman" w:hAnsi="Times New Roman"/>
          <w:sz w:val="18"/>
          <w:szCs w:val="18"/>
          <w:color w:val="auto"/>
        </w:rPr>
        <w:t>, a private company incorporated under Swedish law and registered with the Swedish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Registration Office under number 559263-3035, as lender (the "</w:t>
      </w:r>
      <w:r>
        <w:rPr>
          <w:rFonts w:ascii="Times New Roman" w:cs="Times New Roman" w:eastAsia="Times New Roman" w:hAnsi="Times New Roman"/>
          <w:sz w:val="18"/>
          <w:szCs w:val="18"/>
          <w:b w:val="1"/>
          <w:bCs w:val="1"/>
          <w:color w:val="auto"/>
        </w:rPr>
        <w:t>Original Lender</w:t>
      </w:r>
      <w:r>
        <w:rPr>
          <w:rFonts w:ascii="Times New Roman" w:cs="Times New Roman" w:eastAsia="Times New Roman" w:hAnsi="Times New Roman"/>
          <w:sz w:val="18"/>
          <w:szCs w:val="18"/>
          <w:color w:val="auto"/>
        </w:rPr>
        <w:t>"); and</w:t>
      </w:r>
    </w:p>
    <w:p>
      <w:pPr>
        <w:spacing w:after="0" w:line="154"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GEELY SWEDEN AUTOMOTIVE INVESTMENT AB</w:t>
      </w:r>
      <w:r>
        <w:rPr>
          <w:rFonts w:ascii="Times New Roman" w:cs="Times New Roman" w:eastAsia="Times New Roman" w:hAnsi="Times New Roman"/>
          <w:sz w:val="18"/>
          <w:szCs w:val="18"/>
          <w:color w:val="auto"/>
        </w:rPr>
        <w:t>, a private company incorporated under Swedish law and registered with the Swedish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Registration Office under number 559263-3035, as facility agent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 IS AGREED </w:t>
      </w:r>
      <w:r>
        <w:rPr>
          <w:rFonts w:ascii="Times New Roman" w:cs="Times New Roman" w:eastAsia="Times New Roman" w:hAnsi="Times New Roman"/>
          <w:sz w:val="18"/>
          <w:szCs w:val="18"/>
          <w:color w:val="auto"/>
        </w:rPr>
        <w:t>as follows:</w:t>
      </w:r>
    </w:p>
    <w:p>
      <w:pPr>
        <w:spacing w:after="0" w:line="225"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 AND INTERPRETATION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Agreement: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Business Day</w:t>
      </w:r>
      <w:r>
        <w:rPr>
          <w:rFonts w:ascii="Times New Roman" w:cs="Times New Roman" w:eastAsia="Times New Roman" w:hAnsi="Times New Roman"/>
          <w:sz w:val="18"/>
          <w:szCs w:val="18"/>
          <w:color w:val="auto"/>
        </w:rPr>
        <w:t>" means any day specified as such in the Reference Rate Terms.</w:t>
      </w:r>
    </w:p>
    <w:p>
      <w:pPr>
        <w:spacing w:after="0" w:line="22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in relation to any person, a Subsidiary of that person or a Holding Company of that person or any other Subsidiary of that Holding Company.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Term Rate</w:t>
      </w:r>
      <w:r>
        <w:rPr>
          <w:rFonts w:ascii="Times New Roman" w:cs="Times New Roman" w:eastAsia="Times New Roman" w:hAnsi="Times New Roman"/>
          <w:sz w:val="18"/>
          <w:szCs w:val="18"/>
          <w:color w:val="auto"/>
        </w:rPr>
        <w:t>" means any rate specified as such in the Reference Rate Terms.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Term Rate Adjustment</w:t>
      </w:r>
      <w:r>
        <w:rPr>
          <w:rFonts w:ascii="Times New Roman" w:cs="Times New Roman" w:eastAsia="Times New Roman" w:hAnsi="Times New Roman"/>
          <w:sz w:val="18"/>
          <w:szCs w:val="18"/>
          <w:color w:val="auto"/>
        </w:rPr>
        <w:t>" means any rate which is either:</w:t>
      </w:r>
    </w:p>
    <w:p>
      <w:pPr>
        <w:spacing w:after="0" w:line="229"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as such in the Reference Rate Terms;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by the Agent (or by any other Finance Party which agrees to determine that rate in place of the Agent) in accordance with the methodology specified in the Reference Rate Terms.</w:t>
      </w:r>
    </w:p>
    <w:p>
      <w:pPr>
        <w:spacing w:after="0" w:line="158" w:lineRule="exact"/>
        <w:rPr>
          <w:sz w:val="20"/>
          <w:szCs w:val="20"/>
          <w:color w:val="auto"/>
        </w:rPr>
      </w:pPr>
    </w:p>
    <w:p>
      <w:pPr>
        <w:ind w:left="660" w:right="1520"/>
        <w:spacing w:after="0" w:line="50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Authorisation</w:t>
      </w:r>
      <w:r>
        <w:rPr>
          <w:rFonts w:ascii="Times New Roman" w:cs="Times New Roman" w:eastAsia="Times New Roman" w:hAnsi="Times New Roman"/>
          <w:sz w:val="18"/>
          <w:szCs w:val="18"/>
          <w:color w:val="auto"/>
        </w:rPr>
        <w:t>" means an authorisation, consent, approval, resolution, licence, exemption, filing, notarisation or registration. "</w:t>
      </w:r>
      <w:r>
        <w:rPr>
          <w:rFonts w:ascii="Times New Roman" w:cs="Times New Roman" w:eastAsia="Times New Roman" w:hAnsi="Times New Roman"/>
          <w:sz w:val="18"/>
          <w:szCs w:val="18"/>
          <w:b w:val="1"/>
          <w:bCs w:val="1"/>
          <w:color w:val="auto"/>
        </w:rPr>
        <w:t>Availability Period</w:t>
      </w:r>
      <w:r>
        <w:rPr>
          <w:rFonts w:ascii="Times New Roman" w:cs="Times New Roman" w:eastAsia="Times New Roman" w:hAnsi="Times New Roman"/>
          <w:sz w:val="18"/>
          <w:szCs w:val="18"/>
          <w:color w:val="auto"/>
        </w:rPr>
        <w:t>" means the period from and including the date of this Agreement to and including 31 March 2026. "</w:t>
      </w:r>
      <w:r>
        <w:rPr>
          <w:rFonts w:ascii="Times New Roman" w:cs="Times New Roman" w:eastAsia="Times New Roman" w:hAnsi="Times New Roman"/>
          <w:sz w:val="18"/>
          <w:szCs w:val="18"/>
          <w:b w:val="1"/>
          <w:bCs w:val="1"/>
          <w:color w:val="auto"/>
        </w:rPr>
        <w:t>Available Facility</w:t>
      </w:r>
      <w:r>
        <w:rPr>
          <w:rFonts w:ascii="Times New Roman" w:cs="Times New Roman" w:eastAsia="Times New Roman" w:hAnsi="Times New Roman"/>
          <w:sz w:val="18"/>
          <w:szCs w:val="18"/>
          <w:color w:val="auto"/>
        </w:rPr>
        <w:t>" means the amount of the Facility minus:</w:t>
      </w:r>
    </w:p>
    <w:p>
      <w:pPr>
        <w:spacing w:after="0" w:line="1"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outstanding Loans;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proposed Utilisation, the amount of any Loans that are due to be made on or before the proposed Utilisation Date.</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Break Costs</w:t>
      </w:r>
      <w:r>
        <w:rPr>
          <w:rFonts w:ascii="Times New Roman" w:cs="Times New Roman" w:eastAsia="Times New Roman" w:hAnsi="Times New Roman"/>
          <w:sz w:val="18"/>
          <w:szCs w:val="18"/>
          <w:color w:val="auto"/>
        </w:rPr>
        <w:t>" means the amount (if any) by which:</w:t>
      </w:r>
    </w:p>
    <w:p>
      <w:pPr>
        <w:spacing w:after="0" w:line="229" w:lineRule="exact"/>
        <w:rPr>
          <w:sz w:val="20"/>
          <w:szCs w:val="20"/>
          <w:color w:val="auto"/>
        </w:rPr>
      </w:pPr>
    </w:p>
    <w:p>
      <w:pPr>
        <w:jc w:val="both"/>
        <w:ind w:left="644" w:hanging="644"/>
        <w:spacing w:after="0" w:line="266" w:lineRule="auto"/>
        <w:tabs>
          <w:tab w:leader="none" w:pos="6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(excluding Margin) which the Lender should have received for the period from the date of receipt of all or any part of its participation in the relevant Loan or Unpaid Sum to the last day of the current Interest Period in respect of that Loan or Unpaid Sum, had the principal amount or Unpaid Sum received been paid on the last day of that Interest Period;</w:t>
      </w:r>
    </w:p>
    <w:p>
      <w:pPr>
        <w:spacing w:after="0" w:line="175"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exceeds:</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which the Lender would be able to obtain by placing an amount equal to the principal amount or Unpaid Sum received by it on deposit with a leading bank for a period starting on the Business Day following receipt or recovery and ending on the last day of the current Interest Period.</w:t>
      </w:r>
    </w:p>
    <w:p>
      <w:pPr>
        <w:spacing w:after="0" w:line="172"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or Sunday) on which banks are open for general business in Hong Kong, Amsterdam, London, Stockholm and New York and, in relation to the fixing of an interest rate in relation to a Loan, which is an Additional Business Day relating to that Loan or Unpaid Sum.</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Cashflow Forecast</w:t>
      </w:r>
      <w:r>
        <w:rPr>
          <w:rFonts w:ascii="Times New Roman" w:cs="Times New Roman" w:eastAsia="Times New Roman" w:hAnsi="Times New Roman"/>
          <w:sz w:val="18"/>
          <w:szCs w:val="18"/>
          <w:color w:val="auto"/>
        </w:rPr>
        <w:t>" means the cashflow forecast most recently delivered to the Agent in accordance with Clause 18.2 (</w:t>
      </w:r>
      <w:r>
        <w:rPr>
          <w:rFonts w:ascii="Times New Roman" w:cs="Times New Roman" w:eastAsia="Times New Roman" w:hAnsi="Times New Roman"/>
          <w:sz w:val="18"/>
          <w:szCs w:val="18"/>
          <w:i w:val="1"/>
          <w:iCs w:val="1"/>
          <w:color w:val="auto"/>
        </w:rPr>
        <w:t>Cashflow Forecast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means a certificate substantially in the form set out in Schedule 5 (</w:t>
      </w:r>
      <w:r>
        <w:rPr>
          <w:rFonts w:ascii="Times New Roman" w:cs="Times New Roman" w:eastAsia="Times New Roman" w:hAnsi="Times New Roman"/>
          <w:sz w:val="18"/>
          <w:szCs w:val="18"/>
          <w:i w:val="1"/>
          <w:iCs w:val="1"/>
          <w:color w:val="auto"/>
        </w:rPr>
        <w:t>Form of Compliance Certificate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all information relating to the Borrower, the Finance Documents or the Facility of which a Finance Party becomes aware in its capacity as, or for the purpose of becoming, a Finance Party or which is received by a Finance Party in relation to, or for the purpose of becoming a Finance Party under, the Finance Documents or the Facility from the Borrower or any of its advisers in whatever form, and includes information given orally and any document, electronic file or any other way of representing or recording information which contains or is derived or copied from such information but excludes:</w:t>
      </w:r>
    </w:p>
    <w:p>
      <w:pPr>
        <w:spacing w:after="0" w:line="183" w:lineRule="exact"/>
        <w:rPr>
          <w:sz w:val="20"/>
          <w:szCs w:val="20"/>
          <w:color w:val="auto"/>
        </w:rPr>
      </w:pPr>
    </w:p>
    <w:p>
      <w:pPr>
        <w:ind w:left="644" w:hanging="644"/>
        <w:spacing w:after="0"/>
        <w:tabs>
          <w:tab w:leader="none" w:pos="6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that:</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becomes public information other than as a direct or indirect result of any breach by that Finance Party of Clause 32 (</w:t>
      </w:r>
      <w:r>
        <w:rPr>
          <w:rFonts w:ascii="Times New Roman" w:cs="Times New Roman" w:eastAsia="Times New Roman" w:hAnsi="Times New Roman"/>
          <w:sz w:val="18"/>
          <w:szCs w:val="18"/>
          <w:i w:val="1"/>
          <w:iCs w:val="1"/>
          <w:color w:val="auto"/>
        </w:rPr>
        <w:t>Confidential Information</w:t>
      </w:r>
      <w:r>
        <w:rPr>
          <w:rFonts w:ascii="Times New Roman" w:cs="Times New Roman" w:eastAsia="Times New Roman" w:hAnsi="Times New Roman"/>
          <w:sz w:val="18"/>
          <w:szCs w:val="18"/>
          <w:color w:val="auto"/>
        </w:rPr>
        <w:t>); or</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identified in writing at the time of delivery as non-confidential by the Borrower or any of its advisers; or</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known by that Finance Party before the date the information is disclosed to it or is lawfully obtained by that Finance Party after that date, from a source which is, as far as that Finance Party is aware, unconnected with the Borrower and which, in either case, as far as that Finance Party is aware, has not been obtained in breach of, and is not otherwise subject to, any obligation of confidentiality, and</w:t>
      </w:r>
    </w:p>
    <w:p>
      <w:pPr>
        <w:spacing w:after="0" w:line="395" w:lineRule="exact"/>
        <w:rPr>
          <w:rFonts w:ascii="Times New Roman" w:cs="Times New Roman" w:eastAsia="Times New Roman" w:hAnsi="Times New Roman"/>
          <w:sz w:val="18"/>
          <w:szCs w:val="18"/>
          <w:color w:val="auto"/>
        </w:rPr>
      </w:pPr>
    </w:p>
    <w:p>
      <w:pPr>
        <w:ind w:left="4924" w:hanging="106"/>
        <w:spacing w:after="0"/>
        <w:tabs>
          <w:tab w:leader="none" w:pos="492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0" w:name="page11"/>
    <w:bookmarkEnd w:id="10"/>
    <w:p>
      <w:pPr>
        <w:ind w:left="644" w:hanging="644"/>
        <w:spacing w:after="0"/>
        <w:tabs>
          <w:tab w:leader="none" w:pos="6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Funding Rate.</w:t>
      </w:r>
    </w:p>
    <w:p>
      <w:pPr>
        <w:spacing w:after="0" w:line="221"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Confidentiality Undertaking</w:t>
      </w:r>
      <w:r>
        <w:rPr>
          <w:rFonts w:ascii="Times New Roman" w:cs="Times New Roman" w:eastAsia="Times New Roman" w:hAnsi="Times New Roman"/>
          <w:sz w:val="18"/>
          <w:szCs w:val="18"/>
          <w:color w:val="auto"/>
        </w:rPr>
        <w:t>" means a confidentiality undertaking substantially in a recommended form of the LMA or in any other form agreed between the Borrower and the Agent.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Right</w:t>
      </w:r>
      <w:r>
        <w:rPr>
          <w:rFonts w:ascii="Times New Roman" w:cs="Times New Roman" w:eastAsia="Times New Roman" w:hAnsi="Times New Roman"/>
          <w:sz w:val="18"/>
          <w:szCs w:val="18"/>
          <w:color w:val="auto"/>
        </w:rPr>
        <w:t>" has the meaning given to it in Clause 6.2 (</w:t>
      </w:r>
      <w:r>
        <w:rPr>
          <w:rFonts w:ascii="Times New Roman" w:cs="Times New Roman" w:eastAsia="Times New Roman" w:hAnsi="Times New Roman"/>
          <w:sz w:val="18"/>
          <w:szCs w:val="18"/>
          <w:i w:val="1"/>
          <w:iCs w:val="1"/>
          <w:color w:val="auto"/>
        </w:rPr>
        <w:t>Lender debt-for-equity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xml:space="preserve">" means shares of the same class, bearing the same rights and entitlements, and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with the shares offered by the Borrower to investors pursuant to the terms of the Equity Conversion.</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Converted Amount</w:t>
      </w:r>
      <w:r>
        <w:rPr>
          <w:rFonts w:ascii="Times New Roman" w:cs="Times New Roman" w:eastAsia="Times New Roman" w:hAnsi="Times New Roman"/>
          <w:sz w:val="18"/>
          <w:szCs w:val="18"/>
          <w:color w:val="auto"/>
        </w:rPr>
        <w:t>" has the meaning given to it in Clause 6.2 (</w:t>
      </w:r>
      <w:r>
        <w:rPr>
          <w:rFonts w:ascii="Times New Roman" w:cs="Times New Roman" w:eastAsia="Times New Roman" w:hAnsi="Times New Roman"/>
          <w:sz w:val="18"/>
          <w:szCs w:val="18"/>
          <w:i w:val="1"/>
          <w:iCs w:val="1"/>
          <w:color w:val="auto"/>
        </w:rPr>
        <w:t>Lender debt-for-equity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Rate</w:t>
      </w:r>
      <w:r>
        <w:rPr>
          <w:rFonts w:ascii="Times New Roman" w:cs="Times New Roman" w:eastAsia="Times New Roman" w:hAnsi="Times New Roman"/>
          <w:sz w:val="18"/>
          <w:szCs w:val="18"/>
          <w:color w:val="auto"/>
        </w:rPr>
        <w:t>" means the rate specified as such in the Reference Rate Terms.</w:t>
      </w:r>
    </w:p>
    <w:p>
      <w:pPr>
        <w:spacing w:after="0" w:line="22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 Event of Default or any event or circumstance specified in Clause 20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which would (with the expiry of a grace period, the giving of notice, the making of any determination under the Finance Documents or any combination of any of the foregoing) be an Event of Default.</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Recipients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44" w:hanging="644"/>
        <w:spacing w:after="0"/>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Zhe Jia (</w:t>
      </w:r>
      <w:r>
        <w:rPr>
          <w:rFonts w:ascii="Times New Roman" w:cs="Times New Roman" w:eastAsia="Times New Roman" w:hAnsi="Times New Roman"/>
          <w:sz w:val="18"/>
          <w:szCs w:val="18"/>
          <w:u w:val="single" w:color="auto"/>
          <w:color w:val="auto"/>
        </w:rPr>
        <w:t>zhe.jia1@geely.com</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4" w:right="7000" w:hanging="4"/>
        <w:spacing w:after="0" w:line="530" w:lineRule="auto"/>
        <w:tabs>
          <w:tab w:leader="none" w:pos="65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Peter Lundin (</w:t>
      </w:r>
      <w:r>
        <w:rPr>
          <w:rFonts w:ascii="Times New Roman" w:cs="Times New Roman" w:eastAsia="Times New Roman" w:hAnsi="Times New Roman"/>
          <w:sz w:val="17"/>
          <w:szCs w:val="17"/>
          <w:u w:val="single" w:color="auto"/>
          <w:color w:val="auto"/>
        </w:rPr>
        <w:t>peter.lundin@gshab.com</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Disruption Event</w:t>
      </w:r>
      <w:r>
        <w:rPr>
          <w:rFonts w:ascii="Times New Roman" w:cs="Times New Roman" w:eastAsia="Times New Roman" w:hAnsi="Times New Roman"/>
          <w:sz w:val="17"/>
          <w:szCs w:val="17"/>
          <w:color w:val="auto"/>
        </w:rPr>
        <w:t>" means either or both of:</w:t>
      </w:r>
    </w:p>
    <w:p>
      <w:pPr>
        <w:spacing w:after="0" w:line="1" w:lineRule="exact"/>
        <w:rPr>
          <w:sz w:val="20"/>
          <w:szCs w:val="20"/>
          <w:color w:val="auto"/>
        </w:rPr>
      </w:pPr>
    </w:p>
    <w:p>
      <w:pPr>
        <w:jc w:val="both"/>
        <w:ind w:left="644" w:hanging="644"/>
        <w:spacing w:after="0" w:line="266" w:lineRule="auto"/>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disruption to those payment or communications systems or to those financial markets which are, in each case, required to operate in order for payments to be made in connection with the Facility (or otherwise in order for the transactions contemplated by the Finance Documents to be carried out) which disruption is not caused by, and is beyond the control of, any of the Parties; or</w:t>
      </w:r>
    </w:p>
    <w:p>
      <w:pPr>
        <w:spacing w:after="0" w:line="17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other event which results in a disruption (of a technical or systems-related nature) to the treasury or payments operations of a Party preventing that, or any other Party:</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performing its payment obligations under the Finance Documents; or</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communicating with other Parties in accordance with the terms of the Finance Documents,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which (in either such case) is not caused by, and is beyond the control of, the Party whose operations are disrupted.</w:t>
      </w:r>
    </w:p>
    <w:p>
      <w:pPr>
        <w:spacing w:after="0" w:line="200" w:lineRule="exact"/>
        <w:rPr>
          <w:sz w:val="20"/>
          <w:szCs w:val="20"/>
          <w:color w:val="auto"/>
        </w:rPr>
      </w:pPr>
    </w:p>
    <w:p>
      <w:pPr>
        <w:spacing w:after="0" w:line="241"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1" w:name="page12"/>
    <w:bookmarkEnd w:id="11"/>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Conversion</w:t>
      </w:r>
      <w:r>
        <w:rPr>
          <w:rFonts w:ascii="Times New Roman" w:cs="Times New Roman" w:eastAsia="Times New Roman" w:hAnsi="Times New Roman"/>
          <w:sz w:val="18"/>
          <w:szCs w:val="18"/>
          <w:color w:val="auto"/>
        </w:rPr>
        <w:t>" means a partial or full conversion of principal and accrued interest due to the Lender under this Facility into of shares (or depositary receipts or other securities representing shares) of any class in the share capital of the Borrower.</w:t>
      </w:r>
    </w:p>
    <w:p>
      <w:pPr>
        <w:spacing w:after="0" w:line="15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Conversion Date</w:t>
      </w:r>
      <w:r>
        <w:rPr>
          <w:rFonts w:ascii="Times New Roman" w:cs="Times New Roman" w:eastAsia="Times New Roman" w:hAnsi="Times New Roman"/>
          <w:sz w:val="18"/>
          <w:szCs w:val="18"/>
          <w:color w:val="auto"/>
        </w:rPr>
        <w:t>" means the date on which the relevant shares are delivered to Lender by the Borrower pursuant to the terms of the Equity Conversion.</w:t>
      </w:r>
    </w:p>
    <w:p>
      <w:pPr>
        <w:spacing w:after="0" w:line="15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Conversion Price</w:t>
      </w:r>
      <w:r>
        <w:rPr>
          <w:rFonts w:ascii="Times New Roman" w:cs="Times New Roman" w:eastAsia="Times New Roman" w:hAnsi="Times New Roman"/>
          <w:sz w:val="18"/>
          <w:szCs w:val="18"/>
          <w:color w:val="auto"/>
        </w:rPr>
        <w:t>" means the price per share at which the Equity Conversion shall occur, which shall be calculated based on an average closing price as reported by NASDAQ for the Class A American Depositary Shares of the Borrower over the 5 trading days immediately preceding the date of the Equity Conversion Exercise Notice.</w:t>
      </w:r>
    </w:p>
    <w:p>
      <w:pPr>
        <w:spacing w:after="0" w:line="171"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Conversion Exercise Notice</w:t>
      </w:r>
      <w:r>
        <w:rPr>
          <w:rFonts w:ascii="Times New Roman" w:cs="Times New Roman" w:eastAsia="Times New Roman" w:hAnsi="Times New Roman"/>
          <w:sz w:val="18"/>
          <w:szCs w:val="18"/>
          <w:color w:val="auto"/>
        </w:rPr>
        <w:t>" means a notice duly completed and delivered by the Lender to the Borrower specifying that a particular amount of principal and accrued interest in respect of one or more outstanding Loans is subject to conversion.</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means any event or circumstance specified as such in Clause 20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means the term loan facility in an aggregate amount of USD 600,000,000 made available under this Agreement described in Clause 2 (</w:t>
      </w:r>
      <w:r>
        <w:rPr>
          <w:rFonts w:ascii="Times New Roman" w:cs="Times New Roman" w:eastAsia="Times New Roman" w:hAnsi="Times New Roman"/>
          <w:sz w:val="18"/>
          <w:szCs w:val="18"/>
          <w:i w:val="1"/>
          <w:iCs w:val="1"/>
          <w:color w:val="auto"/>
        </w:rPr>
        <w:t>The Facility</w:t>
      </w:r>
      <w:r>
        <w:rPr>
          <w:rFonts w:ascii="Times New Roman" w:cs="Times New Roman" w:eastAsia="Times New Roman" w:hAnsi="Times New Roman"/>
          <w:sz w:val="18"/>
          <w:szCs w:val="18"/>
          <w:color w:val="auto"/>
        </w:rPr>
        <w:t>) to the extent not cancelled or reduced under this Agreement.</w:t>
      </w:r>
    </w:p>
    <w:p>
      <w:pPr>
        <w:spacing w:after="0" w:line="15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Office</w:t>
      </w:r>
      <w:r>
        <w:rPr>
          <w:rFonts w:ascii="Times New Roman" w:cs="Times New Roman" w:eastAsia="Times New Roman" w:hAnsi="Times New Roman"/>
          <w:sz w:val="18"/>
          <w:szCs w:val="18"/>
          <w:color w:val="auto"/>
        </w:rPr>
        <w:t>" means the office or offices identified with the Lender's signature below or such other office as it may from time to time select by notice to the Borrower as the office or offices through which it will perform its obligations under this Agreement.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44" w:hanging="644"/>
        <w:spacing w:after="0"/>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1471 to 1474 of the Code or any associated regulations;</w:t>
      </w:r>
    </w:p>
    <w:p>
      <w:pPr>
        <w:spacing w:after="0" w:line="22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treaty, law or regulation of any other jurisdiction, or relating to an intergovernmental agreement between the US and any other jurisdiction, which (in either case) facilitates the implementation of any law or regulation referred to in paragraph (a) above; or</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pursuant to the implementation of any treaty, law or regulation referred to in paragraphs (a) or (b) above with the US Internal Revenue Service, the US government or any governmental or taxation authority in any other jurisdiction.</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 Application Date</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44" w:hanging="644"/>
        <w:spacing w:after="0" w:line="282" w:lineRule="auto"/>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"withholdable payment" described in section 1473(1)(A)(i) of the Code (which relates to payments of interest and certain other payments from sources within the US), 1 July 2014; or</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"passthru payment" described in section 1471(d)(7) of the Code not falling within paragraph (a) above, the first date from which such payment may become subject to a deduction or withholding required by FATCA.</w:t>
      </w:r>
    </w:p>
    <w:p>
      <w:pPr>
        <w:spacing w:after="0" w:line="377" w:lineRule="exact"/>
        <w:rPr>
          <w:rFonts w:ascii="Times New Roman" w:cs="Times New Roman" w:eastAsia="Times New Roman" w:hAnsi="Times New Roman"/>
          <w:sz w:val="18"/>
          <w:szCs w:val="18"/>
          <w:color w:val="auto"/>
        </w:rPr>
      </w:pPr>
    </w:p>
    <w:p>
      <w:pPr>
        <w:ind w:left="4924" w:hanging="106"/>
        <w:spacing w:after="0"/>
        <w:tabs>
          <w:tab w:leader="none" w:pos="49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2" w:name="page13"/>
    <w:bookmarkEnd w:id="12"/>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 Deduction</w:t>
      </w:r>
      <w:r>
        <w:rPr>
          <w:rFonts w:ascii="Times New Roman" w:cs="Times New Roman" w:eastAsia="Times New Roman" w:hAnsi="Times New Roman"/>
          <w:sz w:val="18"/>
          <w:szCs w:val="18"/>
          <w:color w:val="auto"/>
        </w:rPr>
        <w:t>" means a deduction or withholding from a payment under a Finance Document required by FATCA.</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 Exempt Party</w:t>
      </w:r>
      <w:r>
        <w:rPr>
          <w:rFonts w:ascii="Times New Roman" w:cs="Times New Roman" w:eastAsia="Times New Roman" w:hAnsi="Times New Roman"/>
          <w:sz w:val="18"/>
          <w:szCs w:val="18"/>
          <w:color w:val="auto"/>
        </w:rPr>
        <w:t>" means a Party that is entitled to receive payments free from any FATCA Deduction.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Finance Document</w:t>
      </w:r>
      <w:r>
        <w:rPr>
          <w:rFonts w:ascii="Times New Roman" w:cs="Times New Roman" w:eastAsia="Times New Roman" w:hAnsi="Times New Roman"/>
          <w:sz w:val="18"/>
          <w:szCs w:val="18"/>
          <w:color w:val="auto"/>
        </w:rPr>
        <w:t>" means this Agreement and any other document designated as such by the Agent and the Borrower.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Finance Party</w:t>
      </w:r>
      <w:r>
        <w:rPr>
          <w:rFonts w:ascii="Times New Roman" w:cs="Times New Roman" w:eastAsia="Times New Roman" w:hAnsi="Times New Roman"/>
          <w:sz w:val="18"/>
          <w:szCs w:val="18"/>
          <w:color w:val="auto"/>
        </w:rPr>
        <w:t>" means any of the Agent or any Lender.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Indebtedness</w:t>
      </w:r>
      <w:r>
        <w:rPr>
          <w:rFonts w:ascii="Times New Roman" w:cs="Times New Roman" w:eastAsia="Times New Roman" w:hAnsi="Times New Roman"/>
          <w:sz w:val="18"/>
          <w:szCs w:val="18"/>
          <w:color w:val="auto"/>
        </w:rPr>
        <w:t>" means (without double counting) any indebtedness for or in respect of:</w:t>
      </w:r>
    </w:p>
    <w:p>
      <w:pPr>
        <w:spacing w:after="0" w:line="229" w:lineRule="exact"/>
        <w:rPr>
          <w:sz w:val="20"/>
          <w:szCs w:val="20"/>
          <w:color w:val="auto"/>
        </w:rPr>
      </w:pPr>
    </w:p>
    <w:p>
      <w:pPr>
        <w:ind w:left="644" w:hanging="644"/>
        <w:spacing w:after="0"/>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moneys borrowed;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acceptance credit (including any dematerialised equivalent);</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bond, note, debenture, loan stock or other security (other than Trade Instruments);</w:t>
      </w:r>
    </w:p>
    <w:p>
      <w:pPr>
        <w:spacing w:after="0" w:line="22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liability in respect of any lease or hire purchase contract which would, in accordance with GAAP, be treated as a balance sheet liability;</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sold or discounted (other than any receivables to the extent they are sold on a non-recourse basis);</w:t>
      </w:r>
    </w:p>
    <w:p>
      <w:pPr>
        <w:spacing w:after="0" w:line="22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cost of any asset or service to the extent payable before or after its acquisition or possession by the party liable where the advance or deferred payment:</w:t>
      </w:r>
    </w:p>
    <w:p>
      <w:pPr>
        <w:spacing w:after="0" w:line="161"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arranged primarily as a method of raising finance or of financing the acquisition of that asset or service or the construction of that asset or service; or</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due more than 210 days after the date of acquisition or supply;</w:t>
      </w:r>
    </w:p>
    <w:p>
      <w:pPr>
        <w:spacing w:after="0" w:line="223" w:lineRule="exact"/>
        <w:rPr>
          <w:rFonts w:ascii="Times New Roman" w:cs="Times New Roman" w:eastAsia="Times New Roman" w:hAnsi="Times New Roman"/>
          <w:sz w:val="18"/>
          <w:szCs w:val="18"/>
          <w:color w:val="auto"/>
        </w:rPr>
      </w:pPr>
    </w:p>
    <w:p>
      <w:pPr>
        <w:jc w:val="both"/>
        <w:ind w:left="644" w:hanging="644"/>
        <w:spacing w:after="0" w:line="284" w:lineRule="auto"/>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Clause 20.4 (</w:t>
      </w:r>
      <w:r>
        <w:rPr>
          <w:rFonts w:ascii="Times New Roman" w:cs="Times New Roman" w:eastAsia="Times New Roman" w:hAnsi="Times New Roman"/>
          <w:sz w:val="18"/>
          <w:szCs w:val="18"/>
          <w:i w:val="1"/>
          <w:iCs w:val="1"/>
          <w:color w:val="auto"/>
        </w:rPr>
        <w:t>Cross default</w:t>
      </w:r>
      <w:r>
        <w:rPr>
          <w:rFonts w:ascii="Times New Roman" w:cs="Times New Roman" w:eastAsia="Times New Roman" w:hAnsi="Times New Roman"/>
          <w:sz w:val="18"/>
          <w:szCs w:val="18"/>
          <w:color w:val="auto"/>
        </w:rPr>
        <w:t>) only, any gains or losses realised on the termination of any Treasury Transaction to the extent not settled on its due date and only where such early settlement has been caused by a default (however described) of the Borrower;</w:t>
      </w:r>
    </w:p>
    <w:p>
      <w:pPr>
        <w:spacing w:after="0" w:line="160"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counter-indemnity obligation in respect of any guarantee, indemnity, bond, letter of credit or any other instrument issued by a bank or financial institution in respect of an underlying liability other than Trade Instruments; or</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indemnity or similar assurance against financial loss of any person in respect of any item referred to in the above paragraphs.</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Quarter</w:t>
      </w:r>
      <w:r>
        <w:rPr>
          <w:rFonts w:ascii="Times New Roman" w:cs="Times New Roman" w:eastAsia="Times New Roman" w:hAnsi="Times New Roman"/>
          <w:sz w:val="18"/>
          <w:szCs w:val="18"/>
          <w:color w:val="auto"/>
        </w:rPr>
        <w:t>" means the period commencing on the day after one Quarter Date and ending on the next Quarter Date.</w:t>
      </w:r>
    </w:p>
    <w:p>
      <w:pPr>
        <w:spacing w:after="0" w:line="200" w:lineRule="exact"/>
        <w:rPr>
          <w:sz w:val="20"/>
          <w:szCs w:val="20"/>
          <w:color w:val="auto"/>
        </w:rPr>
      </w:pPr>
    </w:p>
    <w:p>
      <w:pPr>
        <w:spacing w:after="0" w:line="245"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3" w:name="page14"/>
    <w:bookmarkEnd w:id="13"/>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Rate</w:t>
      </w:r>
      <w:r>
        <w:rPr>
          <w:rFonts w:ascii="Times New Roman" w:cs="Times New Roman" w:eastAsia="Times New Roman" w:hAnsi="Times New Roman"/>
          <w:sz w:val="18"/>
          <w:szCs w:val="18"/>
          <w:color w:val="auto"/>
        </w:rPr>
        <w:t>" means any individual rate notified by the Lender to the Agent pursuant to paragraph (a)(ii) of Clause 10.3 (</w:t>
      </w:r>
      <w:r>
        <w:rPr>
          <w:rFonts w:ascii="Times New Roman" w:cs="Times New Roman" w:eastAsia="Times New Roman" w:hAnsi="Times New Roman"/>
          <w:sz w:val="18"/>
          <w:szCs w:val="18"/>
          <w:i w:val="1"/>
          <w:iCs w:val="1"/>
          <w:color w:val="auto"/>
        </w:rPr>
        <w:t>Cost of funds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Kingdom including IFRS.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Holding Company</w:t>
      </w:r>
      <w:r>
        <w:rPr>
          <w:rFonts w:ascii="Times New Roman" w:cs="Times New Roman" w:eastAsia="Times New Roman" w:hAnsi="Times New Roman"/>
          <w:sz w:val="18"/>
          <w:szCs w:val="18"/>
          <w:color w:val="auto"/>
        </w:rPr>
        <w:t>" means, in relation to a person, any other person in respect of which it is a Subsidiary.</w:t>
      </w:r>
    </w:p>
    <w:p>
      <w:pPr>
        <w:spacing w:after="0" w:line="225"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means UK- adopted international accounting standards within the meaning of section 474(1) of the Companies Act 2006 to the extent applicable to the relevant financial statements.</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means each date falling every one Month from the date of this Agreement (whilst any Loan is outstanding).</w:t>
      </w:r>
    </w:p>
    <w:p>
      <w:pPr>
        <w:spacing w:after="0" w:line="225"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 means, in relation to a Loan, each period determined in accordance with Clause 9 (</w:t>
      </w:r>
      <w:r>
        <w:rPr>
          <w:rFonts w:ascii="Times New Roman" w:cs="Times New Roman" w:eastAsia="Times New Roman" w:hAnsi="Times New Roman"/>
          <w:sz w:val="18"/>
          <w:szCs w:val="18"/>
          <w:i w:val="1"/>
          <w:iCs w:val="1"/>
          <w:color w:val="auto"/>
        </w:rPr>
        <w:t>Interest Periods</w:t>
      </w:r>
      <w:r>
        <w:rPr>
          <w:rFonts w:ascii="Times New Roman" w:cs="Times New Roman" w:eastAsia="Times New Roman" w:hAnsi="Times New Roman"/>
          <w:sz w:val="18"/>
          <w:szCs w:val="18"/>
          <w:color w:val="auto"/>
        </w:rPr>
        <w:t>) and, in relation to an Unpaid Sum, each period determined in accordance with Clause 8.3 (</w:t>
      </w:r>
      <w:r>
        <w:rPr>
          <w:rFonts w:ascii="Times New Roman" w:cs="Times New Roman" w:eastAsia="Times New Roman" w:hAnsi="Times New Roman"/>
          <w:sz w:val="18"/>
          <w:szCs w:val="18"/>
          <w:i w:val="1"/>
          <w:iCs w:val="1"/>
          <w:color w:val="auto"/>
        </w:rPr>
        <w:t>Default interest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Interpolated Alternative Term Rate</w:t>
      </w:r>
      <w:r>
        <w:rPr>
          <w:rFonts w:ascii="Times New Roman" w:cs="Times New Roman" w:eastAsia="Times New Roman" w:hAnsi="Times New Roman"/>
          <w:sz w:val="18"/>
          <w:szCs w:val="18"/>
          <w:color w:val="auto"/>
        </w:rPr>
        <w:t>" means, in relation to any Loan, the rate (rounded to the same number of decimal places as the relevant</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Alternative Term Rate) which results from interpolating on a linear basis between:</w:t>
      </w:r>
    </w:p>
    <w:p>
      <w:pPr>
        <w:spacing w:after="0" w:line="207" w:lineRule="exact"/>
        <w:rPr>
          <w:sz w:val="20"/>
          <w:szCs w:val="20"/>
          <w:color w:val="auto"/>
        </w:rPr>
      </w:pPr>
    </w:p>
    <w:p>
      <w:pPr>
        <w:ind w:left="644" w:hanging="644"/>
        <w:spacing w:after="0"/>
        <w:tabs>
          <w:tab w:leader="none" w:pos="6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Alternative Term Rate (as of the Quotation Time) for the longest period (for which that Alternative Term Rate is available) which is less than the Interest Period of that Loan; or</w:t>
      </w:r>
    </w:p>
    <w:p>
      <w:pPr>
        <w:spacing w:after="0" w:line="161"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such Alternative Term Rate is available for a period which is less than the Interest Period of that Loan, the applicable Overnight Rate (if any) for the Overnight Reference Day; and</w:t>
      </w:r>
    </w:p>
    <w:p>
      <w:pPr>
        <w:spacing w:after="0" w:line="162"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the applicable Alternative Term Rate (as of the Quotation Time) for the shortest period (for which that Alternative Term Rate is available) which exceeds the Interest Period of that Loan.</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Interpolated Primary Term Rate</w:t>
      </w:r>
      <w:r>
        <w:rPr>
          <w:rFonts w:ascii="Times New Roman" w:cs="Times New Roman" w:eastAsia="Times New Roman" w:hAnsi="Times New Roman"/>
          <w:sz w:val="18"/>
          <w:szCs w:val="18"/>
          <w:color w:val="auto"/>
        </w:rPr>
        <w:t>" means, in relation to any Loan, the rate (rounded to the same number of decimal places as the relevant</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Primary Term Rate) which results from interpolating on a linear basis between:</w:t>
      </w:r>
    </w:p>
    <w:p>
      <w:pPr>
        <w:spacing w:after="0" w:line="207" w:lineRule="exact"/>
        <w:rPr>
          <w:sz w:val="20"/>
          <w:szCs w:val="20"/>
          <w:color w:val="auto"/>
        </w:rPr>
      </w:pPr>
    </w:p>
    <w:p>
      <w:pPr>
        <w:ind w:left="644" w:hanging="644"/>
        <w:spacing w:after="0"/>
        <w:tabs>
          <w:tab w:leader="none" w:pos="6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25" w:lineRule="exact"/>
        <w:rPr>
          <w:rFonts w:ascii="Times New Roman" w:cs="Times New Roman" w:eastAsia="Times New Roman" w:hAnsi="Times New Roman"/>
          <w:sz w:val="18"/>
          <w:szCs w:val="18"/>
          <w:color w:val="auto"/>
        </w:rPr>
      </w:pPr>
    </w:p>
    <w:p>
      <w:pPr>
        <w:ind w:left="1304" w:right="20" w:hanging="656"/>
        <w:spacing w:after="0" w:line="282" w:lineRule="auto"/>
        <w:tabs>
          <w:tab w:leader="none" w:pos="130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Primary Term Rate (as of the Quotation Time) for the longest period (for which that Primary Term Rate is available) which is less than the Interest Period of that Loan; or</w:t>
      </w:r>
    </w:p>
    <w:p>
      <w:pPr>
        <w:spacing w:after="0" w:line="161"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such Primary Term Rate is available for a period which is less than the Interest Period of that Loan, the applicable Overnight Rate (if any) for the Overnight Reference Day; and</w:t>
      </w:r>
    </w:p>
    <w:p>
      <w:pPr>
        <w:spacing w:after="0" w:line="377" w:lineRule="exact"/>
        <w:rPr>
          <w:rFonts w:ascii="Times New Roman" w:cs="Times New Roman" w:eastAsia="Times New Roman" w:hAnsi="Times New Roman"/>
          <w:sz w:val="18"/>
          <w:szCs w:val="18"/>
          <w:color w:val="auto"/>
        </w:rPr>
      </w:pPr>
    </w:p>
    <w:p>
      <w:pPr>
        <w:ind w:left="4924" w:hanging="106"/>
        <w:spacing w:after="0"/>
        <w:tabs>
          <w:tab w:leader="none" w:pos="4924"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4" w:name="page15"/>
    <w:bookmarkEnd w:id="14"/>
    <w:p>
      <w:pPr>
        <w:ind w:left="644" w:hanging="644"/>
        <w:spacing w:after="0" w:line="282" w:lineRule="auto"/>
        <w:tabs>
          <w:tab w:leader="none" w:pos="6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Primary Term Rate (as of the Quotation Time) for the shortest period (for which that Primary Term Rate is available) which exceeds the Interest Period of that Loan.</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ITA</w:t>
      </w:r>
      <w:r>
        <w:rPr>
          <w:rFonts w:ascii="Times New Roman" w:cs="Times New Roman" w:eastAsia="Times New Roman" w:hAnsi="Times New Roman"/>
          <w:sz w:val="18"/>
          <w:szCs w:val="18"/>
          <w:color w:val="auto"/>
        </w:rPr>
        <w:t>" means the Income Tax Act 2007.</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Reservations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44" w:hanging="644"/>
        <w:spacing w:after="0" w:line="282" w:lineRule="auto"/>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principle that certain remedies may be granted or refused at the discretion of a court and the limitation of enforcement by laws relating to bankruptcy, insolvency, reorganisation and other laws generally affecting the rights of creditors;</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barring of claims under applicable limitation laws (including the English Limitation Acts), defences of set-off or counterclaim and the possibility that an undertaking to assume liability for or indemnify a person against non-payment of UK stamp duty may be void; and</w:t>
      </w:r>
    </w:p>
    <w:p>
      <w:pPr>
        <w:spacing w:after="0" w:line="17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principles, rights and defences under the laws of any Relevant Jurisdiction.</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44" w:hanging="644"/>
        <w:spacing w:after="0"/>
        <w:tabs>
          <w:tab w:leader="none" w:pos="6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Lender; and</w:t>
      </w:r>
    </w:p>
    <w:p>
      <w:pPr>
        <w:spacing w:after="0" w:line="223" w:lineRule="exact"/>
        <w:rPr>
          <w:rFonts w:ascii="Times New Roman" w:cs="Times New Roman" w:eastAsia="Times New Roman" w:hAnsi="Times New Roman"/>
          <w:sz w:val="18"/>
          <w:szCs w:val="18"/>
          <w:color w:val="auto"/>
        </w:rPr>
      </w:pPr>
    </w:p>
    <w:p>
      <w:pPr>
        <w:ind w:left="4" w:right="2260" w:hanging="4"/>
        <w:spacing w:after="0" w:line="499" w:lineRule="auto"/>
        <w:tabs>
          <w:tab w:leader="none" w:pos="6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entity which has become a Party as a "Lender" in accordance with Clause 21 (</w:t>
      </w:r>
      <w:r>
        <w:rPr>
          <w:rFonts w:ascii="Times New Roman" w:cs="Times New Roman" w:eastAsia="Times New Roman" w:hAnsi="Times New Roman"/>
          <w:sz w:val="18"/>
          <w:szCs w:val="18"/>
          <w:i w:val="1"/>
          <w:iCs w:val="1"/>
          <w:color w:val="auto"/>
        </w:rPr>
        <w:t>Changes to the Lender</w:t>
      </w:r>
      <w:r>
        <w:rPr>
          <w:rFonts w:ascii="Times New Roman" w:cs="Times New Roman" w:eastAsia="Times New Roman" w:hAnsi="Times New Roman"/>
          <w:sz w:val="18"/>
          <w:szCs w:val="18"/>
          <w:color w:val="auto"/>
        </w:rPr>
        <w:t>), which in each case has not ceased to be a Party as such in accordance with the terms of this Agreement.</w:t>
      </w:r>
    </w:p>
    <w:p>
      <w:pPr>
        <w:spacing w:after="0" w:line="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LMA</w:t>
      </w:r>
      <w:r>
        <w:rPr>
          <w:rFonts w:ascii="Times New Roman" w:cs="Times New Roman" w:eastAsia="Times New Roman" w:hAnsi="Times New Roman"/>
          <w:sz w:val="18"/>
          <w:szCs w:val="18"/>
          <w:color w:val="auto"/>
        </w:rPr>
        <w:t>" means the Loan Market Association.</w:t>
      </w:r>
    </w:p>
    <w:p>
      <w:pPr>
        <w:spacing w:after="0" w:line="225" w:lineRule="exact"/>
        <w:rPr>
          <w:rFonts w:ascii="Times New Roman" w:cs="Times New Roman" w:eastAsia="Times New Roman" w:hAnsi="Times New Roman"/>
          <w:sz w:val="18"/>
          <w:szCs w:val="18"/>
          <w:color w:val="auto"/>
        </w:rPr>
      </w:pPr>
    </w:p>
    <w:p>
      <w:pPr>
        <w:ind w:left="4" w:right="142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means a loan made or to be made under the Facility or the principal amount outstanding for the time being of that loan. "</w:t>
      </w:r>
      <w:r>
        <w:rPr>
          <w:rFonts w:ascii="Times New Roman" w:cs="Times New Roman" w:eastAsia="Times New Roman" w:hAnsi="Times New Roman"/>
          <w:sz w:val="18"/>
          <w:szCs w:val="18"/>
          <w:b w:val="1"/>
          <w:bCs w:val="1"/>
          <w:color w:val="auto"/>
        </w:rPr>
        <w:t>Margin</w:t>
      </w:r>
      <w:r>
        <w:rPr>
          <w:rFonts w:ascii="Times New Roman" w:cs="Times New Roman" w:eastAsia="Times New Roman" w:hAnsi="Times New Roman"/>
          <w:sz w:val="18"/>
          <w:szCs w:val="18"/>
          <w:color w:val="auto"/>
        </w:rPr>
        <w:t>" means 3.00 per cent. per annum.</w:t>
      </w:r>
    </w:p>
    <w:p>
      <w:pPr>
        <w:spacing w:after="0" w:line="2"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any event or condition that (individually or in aggregate) has a material adverse effect on the ability of the Borrower to perform its payment obligations under the Finance Documents taking into account all other relevant circumstances, including (i) any insurance, warranty, or other claim or indemnification in respect of such event or circumstances held by the Borrower (and having regard to the creditworthiness of each insurer, warrantor or indemnifier) and (ii) any commitment by any person to provide any additional contribution, subscription of equity or other amount directly or indirectly to the Borrower (and having regard to the creditworthiness of the person and the latest date by which such payment is committed to be made).</w:t>
      </w:r>
    </w:p>
    <w:p>
      <w:pPr>
        <w:spacing w:after="0" w:line="182"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Month</w:t>
      </w:r>
      <w:r>
        <w:rPr>
          <w:rFonts w:ascii="Times New Roman" w:cs="Times New Roman" w:eastAsia="Times New Roman" w:hAnsi="Times New Roman"/>
          <w:sz w:val="18"/>
          <w:szCs w:val="18"/>
          <w:color w:val="auto"/>
        </w:rPr>
        <w:t>" means a period starting on one day in a calendar month and ending on the numerically corresponding day in the next calendar month, subject to adjustment in accordance with the rules specified as Business Day Conventions in the Reference Rate Terms.</w:t>
      </w:r>
    </w:p>
    <w:p>
      <w:pPr>
        <w:spacing w:after="0" w:line="375"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5" w:name="page16"/>
    <w:bookmarkEnd w:id="15"/>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Jurisdiction</w:t>
      </w:r>
      <w:r>
        <w:rPr>
          <w:rFonts w:ascii="Times New Roman" w:cs="Times New Roman" w:eastAsia="Times New Roman" w:hAnsi="Times New Roman"/>
          <w:sz w:val="18"/>
          <w:szCs w:val="18"/>
          <w:color w:val="auto"/>
        </w:rPr>
        <w:t>" means, in relation to the Borrower, the jurisdiction under whose laws the Borrower is incorporated as at the date of this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Overnight Rate</w:t>
      </w:r>
      <w:r>
        <w:rPr>
          <w:rFonts w:ascii="Times New Roman" w:cs="Times New Roman" w:eastAsia="Times New Roman" w:hAnsi="Times New Roman"/>
          <w:sz w:val="18"/>
          <w:szCs w:val="18"/>
          <w:color w:val="auto"/>
        </w:rPr>
        <w:t>" means the rate (if any) specified as such in the Reference Rate Terms.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Overnight Reference Day</w:t>
      </w:r>
      <w:r>
        <w:rPr>
          <w:rFonts w:ascii="Times New Roman" w:cs="Times New Roman" w:eastAsia="Times New Roman" w:hAnsi="Times New Roman"/>
          <w:sz w:val="18"/>
          <w:szCs w:val="18"/>
          <w:color w:val="auto"/>
        </w:rPr>
        <w:t>" means the day (if any) specified as such in the Reference Rate Terms.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Primary Term Rate</w:t>
      </w:r>
      <w:r>
        <w:rPr>
          <w:rFonts w:ascii="Times New Roman" w:cs="Times New Roman" w:eastAsia="Times New Roman" w:hAnsi="Times New Roman"/>
          <w:sz w:val="18"/>
          <w:szCs w:val="18"/>
          <w:color w:val="auto"/>
        </w:rPr>
        <w:t>" means the rate specified as such in the Reference Rate Terms.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means a party to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Quarter Date</w:t>
      </w:r>
      <w:r>
        <w:rPr>
          <w:rFonts w:ascii="Times New Roman" w:cs="Times New Roman" w:eastAsia="Times New Roman" w:hAnsi="Times New Roman"/>
          <w:sz w:val="18"/>
          <w:szCs w:val="18"/>
          <w:color w:val="auto"/>
        </w:rPr>
        <w:t>" means each of 31 March, 30 June, 30 September and 31 December.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Quotation Day</w:t>
      </w:r>
      <w:r>
        <w:rPr>
          <w:rFonts w:ascii="Times New Roman" w:cs="Times New Roman" w:eastAsia="Times New Roman" w:hAnsi="Times New Roman"/>
          <w:sz w:val="18"/>
          <w:szCs w:val="18"/>
          <w:color w:val="auto"/>
        </w:rPr>
        <w:t>" means the day specified as such in the Reference Rate Terms.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Quotation Time</w:t>
      </w:r>
      <w:r>
        <w:rPr>
          <w:rFonts w:ascii="Times New Roman" w:cs="Times New Roman" w:eastAsia="Times New Roman" w:hAnsi="Times New Roman"/>
          <w:sz w:val="18"/>
          <w:szCs w:val="18"/>
          <w:color w:val="auto"/>
        </w:rPr>
        <w:t>" means the relevant time specified as such in the Reference Rate Terms.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Quoted Tenor</w:t>
      </w:r>
      <w:r>
        <w:rPr>
          <w:rFonts w:ascii="Times New Roman" w:cs="Times New Roman" w:eastAsia="Times New Roman" w:hAnsi="Times New Roman"/>
          <w:sz w:val="18"/>
          <w:szCs w:val="18"/>
          <w:color w:val="auto"/>
        </w:rPr>
        <w:t>" means, in relation to a Primary Term Rate or an Alternative Term Rate, any period for which that rate is customarily displayed on the relevant page or screen of an information service.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Rate Terms</w:t>
      </w:r>
      <w:r>
        <w:rPr>
          <w:rFonts w:ascii="Times New Roman" w:cs="Times New Roman" w:eastAsia="Times New Roman" w:hAnsi="Times New Roman"/>
          <w:sz w:val="18"/>
          <w:szCs w:val="18"/>
          <w:color w:val="auto"/>
        </w:rPr>
        <w:t>" means the terms set out in Schedule 4 (</w:t>
      </w:r>
      <w:r>
        <w:rPr>
          <w:rFonts w:ascii="Times New Roman" w:cs="Times New Roman" w:eastAsia="Times New Roman" w:hAnsi="Times New Roman"/>
          <w:sz w:val="18"/>
          <w:szCs w:val="18"/>
          <w:i w:val="1"/>
          <w:iCs w:val="1"/>
          <w:color w:val="auto"/>
        </w:rPr>
        <w:t>Reference Rate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has the meaning given to it in Clause 19.6 (</w:t>
      </w:r>
      <w:r>
        <w:rPr>
          <w:rFonts w:ascii="Times New Roman" w:cs="Times New Roman" w:eastAsia="Times New Roman" w:hAnsi="Times New Roman"/>
          <w:sz w:val="18"/>
          <w:szCs w:val="18"/>
          <w:i w:val="1"/>
          <w:iCs w:val="1"/>
          <w:color w:val="auto"/>
        </w:rPr>
        <w:t>Registration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Fund</w:t>
      </w:r>
      <w:r>
        <w:rPr>
          <w:rFonts w:ascii="Times New Roman" w:cs="Times New Roman" w:eastAsia="Times New Roman" w:hAnsi="Times New Roman"/>
          <w:sz w:val="18"/>
          <w:szCs w:val="18"/>
          <w:color w:val="auto"/>
        </w:rPr>
        <w:t>" in relation to a fund (the "</w:t>
      </w:r>
      <w:r>
        <w:rPr>
          <w:rFonts w:ascii="Times New Roman" w:cs="Times New Roman" w:eastAsia="Times New Roman" w:hAnsi="Times New Roman"/>
          <w:sz w:val="18"/>
          <w:szCs w:val="18"/>
          <w:b w:val="1"/>
          <w:bCs w:val="1"/>
          <w:color w:val="auto"/>
        </w:rPr>
        <w:t>first fund</w:t>
      </w:r>
      <w:r>
        <w:rPr>
          <w:rFonts w:ascii="Times New Roman" w:cs="Times New Roman" w:eastAsia="Times New Roman" w:hAnsi="Times New Roman"/>
          <w:sz w:val="18"/>
          <w:szCs w:val="18"/>
          <w:color w:val="auto"/>
        </w:rPr>
        <w:t>"), means a fund which is managed or advised by the same investment manager or investment adviser as the first fund or, if it is managed by a different investment manager or investment adviser, a fund whose investment manager or investment adviser is an Affiliate of the investment manager or investment adviser of the first fund.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Clearing System</w:t>
      </w:r>
      <w:r>
        <w:rPr>
          <w:rFonts w:ascii="Times New Roman" w:cs="Times New Roman" w:eastAsia="Times New Roman" w:hAnsi="Times New Roman"/>
          <w:sz w:val="18"/>
          <w:szCs w:val="18"/>
          <w:color w:val="auto"/>
        </w:rPr>
        <w:t>" means the Depository Trust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Market</w:t>
      </w:r>
      <w:r>
        <w:rPr>
          <w:rFonts w:ascii="Times New Roman" w:cs="Times New Roman" w:eastAsia="Times New Roman" w:hAnsi="Times New Roman"/>
          <w:sz w:val="18"/>
          <w:szCs w:val="18"/>
          <w:color w:val="auto"/>
        </w:rPr>
        <w:t>" means the market specified as such in the Reference Rate Terms.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Repayment Date</w:t>
      </w:r>
      <w:r>
        <w:rPr>
          <w:rFonts w:ascii="Times New Roman" w:cs="Times New Roman" w:eastAsia="Times New Roman" w:hAnsi="Times New Roman"/>
          <w:sz w:val="18"/>
          <w:szCs w:val="18"/>
          <w:color w:val="auto"/>
        </w:rPr>
        <w:t>" means the Termination Date.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Repeating Representations</w:t>
      </w:r>
      <w:r>
        <w:rPr>
          <w:rFonts w:ascii="Times New Roman" w:cs="Times New Roman" w:eastAsia="Times New Roman" w:hAnsi="Times New Roman"/>
          <w:sz w:val="18"/>
          <w:szCs w:val="18"/>
          <w:color w:val="auto"/>
        </w:rPr>
        <w:t>" means each of the representations set out in Clauses 17.1 (</w:t>
      </w:r>
      <w:r>
        <w:rPr>
          <w:rFonts w:ascii="Times New Roman" w:cs="Times New Roman" w:eastAsia="Times New Roman" w:hAnsi="Times New Roman"/>
          <w:sz w:val="18"/>
          <w:szCs w:val="18"/>
          <w:i w:val="1"/>
          <w:iCs w:val="1"/>
          <w:color w:val="auto"/>
        </w:rPr>
        <w:t>Status</w:t>
      </w:r>
      <w:r>
        <w:rPr>
          <w:rFonts w:ascii="Times New Roman" w:cs="Times New Roman" w:eastAsia="Times New Roman" w:hAnsi="Times New Roman"/>
          <w:sz w:val="18"/>
          <w:szCs w:val="18"/>
          <w:color w:val="auto"/>
        </w:rPr>
        <w:t>) to 17.6 (</w:t>
      </w:r>
      <w:r>
        <w:rPr>
          <w:rFonts w:ascii="Times New Roman" w:cs="Times New Roman" w:eastAsia="Times New Roman" w:hAnsi="Times New Roman"/>
          <w:sz w:val="18"/>
          <w:szCs w:val="18"/>
          <w:i w:val="1"/>
          <w:iCs w:val="1"/>
          <w:color w:val="auto"/>
        </w:rPr>
        <w:t>Governing law and enforcement</w:t>
      </w:r>
      <w:r>
        <w:rPr>
          <w:rFonts w:ascii="Times New Roman" w:cs="Times New Roman" w:eastAsia="Times New Roman" w:hAnsi="Times New Roman"/>
          <w:sz w:val="18"/>
          <w:szCs w:val="18"/>
          <w:color w:val="auto"/>
        </w:rPr>
        <w:t>) (inclusive) and Clauses 17.9 (</w:t>
      </w:r>
      <w:r>
        <w:rPr>
          <w:rFonts w:ascii="Times New Roman" w:cs="Times New Roman" w:eastAsia="Times New Roman" w:hAnsi="Times New Roman"/>
          <w:sz w:val="18"/>
          <w:szCs w:val="18"/>
          <w:i w:val="1"/>
          <w:iCs w:val="1"/>
          <w:color w:val="auto"/>
        </w:rPr>
        <w:t>No default</w:t>
      </w:r>
      <w:r>
        <w:rPr>
          <w:rFonts w:ascii="Times New Roman" w:cs="Times New Roman" w:eastAsia="Times New Roman" w:hAnsi="Times New Roman"/>
          <w:sz w:val="18"/>
          <w:szCs w:val="18"/>
          <w:color w:val="auto"/>
        </w:rPr>
        <w:t>) to 16.10 (</w:t>
      </w:r>
      <w:r>
        <w:rPr>
          <w:rFonts w:ascii="Times New Roman" w:cs="Times New Roman" w:eastAsia="Times New Roman" w:hAnsi="Times New Roman"/>
          <w:sz w:val="18"/>
          <w:szCs w:val="18"/>
          <w:i w:val="1"/>
          <w:iCs w:val="1"/>
          <w:color w:val="auto"/>
        </w:rPr>
        <w:t>Pari passu ranking</w:t>
      </w:r>
      <w:r>
        <w:rPr>
          <w:rFonts w:ascii="Times New Roman" w:cs="Times New Roman" w:eastAsia="Times New Roman" w:hAnsi="Times New Roman"/>
          <w:sz w:val="18"/>
          <w:szCs w:val="18"/>
          <w:color w:val="auto"/>
        </w:rPr>
        <w:t>) (inclusive).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Reporting Day</w:t>
      </w:r>
      <w:r>
        <w:rPr>
          <w:rFonts w:ascii="Times New Roman" w:cs="Times New Roman" w:eastAsia="Times New Roman" w:hAnsi="Times New Roman"/>
          <w:sz w:val="18"/>
          <w:szCs w:val="18"/>
          <w:color w:val="auto"/>
        </w:rPr>
        <w:t>" means the day specified as such in the Reference Rate Terms.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Reporting Time</w:t>
      </w:r>
      <w:r>
        <w:rPr>
          <w:rFonts w:ascii="Times New Roman" w:cs="Times New Roman" w:eastAsia="Times New Roman" w:hAnsi="Times New Roman"/>
          <w:sz w:val="18"/>
          <w:szCs w:val="18"/>
          <w:color w:val="auto"/>
        </w:rPr>
        <w:t>" means the relevant time specified as such in the Reference Rate Terms.</w:t>
      </w:r>
    </w:p>
    <w:p>
      <w:pPr>
        <w:spacing w:after="0" w:line="200" w:lineRule="exact"/>
        <w:rPr>
          <w:sz w:val="20"/>
          <w:szCs w:val="20"/>
          <w:color w:val="auto"/>
        </w:rPr>
      </w:pPr>
    </w:p>
    <w:p>
      <w:pPr>
        <w:spacing w:after="0" w:line="24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6" w:name="page17"/>
    <w:bookmarkEnd w:id="16"/>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means any delegate, agent, manager, administrator, nominee, attorney, trustee or custodian.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has the meaning given to it in clause 19.6 (</w:t>
      </w:r>
      <w:r>
        <w:rPr>
          <w:rFonts w:ascii="Times New Roman" w:cs="Times New Roman" w:eastAsia="Times New Roman" w:hAnsi="Times New Roman"/>
          <w:sz w:val="18"/>
          <w:szCs w:val="18"/>
          <w:i w:val="1"/>
          <w:iCs w:val="1"/>
          <w:color w:val="auto"/>
        </w:rPr>
        <w:t>Registration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means a mortgage, charge, pledge, lien or other security interest securing any obligation of any person or any other agreement or arrangement having a similar effect.</w:t>
      </w:r>
    </w:p>
    <w:p>
      <w:pPr>
        <w:spacing w:after="0" w:line="15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 subsidiary undertaking within the meaning of section 1162 of the Companies Act 2006 which for this purpose shall be treated as including any person the shares or ownership interests in which are subject to Security and where the legal title to the shares or ownership interests so secured are registered in the name of the secured party or its nominee pursuant to such Security.</w:t>
      </w:r>
    </w:p>
    <w:p>
      <w:pPr>
        <w:spacing w:after="0" w:line="171"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any tax, levy, impost, duty or other charge or withholding of a similar nature (including any penalty or interest payable in connection with any failure to pay or any delay in paying any of the same).</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Reference Rate</w:t>
      </w:r>
      <w:r>
        <w:rPr>
          <w:rFonts w:ascii="Times New Roman" w:cs="Times New Roman" w:eastAsia="Times New Roman" w:hAnsi="Times New Roman"/>
          <w:sz w:val="18"/>
          <w:szCs w:val="18"/>
          <w:color w:val="auto"/>
        </w:rPr>
        <w:t>" means, in relation to a Loan:</w:t>
      </w:r>
    </w:p>
    <w:p>
      <w:pPr>
        <w:spacing w:after="0" w:line="229" w:lineRule="exact"/>
        <w:rPr>
          <w:sz w:val="20"/>
          <w:szCs w:val="20"/>
          <w:color w:val="auto"/>
        </w:rPr>
      </w:pPr>
    </w:p>
    <w:p>
      <w:pPr>
        <w:ind w:left="644" w:hanging="644"/>
        <w:spacing w:after="0"/>
        <w:tabs>
          <w:tab w:leader="none" w:pos="6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Term Rate as of the Quotation Time for a period equal in length to the Interest Period of that Loan; or</w:t>
      </w:r>
    </w:p>
    <w:p>
      <w:pPr>
        <w:spacing w:after="0" w:line="223"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otherwise determined pursuant to Clause 10.1 (</w:t>
      </w:r>
      <w:r>
        <w:rPr>
          <w:rFonts w:ascii="Times New Roman" w:cs="Times New Roman" w:eastAsia="Times New Roman" w:hAnsi="Times New Roman"/>
          <w:sz w:val="18"/>
          <w:szCs w:val="18"/>
          <w:i w:val="1"/>
          <w:iCs w:val="1"/>
          <w:color w:val="auto"/>
        </w:rPr>
        <w:t>Interest calculation if no Primary Term Rate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if, in either case, that rate is less than zero, the Term Reference Rate shall be deemed to be zero.</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means the date falling six Months from the Proposed Utilisation Date as set out in the Utilisation Request.</w:t>
      </w:r>
    </w:p>
    <w:p>
      <w:pPr>
        <w:spacing w:after="0" w:line="22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 Instruments</w:t>
      </w:r>
      <w:r>
        <w:rPr>
          <w:rFonts w:ascii="Times New Roman" w:cs="Times New Roman" w:eastAsia="Times New Roman" w:hAnsi="Times New Roman"/>
          <w:sz w:val="18"/>
          <w:szCs w:val="18"/>
          <w:color w:val="auto"/>
        </w:rPr>
        <w:t>" means any performance bonds, advance payment bonds or documentary letters of credit issued in respect of the obligations of the Borrower arising in the ordinary course of business of the Borrower.</w:t>
      </w:r>
    </w:p>
    <w:p>
      <w:pPr>
        <w:spacing w:after="0" w:line="15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Transaction</w:t>
      </w:r>
      <w:r>
        <w:rPr>
          <w:rFonts w:ascii="Times New Roman" w:cs="Times New Roman" w:eastAsia="Times New Roman" w:hAnsi="Times New Roman"/>
          <w:sz w:val="18"/>
          <w:szCs w:val="18"/>
          <w:color w:val="auto"/>
        </w:rPr>
        <w:t>" means any derivative transaction entered into in connection with protection against or benefit from fluctuation in any rate or price entered into in connection with treasury operations conducted as part of the ordinary course of business of the Borrower.</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Unpaid Sum</w:t>
      </w:r>
      <w:r>
        <w:rPr>
          <w:rFonts w:ascii="Times New Roman" w:cs="Times New Roman" w:eastAsia="Times New Roman" w:hAnsi="Times New Roman"/>
          <w:sz w:val="18"/>
          <w:szCs w:val="18"/>
          <w:color w:val="auto"/>
        </w:rPr>
        <w:t>" means any sum due and payable but unpaid by the Borrower under the Finance Documents.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Utilisation</w:t>
      </w:r>
      <w:r>
        <w:rPr>
          <w:rFonts w:ascii="Times New Roman" w:cs="Times New Roman" w:eastAsia="Times New Roman" w:hAnsi="Times New Roman"/>
          <w:sz w:val="18"/>
          <w:szCs w:val="18"/>
          <w:color w:val="auto"/>
        </w:rPr>
        <w:t>" means a utilisation of the Facility.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Utilisation Date</w:t>
      </w:r>
      <w:r>
        <w:rPr>
          <w:rFonts w:ascii="Times New Roman" w:cs="Times New Roman" w:eastAsia="Times New Roman" w:hAnsi="Times New Roman"/>
          <w:sz w:val="18"/>
          <w:szCs w:val="18"/>
          <w:color w:val="auto"/>
        </w:rPr>
        <w:t>" means the date of a Utilisation, being the date on which the relevant Loan is to be made.</w:t>
      </w:r>
    </w:p>
    <w:p>
      <w:pPr>
        <w:spacing w:after="0" w:line="200" w:lineRule="exact"/>
        <w:rPr>
          <w:sz w:val="20"/>
          <w:szCs w:val="20"/>
          <w:color w:val="auto"/>
        </w:rPr>
      </w:pPr>
    </w:p>
    <w:p>
      <w:pPr>
        <w:spacing w:after="0" w:line="245"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Utilisation Request</w:t>
      </w:r>
      <w:r>
        <w:rPr>
          <w:rFonts w:ascii="Times New Roman" w:cs="Times New Roman" w:eastAsia="Times New Roman" w:hAnsi="Times New Roman"/>
          <w:sz w:val="18"/>
          <w:szCs w:val="18"/>
          <w:color w:val="auto"/>
        </w:rPr>
        <w:t>" means a notice substantially in the relevant form set out in Schedule 2 (</w:t>
      </w:r>
      <w:r>
        <w:rPr>
          <w:rFonts w:ascii="Times New Roman" w:cs="Times New Roman" w:eastAsia="Times New Roman" w:hAnsi="Times New Roman"/>
          <w:sz w:val="18"/>
          <w:szCs w:val="18"/>
          <w:i w:val="1"/>
          <w:iCs w:val="1"/>
          <w:color w:val="auto"/>
        </w:rPr>
        <w:t>Utilisation Request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VAT</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value added tax imposed by the UK Value Added Tax Act 1994;</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imposed in compliance with the Council Directive of 28 November 2006 on the common system of value added tax (EC Directive 2006/112);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tax of a similar nature, whether imposed in the United Kingdom or in a member state of the European Union in substitution for, or levied in addition to, such tax referred to in paragraphs (a) or (b) above, or imposed elsewhere.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b w:val="1"/>
          <w:bCs w:val="1"/>
          <w:color w:val="auto"/>
        </w:rPr>
        <w:t>Construction</w:t>
      </w:r>
    </w:p>
    <w:p>
      <w:pPr>
        <w:spacing w:after="0" w:line="229"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contrary indication appears any reference in this Agreement to:</w:t>
      </w:r>
    </w:p>
    <w:p>
      <w:pPr>
        <w:spacing w:after="0" w:line="221" w:lineRule="exact"/>
        <w:rPr>
          <w:rFonts w:ascii="Times New Roman" w:cs="Times New Roman" w:eastAsia="Times New Roman" w:hAnsi="Times New Roman"/>
          <w:sz w:val="18"/>
          <w:szCs w:val="18"/>
          <w:color w:val="auto"/>
        </w:rPr>
      </w:pPr>
    </w:p>
    <w:p>
      <w:pPr>
        <w:jc w:val="both"/>
        <w:ind w:left="2160" w:hanging="532"/>
        <w:spacing w:after="0" w:line="268" w:lineRule="auto"/>
        <w:tabs>
          <w:tab w:leader="none" w:pos="2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any "</w:t>
      </w:r>
      <w:r>
        <w:rPr>
          <w:rFonts w:ascii="Times New Roman" w:cs="Times New Roman" w:eastAsia="Times New Roman" w:hAnsi="Times New Roman"/>
          <w:sz w:val="18"/>
          <w:szCs w:val="18"/>
          <w:b w:val="1"/>
          <w:bCs w:val="1"/>
          <w:color w:val="auto"/>
        </w:rPr>
        <w:t>Finance Party</w:t>
      </w:r>
      <w:r>
        <w:rPr>
          <w:rFonts w:ascii="Times New Roman" w:cs="Times New Roman" w:eastAsia="Times New Roman" w:hAnsi="Times New Roman"/>
          <w:sz w:val="18"/>
          <w:szCs w:val="18"/>
          <w:color w:val="auto"/>
        </w:rPr>
        <w:t>", any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or any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shall be construed so as to include its successors in title, permitted assigns and permitted transferees to, or of, its rights and/or obligations under the Finance Documents;</w:t>
      </w:r>
    </w:p>
    <w:p>
      <w:pPr>
        <w:spacing w:after="0" w:line="170" w:lineRule="exact"/>
        <w:rPr>
          <w:rFonts w:ascii="Times New Roman" w:cs="Times New Roman" w:eastAsia="Times New Roman" w:hAnsi="Times New Roman"/>
          <w:sz w:val="18"/>
          <w:szCs w:val="18"/>
          <w:color w:val="auto"/>
        </w:rPr>
      </w:pPr>
    </w:p>
    <w:p>
      <w:pPr>
        <w:ind w:left="2160" w:hanging="532"/>
        <w:spacing w:after="0"/>
        <w:tabs>
          <w:tab w:leader="none" w:pos="2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18"/>
          <w:szCs w:val="18"/>
          <w:color w:val="auto"/>
        </w:rPr>
        <w:t>" includes present and future properties, revenues and rights of every description;</w:t>
      </w:r>
    </w:p>
    <w:p>
      <w:pPr>
        <w:spacing w:after="0" w:line="225" w:lineRule="exact"/>
        <w:rPr>
          <w:rFonts w:ascii="Times New Roman" w:cs="Times New Roman" w:eastAsia="Times New Roman" w:hAnsi="Times New Roman"/>
          <w:sz w:val="18"/>
          <w:szCs w:val="18"/>
          <w:color w:val="auto"/>
        </w:rPr>
      </w:pPr>
    </w:p>
    <w:p>
      <w:pPr>
        <w:jc w:val="both"/>
        <w:ind w:left="2160" w:hanging="532"/>
        <w:spacing w:after="0" w:line="262" w:lineRule="auto"/>
        <w:tabs>
          <w:tab w:leader="none" w:pos="2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w:t>
      </w:r>
      <w:r>
        <w:rPr>
          <w:rFonts w:ascii="Times New Roman" w:cs="Times New Roman" w:eastAsia="Times New Roman" w:hAnsi="Times New Roman"/>
          <w:sz w:val="18"/>
          <w:szCs w:val="18"/>
          <w:b w:val="1"/>
          <w:bCs w:val="1"/>
          <w:color w:val="auto"/>
        </w:rPr>
        <w:t>cost of funds</w:t>
      </w:r>
      <w:r>
        <w:rPr>
          <w:rFonts w:ascii="Times New Roman" w:cs="Times New Roman" w:eastAsia="Times New Roman" w:hAnsi="Times New Roman"/>
          <w:sz w:val="18"/>
          <w:szCs w:val="18"/>
          <w:color w:val="auto"/>
        </w:rPr>
        <w:t>" in relation to its participation in a Loan is a reference to the average cost (determined either on an actual or a notional basis) which the Lender would incur if it were to fund, from whatever source(s) it may reasonably select, an amount equal to the amount of that participation in that Loan for a period equal in length to the Interest Period of that Loan;</w:t>
      </w:r>
    </w:p>
    <w:p>
      <w:pPr>
        <w:spacing w:after="0" w:line="176" w:lineRule="exact"/>
        <w:rPr>
          <w:rFonts w:ascii="Times New Roman" w:cs="Times New Roman" w:eastAsia="Times New Roman" w:hAnsi="Times New Roman"/>
          <w:sz w:val="18"/>
          <w:szCs w:val="18"/>
          <w:color w:val="auto"/>
        </w:rPr>
      </w:pPr>
    </w:p>
    <w:p>
      <w:pPr>
        <w:ind w:left="2160" w:hanging="532"/>
        <w:spacing w:after="0" w:line="286" w:lineRule="auto"/>
        <w:tabs>
          <w:tab w:leader="none" w:pos="2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Finance Document</w:t>
      </w:r>
      <w:r>
        <w:rPr>
          <w:rFonts w:ascii="Times New Roman" w:cs="Times New Roman" w:eastAsia="Times New Roman" w:hAnsi="Times New Roman"/>
          <w:sz w:val="18"/>
          <w:szCs w:val="18"/>
          <w:color w:val="auto"/>
        </w:rPr>
        <w:t>" or any other agreement or instrument is a reference to that Finance Document or other agreement or instrument as amended, novated, supplemented, extended, replaced or restated;</w:t>
      </w:r>
    </w:p>
    <w:p>
      <w:pPr>
        <w:spacing w:after="0" w:line="154" w:lineRule="exact"/>
        <w:rPr>
          <w:rFonts w:ascii="Times New Roman" w:cs="Times New Roman" w:eastAsia="Times New Roman" w:hAnsi="Times New Roman"/>
          <w:sz w:val="18"/>
          <w:szCs w:val="18"/>
          <w:color w:val="auto"/>
        </w:rPr>
      </w:pPr>
    </w:p>
    <w:p>
      <w:pPr>
        <w:ind w:left="2160" w:hanging="532"/>
        <w:spacing w:after="0" w:line="286" w:lineRule="auto"/>
        <w:tabs>
          <w:tab w:leader="none" w:pos="2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includes any obligation (whether incurred as principal or as surety) for the payment or repayment of money, whether present or future, actual or contingent;</w:t>
      </w:r>
    </w:p>
    <w:p>
      <w:pPr>
        <w:spacing w:after="0" w:line="154" w:lineRule="exact"/>
        <w:rPr>
          <w:rFonts w:ascii="Times New Roman" w:cs="Times New Roman" w:eastAsia="Times New Roman" w:hAnsi="Times New Roman"/>
          <w:sz w:val="18"/>
          <w:szCs w:val="18"/>
          <w:color w:val="auto"/>
        </w:rPr>
      </w:pPr>
    </w:p>
    <w:p>
      <w:pPr>
        <w:ind w:left="2160" w:hanging="532"/>
        <w:spacing w:after="0" w:line="286" w:lineRule="auto"/>
        <w:tabs>
          <w:tab w:leader="none" w:pos="2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includes any individual, firm, company, corporation, government, state or agency of a state or any association, trust, joint venture, consortium, partnership or other entity (whether or not having separate legal personality);</w:t>
      </w:r>
    </w:p>
    <w:p>
      <w:pPr>
        <w:spacing w:after="0" w:line="154" w:lineRule="exact"/>
        <w:rPr>
          <w:rFonts w:ascii="Times New Roman" w:cs="Times New Roman" w:eastAsia="Times New Roman" w:hAnsi="Times New Roman"/>
          <w:sz w:val="18"/>
          <w:szCs w:val="18"/>
          <w:color w:val="auto"/>
        </w:rPr>
      </w:pPr>
    </w:p>
    <w:p>
      <w:pPr>
        <w:jc w:val="both"/>
        <w:ind w:left="2160" w:hanging="532"/>
        <w:spacing w:after="0" w:line="268" w:lineRule="auto"/>
        <w:tabs>
          <w:tab w:leader="none" w:pos="2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regulation</w:t>
      </w:r>
      <w:r>
        <w:rPr>
          <w:rFonts w:ascii="Times New Roman" w:cs="Times New Roman" w:eastAsia="Times New Roman" w:hAnsi="Times New Roman"/>
          <w:sz w:val="18"/>
          <w:szCs w:val="18"/>
          <w:color w:val="auto"/>
        </w:rPr>
        <w:t>" includes any regulation, rule, official directive, request or guideline (whether or not having the force of law) of any governmental, intergovernmental or supranational body, agency, department or of any regulatory, self-regulatory or other authority or organisation;</w:t>
      </w:r>
    </w:p>
    <w:p>
      <w:pPr>
        <w:spacing w:after="0" w:line="390"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ind w:left="2160" w:hanging="532"/>
        <w:spacing w:after="0"/>
        <w:tabs>
          <w:tab w:leader="none" w:pos="21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of law is a reference to that provision as amended or re-enacted from time to time; and</w:t>
      </w:r>
    </w:p>
    <w:p>
      <w:pPr>
        <w:spacing w:after="0" w:line="225" w:lineRule="exact"/>
        <w:rPr>
          <w:rFonts w:ascii="Times New Roman" w:cs="Times New Roman" w:eastAsia="Times New Roman" w:hAnsi="Times New Roman"/>
          <w:sz w:val="18"/>
          <w:szCs w:val="18"/>
          <w:color w:val="auto"/>
        </w:rPr>
      </w:pPr>
    </w:p>
    <w:p>
      <w:pPr>
        <w:ind w:left="2160" w:hanging="532"/>
        <w:spacing w:after="0"/>
        <w:tabs>
          <w:tab w:leader="none" w:pos="21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time of day is a reference to London time.</w:t>
      </w:r>
    </w:p>
    <w:p>
      <w:pPr>
        <w:spacing w:after="0" w:line="221"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extent to which a rate is "</w:t>
      </w:r>
      <w:r>
        <w:rPr>
          <w:rFonts w:ascii="Times New Roman" w:cs="Times New Roman" w:eastAsia="Times New Roman" w:hAnsi="Times New Roman"/>
          <w:sz w:val="18"/>
          <w:szCs w:val="18"/>
          <w:b w:val="1"/>
          <w:bCs w:val="1"/>
          <w:color w:val="auto"/>
        </w:rPr>
        <w:t>for a period equal in length</w:t>
      </w:r>
      <w:r>
        <w:rPr>
          <w:rFonts w:ascii="Times New Roman" w:cs="Times New Roman" w:eastAsia="Times New Roman" w:hAnsi="Times New Roman"/>
          <w:sz w:val="18"/>
          <w:szCs w:val="18"/>
          <w:color w:val="auto"/>
        </w:rPr>
        <w:t>" to an Interest Period shall disregard any inconsistency arising from the last day of that Interest Period being determined pursuant to the terms of this Agreement.</w:t>
      </w:r>
    </w:p>
    <w:p>
      <w:pPr>
        <w:spacing w:after="0" w:line="15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Clause and Schedule headings are for ease of reference only.</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or an Event of Default is "</w:t>
      </w:r>
      <w:r>
        <w:rPr>
          <w:rFonts w:ascii="Times New Roman" w:cs="Times New Roman" w:eastAsia="Times New Roman" w:hAnsi="Times New Roman"/>
          <w:sz w:val="18"/>
          <w:szCs w:val="18"/>
          <w:b w:val="1"/>
          <w:bCs w:val="1"/>
          <w:color w:val="auto"/>
        </w:rPr>
        <w:t>continuing</w:t>
      </w:r>
      <w:r>
        <w:rPr>
          <w:rFonts w:ascii="Times New Roman" w:cs="Times New Roman" w:eastAsia="Times New Roman" w:hAnsi="Times New Roman"/>
          <w:sz w:val="18"/>
          <w:szCs w:val="18"/>
          <w:color w:val="auto"/>
        </w:rPr>
        <w:t>" if it has not been remedied or waived.</w:t>
      </w:r>
    </w:p>
    <w:p>
      <w:pPr>
        <w:spacing w:after="0" w:line="22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in this Agreement to a page or screen of an information service displaying a rate shall include:</w:t>
      </w:r>
    </w:p>
    <w:p>
      <w:pPr>
        <w:spacing w:after="0" w:line="225" w:lineRule="exact"/>
        <w:rPr>
          <w:rFonts w:ascii="Times New Roman" w:cs="Times New Roman" w:eastAsia="Times New Roman" w:hAnsi="Times New Roman"/>
          <w:sz w:val="18"/>
          <w:szCs w:val="18"/>
          <w:color w:val="auto"/>
        </w:rPr>
      </w:pPr>
    </w:p>
    <w:p>
      <w:pPr>
        <w:ind w:left="2160" w:hanging="532"/>
        <w:spacing w:after="0"/>
        <w:tabs>
          <w:tab w:leader="none" w:pos="21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replacement page of that information service which displays that rate; and</w:t>
      </w:r>
    </w:p>
    <w:p>
      <w:pPr>
        <w:spacing w:after="0" w:line="225" w:lineRule="exact"/>
        <w:rPr>
          <w:rFonts w:ascii="Times New Roman" w:cs="Times New Roman" w:eastAsia="Times New Roman" w:hAnsi="Times New Roman"/>
          <w:sz w:val="18"/>
          <w:szCs w:val="18"/>
          <w:color w:val="auto"/>
        </w:rPr>
      </w:pPr>
    </w:p>
    <w:p>
      <w:pPr>
        <w:ind w:left="2160" w:hanging="532"/>
        <w:spacing w:after="0" w:line="282" w:lineRule="auto"/>
        <w:tabs>
          <w:tab w:leader="none" w:pos="21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 page of such other information service which displays that rate from time to time in place of that information service,</w:t>
      </w:r>
    </w:p>
    <w:p>
      <w:pPr>
        <w:spacing w:after="0" w:line="162"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and, if such page or service ceases to be available, shall include any other page or service displaying that rate specified by the Agent after consultation with the Borrower.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b w:val="1"/>
          <w:bCs w:val="1"/>
          <w:color w:val="auto"/>
        </w:rPr>
        <w:t>Currency symbols and definitions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denote the lawful currency of the United States of America.</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b w:val="1"/>
          <w:bCs w:val="1"/>
          <w:color w:val="auto"/>
        </w:rPr>
        <w:t>Third party rights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 person who is not a Party has no right under the Contracts (Rights of Third Parties) Act 1999 to enforce or to enjoy the benefit of any term of this Agreement.</w:t>
      </w:r>
    </w:p>
    <w:p>
      <w:pPr>
        <w:spacing w:after="0" w:line="158"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FACILITY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b w:val="1"/>
          <w:bCs w:val="1"/>
          <w:color w:val="auto"/>
        </w:rPr>
        <w:t>The Facility</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Subject to the terms of this Agreement, the Lender makes available to the Borrower a dollar term loan facility in an aggregate amount of USD 600,000,000 (with any Utilisation above USD 300,000,000 being subject to Lender consent).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PURPOSE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b w:val="1"/>
          <w:bCs w:val="1"/>
          <w:color w:val="auto"/>
        </w:rPr>
        <w:t>Purpose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shall apply all amounts borrowed by it under the Facility towards its general corporate purposes.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b w:val="1"/>
          <w:bCs w:val="1"/>
          <w:color w:val="auto"/>
        </w:rPr>
        <w:t>Monitoring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Finance Party is bound to monitor or verify the application of any amount borrowed pursuant to this Agreement.</w:t>
      </w:r>
    </w:p>
    <w:p>
      <w:pPr>
        <w:spacing w:after="0" w:line="221"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CONDITIONS OF UTILISATION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b w:val="1"/>
          <w:bCs w:val="1"/>
          <w:color w:val="auto"/>
        </w:rPr>
        <w:t>Initial conditions precedent</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Borrower may not deliver a Utilisation Request unless the Agent has received all of the documents and other evidence listed in Schedule 1 (</w:t>
      </w:r>
      <w:r>
        <w:rPr>
          <w:rFonts w:ascii="Times New Roman" w:cs="Times New Roman" w:eastAsia="Times New Roman" w:hAnsi="Times New Roman"/>
          <w:sz w:val="18"/>
          <w:szCs w:val="18"/>
          <w:i w:val="1"/>
          <w:iCs w:val="1"/>
          <w:color w:val="auto"/>
        </w:rPr>
        <w:t>Conditions precedent</w:t>
      </w:r>
      <w:r>
        <w:rPr>
          <w:rFonts w:ascii="Times New Roman" w:cs="Times New Roman" w:eastAsia="Times New Roman" w:hAnsi="Times New Roman"/>
          <w:sz w:val="18"/>
          <w:szCs w:val="18"/>
          <w:color w:val="auto"/>
        </w:rPr>
        <w:t>) in form and substance satisfactory to the Agent. The Agent shall notify the Borrower and the Lender promptly upon being so satisfied.</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b w:val="1"/>
          <w:bCs w:val="1"/>
          <w:color w:val="auto"/>
        </w:rPr>
        <w:t>Further conditions precedent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Lender will only be obliged to comply with Clause 5.4 (</w:t>
      </w:r>
      <w:r>
        <w:rPr>
          <w:rFonts w:ascii="Times New Roman" w:cs="Times New Roman" w:eastAsia="Times New Roman" w:hAnsi="Times New Roman"/>
          <w:sz w:val="18"/>
          <w:szCs w:val="18"/>
          <w:i w:val="1"/>
          <w:iCs w:val="1"/>
          <w:color w:val="auto"/>
        </w:rPr>
        <w:t>Making of a Loan</w:t>
      </w:r>
      <w:r>
        <w:rPr>
          <w:rFonts w:ascii="Times New Roman" w:cs="Times New Roman" w:eastAsia="Times New Roman" w:hAnsi="Times New Roman"/>
          <w:sz w:val="18"/>
          <w:szCs w:val="18"/>
          <w:color w:val="auto"/>
        </w:rPr>
        <w:t>) if on the date of the Utilisation Request and on the proposed</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Utilisation Date:</w:t>
      </w:r>
    </w:p>
    <w:p>
      <w:pPr>
        <w:spacing w:after="0" w:line="207" w:lineRule="exact"/>
        <w:rPr>
          <w:sz w:val="20"/>
          <w:szCs w:val="20"/>
          <w:color w:val="auto"/>
        </w:rPr>
      </w:pPr>
    </w:p>
    <w:p>
      <w:pPr>
        <w:ind w:left="1300" w:hanging="644"/>
        <w:spacing w:after="0"/>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is continuing or would result from the proposed Loan;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Repeating Representations to be made by the Borrower are true in all material respects.</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UTILISATION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b w:val="1"/>
          <w:bCs w:val="1"/>
          <w:color w:val="auto"/>
        </w:rPr>
        <w:t>Delivery of a Utilisation Request</w:t>
      </w:r>
    </w:p>
    <w:p>
      <w:pPr>
        <w:spacing w:after="0" w:line="229" w:lineRule="exact"/>
        <w:rPr>
          <w:sz w:val="20"/>
          <w:szCs w:val="20"/>
          <w:color w:val="auto"/>
        </w:rPr>
      </w:pPr>
    </w:p>
    <w:p>
      <w:pPr>
        <w:ind w:left="1300" w:hanging="644"/>
        <w:spacing w:after="0" w:line="282"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utilise the Facility by delivery to the Agent of a duly completed Utilisation Request not later than 2.00 p.m. on the date falling one Business Day prior to the proposed Utilisation Date.</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two Utilisation Requests may be delivered during the Availability Period, each in the amount of USD 300,000,000, provided that the second Utilization Request may only be delivered subject to Lender consent.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b w:val="1"/>
          <w:bCs w:val="1"/>
          <w:color w:val="auto"/>
        </w:rPr>
        <w:t>Completion of a Utilisation Request</w:t>
      </w:r>
    </w:p>
    <w:p>
      <w:pPr>
        <w:spacing w:after="0" w:line="229"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Utilisation Request is irrevocable and will not be regarded as having been duly completed unless: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Utilisation Date is a Business Day within the Availability Period; and</w:t>
      </w:r>
    </w:p>
    <w:p>
      <w:pPr>
        <w:spacing w:after="0" w:line="22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and amount of the Utilisation comply with Clause 5.3 (</w:t>
      </w:r>
      <w:r>
        <w:rPr>
          <w:rFonts w:ascii="Times New Roman" w:cs="Times New Roman" w:eastAsia="Times New Roman" w:hAnsi="Times New Roman"/>
          <w:sz w:val="18"/>
          <w:szCs w:val="18"/>
          <w:i w:val="1"/>
          <w:iCs w:val="1"/>
          <w:color w:val="auto"/>
        </w:rPr>
        <w:t>Currency and amount</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43"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one Loan may be requested in each Utilisation Request.</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w:t>
      </w:r>
      <w:r>
        <w:rPr>
          <w:rFonts w:ascii="Times New Roman" w:cs="Times New Roman" w:eastAsia="Times New Roman" w:hAnsi="Times New Roman"/>
          <w:sz w:val="17"/>
          <w:szCs w:val="17"/>
          <w:b w:val="1"/>
          <w:bCs w:val="1"/>
          <w:color w:val="auto"/>
        </w:rPr>
        <w:t>Currency and amount</w:t>
      </w:r>
    </w:p>
    <w:p>
      <w:pPr>
        <w:spacing w:after="0" w:line="229" w:lineRule="exact"/>
        <w:rPr>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specified in a Utilisation Request must be dollars.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proposed Loan must be an amount which is a minimum of USD 50,000,000 or if less, the Available Facility.</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w:t>
      </w:r>
      <w:r>
        <w:rPr>
          <w:rFonts w:ascii="Times New Roman" w:cs="Times New Roman" w:eastAsia="Times New Roman" w:hAnsi="Times New Roman"/>
          <w:sz w:val="18"/>
          <w:szCs w:val="18"/>
          <w:b w:val="1"/>
          <w:bCs w:val="1"/>
          <w:color w:val="auto"/>
        </w:rPr>
        <w:t>Making of a Loan</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If the conditions set out in this Agreement have been met, the Lender shall make its participation in each Loan available by the Utilisation Date through its Facility Office.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b w:val="1"/>
          <w:bCs w:val="1"/>
          <w:color w:val="auto"/>
        </w:rPr>
        <w:t>Cancellation of Facility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amount of the Facility which, at that time, is unutilised shall be immediately cancelled at the end of the Availability Period.</w:t>
      </w:r>
    </w:p>
    <w:p>
      <w:pPr>
        <w:spacing w:after="0" w:line="221"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REPAYMENT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b w:val="1"/>
          <w:bCs w:val="1"/>
          <w:color w:val="auto"/>
        </w:rPr>
        <w:t>Repayment of Loans</w:t>
      </w:r>
    </w:p>
    <w:p>
      <w:pPr>
        <w:spacing w:after="0" w:line="229" w:lineRule="exact"/>
        <w:rPr>
          <w:sz w:val="20"/>
          <w:szCs w:val="20"/>
          <w:color w:val="auto"/>
        </w:rPr>
      </w:pPr>
    </w:p>
    <w:p>
      <w:pPr>
        <w:ind w:left="1300" w:hanging="644"/>
        <w:spacing w:after="0" w:line="282"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Termination Date, provided the consents set out in Clause11.2 have been secured, the Borrower shall repay in full all Loans then outstanding.</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not reborrow any part of the Facility which is repaid.</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b w:val="1"/>
          <w:bCs w:val="1"/>
          <w:color w:val="auto"/>
        </w:rPr>
        <w:t>Lender debt-for-equity option</w:t>
      </w:r>
    </w:p>
    <w:p>
      <w:pPr>
        <w:spacing w:after="0" w:line="229" w:lineRule="exact"/>
        <w:rPr>
          <w:sz w:val="20"/>
          <w:szCs w:val="20"/>
          <w:color w:val="auto"/>
        </w:rPr>
      </w:pPr>
    </w:p>
    <w:p>
      <w:pPr>
        <w:ind w:left="1300" w:hanging="644"/>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shall have the right at any time prior to the Termination Date to convert any or all amounts owing by Borrower under this Facility into shares or American Depositary Receipts of the Borrower at the Equity Conversion Price.</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may effect a conversion as specified in Clause 6.2(a) above by delivering to the Borrower an Equity Conversion Exercise Notice in the form of Schedule 3 attached hereto.</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Borrower receives a duly completed Equity Conversion Exercise Notice prior to the Termination Date, the aggregate amount of principal and interest specified in the Equity Conversion Exercise Notice in respect of which conversion rights are exercised (the "</w:t>
      </w:r>
      <w:r>
        <w:rPr>
          <w:rFonts w:ascii="Times New Roman" w:cs="Times New Roman" w:eastAsia="Times New Roman" w:hAnsi="Times New Roman"/>
          <w:sz w:val="18"/>
          <w:szCs w:val="18"/>
          <w:b w:val="1"/>
          <w:bCs w:val="1"/>
          <w:color w:val="auto"/>
        </w:rPr>
        <w:t>Converted Amount</w:t>
      </w:r>
      <w:r>
        <w:rPr>
          <w:rFonts w:ascii="Times New Roman" w:cs="Times New Roman" w:eastAsia="Times New Roman" w:hAnsi="Times New Roman"/>
          <w:sz w:val="18"/>
          <w:szCs w:val="18"/>
          <w:color w:val="auto"/>
        </w:rPr>
        <w:t>"), will be converted on the Equity Conversion Date into the relevant number of Conversion Shares at the Equity Conversion Price. In such circumstances, upon delivery of the relevant number of Conversion Shares to the Lender, and the payment of any accrued but unpaid interest (which is not included in the Converted Amount) up to (but excluding) the Equity Conversion Date, any Break Costs and any other fees or expenses payable by the Borrower under this Agreement, accrued but not paid by the Borrower at such date, the Converted Amount shall be deemed repaid and discharged.</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left="1300" w:hanging="644"/>
        <w:spacing w:after="0"/>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Equity Conversion Exercise Notice delivered by the Lender to the Borrower shall specify:</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principal and accrued interest in respect of one or more outstanding Loans, in integral multiples of USD 1,000, which the Lender wishes to convert;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account name of the security account(s) at the Relevant Clearing System which are to be credited with the relevant number of Conversion Shares required to be delivered to the Lender hereunder.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Equity Conversion Date, the Borrower shall deliver, or procure the delivery of, the relevant number of Conversion Shares with full and clean title to the Lender. The relevant number of Conversion Shares will be determined by dividing the Converted Amount by the Equity Conversion Price, and rounding the result down to the nearest whole number of shares. Fractions of Conversion Shares will not be delivered upon conversion and no cash adjustments will be payable in respect thereof.</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must pay directly to the relevant authorities any taxes and capital, stamp, issue, registration and transfer taxes and duties arising on conversion of its Conversion Amount, other than any capital, stamp, issue, registration and transfer taxes and duties payable in the United Kingdom in respect of the initial allotment, issue or transfer and delivery of any Conversion Shares which shall be paid by the Borrower. In addition, the Borrower shall pay any capital, stamp, issue, registration and transfer taxes and duties payable in the United Kingdom or in the jurisdiction of the Relevant Clearing System in respect of the allotment, issue or transfer and delivery of any Conversion Shares into the Relevant Clearing System.</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PREPAYMENT AND CANCELLATION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b w:val="1"/>
          <w:bCs w:val="1"/>
          <w:color w:val="auto"/>
        </w:rPr>
        <w:t>Illegality</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If, in any applicable jurisdiction, it becomes unlawful for the Lender to perform any of its obligations as contemplated by this Agreement or to fund, issue or maintain its participation in any Loan it becomes unlawful for any Affiliate of the Lender or for the Lender to do so:</w:t>
      </w:r>
    </w:p>
    <w:p>
      <w:pPr>
        <w:spacing w:after="0" w:line="162"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shall promptly notify the Agent upon becoming aware of that event;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Agent notifying the Borrower, the Available Facility will be immediately cancelled; and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repay the outstanding Loans made to the Borrower on the last day of the Interest Period for each Loan occurring after the Agent has notified the Borrower or, if earlier, the date specified by the Lender in the notice delivered to the Agent (being no earlier than the last day of any applicable grace period permitted by law) and the Available Facility shall be immediately cancelled in the amount of the participations repaid.</w:t>
      </w:r>
    </w:p>
    <w:p>
      <w:pPr>
        <w:spacing w:after="0" w:line="39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spacing w:after="0"/>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b w:val="1"/>
          <w:bCs w:val="1"/>
          <w:color w:val="auto"/>
        </w:rPr>
        <w:t>Change of control</w:t>
      </w:r>
    </w:p>
    <w:p>
      <w:pPr>
        <w:spacing w:after="0" w:line="229"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person or group of persons acting in concert that is not a Permitted Holder gains control of the Borrower: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promptly notify the Agent upon becoming aware of that event;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shall not be obliged to fund a Utilisation; and</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Lender so requires, the Agent shall, by notice to the Borrower, cancel the Available Facility and declare all outstanding Loans, together with accrued interest, and all other amounts accrued or outstanding under the Finance Documents immediately due and payable, whereupon the Available Facility will be immediately cancelled, the Facility shall immediately cease to be available for further utilisation and all such Loans, accrued interest and other amounts will become immediately due and payable.</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paragraph (a) above:</w:t>
      </w:r>
    </w:p>
    <w:p>
      <w:pPr>
        <w:spacing w:after="0" w:line="221" w:lineRule="exact"/>
        <w:rPr>
          <w:rFonts w:ascii="Times New Roman" w:cs="Times New Roman" w:eastAsia="Times New Roman" w:hAnsi="Times New Roman"/>
          <w:sz w:val="18"/>
          <w:szCs w:val="18"/>
          <w:color w:val="auto"/>
        </w:rPr>
      </w:pPr>
    </w:p>
    <w:p>
      <w:pPr>
        <w:jc w:val="both"/>
        <w:ind w:left="1960" w:hanging="656"/>
        <w:spacing w:after="0" w:line="268" w:lineRule="auto"/>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acting in concert</w:t>
      </w:r>
      <w:r>
        <w:rPr>
          <w:rFonts w:ascii="Times New Roman" w:cs="Times New Roman" w:eastAsia="Times New Roman" w:hAnsi="Times New Roman"/>
          <w:sz w:val="18"/>
          <w:szCs w:val="18"/>
          <w:color w:val="auto"/>
        </w:rPr>
        <w:t>" means, a group of persons who, pursuant to an agreement or understanding (whether formal or informal), actively co-operate, through the acquisition by any of them, either directly or indirectly, of shares in the Borrower, to obtain or consolidate control of the Borrower;</w:t>
      </w:r>
    </w:p>
    <w:p>
      <w:pPr>
        <w:spacing w:after="0" w:line="170" w:lineRule="exact"/>
        <w:rPr>
          <w:rFonts w:ascii="Times New Roman" w:cs="Times New Roman" w:eastAsia="Times New Roman" w:hAnsi="Times New Roman"/>
          <w:sz w:val="18"/>
          <w:szCs w:val="18"/>
          <w:color w:val="auto"/>
        </w:rPr>
      </w:pPr>
    </w:p>
    <w:p>
      <w:pPr>
        <w:jc w:val="both"/>
        <w:ind w:left="1960" w:hanging="656"/>
        <w:spacing w:after="0" w:line="286" w:lineRule="auto"/>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the power (whether by way of ownership of shares, proxy, contract, agency or otherwise) to cast, or control the casting of, more than 30 per cent. of the maximum number of votes that might be cast at a general meeting of the Borrower; and</w:t>
      </w:r>
    </w:p>
    <w:p>
      <w:pPr>
        <w:spacing w:after="0" w:line="15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Holder</w:t>
      </w:r>
      <w:r>
        <w:rPr>
          <w:rFonts w:ascii="Times New Roman" w:cs="Times New Roman" w:eastAsia="Times New Roman" w:hAnsi="Times New Roman"/>
          <w:sz w:val="18"/>
          <w:szCs w:val="18"/>
          <w:color w:val="auto"/>
        </w:rPr>
        <w:t>" means:</w:t>
      </w:r>
    </w:p>
    <w:p>
      <w:pPr>
        <w:spacing w:after="0" w:line="229"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Snita Holding B.V.;</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PSD Investment Limited; or</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Zhejiang Geely Holding Group Co., Ltd. and any of its Subsidiaries.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b w:val="1"/>
          <w:bCs w:val="1"/>
          <w:color w:val="auto"/>
        </w:rPr>
        <w:t>Voluntary cancellation</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Borrower may, if it gives the Agent not less than five Business Days' (or such shorter period as the Agent may agree) prior notice, cancel the whole or any part (being a minimum amount of USD 5,000,000) of the Available Facility.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b w:val="1"/>
          <w:bCs w:val="1"/>
          <w:color w:val="auto"/>
        </w:rPr>
        <w:t>Voluntary prepayment of Loans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Borrower may, if it gives the Agent not less than five Business Days' (or such shorter period as the Lender may agree) prior notice, prepay the whole or any part of any Loan (but, if in part, being an amount that reduces the amount of the Loan by a minimum amount of USD 5,000,000).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spacing w:after="0"/>
        <w:tabs>
          <w:tab w:leader="none" w:pos="64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b w:val="1"/>
          <w:bCs w:val="1"/>
          <w:color w:val="auto"/>
        </w:rPr>
        <w:t>Restrictions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of cancellation or prepayment given by any Party under this Clause 7 shall be irrevocable and, unless a contrary indication appears in this Agreement, shall specify the date or dates upon which the relevant cancellation or prepayment is to be made and the amount of that cancellation or prepayment.</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prepayment under this Agreement shall be made together with accrued interest on the amount prepaid and, subject to any Break Costs, without premium or penalty.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not reborrow any part of the Facility which is prepaid.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repay or prepay all or any part of the Loans or cancel all or any part of the Facility except at the times and in the manner expressly provided for in this Agreement.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amount of the Available Facility cancelled under this Agreement may be subsequently reinstated.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receives a notice under this Clause 7 it shall promptly forward a copy of that notice to either the Borrower or the Lender, as appropriate.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or part of the Lender's participation in a Loan is repaid or prepaid, an amount of the Available Facility (equal to the amount of the participation which is repaid or prepaid) will be deemed to be cancelled on the date of repayment or prepayment.</w:t>
      </w:r>
    </w:p>
    <w:p>
      <w:pPr>
        <w:spacing w:after="0" w:line="158"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INTEREST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b w:val="1"/>
          <w:bCs w:val="1"/>
          <w:color w:val="auto"/>
        </w:rPr>
        <w:t>Calculation of interest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rate of interest on each Loan for each Interest Period is the percentage rate per annum which is the aggregate of the applicable:</w:t>
      </w:r>
    </w:p>
    <w:p>
      <w:pPr>
        <w:spacing w:after="0" w:line="225"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Reference Rate.</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w:t>
      </w:r>
      <w:r>
        <w:rPr>
          <w:rFonts w:ascii="Times New Roman" w:cs="Times New Roman" w:eastAsia="Times New Roman" w:hAnsi="Times New Roman"/>
          <w:sz w:val="17"/>
          <w:szCs w:val="17"/>
          <w:b w:val="1"/>
          <w:bCs w:val="1"/>
          <w:color w:val="auto"/>
        </w:rPr>
        <w:t>Payment of interest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the last day of each Interest Period, the Borrower shall pay accrued interest on the Loan to which that Interest Period relates.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b w:val="1"/>
          <w:bCs w:val="1"/>
          <w:color w:val="auto"/>
        </w:rPr>
        <w:t>Default interest</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fails to pay any amount payable by it under a Finance Document on its due date, interest shall accrue on the overdue amount from the due date up to the date of actual payment (both before and after judgment) at a rate which, subject to paragraph</w:t>
      </w:r>
    </w:p>
    <w:p>
      <w:pPr>
        <w:jc w:val="both"/>
        <w:ind w:left="1300" w:firstLine="4"/>
        <w:spacing w:after="0" w:line="253" w:lineRule="auto"/>
        <w:tabs>
          <w:tab w:leader="none" w:pos="155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is one per cent. per annum higher than the rate which would have been payable if the overdue amount had, during the period of non-payment, constituted a Loan in the currency of the overdue amount for successive Interest Periods, each of a duration selected by the Agent (acting reasonably). Any interest accruing under this Clause 8.3 shall be immediately payable by the Borrower on demand by the Agent.</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ind w:left="1300" w:hanging="644"/>
        <w:spacing w:after="0" w:line="282"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overdue amount consists of all or part of a Loan which became due on a day which was not the last day of an Interest Period relating to that Loan:</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Interest Period for that overdue amount shall have a duration equal to the unexpired portion of the current Interest Period relating to that Loan;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interest applying to the overdue amount during that first Interest Period shall be one per cent. per annum higher than the rate which would have applied if the overdue amount had not become due.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interest (if unpaid) arising on an overdue amount will be compounded with the overdue amount at the end of each Interest Period applicable to that overdue amount but will remain immediately due and payable.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7"/>
          <w:szCs w:val="17"/>
          <w:b w:val="1"/>
          <w:bCs w:val="1"/>
          <w:color w:val="auto"/>
        </w:rPr>
        <w:t>Notification of rates of interest</w:t>
      </w:r>
    </w:p>
    <w:p>
      <w:pPr>
        <w:spacing w:after="0" w:line="229" w:lineRule="exact"/>
        <w:rPr>
          <w:sz w:val="20"/>
          <w:szCs w:val="20"/>
          <w:color w:val="auto"/>
        </w:rPr>
      </w:pPr>
    </w:p>
    <w:p>
      <w:pPr>
        <w:ind w:left="1300" w:hanging="644"/>
        <w:spacing w:after="0"/>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promptly notify the Lender and the Borrower of the determination of a rate of interest under this Agreement.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Clause 10.3 applies the Agent shall promptly notify the Borrower of each Funding Rate relating to a Loan.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Clause 8.4 shall not require the Agent to make any notification to any Party on a day which is not a Business Day.</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INTEREST PERIODS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b w:val="1"/>
          <w:bCs w:val="1"/>
          <w:color w:val="auto"/>
        </w:rPr>
        <w:t>Duration</w:t>
      </w:r>
    </w:p>
    <w:p>
      <w:pPr>
        <w:spacing w:after="0" w:line="229" w:lineRule="exact"/>
        <w:rPr>
          <w:sz w:val="20"/>
          <w:szCs w:val="20"/>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this Clause 9, an Interest Period for a Loan shall be one Month.</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Interest Period for a Loan ends on the next following Interest Payment Date after the Utilisation Date of that Loan.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Interest Period for a Loan shall not extend beyond the Termination Date.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Interest Period for a Loan shall start on the Utilisation Date or (if already made) on the last day of its preceding Interest Period.</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w:t>
      </w:r>
      <w:r>
        <w:rPr>
          <w:rFonts w:ascii="Times New Roman" w:cs="Times New Roman" w:eastAsia="Times New Roman" w:hAnsi="Times New Roman"/>
          <w:sz w:val="17"/>
          <w:szCs w:val="17"/>
          <w:b w:val="1"/>
          <w:bCs w:val="1"/>
          <w:color w:val="auto"/>
        </w:rPr>
        <w:t>Non-Business Days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rules specified as "Business Day Conventions" in the Reference Rate Terms shall apply to each Interest Period.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spacing w:after="0"/>
        <w:tabs>
          <w:tab w:leader="none" w:pos="64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7"/>
          <w:szCs w:val="17"/>
          <w:b w:val="1"/>
          <w:bCs w:val="1"/>
          <w:color w:val="auto"/>
        </w:rPr>
        <w:t>Consolidation and division of Loans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If two or more Interest Periods end on the same date, those Loans will be consolidated into, and treated as, a single Loan on the last day of the Interest Period.</w:t>
      </w:r>
    </w:p>
    <w:p>
      <w:pPr>
        <w:spacing w:after="0" w:line="158"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CHANGES TO THE CALCULATION OF INTEREST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b w:val="1"/>
          <w:bCs w:val="1"/>
          <w:color w:val="auto"/>
        </w:rPr>
        <w:t>Interest Calculation if no Primary Term Rate</w:t>
      </w:r>
    </w:p>
    <w:p>
      <w:pPr>
        <w:spacing w:after="0" w:line="227" w:lineRule="exact"/>
        <w:rPr>
          <w:sz w:val="20"/>
          <w:szCs w:val="20"/>
          <w:color w:val="auto"/>
        </w:rPr>
      </w:pPr>
    </w:p>
    <w:p>
      <w:pPr>
        <w:ind w:left="1300" w:right="20" w:hanging="644"/>
        <w:spacing w:after="0" w:line="284"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Interpolated Primary Term Rate</w:t>
      </w:r>
      <w:r>
        <w:rPr>
          <w:rFonts w:ascii="Times New Roman" w:cs="Times New Roman" w:eastAsia="Times New Roman" w:hAnsi="Times New Roman"/>
          <w:sz w:val="18"/>
          <w:szCs w:val="18"/>
          <w:color w:val="auto"/>
        </w:rPr>
        <w:t>: If no Primary Term Rate is available for the Interest Period of a Loan, the applicable Term Reference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shall be the Interpolated Primary Term Rate for a period equal in length to the Interest Period of that Loan.</w:t>
      </w:r>
    </w:p>
    <w:p>
      <w:pPr>
        <w:spacing w:after="0" w:line="158" w:lineRule="exact"/>
        <w:rPr>
          <w:rFonts w:ascii="Times New Roman" w:cs="Times New Roman" w:eastAsia="Times New Roman" w:hAnsi="Times New Roman"/>
          <w:sz w:val="18"/>
          <w:szCs w:val="18"/>
          <w:color w:val="auto"/>
        </w:rPr>
      </w:pPr>
    </w:p>
    <w:p>
      <w:pPr>
        <w:ind w:left="1300" w:right="20" w:hanging="644"/>
        <w:spacing w:after="0" w:line="284"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Alternative Term Rate </w:t>
      </w:r>
      <w:r>
        <w:rPr>
          <w:rFonts w:ascii="Times New Roman" w:cs="Times New Roman" w:eastAsia="Times New Roman" w:hAnsi="Times New Roman"/>
          <w:sz w:val="18"/>
          <w:szCs w:val="18"/>
          <w:color w:val="auto"/>
        </w:rPr>
        <w:t>If paragraph (a) above applies but it is not possible to calculate the Interpolated Primary Term Rate,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Reference Rate shall be the aggregate of:</w:t>
      </w:r>
    </w:p>
    <w:p>
      <w:pPr>
        <w:spacing w:after="0" w:line="160"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Alternative Term Rate as of the Quotation Time for a period equal in length to the Interest Period of that Loan;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Alternative Term Rate Adjustment.</w:t>
      </w:r>
    </w:p>
    <w:p>
      <w:pPr>
        <w:spacing w:after="0" w:line="223" w:lineRule="exact"/>
        <w:rPr>
          <w:rFonts w:ascii="Times New Roman" w:cs="Times New Roman" w:eastAsia="Times New Roman" w:hAnsi="Times New Roman"/>
          <w:sz w:val="18"/>
          <w:szCs w:val="18"/>
          <w:color w:val="auto"/>
        </w:rPr>
      </w:pPr>
    </w:p>
    <w:p>
      <w:pPr>
        <w:ind w:left="1300" w:hanging="644"/>
        <w:spacing w:after="0" w:line="284"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Interpolated Alternative Term Rate: </w:t>
      </w:r>
      <w:r>
        <w:rPr>
          <w:rFonts w:ascii="Times New Roman" w:cs="Times New Roman" w:eastAsia="Times New Roman" w:hAnsi="Times New Roman"/>
          <w:sz w:val="18"/>
          <w:szCs w:val="18"/>
          <w:color w:val="auto"/>
        </w:rPr>
        <w:t>If paragraph (b) above applies but no Alternative Term Rate is available for the Interest Period of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the applicable Term Reference Rate shall be the aggregate of:</w:t>
      </w:r>
    </w:p>
    <w:p>
      <w:pPr>
        <w:spacing w:after="0" w:line="160"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Interpolated Alternative Term Rate for a period equal in length to the Interest Period of that Loan;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Alternative Term Rate Adjustment.</w:t>
      </w:r>
    </w:p>
    <w:p>
      <w:pPr>
        <w:spacing w:after="0" w:line="221" w:lineRule="exact"/>
        <w:rPr>
          <w:rFonts w:ascii="Times New Roman" w:cs="Times New Roman" w:eastAsia="Times New Roman" w:hAnsi="Times New Roman"/>
          <w:sz w:val="18"/>
          <w:szCs w:val="18"/>
          <w:color w:val="auto"/>
        </w:rPr>
      </w:pPr>
    </w:p>
    <w:p>
      <w:pPr>
        <w:jc w:val="both"/>
        <w:ind w:left="1300" w:right="20" w:hanging="644"/>
        <w:spacing w:after="0" w:line="268"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funds</w:t>
      </w:r>
      <w:r>
        <w:rPr>
          <w:rFonts w:ascii="Times New Roman" w:cs="Times New Roman" w:eastAsia="Times New Roman" w:hAnsi="Times New Roman"/>
          <w:sz w:val="18"/>
          <w:szCs w:val="18"/>
          <w:color w:val="auto"/>
        </w:rPr>
        <w:t>: If paragraph (c) above applies but it is not possible to calculate the Interpolated Alternative Term Rate and "</w:t>
      </w:r>
      <w:r>
        <w:rPr>
          <w:rFonts w:ascii="Times New Roman" w:cs="Times New Roman" w:eastAsia="Times New Roman" w:hAnsi="Times New Roman"/>
          <w:sz w:val="18"/>
          <w:szCs w:val="18"/>
          <w:b w:val="1"/>
          <w:bCs w:val="1"/>
          <w:color w:val="auto"/>
        </w:rPr>
        <w:t>Cost of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will apply as a fallback</w:t>
      </w:r>
      <w:r>
        <w:rPr>
          <w:rFonts w:ascii="Times New Roman" w:cs="Times New Roman" w:eastAsia="Times New Roman" w:hAnsi="Times New Roman"/>
          <w:sz w:val="18"/>
          <w:szCs w:val="18"/>
          <w:color w:val="auto"/>
        </w:rPr>
        <w:t>" is specified in the Reference Rate Terms, Clause 10.3 (</w:t>
      </w:r>
      <w:r>
        <w:rPr>
          <w:rFonts w:ascii="Times New Roman" w:cs="Times New Roman" w:eastAsia="Times New Roman" w:hAnsi="Times New Roman"/>
          <w:sz w:val="18"/>
          <w:szCs w:val="18"/>
          <w:i w:val="1"/>
          <w:iCs w:val="1"/>
          <w:color w:val="auto"/>
        </w:rPr>
        <w:t>Cost of funds</w:t>
      </w:r>
      <w:r>
        <w:rPr>
          <w:rFonts w:ascii="Times New Roman" w:cs="Times New Roman" w:eastAsia="Times New Roman" w:hAnsi="Times New Roman"/>
          <w:sz w:val="18"/>
          <w:szCs w:val="18"/>
          <w:color w:val="auto"/>
        </w:rPr>
        <w:t>) shall apply to that Loan for that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b w:val="1"/>
          <w:bCs w:val="1"/>
          <w:color w:val="auto"/>
        </w:rPr>
        <w:t>Market disruption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w:t>
      </w:r>
    </w:p>
    <w:p>
      <w:pPr>
        <w:spacing w:after="0" w:line="225" w:lineRule="exact"/>
        <w:rPr>
          <w:sz w:val="20"/>
          <w:szCs w:val="20"/>
          <w:color w:val="auto"/>
        </w:rPr>
      </w:pPr>
    </w:p>
    <w:p>
      <w:pPr>
        <w:ind w:left="1300" w:hanging="64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Market Disruption Rate is specified in the Reference Rate Terms;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Reporting Time the Agent receives notifications from the Lender that its cost of funds relating to its participation in that Loan would be in excess of that Market Disruption Rate,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then Clause 10.3 (</w:t>
      </w:r>
      <w:r>
        <w:rPr>
          <w:rFonts w:ascii="Times New Roman" w:cs="Times New Roman" w:eastAsia="Times New Roman" w:hAnsi="Times New Roman"/>
          <w:sz w:val="18"/>
          <w:szCs w:val="18"/>
          <w:i w:val="1"/>
          <w:iCs w:val="1"/>
          <w:color w:val="auto"/>
        </w:rPr>
        <w:t>Cost of funds</w:t>
      </w:r>
      <w:r>
        <w:rPr>
          <w:rFonts w:ascii="Times New Roman" w:cs="Times New Roman" w:eastAsia="Times New Roman" w:hAnsi="Times New Roman"/>
          <w:sz w:val="18"/>
          <w:szCs w:val="18"/>
          <w:color w:val="auto"/>
        </w:rPr>
        <w:t>) shall apply to that Loan for the relevant Interest Period.</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b w:val="1"/>
          <w:bCs w:val="1"/>
          <w:color w:val="auto"/>
        </w:rPr>
        <w:t>Cost of funds</w:t>
      </w:r>
    </w:p>
    <w:p>
      <w:pPr>
        <w:spacing w:after="0" w:line="229" w:lineRule="exact"/>
        <w:rPr>
          <w:sz w:val="20"/>
          <w:szCs w:val="20"/>
          <w:color w:val="auto"/>
        </w:rPr>
      </w:pPr>
    </w:p>
    <w:p>
      <w:pPr>
        <w:ind w:left="1300" w:hanging="644"/>
        <w:spacing w:after="0" w:line="282"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Clause 10.3 applies, the rate of interest on a Loan for the relevant Interest Period shall be the percentage rate per annum which is the sum of:</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Margin; and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determined by the Agent as soon as practicable and in any event by the Reporting Time, to be that which expresses as a percentage rate per annum its cost of funds relating to that Loan.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Clause 10.3 applies and the Agent or the Borrower so requires, the Agent and the Borrower shall enter into negotiations (for a period of not more than thirty days) with a view to agreeing a substitute basis for determining the rate of interest.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alternative basis agreed pursuant to paragraph (b) above shall, with the prior consent of the Agent and the Borrower, be binding on all Parties.</w:t>
      </w:r>
    </w:p>
    <w:p>
      <w:pPr>
        <w:spacing w:after="0" w:line="15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Clause 10‎.3 applies pursuant to Clause 10.2 (</w:t>
      </w:r>
      <w:r>
        <w:rPr>
          <w:rFonts w:ascii="Times New Roman" w:cs="Times New Roman" w:eastAsia="Times New Roman" w:hAnsi="Times New Roman"/>
          <w:sz w:val="18"/>
          <w:szCs w:val="18"/>
          <w:i w:val="1"/>
          <w:iCs w:val="1"/>
          <w:color w:val="auto"/>
        </w:rPr>
        <w:t>Market disruption</w:t>
      </w:r>
      <w:r>
        <w:rPr>
          <w:rFonts w:ascii="Times New Roman" w:cs="Times New Roman" w:eastAsia="Times New Roman" w:hAnsi="Times New Roman"/>
          <w:sz w:val="18"/>
          <w:szCs w:val="18"/>
          <w:color w:val="auto"/>
        </w:rPr>
        <w:t>) and:</w:t>
      </w:r>
    </w:p>
    <w:p>
      <w:pPr>
        <w:spacing w:after="0" w:line="22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Funding Rate is less than the Market Disruption Rate;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does not supply a rate by the time specified in Clause 10.3(a)(ii),</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the Lender's cost of funds relating to its participation in that Loan for that Interest Period shall be deemed, for the purposes of paragraph ‎(a) above, to be the Market Disruption Rate.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b w:val="1"/>
          <w:bCs w:val="1"/>
          <w:color w:val="auto"/>
        </w:rPr>
        <w:t>Notification to Borrower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Clause 10.3 (</w:t>
      </w:r>
      <w:r>
        <w:rPr>
          <w:rFonts w:ascii="Times New Roman" w:cs="Times New Roman" w:eastAsia="Times New Roman" w:hAnsi="Times New Roman"/>
          <w:sz w:val="18"/>
          <w:szCs w:val="18"/>
          <w:i w:val="1"/>
          <w:iCs w:val="1"/>
          <w:color w:val="auto"/>
        </w:rPr>
        <w:t>Cost of funds</w:t>
      </w:r>
      <w:r>
        <w:rPr>
          <w:rFonts w:ascii="Times New Roman" w:cs="Times New Roman" w:eastAsia="Times New Roman" w:hAnsi="Times New Roman"/>
          <w:sz w:val="18"/>
          <w:szCs w:val="18"/>
          <w:color w:val="auto"/>
        </w:rPr>
        <w:t>) applies, the Agent shall, as soon as is practicable, notify the Borrower.</w:t>
      </w:r>
    </w:p>
    <w:p>
      <w:pPr>
        <w:spacing w:after="0" w:line="2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7"/>
          <w:szCs w:val="17"/>
          <w:b w:val="1"/>
          <w:bCs w:val="1"/>
          <w:color w:val="auto"/>
        </w:rPr>
        <w:t>Break Costs</w:t>
      </w:r>
    </w:p>
    <w:p>
      <w:pPr>
        <w:spacing w:after="0" w:line="229" w:lineRule="exact"/>
        <w:rPr>
          <w:sz w:val="20"/>
          <w:szCs w:val="20"/>
          <w:color w:val="auto"/>
        </w:rPr>
      </w:pPr>
    </w:p>
    <w:p>
      <w:pPr>
        <w:jc w:val="both"/>
        <w:ind w:left="1300" w:hanging="644"/>
        <w:spacing w:after="0" w:line="266"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amount is specified as Break Costs in the Reference Rate Terms the Borrower shall, within five Business Days of demand by a Finance Party, pay to that Finance Party its Break Costs attributable to all or any part of a Loan or Unpaid Sum being paid by the Borrower on a day other than the last day of an Interest Period for that Loan or Unpaid Sum.</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shall, as soon as reasonably practicable after a demand by the Agent, provide a certificate confirming the amount of its Break Costs for any Interest Period in which they become, or may become, payable.</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SUBORDINATION</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The Lender and the Borrower acknowledge that this Facility and all amounts owing thereunder by the Borrower to the Lender are subordinated to the Facilities Agreement dated 22 February 2024 amongst the Borrower, as borrower, and the lenders under Facility A and Facility B thereto, as further amended from time to time (the “</w:t>
      </w:r>
      <w:r>
        <w:rPr>
          <w:rFonts w:ascii="Times New Roman" w:cs="Times New Roman" w:eastAsia="Times New Roman" w:hAnsi="Times New Roman"/>
          <w:sz w:val="18"/>
          <w:szCs w:val="18"/>
          <w:b w:val="1"/>
          <w:bCs w:val="1"/>
          <w:color w:val="auto"/>
        </w:rPr>
        <w:t>Club Loan Facilities Agreement</w:t>
      </w:r>
      <w:r>
        <w:rPr>
          <w:rFonts w:ascii="Times New Roman" w:cs="Times New Roman" w:eastAsia="Times New Roman" w:hAnsi="Times New Roman"/>
          <w:sz w:val="18"/>
          <w:szCs w:val="18"/>
          <w:color w:val="auto"/>
        </w:rPr>
        <w:t>”), by virtue of the Subordination Deed dated 22 February 2024 amongst the Borrower, as borrower, and the Lender and Polestar Automotive (Singapore) Pte. Ltd, as subordinated creditors, and Standard Chartered Bank, as agent (the “</w:t>
      </w:r>
      <w:r>
        <w:rPr>
          <w:rFonts w:ascii="Times New Roman" w:cs="Times New Roman" w:eastAsia="Times New Roman" w:hAnsi="Times New Roman"/>
          <w:sz w:val="18"/>
          <w:szCs w:val="18"/>
          <w:b w:val="1"/>
          <w:bCs w:val="1"/>
          <w:color w:val="auto"/>
        </w:rPr>
        <w:t>Subordination Deed</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Prior to the Termination Date, the Borrower undertakes to use reasonable endeavours, with the support from the Lender and Zhejiang Geely Holding Group Co., Ltd., to procure consent from the lenders under the Club Loan Facilities Agreement to:</w:t>
      </w:r>
    </w:p>
    <w:p>
      <w:pPr>
        <w:spacing w:after="0" w:line="162" w:lineRule="exact"/>
        <w:rPr>
          <w:sz w:val="20"/>
          <w:szCs w:val="20"/>
          <w:color w:val="auto"/>
        </w:rPr>
      </w:pPr>
    </w:p>
    <w:p>
      <w:pPr>
        <w:ind w:left="1300" w:right="20" w:hanging="644"/>
        <w:spacing w:after="0" w:line="282" w:lineRule="auto"/>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the liabilities owed by the Borrower under this Agreement from the subordination in favour of the Senior Debt under the Subordination Deed (and as defined therein);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of the Loans made under this Agreement on the Termination Date together with all interest accrued thereon.</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In the event the liabilities owed by the Borrower under this Agreement are released from the subordination under the Subordination Deed after the Termination Date (a “Subordination Release”), the Borrower undertakes to repay the Loans made under this Agreement together with all interest accrued thereon (which shall continue to accrue until the date of actual repayment) as soon as practically possible from the effectiveness of such Subordination Release without any Break Costs.</w:t>
      </w:r>
    </w:p>
    <w:p>
      <w:pPr>
        <w:spacing w:after="0" w:line="176"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GROSS UP AND INDEMNITIES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Agreement:</w:t>
      </w:r>
    </w:p>
    <w:p>
      <w:pPr>
        <w:spacing w:after="0" w:line="221"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Protected Party</w:t>
      </w:r>
      <w:r>
        <w:rPr>
          <w:rFonts w:ascii="Times New Roman" w:cs="Times New Roman" w:eastAsia="Times New Roman" w:hAnsi="Times New Roman"/>
          <w:sz w:val="18"/>
          <w:szCs w:val="18"/>
          <w:color w:val="auto"/>
        </w:rPr>
        <w:t>" means a Finance Party which is or will be subject to any liability, or required to make any payment, for or on account of Tax in relation to a sum received or receivable (or any sum deemed for the purposes of Tax to be received or receivable) under a Finance Document.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Credit</w:t>
      </w:r>
      <w:r>
        <w:rPr>
          <w:rFonts w:ascii="Times New Roman" w:cs="Times New Roman" w:eastAsia="Times New Roman" w:hAnsi="Times New Roman"/>
          <w:sz w:val="18"/>
          <w:szCs w:val="18"/>
          <w:color w:val="auto"/>
        </w:rPr>
        <w:t>" means a credit against, relief or remission for, or repayment of any Tax.</w:t>
      </w:r>
    </w:p>
    <w:p>
      <w:pPr>
        <w:spacing w:after="0" w:line="22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Deduction</w:t>
      </w:r>
      <w:r>
        <w:rPr>
          <w:rFonts w:ascii="Times New Roman" w:cs="Times New Roman" w:eastAsia="Times New Roman" w:hAnsi="Times New Roman"/>
          <w:sz w:val="18"/>
          <w:szCs w:val="18"/>
          <w:color w:val="auto"/>
        </w:rPr>
        <w:t>" means a deduction or withholding for or on account of Tax from a payment under a Finance Document, other than a FATCA Deduction.</w:t>
      </w:r>
    </w:p>
    <w:p>
      <w:pPr>
        <w:spacing w:after="0" w:line="15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Payment</w:t>
      </w:r>
      <w:r>
        <w:rPr>
          <w:rFonts w:ascii="Times New Roman" w:cs="Times New Roman" w:eastAsia="Times New Roman" w:hAnsi="Times New Roman"/>
          <w:sz w:val="18"/>
          <w:szCs w:val="18"/>
          <w:color w:val="auto"/>
        </w:rPr>
        <w:t>" means either the increase in a payment made by the Borrower to a Finance Party under Clause 12.2 (</w:t>
      </w:r>
      <w:r>
        <w:rPr>
          <w:rFonts w:ascii="Times New Roman" w:cs="Times New Roman" w:eastAsia="Times New Roman" w:hAnsi="Times New Roman"/>
          <w:sz w:val="18"/>
          <w:szCs w:val="18"/>
          <w:i w:val="1"/>
          <w:iCs w:val="1"/>
          <w:color w:val="auto"/>
        </w:rPr>
        <w:t>Tax gross-up</w:t>
      </w:r>
      <w:r>
        <w:rPr>
          <w:rFonts w:ascii="Times New Roman" w:cs="Times New Roman" w:eastAsia="Times New Roman" w:hAnsi="Times New Roman"/>
          <w:sz w:val="18"/>
          <w:szCs w:val="18"/>
          <w:color w:val="auto"/>
        </w:rPr>
        <w:t>) or a payment under Clause 12.3 (</w:t>
      </w:r>
      <w:r>
        <w:rPr>
          <w:rFonts w:ascii="Times New Roman" w:cs="Times New Roman" w:eastAsia="Times New Roman" w:hAnsi="Times New Roman"/>
          <w:sz w:val="18"/>
          <w:szCs w:val="18"/>
          <w:i w:val="1"/>
          <w:iCs w:val="1"/>
          <w:color w:val="auto"/>
        </w:rPr>
        <w:t>Tax indemnity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b w:val="1"/>
          <w:bCs w:val="1"/>
          <w:color w:val="auto"/>
        </w:rPr>
        <w:t>Tax gross-up</w:t>
      </w:r>
    </w:p>
    <w:p>
      <w:pPr>
        <w:spacing w:after="0" w:line="229" w:lineRule="exact"/>
        <w:rPr>
          <w:sz w:val="20"/>
          <w:szCs w:val="20"/>
          <w:color w:val="auto"/>
        </w:rPr>
      </w:pPr>
    </w:p>
    <w:p>
      <w:pPr>
        <w:ind w:left="1300" w:hanging="644"/>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make all payments to be made by it without any Tax Deduction, unless a Tax Deduction is required by law.</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promptly upon becoming aware that it must make a Tax Deduction (or that there is any change in the rate or the basis of a Tax Deduction) notify the Agent accordingly. Similarly, the Lender shall notify the Borrower on becoming so aware in respect of a payment payable to the Lender.</w:t>
      </w:r>
    </w:p>
    <w:p>
      <w:pPr>
        <w:spacing w:after="0" w:line="39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left="1300" w:hanging="644"/>
        <w:spacing w:after="0" w:line="266"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Tax Deduction is required by law to be made by the Borrower, the amount of the payment due from the Borrower shall be increased to an amount which (after making any Tax Deduction) leaves an amount equal to the payment which would have been due if no Tax Deduction had been required.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is required to make a Tax Deduction, it shall make that Tax Deduction and any payment required in connection with that Tax Deduction within the time allowed and in the minimum amount required by law.</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days of making either a Tax Deduction or any payment required in connection with that Tax Deduction, the Borrower shall deliver to the Agent for the Finance Party entitled to the payment a statement under section 975 of the ITA or other evidence reasonably satisfactory to that Finance Party that the Tax Deduction has been made or (as applicable) any appropriate payment paid to the relevant taxing authority.</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Lender and the Borrower shall co-operate in completing any procedural formalities necessary for the Borrower to obtain authorisation to make that payment without a Tax Deduction.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7"/>
          <w:szCs w:val="17"/>
          <w:b w:val="1"/>
          <w:bCs w:val="1"/>
          <w:color w:val="auto"/>
        </w:rPr>
        <w:t>Tax indemnity</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(within five Business Days of demand by the Agent) pay to a Protected Party an amount equal to the loss, liability or cost which that Protected Party determines will be or has been (directly or indirectly) suffered for or on account of Tax by that Protected Party in respect of a Finance Document.</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shall not apply: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Tax assessed on a Finance Party:</w:t>
      </w:r>
    </w:p>
    <w:p>
      <w:pPr>
        <w:spacing w:after="0" w:line="225"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law of the jurisdiction in which that Finance Party is incorporated or, if different, the jurisdiction (or jurisdictions) in which that Finance Party is treated as resident for tax purposes; or</w:t>
      </w:r>
    </w:p>
    <w:p>
      <w:pPr>
        <w:spacing w:after="0" w:line="161"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law of the jurisdiction in which that Finance Party's Facility Office is located in respect of amounts received or receivable in that jurisdiction,</w:t>
      </w:r>
    </w:p>
    <w:p>
      <w:pPr>
        <w:spacing w:after="0" w:line="162" w:lineRule="exact"/>
        <w:rPr>
          <w:sz w:val="20"/>
          <w:szCs w:val="20"/>
          <w:color w:val="auto"/>
        </w:rPr>
      </w:pPr>
    </w:p>
    <w:p>
      <w:pPr>
        <w:ind w:left="1960"/>
        <w:spacing w:after="0" w:line="282" w:lineRule="auto"/>
        <w:rPr>
          <w:sz w:val="20"/>
          <w:szCs w:val="20"/>
          <w:color w:val="auto"/>
        </w:rPr>
      </w:pPr>
      <w:r>
        <w:rPr>
          <w:rFonts w:ascii="Times New Roman" w:cs="Times New Roman" w:eastAsia="Times New Roman" w:hAnsi="Times New Roman"/>
          <w:sz w:val="18"/>
          <w:szCs w:val="18"/>
          <w:color w:val="auto"/>
        </w:rPr>
        <w:t>if that Tax is imposed on or calculated by reference to the net income received or receivable (but not any sum deemed to be received or receivable) by that Finance Party; or</w:t>
      </w:r>
    </w:p>
    <w:p>
      <w:pPr>
        <w:spacing w:after="0" w:line="162" w:lineRule="exact"/>
        <w:rPr>
          <w:sz w:val="20"/>
          <w:szCs w:val="20"/>
          <w:color w:val="auto"/>
        </w:rPr>
      </w:pPr>
    </w:p>
    <w:p>
      <w:pPr>
        <w:ind w:left="1960" w:hanging="656"/>
        <w:spacing w:after="0"/>
        <w:tabs>
          <w:tab w:leader="none" w:pos="1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loss, liability or cost:</w:t>
      </w:r>
    </w:p>
    <w:p>
      <w:pPr>
        <w:spacing w:after="0" w:line="223"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compensated for by an increased payment under Clause 12.2 (</w:t>
      </w:r>
      <w:r>
        <w:rPr>
          <w:rFonts w:ascii="Times New Roman" w:cs="Times New Roman" w:eastAsia="Times New Roman" w:hAnsi="Times New Roman"/>
          <w:sz w:val="18"/>
          <w:szCs w:val="18"/>
          <w:i w:val="1"/>
          <w:iCs w:val="1"/>
          <w:color w:val="auto"/>
        </w:rPr>
        <w:t>Tax gross-up</w:t>
      </w:r>
      <w:r>
        <w:rPr>
          <w:rFonts w:ascii="Times New Roman" w:cs="Times New Roman" w:eastAsia="Times New Roman" w:hAnsi="Times New Roman"/>
          <w:sz w:val="18"/>
          <w:szCs w:val="18"/>
          <w:color w:val="auto"/>
        </w:rPr>
        <w:t>); or</w:t>
      </w:r>
    </w:p>
    <w:p>
      <w:pPr>
        <w:spacing w:after="0" w:line="200" w:lineRule="exact"/>
        <w:rPr>
          <w:rFonts w:ascii="Times New Roman" w:cs="Times New Roman" w:eastAsia="Times New Roman" w:hAnsi="Times New Roman"/>
          <w:sz w:val="18"/>
          <w:szCs w:val="18"/>
          <w:color w:val="auto"/>
        </w:rPr>
      </w:pPr>
    </w:p>
    <w:p>
      <w:pPr>
        <w:spacing w:after="0" w:line="243"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left="2600" w:hanging="648"/>
        <w:spacing w:after="0"/>
        <w:tabs>
          <w:tab w:leader="none" w:pos="26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a FATCA Deduction required to be made by a Party.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Protected Party making, or intending to make a claim under paragraph (a) above shall promptly notify the Agent of the event which will give, or has given, rise to the claim, following which the Agent shall notify the Borrower.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Protected Party shall, on receiving a payment from the Borrower under this Clause 12.3, notify the Agent.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7"/>
          <w:szCs w:val="17"/>
          <w:b w:val="1"/>
          <w:bCs w:val="1"/>
          <w:color w:val="auto"/>
        </w:rPr>
        <w:t>Tax Credit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Borrower makes a Tax Payment and the relevant Finance Party determines that:</w:t>
      </w:r>
    </w:p>
    <w:p>
      <w:pPr>
        <w:spacing w:after="0" w:line="225" w:lineRule="exact"/>
        <w:rPr>
          <w:sz w:val="20"/>
          <w:szCs w:val="20"/>
          <w:color w:val="auto"/>
        </w:rPr>
      </w:pPr>
    </w:p>
    <w:p>
      <w:pPr>
        <w:ind w:left="1300" w:right="20" w:hanging="644"/>
        <w:spacing w:after="0" w:line="282" w:lineRule="auto"/>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 Credit is attributable to an increased payment of which that Tax Payment forms part, to that Tax Payment or to a Tax Deduction in consequence of which that Tax Payment was required;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Finance Party has obtained and utilised that Tax Credit,</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Finance Party shall pay an amount to the Borrower which that Finance Party determines will leave it (after that payment) in the same after-Tax position as it would have been in had the Tax Payment not been required to be made by the Borrower.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8"/>
          <w:szCs w:val="18"/>
          <w:b w:val="1"/>
          <w:bCs w:val="1"/>
          <w:color w:val="auto"/>
        </w:rPr>
        <w:t>Stamp taxes</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Borrower shall pay and, within five Business Days of demand, indemnify each Finance Party against any cost, loss or liability that Finance Party incurs in relation to all stamp duty, registration and other similar Taxes payable in respect of any Finance Document.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6"/>
          <w:szCs w:val="16"/>
          <w:b w:val="1"/>
          <w:bCs w:val="1"/>
          <w:color w:val="auto"/>
        </w:rPr>
        <w:t>VAT</w:t>
      </w:r>
    </w:p>
    <w:p>
      <w:pPr>
        <w:spacing w:after="0" w:line="229" w:lineRule="exact"/>
        <w:rPr>
          <w:sz w:val="20"/>
          <w:szCs w:val="20"/>
          <w:color w:val="auto"/>
        </w:rPr>
      </w:pPr>
    </w:p>
    <w:p>
      <w:pPr>
        <w:jc w:val="both"/>
        <w:ind w:left="1300" w:hanging="644"/>
        <w:spacing w:after="0" w:line="256"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expressed to be payable under a Finance Document by any Party to a Finance Party which (in whole or in part) constitute the consideration for any supply for VAT purposes are deemed to be exclusive of any VAT which is chargeable on that supply, and accordingly, subject to paragraph (b) below, if VAT is or becomes chargeable on any supply made by any Finance Party to any Party under a Finance Document and such Finance Party is required to account to the relevant tax authority for the VAT, that Party must pay to such Finance Party (in addition to and at the same time as paying any other consideration for such supply) an amount equal to the amount of the VAT (and such Finance Party must promptly provide an appropriate VAT invoice to that Party).</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2"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VAT is or becomes chargeable on any supply made by any Finance Party (the "</w:t>
      </w:r>
      <w:r>
        <w:rPr>
          <w:rFonts w:ascii="Times New Roman" w:cs="Times New Roman" w:eastAsia="Times New Roman" w:hAnsi="Times New Roman"/>
          <w:sz w:val="18"/>
          <w:szCs w:val="18"/>
          <w:b w:val="1"/>
          <w:bCs w:val="1"/>
          <w:color w:val="auto"/>
        </w:rPr>
        <w:t>Supplier</w:t>
      </w:r>
      <w:r>
        <w:rPr>
          <w:rFonts w:ascii="Times New Roman" w:cs="Times New Roman" w:eastAsia="Times New Roman" w:hAnsi="Times New Roman"/>
          <w:sz w:val="18"/>
          <w:szCs w:val="18"/>
          <w:color w:val="auto"/>
        </w:rPr>
        <w:t>") to any other Finance Party (the "</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under a Finance Document, and any Party other than the Recipient (the "</w:t>
      </w:r>
      <w:r>
        <w:rPr>
          <w:rFonts w:ascii="Times New Roman" w:cs="Times New Roman" w:eastAsia="Times New Roman" w:hAnsi="Times New Roman"/>
          <w:sz w:val="18"/>
          <w:szCs w:val="18"/>
          <w:b w:val="1"/>
          <w:bCs w:val="1"/>
          <w:color w:val="auto"/>
        </w:rPr>
        <w:t>Relevant Party</w:t>
      </w:r>
      <w:r>
        <w:rPr>
          <w:rFonts w:ascii="Times New Roman" w:cs="Times New Roman" w:eastAsia="Times New Roman" w:hAnsi="Times New Roman"/>
          <w:sz w:val="18"/>
          <w:szCs w:val="18"/>
          <w:color w:val="auto"/>
        </w:rPr>
        <w:t>") is required by the terms of any Finance Document to pay an amount equal to the consideration for that supply to the Supplier (rather than being required to reimburse or indemnify the Recipient in respect of that consideration):</w:t>
      </w:r>
    </w:p>
    <w:p>
      <w:pPr>
        <w:spacing w:after="0" w:line="180"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Supplier is the person required to account to the relevant tax authority for the VAT) the Relevant Party must also pay to the Supplier (at the same time as paying that amount) an additional amount equal to the amount of the VAT. The Recipient must (where this paragraph (i) applies) promptly pay to the Relevant Party an amount equal to any credit or repayment the Recipient receives from the relevant tax authority which the Recipient reasonably determines relates to the VAT chargeable on that supply; and</w:t>
      </w:r>
    </w:p>
    <w:p>
      <w:pPr>
        <w:spacing w:after="0" w:line="399"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left="1960" w:right="20" w:hanging="656"/>
        <w:spacing w:after="0" w:line="261" w:lineRule="auto"/>
        <w:tabs>
          <w:tab w:leader="none" w:pos="19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Recipient is the person required to account to the relevant tax authority for the VAT) the Relevant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Finance Document requires any Party to reimburse or indemnify a Finance Party for any cost or expense, that Party shall reimburse or indemnify (as the case may be) such Finance Party for the full amount of such cost or expense, including such part thereof as represents VAT, save to the extent that such Finance Party reasonably determines that it is entitled to credit or repayment in respect of such VAT from the relevant tax authority.</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this Clause 12.6 to any Party shall, at any time when such Party is treated as a member of a group for VAT purposes, include (where appropriate and unless the context otherwise requires) a reference to the representative member of such group at such time (the term "representative member" to have the same meaning as in the UK Value Added Tax Act 1994).</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supply made by a Finance Party to any Party under a Finance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7"/>
          <w:szCs w:val="17"/>
          <w:b w:val="1"/>
          <w:bCs w:val="1"/>
          <w:color w:val="auto"/>
        </w:rPr>
        <w:t>FATCA information</w:t>
      </w:r>
    </w:p>
    <w:p>
      <w:pPr>
        <w:spacing w:after="0" w:line="229" w:lineRule="exact"/>
        <w:rPr>
          <w:sz w:val="20"/>
          <w:szCs w:val="20"/>
          <w:color w:val="auto"/>
        </w:rPr>
      </w:pPr>
    </w:p>
    <w:p>
      <w:pPr>
        <w:ind w:left="1300" w:hanging="64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paragraph (c) below, each Party shall, within </w:t>
      </w:r>
      <w:r>
        <w:rPr>
          <w:rFonts w:ascii="Times New Roman" w:cs="Times New Roman" w:eastAsia="Times New Roman" w:hAnsi="Times New Roman"/>
          <w:sz w:val="18"/>
          <w:szCs w:val="18"/>
          <w:u w:val="single" w:color="auto"/>
          <w:color w:val="auto"/>
        </w:rPr>
        <w:t>ten</w:t>
      </w:r>
      <w:r>
        <w:rPr>
          <w:rFonts w:ascii="Times New Roman" w:cs="Times New Roman" w:eastAsia="Times New Roman" w:hAnsi="Times New Roman"/>
          <w:sz w:val="18"/>
          <w:szCs w:val="18"/>
          <w:color w:val="auto"/>
        </w:rPr>
        <w:t xml:space="preserve"> Business Days of a reasonable request by another Party: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 to that other Party whether it is:</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FATCA Exempt Party; or</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FATCA Exempt Party;</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to that other Party such forms, documentation and other information relating to its status under FATCA as that other Party reasonably requests for the purposes of that other Party's compliance with FATCA;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37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3"/>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left="1300" w:hanging="644"/>
        <w:spacing w:after="0" w:line="282" w:lineRule="auto"/>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Party confirms to another Party pursuant to paragraph (a)(i) above that it is a FATCA Exempt Party and it subsequently becomes aware that it is not or has ceased to be a FATCA Exempt Party, that Party shall notify that other Party reasonably promptly.</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shall not oblige any Finance Party to do anything, and paragraph (a)(iii) above shall not oblige any other Party to do anything, which would or might in its reasonable opinion constitute a breach of:</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or regulation;</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fiduciary duty;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duty of confidentiality.</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Party fails to confirm whether or not it is a FATCA Exempt Party or to supply forms, documentation or other information requested in accordance with paragraph (a)(i) or (ii)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12.8</w:t>
      </w:r>
      <w:r>
        <w:rPr>
          <w:sz w:val="20"/>
          <w:szCs w:val="20"/>
          <w:color w:val="auto"/>
        </w:rPr>
        <w:tab/>
      </w:r>
      <w:r>
        <w:rPr>
          <w:rFonts w:ascii="Times New Roman" w:cs="Times New Roman" w:eastAsia="Times New Roman" w:hAnsi="Times New Roman"/>
          <w:sz w:val="17"/>
          <w:szCs w:val="17"/>
          <w:b w:val="1"/>
          <w:bCs w:val="1"/>
          <w:color w:val="auto"/>
        </w:rPr>
        <w:t>FATCA Deduction</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promptly, upon becoming aware that it must make a FATCA Deduction (or that there is any change in the rate or the basis of such FATCA Deduction), notify the Party to whom it is making the payment and, in addition, shall notify the Borrower and the Agent and the Agent shall notify the other Finance Parties.</w:t>
      </w:r>
    </w:p>
    <w:p>
      <w:pPr>
        <w:spacing w:after="0" w:line="172" w:lineRule="exact"/>
        <w:rPr>
          <w:sz w:val="20"/>
          <w:szCs w:val="20"/>
          <w:color w:val="auto"/>
        </w:rPr>
      </w:pPr>
    </w:p>
    <w:p>
      <w:pPr>
        <w:ind w:left="1300" w:hanging="64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INCREASED COSTS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7"/>
          <w:szCs w:val="17"/>
          <w:b w:val="1"/>
          <w:bCs w:val="1"/>
          <w:color w:val="auto"/>
        </w:rPr>
        <w:t>Increased costs</w:t>
      </w:r>
    </w:p>
    <w:p>
      <w:pPr>
        <w:spacing w:after="0" w:line="227" w:lineRule="exact"/>
        <w:rPr>
          <w:sz w:val="20"/>
          <w:szCs w:val="20"/>
          <w:color w:val="auto"/>
        </w:rPr>
      </w:pPr>
    </w:p>
    <w:p>
      <w:pPr>
        <w:ind w:left="1300" w:hanging="644"/>
        <w:spacing w:after="0" w:line="284" w:lineRule="auto"/>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13.3 (</w:t>
      </w:r>
      <w:r>
        <w:rPr>
          <w:rFonts w:ascii="Times New Roman" w:cs="Times New Roman" w:eastAsia="Times New Roman" w:hAnsi="Times New Roman"/>
          <w:sz w:val="18"/>
          <w:szCs w:val="18"/>
          <w:i w:val="1"/>
          <w:iCs w:val="1"/>
          <w:color w:val="auto"/>
        </w:rPr>
        <w:t>Exceptions</w:t>
      </w:r>
      <w:r>
        <w:rPr>
          <w:rFonts w:ascii="Times New Roman" w:cs="Times New Roman" w:eastAsia="Times New Roman" w:hAnsi="Times New Roman"/>
          <w:sz w:val="18"/>
          <w:szCs w:val="18"/>
          <w:color w:val="auto"/>
        </w:rPr>
        <w:t>) the Borrower shall, within five Business Days of a demand by the Agent, pay for the account of a Finance Party the amount of any Increased Costs incurred by that Finance Party or any of its Affiliates as a result of:</w:t>
      </w:r>
    </w:p>
    <w:p>
      <w:pPr>
        <w:spacing w:after="0" w:line="160"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or any change in (or in the interpretation, administration or application of) any law or regulation after the date of this Agreement;</w:t>
      </w:r>
    </w:p>
    <w:p>
      <w:pPr>
        <w:spacing w:after="0" w:line="37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left="1304" w:hanging="656"/>
        <w:spacing w:after="0"/>
        <w:tabs>
          <w:tab w:leader="none" w:pos="130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law or regulation made after the date of this Agreement; or</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or application of, or compliance with, Basel III or CRD IV or any law or regulation that implements or applies Basel III or CRD IV.</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Agreement:</w:t>
      </w:r>
    </w:p>
    <w:p>
      <w:pPr>
        <w:spacing w:after="0" w:line="22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Increased Costs</w:t>
      </w:r>
      <w:r>
        <w:rPr>
          <w:rFonts w:ascii="Times New Roman" w:cs="Times New Roman" w:eastAsia="Times New Roman" w:hAnsi="Times New Roman"/>
          <w:sz w:val="18"/>
          <w:szCs w:val="18"/>
          <w:color w:val="auto"/>
        </w:rPr>
        <w:t>" means:</w:t>
      </w:r>
    </w:p>
    <w:p>
      <w:pPr>
        <w:spacing w:after="0" w:line="229"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rate of return from the Facility or on a Finance Party's (or its Affiliate's) overall capital;</w:t>
      </w:r>
    </w:p>
    <w:p>
      <w:pPr>
        <w:spacing w:after="0" w:line="225"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or increased cost; or</w:t>
      </w:r>
    </w:p>
    <w:p>
      <w:pPr>
        <w:spacing w:after="0" w:line="225"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of any amount due and payable under any Finance Document,</w:t>
      </w:r>
    </w:p>
    <w:p>
      <w:pPr>
        <w:spacing w:after="0" w:line="225" w:lineRule="exact"/>
        <w:rPr>
          <w:sz w:val="20"/>
          <w:szCs w:val="20"/>
          <w:color w:val="auto"/>
        </w:rPr>
      </w:pPr>
    </w:p>
    <w:p>
      <w:pPr>
        <w:ind w:left="1304"/>
        <w:spacing w:after="0" w:line="282" w:lineRule="auto"/>
        <w:rPr>
          <w:sz w:val="20"/>
          <w:szCs w:val="20"/>
          <w:color w:val="auto"/>
        </w:rPr>
      </w:pPr>
      <w:r>
        <w:rPr>
          <w:rFonts w:ascii="Times New Roman" w:cs="Times New Roman" w:eastAsia="Times New Roman" w:hAnsi="Times New Roman"/>
          <w:sz w:val="18"/>
          <w:szCs w:val="18"/>
          <w:color w:val="auto"/>
        </w:rPr>
        <w:t>which is incurred or suffered by a Finance Party or any of its Affiliates to the extent that it is attributable to that Finance Party having entered into its commitment or funding or performing its obligations under any Finance Document;</w:t>
      </w:r>
    </w:p>
    <w:p>
      <w:pPr>
        <w:spacing w:after="0" w:line="158" w:lineRule="exact"/>
        <w:rPr>
          <w:sz w:val="20"/>
          <w:szCs w:val="20"/>
          <w:color w:val="auto"/>
        </w:rPr>
      </w:pPr>
    </w:p>
    <w:p>
      <w:pPr>
        <w:ind w:left="1304" w:hanging="656"/>
        <w:spacing w:after="0"/>
        <w:tabs>
          <w:tab w:leader="none" w:pos="130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Basel III</w:t>
      </w:r>
      <w:r>
        <w:rPr>
          <w:rFonts w:ascii="Times New Roman" w:cs="Times New Roman" w:eastAsia="Times New Roman" w:hAnsi="Times New Roman"/>
          <w:sz w:val="18"/>
          <w:szCs w:val="18"/>
          <w:color w:val="auto"/>
        </w:rPr>
        <w:t>" means:</w:t>
      </w:r>
    </w:p>
    <w:p>
      <w:pPr>
        <w:spacing w:after="0" w:line="229"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on capital requirements, a leverage ratio and liquidity standards contained in "Basel III: A global</w:t>
      </w:r>
    </w:p>
    <w:p>
      <w:pPr>
        <w:spacing w:after="0" w:line="27" w:lineRule="exact"/>
        <w:rPr>
          <w:rFonts w:ascii="Times New Roman" w:cs="Times New Roman" w:eastAsia="Times New Roman" w:hAnsi="Times New Roman"/>
          <w:sz w:val="18"/>
          <w:szCs w:val="18"/>
          <w:color w:val="auto"/>
        </w:rPr>
      </w:pPr>
    </w:p>
    <w:p>
      <w:pPr>
        <w:jc w:val="both"/>
        <w:ind w:left="194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w:t>
      </w:r>
    </w:p>
    <w:p>
      <w:pPr>
        <w:spacing w:after="0" w:line="188" w:lineRule="exact"/>
        <w:rPr>
          <w:rFonts w:ascii="Times New Roman" w:cs="Times New Roman" w:eastAsia="Times New Roman" w:hAnsi="Times New Roman"/>
          <w:sz w:val="18"/>
          <w:szCs w:val="18"/>
          <w:color w:val="auto"/>
        </w:rPr>
      </w:pPr>
    </w:p>
    <w:p>
      <w:pPr>
        <w:jc w:val="both"/>
        <w:ind w:left="1944" w:hanging="648"/>
        <w:spacing w:after="0" w:line="266" w:lineRule="auto"/>
        <w:tabs>
          <w:tab w:leader="none" w:pos="194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w:t>
      </w:r>
    </w:p>
    <w:p>
      <w:pPr>
        <w:spacing w:after="0" w:line="175"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further guidance or standards published by the Basel Committee on Banking Supervision relating to "Basel III";</w:t>
      </w:r>
    </w:p>
    <w:p>
      <w:pPr>
        <w:spacing w:after="0" w:line="22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CRD IV</w:t>
      </w:r>
      <w:r>
        <w:rPr>
          <w:rFonts w:ascii="Times New Roman" w:cs="Times New Roman" w:eastAsia="Times New Roman" w:hAnsi="Times New Roman"/>
          <w:sz w:val="18"/>
          <w:szCs w:val="18"/>
          <w:color w:val="auto"/>
        </w:rPr>
        <w:t>" means EU CRD IV and UK CRD IV;</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CRD IV</w:t>
      </w:r>
      <w:r>
        <w:rPr>
          <w:rFonts w:ascii="Times New Roman" w:cs="Times New Roman" w:eastAsia="Times New Roman" w:hAnsi="Times New Roman"/>
          <w:sz w:val="18"/>
          <w:szCs w:val="18"/>
          <w:color w:val="auto"/>
        </w:rPr>
        <w:t>" means:</w:t>
      </w:r>
    </w:p>
    <w:p>
      <w:pPr>
        <w:spacing w:after="0" w:line="229" w:lineRule="exact"/>
        <w:rPr>
          <w:rFonts w:ascii="Times New Roman" w:cs="Times New Roman" w:eastAsia="Times New Roman" w:hAnsi="Times New Roman"/>
          <w:sz w:val="18"/>
          <w:szCs w:val="18"/>
          <w:color w:val="auto"/>
        </w:rPr>
      </w:pPr>
    </w:p>
    <w:p>
      <w:pPr>
        <w:ind w:left="1944" w:hanging="648"/>
        <w:spacing w:after="0" w:line="282" w:lineRule="auto"/>
        <w:tabs>
          <w:tab w:leader="none" w:pos="194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(EU) No 575/2013 of the European Parliament and of the Council of 26 June 2013 on prudential requirements for credit institutions and investment firms; and</w:t>
      </w:r>
    </w:p>
    <w:p>
      <w:pPr>
        <w:spacing w:after="0" w:line="377"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3" w:name="page34"/>
    <w:bookmarkEnd w:id="33"/>
    <w:p>
      <w:pPr>
        <w:jc w:val="both"/>
        <w:ind w:left="2600" w:hanging="648"/>
        <w:spacing w:after="0" w:line="266" w:lineRule="auto"/>
        <w:tabs>
          <w:tab w:leader="none" w:pos="26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Directive 2013/36/EU of the European Parliament and of the Council of 26 June 2013 on access to the activity of credit institutions and the prudential supervision of credit institutions and investment firms, amending Directive 2002/87/EC and repealing Directives 2006/48/EC and 2006/49/EC; and</w:t>
      </w:r>
    </w:p>
    <w:p>
      <w:pPr>
        <w:spacing w:after="0" w:line="17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CRD IV</w:t>
      </w:r>
      <w:r>
        <w:rPr>
          <w:rFonts w:ascii="Times New Roman" w:cs="Times New Roman" w:eastAsia="Times New Roman" w:hAnsi="Times New Roman"/>
          <w:sz w:val="18"/>
          <w:szCs w:val="18"/>
          <w:color w:val="auto"/>
        </w:rPr>
        <w:t>" means:</w:t>
      </w:r>
    </w:p>
    <w:p>
      <w:pPr>
        <w:spacing w:after="0" w:line="229"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(EU) No 575/2013 of the European Parliament and of the Council of 26 June 2013 on prudential requirements for credit institutions and investment firms as it forms part of domestic law of the United Kingdom by virtue of the European Union (Withdrawal) Act 2018 (the "</w:t>
      </w:r>
      <w:r>
        <w:rPr>
          <w:rFonts w:ascii="Times New Roman" w:cs="Times New Roman" w:eastAsia="Times New Roman" w:hAnsi="Times New Roman"/>
          <w:sz w:val="18"/>
          <w:szCs w:val="18"/>
          <w:b w:val="1"/>
          <w:bCs w:val="1"/>
          <w:color w:val="auto"/>
        </w:rPr>
        <w:t>Withdrawal Act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2600" w:hanging="648"/>
        <w:spacing w:after="0" w:line="258" w:lineRule="auto"/>
        <w:tabs>
          <w:tab w:leader="none" w:pos="26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 of the United Kingdom or any part of it, which immediately before IP completion day (as defined in the European Union (Withdrawal Agreement) Act 2020) implemented Directive 2013/36/EU of the European Parliament and of the Council of 26 June 2013 on access to the activity of credit institutions and the prudential supervision of credit institutions and investment firms, amending Directive 2002/87/EC and repealing Directives 2006/48/EC and 2006/49/EC and its implementing measures; and</w:t>
      </w:r>
    </w:p>
    <w:p>
      <w:pPr>
        <w:spacing w:after="0" w:line="183"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EU legislation (as defined in the Withdrawal Act), which immediately before IP completion day (as defined in the European Union (Withdrawal Agreement) Act 2020) implemented EU CRD IV as it forms part of domestic law of the United Kingdom by virtue of the Withdrawal Act.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7"/>
          <w:szCs w:val="17"/>
          <w:b w:val="1"/>
          <w:bCs w:val="1"/>
          <w:color w:val="auto"/>
        </w:rPr>
        <w:t>Increased Cost claims</w:t>
      </w:r>
    </w:p>
    <w:p>
      <w:pPr>
        <w:spacing w:after="0" w:line="227" w:lineRule="exact"/>
        <w:rPr>
          <w:sz w:val="20"/>
          <w:szCs w:val="20"/>
          <w:color w:val="auto"/>
        </w:rPr>
      </w:pPr>
    </w:p>
    <w:p>
      <w:pPr>
        <w:ind w:left="1300" w:hanging="644"/>
        <w:spacing w:after="0" w:line="284" w:lineRule="auto"/>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Finance Party intending to make a claim pursuant to Clause 13.1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shall notify the Agent of the event giving rise to the claim, following which the Agent shall promptly notify the Borrower.</w:t>
      </w:r>
    </w:p>
    <w:p>
      <w:pPr>
        <w:spacing w:after="0" w:line="160"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Party shall, as soon as practicable after a demand by the Agent, provide a certificate confirming the amount of its Increased Costs.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7"/>
          <w:szCs w:val="17"/>
          <w:b w:val="1"/>
          <w:bCs w:val="1"/>
          <w:color w:val="auto"/>
        </w:rPr>
        <w:t>Exceptions</w:t>
      </w:r>
    </w:p>
    <w:p>
      <w:pPr>
        <w:spacing w:after="0" w:line="227" w:lineRule="exact"/>
        <w:rPr>
          <w:sz w:val="20"/>
          <w:szCs w:val="20"/>
          <w:color w:val="auto"/>
        </w:rPr>
      </w:pPr>
    </w:p>
    <w:p>
      <w:pPr>
        <w:ind w:left="1300" w:hanging="644"/>
        <w:spacing w:after="0"/>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13.1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does not apply to the extent any Increased Cost is:</w:t>
      </w:r>
    </w:p>
    <w:p>
      <w:pPr>
        <w:spacing w:after="0" w:line="22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attributable to a Tax Deduction required by law to be made by the Borrower;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attributable to a FATCA Deduction required to be made by a Party;</w:t>
      </w:r>
    </w:p>
    <w:p>
      <w:pPr>
        <w:spacing w:after="0" w:line="223" w:lineRule="exact"/>
        <w:rPr>
          <w:rFonts w:ascii="Times New Roman" w:cs="Times New Roman" w:eastAsia="Times New Roman" w:hAnsi="Times New Roman"/>
          <w:sz w:val="18"/>
          <w:szCs w:val="18"/>
          <w:color w:val="auto"/>
        </w:rPr>
      </w:pPr>
    </w:p>
    <w:p>
      <w:pPr>
        <w:ind w:left="1960" w:hanging="656"/>
        <w:spacing w:after="0" w:line="284" w:lineRule="auto"/>
        <w:tabs>
          <w:tab w:leader="none" w:pos="19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compensated for by Clause 12.3 (</w:t>
      </w:r>
      <w:r>
        <w:rPr>
          <w:rFonts w:ascii="Times New Roman" w:cs="Times New Roman" w:eastAsia="Times New Roman" w:hAnsi="Times New Roman"/>
          <w:sz w:val="18"/>
          <w:szCs w:val="18"/>
          <w:i w:val="1"/>
          <w:iCs w:val="1"/>
          <w:color w:val="auto"/>
        </w:rPr>
        <w:t>Tax indemnity</w:t>
      </w:r>
      <w:r>
        <w:rPr>
          <w:rFonts w:ascii="Times New Roman" w:cs="Times New Roman" w:eastAsia="Times New Roman" w:hAnsi="Times New Roman"/>
          <w:sz w:val="18"/>
          <w:szCs w:val="18"/>
          <w:color w:val="auto"/>
        </w:rPr>
        <w:t>) (or would have been compensated for under Clause 12.3 (</w:t>
      </w:r>
      <w:r>
        <w:rPr>
          <w:rFonts w:ascii="Times New Roman" w:cs="Times New Roman" w:eastAsia="Times New Roman" w:hAnsi="Times New Roman"/>
          <w:sz w:val="18"/>
          <w:szCs w:val="18"/>
          <w:i w:val="1"/>
          <w:iCs w:val="1"/>
          <w:color w:val="auto"/>
        </w:rPr>
        <w:t>Tax indemnity</w:t>
      </w:r>
      <w:r>
        <w:rPr>
          <w:rFonts w:ascii="Times New Roman" w:cs="Times New Roman" w:eastAsia="Times New Roman" w:hAnsi="Times New Roman"/>
          <w:sz w:val="18"/>
          <w:szCs w:val="18"/>
          <w:color w:val="auto"/>
        </w:rPr>
        <w:t>) but was not so compensated solely because any of the exclusions in paragraph (b) of Clause 12.3 (</w:t>
      </w:r>
      <w:r>
        <w:rPr>
          <w:rFonts w:ascii="Times New Roman" w:cs="Times New Roman" w:eastAsia="Times New Roman" w:hAnsi="Times New Roman"/>
          <w:sz w:val="18"/>
          <w:szCs w:val="18"/>
          <w:i w:val="1"/>
          <w:iCs w:val="1"/>
          <w:color w:val="auto"/>
        </w:rPr>
        <w:t>Tax indemnity</w:t>
      </w:r>
      <w:r>
        <w:rPr>
          <w:rFonts w:ascii="Times New Roman" w:cs="Times New Roman" w:eastAsia="Times New Roman" w:hAnsi="Times New Roman"/>
          <w:sz w:val="18"/>
          <w:szCs w:val="18"/>
          <w:color w:val="auto"/>
        </w:rPr>
        <w:t>) applied); or</w:t>
      </w:r>
    </w:p>
    <w:p>
      <w:pPr>
        <w:spacing w:after="0" w:line="376"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left="1960" w:hanging="656"/>
        <w:spacing w:after="0"/>
        <w:tabs>
          <w:tab w:leader="none" w:pos="196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attributable to the wilful breach by the relevant Finance Party or its Affiliates of any law or regulation.</w:t>
      </w:r>
    </w:p>
    <w:p>
      <w:pPr>
        <w:spacing w:after="0" w:line="2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Clause 13.3, a reference to a "</w:t>
      </w:r>
      <w:r>
        <w:rPr>
          <w:rFonts w:ascii="Times New Roman" w:cs="Times New Roman" w:eastAsia="Times New Roman" w:hAnsi="Times New Roman"/>
          <w:sz w:val="18"/>
          <w:szCs w:val="18"/>
          <w:b w:val="1"/>
          <w:bCs w:val="1"/>
          <w:color w:val="auto"/>
        </w:rPr>
        <w:t>Tax Deduction</w:t>
      </w:r>
      <w:r>
        <w:rPr>
          <w:rFonts w:ascii="Times New Roman" w:cs="Times New Roman" w:eastAsia="Times New Roman" w:hAnsi="Times New Roman"/>
          <w:sz w:val="18"/>
          <w:szCs w:val="18"/>
          <w:color w:val="auto"/>
        </w:rPr>
        <w:t>" has the same meaning given to that term in Clause 12.1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INDEMNITIES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b w:val="1"/>
          <w:bCs w:val="1"/>
          <w:color w:val="auto"/>
        </w:rPr>
        <w:t>Currency indemnity</w:t>
      </w:r>
    </w:p>
    <w:p>
      <w:pPr>
        <w:spacing w:after="0" w:line="225" w:lineRule="exact"/>
        <w:rPr>
          <w:sz w:val="20"/>
          <w:szCs w:val="20"/>
          <w:color w:val="auto"/>
        </w:rPr>
      </w:pPr>
    </w:p>
    <w:p>
      <w:pPr>
        <w:jc w:val="both"/>
        <w:ind w:left="1300" w:hanging="644"/>
        <w:spacing w:after="0" w:line="268" w:lineRule="auto"/>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sum due from the Borrower under the Finance Documents (a "</w:t>
      </w:r>
      <w:r>
        <w:rPr>
          <w:rFonts w:ascii="Times New Roman" w:cs="Times New Roman" w:eastAsia="Times New Roman" w:hAnsi="Times New Roman"/>
          <w:sz w:val="18"/>
          <w:szCs w:val="18"/>
          <w:b w:val="1"/>
          <w:bCs w:val="1"/>
          <w:color w:val="auto"/>
        </w:rPr>
        <w:t>Sum</w:t>
      </w:r>
      <w:r>
        <w:rPr>
          <w:rFonts w:ascii="Times New Roman" w:cs="Times New Roman" w:eastAsia="Times New Roman" w:hAnsi="Times New Roman"/>
          <w:sz w:val="18"/>
          <w:szCs w:val="18"/>
          <w:color w:val="auto"/>
        </w:rPr>
        <w:t>"), or any order, judgment or award given or made in relation to a Sum, has to be converted from the currency (the "</w:t>
      </w:r>
      <w:r>
        <w:rPr>
          <w:rFonts w:ascii="Times New Roman" w:cs="Times New Roman" w:eastAsia="Times New Roman" w:hAnsi="Times New Roman"/>
          <w:sz w:val="18"/>
          <w:szCs w:val="18"/>
          <w:b w:val="1"/>
          <w:bCs w:val="1"/>
          <w:color w:val="auto"/>
        </w:rPr>
        <w:t>First Currency</w:t>
      </w:r>
      <w:r>
        <w:rPr>
          <w:rFonts w:ascii="Times New Roman" w:cs="Times New Roman" w:eastAsia="Times New Roman" w:hAnsi="Times New Roman"/>
          <w:sz w:val="18"/>
          <w:szCs w:val="18"/>
          <w:color w:val="auto"/>
        </w:rPr>
        <w:t>") in which that Sum is payable into another currency (the "</w:t>
      </w: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Currency</w:t>
      </w:r>
      <w:r>
        <w:rPr>
          <w:rFonts w:ascii="Times New Roman" w:cs="Times New Roman" w:eastAsia="Times New Roman" w:hAnsi="Times New Roman"/>
          <w:sz w:val="18"/>
          <w:szCs w:val="18"/>
          <w:color w:val="auto"/>
        </w:rPr>
        <w:t>") for the purpose of:</w:t>
      </w:r>
    </w:p>
    <w:p>
      <w:pPr>
        <w:spacing w:after="0" w:line="17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or filing a claim or proof against the Borrower;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or enforcing an order, judgment or award in relation to any litigation or arbitration proceedings,</w:t>
      </w:r>
    </w:p>
    <w:p>
      <w:pPr>
        <w:spacing w:after="0" w:line="225"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the Borrower shall as an independent obligation, within five Business Days of demand, indemnify each Finance Party to whom that Sum is due against any cost, loss or liability arising out of or as a result of the conversion including any discrepancy between (A) the rate of exchange used to convert that Sum from the First Currency into the Second Currency and (B) the rate or rates of exchange available to that person at the time of its receipt of that Sum.</w:t>
      </w:r>
    </w:p>
    <w:p>
      <w:pPr>
        <w:spacing w:after="0" w:line="180" w:lineRule="exact"/>
        <w:rPr>
          <w:sz w:val="20"/>
          <w:szCs w:val="20"/>
          <w:color w:val="auto"/>
        </w:rPr>
      </w:pPr>
    </w:p>
    <w:p>
      <w:pPr>
        <w:ind w:left="1300" w:hanging="644"/>
        <w:spacing w:after="0" w:line="282" w:lineRule="auto"/>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waives any right it may have in any jurisdiction to pay any amount under the Finance Documents in a currency or currency unit other than that in which it is expressed to be payable.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8"/>
          <w:szCs w:val="18"/>
          <w:b w:val="1"/>
          <w:bCs w:val="1"/>
          <w:color w:val="auto"/>
        </w:rPr>
        <w:t>Other indemnities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shall, within five Business Days of demand, indemnify each Finance Party against any cost, loss or liability incurred by that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Finance Party as a result of:</w:t>
      </w:r>
    </w:p>
    <w:p>
      <w:pPr>
        <w:spacing w:after="0" w:line="207" w:lineRule="exact"/>
        <w:rPr>
          <w:sz w:val="20"/>
          <w:szCs w:val="20"/>
          <w:color w:val="auto"/>
        </w:rPr>
      </w:pPr>
    </w:p>
    <w:p>
      <w:pPr>
        <w:ind w:left="1300" w:hanging="644"/>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of Default;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by the Borrower to pay any amount due under a Finance Document on its due date;</w:t>
      </w:r>
    </w:p>
    <w:p>
      <w:pPr>
        <w:spacing w:after="0" w:line="225"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or making arrangements to fund, its participation in a Loan requested by the Borrower in a Utilisation Request but not made by reason of the operation of any one or more of the provisions of this Agreement (other than by reason of default or negligence by that Finance Party alone);</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Loan (or part of a Loan) not being prepaid in accordance with a notice of prepayment given by the Borrower; or</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left="1300" w:right="20" w:hanging="644"/>
        <w:spacing w:after="0" w:line="282" w:lineRule="auto"/>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by the Borrower to deliver, or procure the delivery of, the relevant number of Conversion Shares upon the exercise of an Equity Conversion Exercise Notice in accordance with the terms of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7"/>
          <w:szCs w:val="17"/>
          <w:b w:val="1"/>
          <w:bCs w:val="1"/>
          <w:color w:val="auto"/>
        </w:rPr>
        <w:t>Indemnity to the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shall promptly indemnify the Agent against any cost, loss or liability incurred by the Agent (acting reasonably) as a result of:</w:t>
      </w:r>
    </w:p>
    <w:p>
      <w:pPr>
        <w:spacing w:after="0" w:line="225" w:lineRule="exact"/>
        <w:rPr>
          <w:sz w:val="20"/>
          <w:szCs w:val="20"/>
          <w:color w:val="auto"/>
        </w:rPr>
      </w:pPr>
    </w:p>
    <w:p>
      <w:pPr>
        <w:ind w:left="1300" w:hanging="644"/>
        <w:spacing w:after="0"/>
        <w:tabs>
          <w:tab w:leader="none" w:pos="13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investigating any event which it reasonably believes is a Default;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or relying on any notice, request or instruction which it reasonably believes to be genuine, correct and appropriately authorised;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instructing lawyers, accountants, tax advisers, surveyors or other professional advisers or experts as permitted under this Agreement; and</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MITIGATION BY THE LENDER</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7"/>
          <w:szCs w:val="17"/>
          <w:b w:val="1"/>
          <w:bCs w:val="1"/>
          <w:color w:val="auto"/>
        </w:rPr>
        <w:t>Mitigation</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Party shall, in consultation with the Borrower, take all reasonable steps to mitigate any circumstances which arise and which would result in the Facility ceasing to be available or any amount becoming payable under or pursuant to, or cancelled pursuant to, any of Clause 7.1 (</w:t>
      </w:r>
      <w:r>
        <w:rPr>
          <w:rFonts w:ascii="Times New Roman" w:cs="Times New Roman" w:eastAsia="Times New Roman" w:hAnsi="Times New Roman"/>
          <w:sz w:val="18"/>
          <w:szCs w:val="18"/>
          <w:i w:val="1"/>
          <w:iCs w:val="1"/>
          <w:color w:val="auto"/>
        </w:rPr>
        <w:t>Illegality</w:t>
      </w:r>
      <w:r>
        <w:rPr>
          <w:rFonts w:ascii="Times New Roman" w:cs="Times New Roman" w:eastAsia="Times New Roman" w:hAnsi="Times New Roman"/>
          <w:sz w:val="18"/>
          <w:szCs w:val="18"/>
          <w:color w:val="auto"/>
        </w:rPr>
        <w:t>) , Clause 8 (</w:t>
      </w:r>
      <w:r>
        <w:rPr>
          <w:rFonts w:ascii="Times New Roman" w:cs="Times New Roman" w:eastAsia="Times New Roman" w:hAnsi="Times New Roman"/>
          <w:sz w:val="18"/>
          <w:szCs w:val="18"/>
          <w:i w:val="1"/>
          <w:iCs w:val="1"/>
          <w:color w:val="auto"/>
        </w:rPr>
        <w:t>Tax gross-up and indemnities</w:t>
      </w:r>
      <w:r>
        <w:rPr>
          <w:rFonts w:ascii="Times New Roman" w:cs="Times New Roman" w:eastAsia="Times New Roman" w:hAnsi="Times New Roman"/>
          <w:sz w:val="18"/>
          <w:szCs w:val="18"/>
          <w:color w:val="auto"/>
        </w:rPr>
        <w:t>) or Clause 13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including (but not limited to) transferring its rights and obligations under the Finance Documents to another Affiliate or Facility Office.</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does not in any way limit the obligations of the Borrower under the Finance Documents.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7"/>
          <w:szCs w:val="17"/>
          <w:b w:val="1"/>
          <w:bCs w:val="1"/>
          <w:color w:val="auto"/>
        </w:rPr>
        <w:t>Limitation of liability</w:t>
      </w:r>
    </w:p>
    <w:p>
      <w:pPr>
        <w:spacing w:after="0" w:line="229" w:lineRule="exact"/>
        <w:rPr>
          <w:sz w:val="20"/>
          <w:szCs w:val="20"/>
          <w:color w:val="auto"/>
        </w:rPr>
      </w:pPr>
    </w:p>
    <w:p>
      <w:pPr>
        <w:ind w:left="1300" w:hanging="644"/>
        <w:spacing w:after="0" w:line="282" w:lineRule="auto"/>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promptly indemnify each Finance Party for all costs and expenses reasonably incurred by that Finance Party as a result of steps taken by it under Clause 15.1 (</w:t>
      </w:r>
      <w:r>
        <w:rPr>
          <w:rFonts w:ascii="Times New Roman" w:cs="Times New Roman" w:eastAsia="Times New Roman" w:hAnsi="Times New Roman"/>
          <w:sz w:val="18"/>
          <w:szCs w:val="18"/>
          <w:i w:val="1"/>
          <w:iCs w:val="1"/>
          <w:color w:val="auto"/>
        </w:rPr>
        <w:t>Mitigation</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color w:val="auto"/>
        </w:rPr>
      </w:pPr>
    </w:p>
    <w:p>
      <w:pPr>
        <w:ind w:left="1300" w:hanging="644"/>
        <w:spacing w:after="0" w:line="284" w:lineRule="auto"/>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Finance Party is not obliged to take any steps under Clause 15.1 (</w:t>
      </w:r>
      <w:r>
        <w:rPr>
          <w:rFonts w:ascii="Times New Roman" w:cs="Times New Roman" w:eastAsia="Times New Roman" w:hAnsi="Times New Roman"/>
          <w:sz w:val="18"/>
          <w:szCs w:val="18"/>
          <w:i w:val="1"/>
          <w:iCs w:val="1"/>
          <w:color w:val="auto"/>
        </w:rPr>
        <w:t>Mitigation</w:t>
      </w:r>
      <w:r>
        <w:rPr>
          <w:rFonts w:ascii="Times New Roman" w:cs="Times New Roman" w:eastAsia="Times New Roman" w:hAnsi="Times New Roman"/>
          <w:sz w:val="18"/>
          <w:szCs w:val="18"/>
          <w:color w:val="auto"/>
        </w:rPr>
        <w:t>) if, in the opinion of that Finance Party (acting reasonably), to do so might be prejudicial to it.</w:t>
      </w:r>
    </w:p>
    <w:p>
      <w:pPr>
        <w:spacing w:after="0" w:line="15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COSTS AND EXPENSES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7"/>
          <w:szCs w:val="17"/>
          <w:b w:val="1"/>
          <w:bCs w:val="1"/>
          <w:color w:val="auto"/>
        </w:rPr>
        <w:t>Transaction expenses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Borrower shall promptly on demand pay the Agent the amount of all costs and expenses (including legal fees) reasonably incurred by it in connection with the negotiation, preparation, printing, execution and syndication of:</w:t>
      </w:r>
    </w:p>
    <w:p>
      <w:pPr>
        <w:spacing w:after="0" w:line="162" w:lineRule="exact"/>
        <w:rPr>
          <w:sz w:val="20"/>
          <w:szCs w:val="20"/>
          <w:color w:val="auto"/>
        </w:rPr>
      </w:pPr>
    </w:p>
    <w:p>
      <w:pPr>
        <w:ind w:left="1300" w:hanging="644"/>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any other documents referred to in this Agreement; and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right="4720" w:firstLine="656"/>
        <w:spacing w:after="0" w:line="500" w:lineRule="auto"/>
        <w:tabs>
          <w:tab w:leader="none" w:pos="129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Finance Documents executed after the date of this Agreement. 16.2 </w:t>
      </w:r>
      <w:r>
        <w:rPr>
          <w:rFonts w:ascii="Times New Roman" w:cs="Times New Roman" w:eastAsia="Times New Roman" w:hAnsi="Times New Roman"/>
          <w:sz w:val="18"/>
          <w:szCs w:val="18"/>
          <w:b w:val="1"/>
          <w:bCs w:val="1"/>
          <w:color w:val="auto"/>
        </w:rPr>
        <w:t>Amendment costs</w:t>
      </w:r>
    </w:p>
    <w:p>
      <w:pPr>
        <w:spacing w:after="0" w:line="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If the Borrower requests an amendment, waiver or consent, the Borrower shall, within five Business Days of demand, reimburse the Agent for the amount of all costs and expenses (including legal fees subject to any pre-agreed cap) reasonably incurred by the Agent in responding to, evaluating, negotiating or, complying with or implementing that request or, requirement or actual or contemplated agreement.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7"/>
          <w:szCs w:val="17"/>
          <w:b w:val="1"/>
          <w:bCs w:val="1"/>
          <w:color w:val="auto"/>
        </w:rPr>
        <w:t>Enforcement costs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Borrower shall, within five Business Days of demand, pay to each Finance Party the amount of all costs and expenses (including legal fees) incurred by that Finance Party in connection with the enforcement of, or the preservation of any rights under, any Finance Document.</w:t>
      </w:r>
    </w:p>
    <w:p>
      <w:pPr>
        <w:spacing w:after="0" w:line="158" w:lineRule="exact"/>
        <w:rPr>
          <w:sz w:val="20"/>
          <w:szCs w:val="20"/>
          <w:color w:val="auto"/>
        </w:rPr>
      </w:pPr>
    </w:p>
    <w:p>
      <w:pPr>
        <w:ind w:left="660" w:hanging="652"/>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w:t>
      </w:r>
    </w:p>
    <w:p>
      <w:pPr>
        <w:spacing w:after="0" w:line="2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makes the representations and warranties set out in this Clause 17 to each Finance Party on the date of this Agreement.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7"/>
          <w:szCs w:val="17"/>
          <w:b w:val="1"/>
          <w:bCs w:val="1"/>
          <w:color w:val="auto"/>
        </w:rPr>
        <w:t>Status</w:t>
      </w:r>
    </w:p>
    <w:p>
      <w:pPr>
        <w:spacing w:after="0" w:line="229" w:lineRule="exact"/>
        <w:rPr>
          <w:sz w:val="20"/>
          <w:szCs w:val="20"/>
          <w:color w:val="auto"/>
        </w:rPr>
      </w:pPr>
    </w:p>
    <w:p>
      <w:pPr>
        <w:ind w:left="1300" w:hanging="644"/>
        <w:spacing w:after="0"/>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corporation, duly incorporated and validly existing under the law of its Original Jurisdiction.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power to own its assets and carry on its business as it is being conducted.</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8"/>
          <w:szCs w:val="18"/>
          <w:b w:val="1"/>
          <w:bCs w:val="1"/>
          <w:color w:val="auto"/>
        </w:rPr>
        <w:t>Binding obligations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Subject to Legal Reservations, the obligations expressed to be assumed by it in each Finance Document are legal, valid, binding and enforceable obligations.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7"/>
          <w:szCs w:val="17"/>
          <w:b w:val="1"/>
          <w:bCs w:val="1"/>
          <w:color w:val="auto"/>
        </w:rPr>
        <w:t>Non-conflict with other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entry into and performance by it of, and the transactions contemplated by, the Finance Documents do not and will not conflict with:</w:t>
      </w:r>
    </w:p>
    <w:p>
      <w:pPr>
        <w:spacing w:after="0" w:line="225" w:lineRule="exact"/>
        <w:rPr>
          <w:sz w:val="20"/>
          <w:szCs w:val="20"/>
          <w:color w:val="auto"/>
        </w:rPr>
      </w:pPr>
    </w:p>
    <w:p>
      <w:pPr>
        <w:ind w:left="1300" w:hanging="644"/>
        <w:spacing w:after="0"/>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or regulation applicable to it;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constitutional documents; or</w:t>
      </w:r>
    </w:p>
    <w:p>
      <w:pPr>
        <w:spacing w:after="0" w:line="225" w:lineRule="exact"/>
        <w:rPr>
          <w:rFonts w:ascii="Times New Roman" w:cs="Times New Roman" w:eastAsia="Times New Roman" w:hAnsi="Times New Roman"/>
          <w:sz w:val="18"/>
          <w:szCs w:val="18"/>
          <w:color w:val="auto"/>
        </w:rPr>
      </w:pPr>
    </w:p>
    <w:p>
      <w:pPr>
        <w:ind w:right="5300" w:firstLine="656"/>
        <w:spacing w:after="0" w:line="500" w:lineRule="auto"/>
        <w:tabs>
          <w:tab w:leader="none" w:pos="129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agreement or instrument binding upon it or any of its assets. 17.4 </w:t>
      </w:r>
      <w:r>
        <w:rPr>
          <w:rFonts w:ascii="Times New Roman" w:cs="Times New Roman" w:eastAsia="Times New Roman" w:hAnsi="Times New Roman"/>
          <w:sz w:val="18"/>
          <w:szCs w:val="18"/>
          <w:b w:val="1"/>
          <w:bCs w:val="1"/>
          <w:color w:val="auto"/>
        </w:rPr>
        <w:t>Power and authority</w:t>
      </w:r>
    </w:p>
    <w:p>
      <w:pPr>
        <w:spacing w:after="0" w:line="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It has the power to enter into, perform and deliver, and has taken all necessary action to authorise its entry into, performance and delivery of, the Finance Documents to which it is a party and the transactions contemplated by those Finance Documents.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7"/>
          <w:szCs w:val="17"/>
          <w:b w:val="1"/>
          <w:bCs w:val="1"/>
          <w:color w:val="auto"/>
        </w:rPr>
        <w:t>Validity and admissibility in evidence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Authorisations required or desirable:</w:t>
      </w:r>
    </w:p>
    <w:p>
      <w:pPr>
        <w:spacing w:after="0" w:line="225" w:lineRule="exact"/>
        <w:rPr>
          <w:sz w:val="20"/>
          <w:szCs w:val="20"/>
          <w:color w:val="auto"/>
        </w:rPr>
      </w:pPr>
    </w:p>
    <w:p>
      <w:pPr>
        <w:ind w:left="1300" w:hanging="644"/>
        <w:spacing w:after="0"/>
        <w:tabs>
          <w:tab w:leader="none" w:pos="13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enable it lawfully to enter into, exercise its rights and comply with its obligations in the Finance Documents to which it is a party;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the Finance Documents to which it is a party admissible in evidence in its Original Jurisdiction,</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have been (or, prior to the first Utilisation Date, will be) obtained or effected and are (or, prior to the first Utilisation Date, will be) in full force and effect.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17.6</w:t>
      </w:r>
      <w:r>
        <w:rPr>
          <w:sz w:val="20"/>
          <w:szCs w:val="20"/>
          <w:color w:val="auto"/>
        </w:rPr>
        <w:tab/>
      </w:r>
      <w:r>
        <w:rPr>
          <w:rFonts w:ascii="Times New Roman" w:cs="Times New Roman" w:eastAsia="Times New Roman" w:hAnsi="Times New Roman"/>
          <w:sz w:val="17"/>
          <w:szCs w:val="17"/>
          <w:b w:val="1"/>
          <w:bCs w:val="1"/>
          <w:color w:val="auto"/>
        </w:rPr>
        <w:t>Governing law and enforcement</w:t>
      </w:r>
    </w:p>
    <w:p>
      <w:pPr>
        <w:spacing w:after="0" w:line="229" w:lineRule="exact"/>
        <w:rPr>
          <w:sz w:val="20"/>
          <w:szCs w:val="20"/>
          <w:color w:val="auto"/>
        </w:rPr>
      </w:pPr>
    </w:p>
    <w:p>
      <w:pPr>
        <w:ind w:left="1300" w:hanging="644"/>
        <w:spacing w:after="0" w:line="282" w:lineRule="auto"/>
        <w:tabs>
          <w:tab w:leader="none" w:pos="13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Legal Reservations, the choice of English law as the governing law of the Finance Documents will be recognised and enforced in its Original Jurisdiction.</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Legal Reservations, any judgment obtained in England in relation to a Finance Document will be recognised and enforced in its Original Jurisdiction.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17.7</w:t>
      </w:r>
      <w:r>
        <w:rPr>
          <w:sz w:val="20"/>
          <w:szCs w:val="20"/>
          <w:color w:val="auto"/>
        </w:rPr>
        <w:tab/>
      </w:r>
      <w:r>
        <w:rPr>
          <w:rFonts w:ascii="Times New Roman" w:cs="Times New Roman" w:eastAsia="Times New Roman" w:hAnsi="Times New Roman"/>
          <w:sz w:val="17"/>
          <w:szCs w:val="17"/>
          <w:b w:val="1"/>
          <w:bCs w:val="1"/>
          <w:color w:val="auto"/>
        </w:rPr>
        <w:t>Deduction of Tax</w:t>
      </w:r>
    </w:p>
    <w:p>
      <w:pPr>
        <w:spacing w:after="0" w:line="227" w:lineRule="exact"/>
        <w:rPr>
          <w:sz w:val="20"/>
          <w:szCs w:val="20"/>
          <w:color w:val="auto"/>
        </w:rPr>
      </w:pPr>
    </w:p>
    <w:p>
      <w:pPr>
        <w:jc w:val="both"/>
        <w:ind w:left="660"/>
        <w:spacing w:after="0" w:line="284" w:lineRule="auto"/>
        <w:rPr>
          <w:sz w:val="20"/>
          <w:szCs w:val="20"/>
          <w:color w:val="auto"/>
        </w:rPr>
      </w:pPr>
      <w:r>
        <w:rPr>
          <w:rFonts w:ascii="Times New Roman" w:cs="Times New Roman" w:eastAsia="Times New Roman" w:hAnsi="Times New Roman"/>
          <w:sz w:val="18"/>
          <w:szCs w:val="18"/>
          <w:color w:val="auto"/>
        </w:rPr>
        <w:t>It is not required to make any Tax Deduction (as defined in Clause 12.1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from any payment it may make under any Finance Document to the Original Lender.</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17.8</w:t>
      </w:r>
      <w:r>
        <w:rPr>
          <w:sz w:val="20"/>
          <w:szCs w:val="20"/>
          <w:color w:val="auto"/>
        </w:rPr>
        <w:tab/>
      </w:r>
      <w:r>
        <w:rPr>
          <w:rFonts w:ascii="Times New Roman" w:cs="Times New Roman" w:eastAsia="Times New Roman" w:hAnsi="Times New Roman"/>
          <w:sz w:val="17"/>
          <w:szCs w:val="17"/>
          <w:b w:val="1"/>
          <w:bCs w:val="1"/>
          <w:color w:val="auto"/>
        </w:rPr>
        <w:t>No filing or stamp taxes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Under the law of its Original Jurisdiction it is not necessary that the Finance Documents be filed, recorded or enrolled with any court or other authority in that jurisdiction or that any stamp, registration or similar tax be paid on or in relation to the Finance Documents or the transactions contemplated by the Finance Documents.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17.9</w:t>
      </w:r>
      <w:r>
        <w:rPr>
          <w:sz w:val="20"/>
          <w:szCs w:val="20"/>
          <w:color w:val="auto"/>
        </w:rPr>
        <w:tab/>
      </w:r>
      <w:r>
        <w:rPr>
          <w:rFonts w:ascii="Times New Roman" w:cs="Times New Roman" w:eastAsia="Times New Roman" w:hAnsi="Times New Roman"/>
          <w:sz w:val="17"/>
          <w:szCs w:val="17"/>
          <w:b w:val="1"/>
          <w:bCs w:val="1"/>
          <w:color w:val="auto"/>
        </w:rPr>
        <w:t>No default</w:t>
      </w:r>
    </w:p>
    <w:p>
      <w:pPr>
        <w:spacing w:after="0" w:line="229" w:lineRule="exact"/>
        <w:rPr>
          <w:sz w:val="20"/>
          <w:szCs w:val="20"/>
          <w:color w:val="auto"/>
        </w:rPr>
      </w:pPr>
    </w:p>
    <w:p>
      <w:pPr>
        <w:ind w:left="1300" w:hanging="644"/>
        <w:spacing w:after="0"/>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is continuing or might reasonably be expected to result from the making of any Utilisation.</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event or circumstance is outstanding which constitutes a default under any other agreement or instrument which is binding on it or to which its assets are subject which has or is reasonably likely to have a Material Adverse Effect.</w:t>
      </w:r>
    </w:p>
    <w:p>
      <w:pPr>
        <w:spacing w:after="0" w:line="37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17.10</w:t>
      </w:r>
      <w:r>
        <w:rPr>
          <w:sz w:val="20"/>
          <w:szCs w:val="20"/>
          <w:color w:val="auto"/>
        </w:rPr>
        <w:tab/>
      </w:r>
      <w:r>
        <w:rPr>
          <w:rFonts w:ascii="Times New Roman" w:cs="Times New Roman" w:eastAsia="Times New Roman" w:hAnsi="Times New Roman"/>
          <w:sz w:val="17"/>
          <w:szCs w:val="17"/>
          <w:b w:val="1"/>
          <w:bCs w:val="1"/>
          <w:color w:val="auto"/>
        </w:rPr>
        <w:t>Cashflow Forecast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Cashflow Forecast has been prepared on the basis of recent historical information and on the basis of reasonable assumptions.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17.11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Borrower's financial statements most recently delivered to the Agent:</w:t>
      </w:r>
    </w:p>
    <w:p>
      <w:pPr>
        <w:spacing w:after="0" w:line="225" w:lineRule="exact"/>
        <w:rPr>
          <w:sz w:val="20"/>
          <w:szCs w:val="20"/>
          <w:color w:val="auto"/>
        </w:rPr>
      </w:pPr>
    </w:p>
    <w:p>
      <w:pPr>
        <w:ind w:left="1300" w:hanging="644"/>
        <w:spacing w:after="0"/>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prepared in accordance with GAAP, consistently applied; and</w:t>
      </w:r>
    </w:p>
    <w:p>
      <w:pPr>
        <w:spacing w:after="0" w:line="225" w:lineRule="exact"/>
        <w:rPr>
          <w:rFonts w:ascii="Times New Roman" w:cs="Times New Roman" w:eastAsia="Times New Roman" w:hAnsi="Times New Roman"/>
          <w:sz w:val="18"/>
          <w:szCs w:val="18"/>
          <w:color w:val="auto"/>
        </w:rPr>
      </w:pPr>
    </w:p>
    <w:p>
      <w:pPr>
        <w:ind w:left="660" w:right="2000" w:hanging="4"/>
        <w:spacing w:after="0" w:line="498" w:lineRule="auto"/>
        <w:tabs>
          <w:tab w:leader="none" w:pos="130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fairly represent its financial condition (consolidated, if applicable) as at the date to which they were drawn up, except, in each case, as disclosed to the contrary in those financial statements.</w:t>
      </w:r>
    </w:p>
    <w:p>
      <w:pPr>
        <w:spacing w:after="0" w:line="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17.12</w:t>
      </w:r>
      <w:r>
        <w:rPr>
          <w:sz w:val="20"/>
          <w:szCs w:val="20"/>
          <w:color w:val="auto"/>
        </w:rPr>
        <w:tab/>
      </w:r>
      <w:r>
        <w:rPr>
          <w:rFonts w:ascii="Times New Roman" w:cs="Times New Roman" w:eastAsia="Times New Roman" w:hAnsi="Times New Roman"/>
          <w:sz w:val="17"/>
          <w:szCs w:val="17"/>
          <w:b w:val="1"/>
          <w:bCs w:val="1"/>
          <w:color w:val="auto"/>
        </w:rPr>
        <w:t>Pari passu ranking</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Its payment obligations under the Finance Documents rank at least pari passu with the claims of all its other unsecured and unsubordinated creditors, except for obligations mandatorily preferred by law applying to companies generally and except as otherwise provided in Clause 11.</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17.13</w:t>
      </w:r>
      <w:r>
        <w:rPr>
          <w:sz w:val="20"/>
          <w:szCs w:val="20"/>
          <w:color w:val="auto"/>
        </w:rPr>
        <w:tab/>
      </w:r>
      <w:r>
        <w:rPr>
          <w:rFonts w:ascii="Times New Roman" w:cs="Times New Roman" w:eastAsia="Times New Roman" w:hAnsi="Times New Roman"/>
          <w:sz w:val="17"/>
          <w:szCs w:val="17"/>
          <w:b w:val="1"/>
          <w:bCs w:val="1"/>
          <w:color w:val="auto"/>
        </w:rPr>
        <w:t>No proceedings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No litigation, arbitration or administrative proceedings of or before any court, arbitral body or agency which if adversely determined might reasonably be expected to have a Material Adverse Effect has or have (to the best of its knowledge and belief) been started or threatened against it.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17.14</w:t>
      </w:r>
      <w:r>
        <w:rPr>
          <w:sz w:val="20"/>
          <w:szCs w:val="20"/>
          <w:color w:val="auto"/>
        </w:rPr>
        <w:tab/>
      </w:r>
      <w:r>
        <w:rPr>
          <w:rFonts w:ascii="Times New Roman" w:cs="Times New Roman" w:eastAsia="Times New Roman" w:hAnsi="Times New Roman"/>
          <w:sz w:val="18"/>
          <w:szCs w:val="18"/>
          <w:b w:val="1"/>
          <w:bCs w:val="1"/>
          <w:color w:val="auto"/>
        </w:rPr>
        <w:t>Repetition</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Repeating Representations are deemed to be made by the Borrower (by reference to the facts and circumstances then existing) on the date of each Utilisation Request and the first day of each Interest Period.</w:t>
      </w:r>
    </w:p>
    <w:p>
      <w:pPr>
        <w:spacing w:after="0" w:line="158" w:lineRule="exact"/>
        <w:rPr>
          <w:sz w:val="20"/>
          <w:szCs w:val="20"/>
          <w:color w:val="auto"/>
        </w:rPr>
      </w:pPr>
    </w:p>
    <w:p>
      <w:pPr>
        <w:ind w:left="660" w:hanging="652"/>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INFORMATION UNDERTAKINGS</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undertakings in this Clause 18 remain in force from the date of this Agreement for so long as any amount is outstanding under the Finance Documents or the Facility is in force.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shall deliver to the Agent (or otherwise make available to the Agent, and notify the Agent of this):</w:t>
      </w:r>
    </w:p>
    <w:p>
      <w:pPr>
        <w:spacing w:after="0" w:line="225" w:lineRule="exact"/>
        <w:rPr>
          <w:sz w:val="20"/>
          <w:szCs w:val="20"/>
          <w:color w:val="auto"/>
        </w:rPr>
      </w:pPr>
    </w:p>
    <w:p>
      <w:pPr>
        <w:ind w:left="1300" w:hanging="644"/>
        <w:spacing w:after="0" w:line="282" w:lineRule="auto"/>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the same become available, but in any event within 120 days after the end of each of its financial years, its audited consolidated financial statements for that financial year; and</w:t>
      </w:r>
    </w:p>
    <w:p>
      <w:pPr>
        <w:spacing w:after="0" w:line="37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ind w:left="1300" w:hanging="644"/>
        <w:spacing w:after="0" w:line="282" w:lineRule="auto"/>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the same become available, but in any event within 60 days after the end of each Financial Quarter, its consolidated financial statements for that period.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7"/>
          <w:szCs w:val="17"/>
          <w:b w:val="1"/>
          <w:bCs w:val="1"/>
          <w:color w:val="auto"/>
        </w:rPr>
        <w:t>Cashflow Forecast</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Borrower shall supply to the Agent (marked for the attention of the Designated Recipients) on request (such request to be made no later than the last calendar day of the preceding Financial Quarter), on or before the fifth Business Day of a Financial Quarter, an updated Cashflow Forecast in respect of each Financial Quarter (starting from the beginning of the Financial Quarter in which the Cashflow Forecast is delivered) to (and including) March 2026, in a format to be jointly agreed between the Lender and the Borrower.</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7"/>
          <w:szCs w:val="17"/>
          <w:b w:val="1"/>
          <w:bCs w:val="1"/>
          <w:color w:val="auto"/>
        </w:rPr>
        <w:t>Compliance Certificate</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Borrower shall supply to the Agent on request (such request to be made in connection with a Utilisation Request or otherwise no more frequently than once per Financial Quarter) a Compliance Certificate signed by the chief executive officer or the chief financial officer of the Borrower.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18.4</w:t>
      </w:r>
      <w:r>
        <w:rPr>
          <w:sz w:val="20"/>
          <w:szCs w:val="20"/>
          <w:color w:val="auto"/>
        </w:rPr>
        <w:tab/>
      </w:r>
      <w:r>
        <w:rPr>
          <w:rFonts w:ascii="Times New Roman" w:cs="Times New Roman" w:eastAsia="Times New Roman" w:hAnsi="Times New Roman"/>
          <w:sz w:val="17"/>
          <w:szCs w:val="17"/>
          <w:b w:val="1"/>
          <w:bCs w:val="1"/>
          <w:color w:val="auto"/>
        </w:rPr>
        <w:t>Information: miscellaneous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shall supply to the Agent:</w:t>
      </w:r>
    </w:p>
    <w:p>
      <w:pPr>
        <w:spacing w:after="0" w:line="225" w:lineRule="exact"/>
        <w:rPr>
          <w:sz w:val="20"/>
          <w:szCs w:val="20"/>
          <w:color w:val="auto"/>
        </w:rPr>
      </w:pPr>
    </w:p>
    <w:p>
      <w:pPr>
        <w:ind w:left="1300" w:right="20" w:hanging="644"/>
        <w:spacing w:after="0" w:line="282" w:lineRule="auto"/>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dispatched by the Borrower to its shareholders (or any class of them) or its creditors generally at the same time as they are dispatched;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such approval, a copy of any written material approved by the board of directors of the Borrower relating to active cost management activities of the Borrower;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becoming aware of them, the details of any litigation, arbitration or administrative proceedings which are current, threatened or pending against the Borrower (or against the directors of the Borrower), and which might, if adversely determined, have a Material Adverse Effect;</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becoming aware of them, the details of any judgment or order of a court, arbitral body or agency which is made against the Borrower (or against the directors of the Borrower), and which might have a Material Adverse Effect;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such further information regarding the financial condition, business and operations of the Borrower as any Finance Party (through the Agent) may reasonably request.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18.5</w:t>
      </w:r>
      <w:r>
        <w:rPr>
          <w:sz w:val="20"/>
          <w:szCs w:val="20"/>
          <w:color w:val="auto"/>
        </w:rPr>
        <w:tab/>
      </w:r>
      <w:r>
        <w:rPr>
          <w:rFonts w:ascii="Times New Roman" w:cs="Times New Roman" w:eastAsia="Times New Roman" w:hAnsi="Times New Roman"/>
          <w:sz w:val="17"/>
          <w:szCs w:val="17"/>
          <w:b w:val="1"/>
          <w:bCs w:val="1"/>
          <w:color w:val="auto"/>
        </w:rPr>
        <w:t>Notification of default</w:t>
      </w:r>
    </w:p>
    <w:p>
      <w:pPr>
        <w:spacing w:after="0" w:line="229" w:lineRule="exact"/>
        <w:rPr>
          <w:sz w:val="20"/>
          <w:szCs w:val="20"/>
          <w:color w:val="auto"/>
        </w:rPr>
      </w:pPr>
    </w:p>
    <w:p>
      <w:pPr>
        <w:ind w:left="1300" w:hanging="644"/>
        <w:spacing w:after="0" w:line="282" w:lineRule="auto"/>
        <w:tabs>
          <w:tab w:leader="none" w:pos="13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notify the Agent of any Default (and the steps, if any, being taken to remedy it) promptly upon becoming aware of its occurrence.</w:t>
      </w:r>
    </w:p>
    <w:p>
      <w:pPr>
        <w:spacing w:after="0" w:line="37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left="1300" w:right="20" w:hanging="644"/>
        <w:spacing w:after="0" w:line="266" w:lineRule="auto"/>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a request by the Agent, the Borrower shall supply to the Agent a certificate signed by the chief executive officer or the chief financial officer of the Borrower on its behalf certifying that no Default is continuing (or if a Default is continuing, specifying the Default and the steps, if any, being taken to remedy it).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18.6</w:t>
      </w:r>
      <w:r>
        <w:rPr>
          <w:sz w:val="20"/>
          <w:szCs w:val="20"/>
          <w:color w:val="auto"/>
        </w:rPr>
        <w:tab/>
      </w:r>
      <w:r>
        <w:rPr>
          <w:rFonts w:ascii="Times New Roman" w:cs="Times New Roman" w:eastAsia="Times New Roman" w:hAnsi="Times New Roman"/>
          <w:sz w:val="17"/>
          <w:szCs w:val="17"/>
          <w:b w:val="1"/>
          <w:bCs w:val="1"/>
          <w:color w:val="auto"/>
        </w:rPr>
        <w:t>Direct electronic delivery by Company</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Borrower may satisfy its obligation under this Agreement to deliver any information by delivering that information to the Agent in accordance with Clause 27.5 (</w:t>
      </w:r>
      <w:r>
        <w:rPr>
          <w:rFonts w:ascii="Times New Roman" w:cs="Times New Roman" w:eastAsia="Times New Roman" w:hAnsi="Times New Roman"/>
          <w:sz w:val="18"/>
          <w:szCs w:val="18"/>
          <w:i w:val="1"/>
          <w:iCs w:val="1"/>
          <w:color w:val="auto"/>
        </w:rPr>
        <w:t>Electronic communication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18.7</w:t>
      </w:r>
      <w:r>
        <w:rPr>
          <w:sz w:val="20"/>
          <w:szCs w:val="20"/>
          <w:color w:val="auto"/>
        </w:rPr>
        <w:tab/>
      </w:r>
      <w:r>
        <w:rPr>
          <w:rFonts w:ascii="Times New Roman" w:cs="Times New Roman" w:eastAsia="Times New Roman" w:hAnsi="Times New Roman"/>
          <w:sz w:val="17"/>
          <w:szCs w:val="17"/>
          <w:b w:val="1"/>
          <w:bCs w:val="1"/>
          <w:color w:val="auto"/>
        </w:rPr>
        <w:t>"Know your customer" checks</w:t>
      </w:r>
    </w:p>
    <w:p>
      <w:pPr>
        <w:spacing w:after="0" w:line="229" w:lineRule="exact"/>
        <w:rPr>
          <w:sz w:val="20"/>
          <w:szCs w:val="20"/>
          <w:color w:val="auto"/>
        </w:rPr>
      </w:pPr>
    </w:p>
    <w:p>
      <w:pPr>
        <w:ind w:left="1300" w:hanging="644"/>
        <w:spacing w:after="0"/>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or any change in (or in the interpretation, administration or application of) any law or regulation made after the date of this Agreement;</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status of the Borrower (or of a Holding Company of the Borrower) or the composition of the shareholders of the Borrower (or of a Holding Company of the Borrower) after the date of this Agreement; or</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proposed assignment or transfer by the Lender of any of its rights and obligations under this Agreement to a party that is not a Lender prior to such assignment or transfer,</w:t>
      </w:r>
    </w:p>
    <w:p>
      <w:pPr>
        <w:spacing w:after="0" w:line="162"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obliges the Agent or the Lender (or, in the case of paragraph (iii) above, any prospective new Lender) to comply with "know your customer" or similar identification procedures in circumstances where the necessary information is not already available to it, the Borrower shall promptly upon the request of the Agent or the Lender supply, or procure the supply of, such documentation and other evidence as is reasonably requested by the Agent (for itself or on behalf of the Lender) or the Lender (for itself or, in the case of the event described in paragraph (iii) above, on behalf of any prospective new Lender) in order for the Agent, the Lender or, in the case of the event described in paragraph (iii) above, any prospective new Lender to carry out and be satisfied it has complied with all necessary "know your customer" or other similar checks under all applicable laws and regulations pursuant to the transactions contemplated in the Finance Documents.</w:t>
      </w:r>
    </w:p>
    <w:p>
      <w:pPr>
        <w:spacing w:after="0" w:line="192" w:lineRule="exact"/>
        <w:rPr>
          <w:sz w:val="20"/>
          <w:szCs w:val="20"/>
          <w:color w:val="auto"/>
        </w:rPr>
      </w:pPr>
    </w:p>
    <w:p>
      <w:pPr>
        <w:jc w:val="both"/>
        <w:ind w:left="1300" w:hanging="644"/>
        <w:spacing w:after="0" w:line="261" w:lineRule="auto"/>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shall promptly upon the request of the Agent supply, or procure the supply of, such documentation and other evidence as is reasonably requested by the Agent (for itself) in order for the Agent to carry out and be satisfied it has complied with all necessary "know your customer" or other similar checks under all applicable laws and regulations pursuant to the transactions contemplated in the Finance Documents.</w:t>
      </w:r>
    </w:p>
    <w:p>
      <w:pPr>
        <w:spacing w:after="0" w:line="39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UNDERTAKINGS</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undertakings in this Clause 19 remain in force from the date of this Agreement for so long as any amount is outstanding under the Finance Documents or any commitment is in force.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7"/>
          <w:szCs w:val="17"/>
          <w:b w:val="1"/>
          <w:bCs w:val="1"/>
          <w:color w:val="auto"/>
        </w:rPr>
        <w:t>Authorisations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shall promptly:</w:t>
      </w:r>
    </w:p>
    <w:p>
      <w:pPr>
        <w:spacing w:after="0" w:line="225" w:lineRule="exact"/>
        <w:rPr>
          <w:sz w:val="20"/>
          <w:szCs w:val="20"/>
          <w:color w:val="auto"/>
        </w:rPr>
      </w:pPr>
    </w:p>
    <w:p>
      <w:pPr>
        <w:ind w:left="1300" w:hanging="644"/>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comply with and do all that is necessary to maintain in full force and effect;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the Agent, supply certified copies to the Agent of,</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any Authorisation required under any law or regulation of its Original Jurisdiction to enable it to perform its obligations under the Finance Documents and to ensure the legality, validity, enforceability or admissibility in evidence in its Original Jurisdiction of any Finance Document.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19.2</w:t>
      </w:r>
      <w:r>
        <w:rPr>
          <w:sz w:val="20"/>
          <w:szCs w:val="20"/>
          <w:color w:val="auto"/>
        </w:rPr>
        <w:tab/>
      </w:r>
      <w:r>
        <w:rPr>
          <w:rFonts w:ascii="Times New Roman" w:cs="Times New Roman" w:eastAsia="Times New Roman" w:hAnsi="Times New Roman"/>
          <w:sz w:val="17"/>
          <w:szCs w:val="17"/>
          <w:b w:val="1"/>
          <w:bCs w:val="1"/>
          <w:color w:val="auto"/>
        </w:rPr>
        <w:t>Compliance with laws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Borrower shall comply in all respects with all laws to which it may be subject, if failure so to comply would materially impair its ability to perform its obligations under the Finance Documents.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19.3</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Borrower shall not acquire any company, business, assets or undertaking (a) with the proceeds of any Loan or (b) if the amount of the acquisition cost, when aggregated with the aggregate acquisition cost of any other companies, business, assets or undertaking acquired by the Borrower during that financial year exceeds USD 30,000,000.</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19.4</w:t>
      </w:r>
      <w:r>
        <w:rPr>
          <w:sz w:val="20"/>
          <w:szCs w:val="20"/>
          <w:color w:val="auto"/>
        </w:rPr>
        <w:tab/>
      </w:r>
      <w:r>
        <w:rPr>
          <w:rFonts w:ascii="Times New Roman" w:cs="Times New Roman" w:eastAsia="Times New Roman" w:hAnsi="Times New Roman"/>
          <w:sz w:val="17"/>
          <w:szCs w:val="17"/>
          <w:b w:val="1"/>
          <w:bCs w:val="1"/>
          <w:color w:val="auto"/>
        </w:rPr>
        <w:t>Loans and Guarantees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make any loans, grant any credit (save in the ordinary course of business) or give any guarantee or indemnity (except as required under any of the Finance Documents) to or for the benefit of any person or otherwise voluntarily assume any liability, whether actual or contingent, in respect of any obligation of any person.</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does not apply to: (i) any Financial Indebtedness made available by the Borrower to one or more of its Subsidiaries;</w:t>
      </w:r>
    </w:p>
    <w:p>
      <w:pPr>
        <w:spacing w:after="0" w:line="27" w:lineRule="exact"/>
        <w:rPr>
          <w:rFonts w:ascii="Times New Roman" w:cs="Times New Roman" w:eastAsia="Times New Roman" w:hAnsi="Times New Roman"/>
          <w:sz w:val="18"/>
          <w:szCs w:val="18"/>
          <w:color w:val="auto"/>
        </w:rPr>
      </w:pPr>
    </w:p>
    <w:p>
      <w:pPr>
        <w:jc w:val="both"/>
        <w:ind w:left="1300" w:firstLine="4"/>
        <w:spacing w:after="0" w:line="253" w:lineRule="auto"/>
        <w:tabs>
          <w:tab w:leader="none" w:pos="1585"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trade credit extended by the Borrower to its customers on normal commercial terms and in the ordinary course of its trading activities; (iii) any guarantees made by the Borrower for customs purposes in the ordinary course of business; (iv) liabilities (not otherwise described in this paragraph (b)) in an aggregate principal amount of up to USD 30,000,000; and (v) liabilities incurred with the prior written consent of the Agent.</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19.5</w:t>
      </w:r>
      <w:r>
        <w:rPr>
          <w:sz w:val="20"/>
          <w:szCs w:val="20"/>
          <w:color w:val="auto"/>
        </w:rPr>
        <w:tab/>
      </w:r>
      <w:r>
        <w:rPr>
          <w:rFonts w:ascii="Times New Roman" w:cs="Times New Roman" w:eastAsia="Times New Roman" w:hAnsi="Times New Roman"/>
          <w:sz w:val="17"/>
          <w:szCs w:val="17"/>
          <w:b w:val="1"/>
          <w:bCs w:val="1"/>
          <w:color w:val="auto"/>
        </w:rPr>
        <w:t>Senior management time</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Borrower shall, on request of the Agent (specifying on reasonable notice a time during business hours) in connection with the supply of documentation pursuant to Clause 18 (</w:t>
      </w:r>
      <w:r>
        <w:rPr>
          <w:rFonts w:ascii="Times New Roman" w:cs="Times New Roman" w:eastAsia="Times New Roman" w:hAnsi="Times New Roman"/>
          <w:sz w:val="18"/>
          <w:szCs w:val="18"/>
          <w:i w:val="1"/>
          <w:iCs w:val="1"/>
          <w:color w:val="auto"/>
        </w:rPr>
        <w:t>Information Undertakings</w:t>
      </w:r>
      <w:r>
        <w:rPr>
          <w:rFonts w:ascii="Times New Roman" w:cs="Times New Roman" w:eastAsia="Times New Roman" w:hAnsi="Times New Roman"/>
          <w:sz w:val="18"/>
          <w:szCs w:val="18"/>
          <w:color w:val="auto"/>
        </w:rPr>
        <w:t>) procure that relevant members of the senior management of the Borrower (including, on each occasion unless agreed otherwise with the Agent, at least one of the chief executive officer or chief financial officer of the Borrower) meet with representatives of the Lender(s), either in a mutually convenient location or online, and discuss the Cashflow Forecast and/or the active cost management activities of the Borrower.</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19.6</w:t>
      </w:r>
      <w:r>
        <w:rPr>
          <w:sz w:val="20"/>
          <w:szCs w:val="20"/>
          <w:color w:val="auto"/>
        </w:rPr>
        <w:tab/>
      </w: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Any Conversion Shares into which any outstanding loan(s) may be converted have not been registered under the U.S.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or under the securities laws of any state. In the absence of an effective registration statement as to the Conversion Shares under the Securities Act, the Borrower may require an opinion of counsel reasonably satisfactory in form, scope and substance to the Borrower to the effect that such registration is not required, unless sold pursuant to Rule 144 of the Securities Act or in a transaction not subject to the Securities Act. Each Conversion Share shall bear a legend as to the applicable restrictions on transferability in order to ensure compliance with the Securities Act. Following the earlier of: (x) the effective date of a registration statement filed pursuant to the Securities Act that includes any Conversion Shares; or (y) any Conversion Shares becoming eligible for sale without restriction under Rule 144(d)(1) of the Securities Act, the Borrower, upon the written request of the Lender, shall remove or, if applicable, instruct its transfer agent to remove, the restrictive legend from such Conversion Shares and shall cause its counsel to issue any legend removal opinion it or, if applicable, its transfer agent requires. Any fees (with respect to the transfer agent, the Borrower's counsel or otherwise) associated with the issuance of such opinion or the removal of such legend shall be borne by the Borrower. The Borrower may issue stop transfer instructions to its transfer agent and/or depositary in connection with such restrictions.</w:t>
      </w:r>
    </w:p>
    <w:p>
      <w:pPr>
        <w:spacing w:after="0" w:line="190"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As promptly as practicable following the Equity Conversion Date, the Borrower and the Lender will enter into a registration rights agreement that is, in form and substance, similar to the registration rights agreement dated 27 September 2021, as later amended, among the Borrower and other parties (the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The Borrower hereby agrees to include any Conversion Shares issued by the Borrower to the Lender pursuant to exercise of the Conversion Right pursuant to this Agreement in the definition of "Registrable Securities" in the Registration Rights Agreement. In furtherance of the foregoing, the Borrower shall, within 90 days following the Equity Conversion Date, file a new Form F-3 Shelf (as defined in the Registration Rights Agreement) in view of registering the resale of any Conversion Shares and cause such registration statement to become effective as soon as practicable after such filing.</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19.7</w:t>
      </w:r>
      <w:r>
        <w:rPr>
          <w:sz w:val="20"/>
          <w:szCs w:val="20"/>
          <w:color w:val="auto"/>
        </w:rPr>
        <w:tab/>
      </w:r>
      <w:r>
        <w:rPr>
          <w:rFonts w:ascii="Times New Roman" w:cs="Times New Roman" w:eastAsia="Times New Roman" w:hAnsi="Times New Roman"/>
          <w:sz w:val="17"/>
          <w:szCs w:val="17"/>
          <w:b w:val="1"/>
          <w:bCs w:val="1"/>
          <w:color w:val="auto"/>
        </w:rPr>
        <w:t>Allotment of shares</w:t>
      </w:r>
    </w:p>
    <w:p>
      <w:pPr>
        <w:spacing w:after="0" w:line="229" w:lineRule="exact"/>
        <w:rPr>
          <w:sz w:val="20"/>
          <w:szCs w:val="20"/>
          <w:color w:val="auto"/>
        </w:rPr>
      </w:pPr>
    </w:p>
    <w:p>
      <w:pPr>
        <w:jc w:val="both"/>
        <w:ind w:left="1300" w:right="20" w:hanging="644"/>
        <w:spacing w:after="0" w:line="266" w:lineRule="auto"/>
        <w:tabs>
          <w:tab w:leader="none" w:pos="13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available for issue and authority to allot, free from pre-emption rights, sufficient Conversion Shares to enable the Conversion Rights set out herein to be satisfied in full, and all other rights of subscription or conversion for the Conversion Shares to be satisfied in full.</w:t>
      </w:r>
    </w:p>
    <w:p>
      <w:pPr>
        <w:spacing w:after="0" w:line="39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ind w:left="1300" w:hanging="644"/>
        <w:spacing w:after="0" w:line="282" w:lineRule="auto"/>
        <w:tabs>
          <w:tab w:leader="none" w:pos="13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use its best endeavours to procure and maintain the listing of any Conversion Shares on NASDAQ with effect from the Equity Conversion Date.</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EVENTS OF DEFAULT</w:t>
      </w:r>
    </w:p>
    <w:p>
      <w:pPr>
        <w:spacing w:after="0" w:line="2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events or circumstances set out in this Clause 20 is an Event of Default (save for Clause 20.11 (</w:t>
      </w:r>
      <w:r>
        <w:rPr>
          <w:rFonts w:ascii="Times New Roman" w:cs="Times New Roman" w:eastAsia="Times New Roman" w:hAnsi="Times New Roman"/>
          <w:sz w:val="18"/>
          <w:szCs w:val="18"/>
          <w:i w:val="1"/>
          <w:iCs w:val="1"/>
          <w:color w:val="auto"/>
        </w:rPr>
        <w:t>Acceleration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7"/>
          <w:szCs w:val="17"/>
          <w:b w:val="1"/>
          <w:bCs w:val="1"/>
          <w:color w:val="auto"/>
        </w:rPr>
        <w:t>Non-payment</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Borrower does not pay on the due date any amount payable pursuant to a Finance Document at the place and in the currency in which it is expressed to be payable unless:</w:t>
      </w:r>
    </w:p>
    <w:p>
      <w:pPr>
        <w:spacing w:after="0" w:line="162" w:lineRule="exact"/>
        <w:rPr>
          <w:sz w:val="20"/>
          <w:szCs w:val="20"/>
          <w:color w:val="auto"/>
        </w:rPr>
      </w:pPr>
    </w:p>
    <w:p>
      <w:pPr>
        <w:ind w:left="1300" w:hanging="644"/>
        <w:spacing w:after="0"/>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failure to pay is caused by: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or technical error;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Event;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is made within: (i) in the case of paragraph (a)(i) above, five Business Days of its due date; or (ii) in the case of paragraph (a)</w:t>
      </w:r>
    </w:p>
    <w:p>
      <w:pPr>
        <w:spacing w:after="0" w:line="2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three Business Days following the cessation of the Disruption Event.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20.2</w:t>
      </w:r>
      <w:r>
        <w:rPr>
          <w:sz w:val="20"/>
          <w:szCs w:val="20"/>
          <w:color w:val="auto"/>
        </w:rPr>
        <w:tab/>
      </w:r>
      <w:r>
        <w:rPr>
          <w:rFonts w:ascii="Times New Roman" w:cs="Times New Roman" w:eastAsia="Times New Roman" w:hAnsi="Times New Roman"/>
          <w:sz w:val="17"/>
          <w:szCs w:val="17"/>
          <w:b w:val="1"/>
          <w:bCs w:val="1"/>
          <w:color w:val="auto"/>
        </w:rPr>
        <w:t>Other obligations</w:t>
      </w:r>
    </w:p>
    <w:p>
      <w:pPr>
        <w:spacing w:after="0" w:line="227" w:lineRule="exact"/>
        <w:rPr>
          <w:sz w:val="20"/>
          <w:szCs w:val="20"/>
          <w:color w:val="auto"/>
        </w:rPr>
      </w:pPr>
    </w:p>
    <w:p>
      <w:pPr>
        <w:ind w:left="1300" w:hanging="644"/>
        <w:spacing w:after="0"/>
        <w:tabs>
          <w:tab w:leader="none" w:pos="13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does not comply with any provision of the Finance Documents (other than those referred to in Clause 20.1 (</w:t>
      </w:r>
      <w:r>
        <w:rPr>
          <w:rFonts w:ascii="Times New Roman" w:cs="Times New Roman" w:eastAsia="Times New Roman" w:hAnsi="Times New Roman"/>
          <w:sz w:val="18"/>
          <w:szCs w:val="18"/>
          <w:i w:val="1"/>
          <w:iCs w:val="1"/>
          <w:color w:val="auto"/>
        </w:rPr>
        <w:t>Non-payment</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under paragraph (a) above if the failure to comply is capable of remedy and is remedied within fifteen Business Days of the earlier of (i) the Agent giving notice of the failure to comply to the Borrower and (ii) the Borrower becoming aware of the non-compliance.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20.3</w:t>
      </w:r>
      <w:r>
        <w:rPr>
          <w:sz w:val="20"/>
          <w:szCs w:val="20"/>
          <w:color w:val="auto"/>
        </w:rPr>
        <w:tab/>
      </w:r>
      <w:r>
        <w:rPr>
          <w:rFonts w:ascii="Times New Roman" w:cs="Times New Roman" w:eastAsia="Times New Roman" w:hAnsi="Times New Roman"/>
          <w:sz w:val="17"/>
          <w:szCs w:val="17"/>
          <w:b w:val="1"/>
          <w:bCs w:val="1"/>
          <w:color w:val="auto"/>
        </w:rPr>
        <w:t>Misrepresentation</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statement made or deemed to be made by the Borrower in the Finance Documents or any other document delivered by or on behalf of the Borrower under or in connection with any Finance Document is or proves to have been incorrect or misleading in any material respect when made or deemed to be made.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under paragraph (a) above will occur if the circumstances giving rise to the misrepresentation or breach of warranty are capable of remedy and are remedied within fifteen Business Days of the earlier of (i) the Agent giving notice of the misrepresentation or breach of warranty to the Borrower and (ii) the Borrower becoming aware of the misrepresentation or breach of warranty.</w:t>
      </w:r>
    </w:p>
    <w:p>
      <w:pPr>
        <w:spacing w:after="0" w:line="39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20.4</w:t>
      </w:r>
      <w:r>
        <w:rPr>
          <w:sz w:val="20"/>
          <w:szCs w:val="20"/>
          <w:color w:val="auto"/>
        </w:rPr>
        <w:tab/>
      </w:r>
      <w:r>
        <w:rPr>
          <w:rFonts w:ascii="Times New Roman" w:cs="Times New Roman" w:eastAsia="Times New Roman" w:hAnsi="Times New Roman"/>
          <w:sz w:val="17"/>
          <w:szCs w:val="17"/>
          <w:b w:val="1"/>
          <w:bCs w:val="1"/>
          <w:color w:val="auto"/>
        </w:rPr>
        <w:t>Cross default</w:t>
      </w:r>
    </w:p>
    <w:p>
      <w:pPr>
        <w:spacing w:after="0" w:line="229" w:lineRule="exact"/>
        <w:rPr>
          <w:sz w:val="20"/>
          <w:szCs w:val="20"/>
          <w:color w:val="auto"/>
        </w:rPr>
      </w:pPr>
    </w:p>
    <w:p>
      <w:pPr>
        <w:ind w:left="1300" w:hanging="644"/>
        <w:spacing w:after="0" w:line="282" w:lineRule="auto"/>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Financial Indebtedness of the Borrower is declared to be or otherwise becomes due and payable prior to its specified maturity as a result of an event of default (however described).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commitment for any Financial Indebtedness of the Borrower is cancelled or suspended by a creditor of the Borrower as a result of an event of default (however described).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will occur under this Clause 20.4 if the aggregate amount of Financial Indebtedness or commitment for Financial Indebtedness falling within paragraphs (a) and (b) above is less than USD 40,000,000 (or its equivalent in any other currency or currencies).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20.5</w:t>
      </w:r>
      <w:r>
        <w:rPr>
          <w:sz w:val="20"/>
          <w:szCs w:val="20"/>
          <w:color w:val="auto"/>
        </w:rPr>
        <w:tab/>
      </w:r>
      <w:r>
        <w:rPr>
          <w:rFonts w:ascii="Times New Roman" w:cs="Times New Roman" w:eastAsia="Times New Roman" w:hAnsi="Times New Roman"/>
          <w:sz w:val="17"/>
          <w:szCs w:val="17"/>
          <w:b w:val="1"/>
          <w:bCs w:val="1"/>
          <w:color w:val="auto"/>
        </w:rPr>
        <w:t>Insolvency</w:t>
      </w:r>
    </w:p>
    <w:p>
      <w:pPr>
        <w:spacing w:after="0" w:line="229" w:lineRule="exact"/>
        <w:rPr>
          <w:sz w:val="20"/>
          <w:szCs w:val="20"/>
          <w:color w:val="auto"/>
        </w:rPr>
      </w:pPr>
    </w:p>
    <w:p>
      <w:pPr>
        <w:ind w:left="1300" w:hanging="64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unable or admits inability to pay its debts as they fall due;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suspends making payments on any of its debts; or</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reason of actual or anticipated financial difficulties, commences negotiations with one or more of its creditors (excluding any Finance Party in its capacity as such) with a view to rescheduling any of its indebtedness.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moratorium is declared in respect of any indebtedness of the Borrower.</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20.6</w:t>
      </w:r>
      <w:r>
        <w:rPr>
          <w:sz w:val="20"/>
          <w:szCs w:val="20"/>
          <w:color w:val="auto"/>
        </w:rPr>
        <w:tab/>
      </w:r>
      <w:r>
        <w:rPr>
          <w:rFonts w:ascii="Times New Roman" w:cs="Times New Roman" w:eastAsia="Times New Roman" w:hAnsi="Times New Roman"/>
          <w:sz w:val="17"/>
          <w:szCs w:val="17"/>
          <w:b w:val="1"/>
          <w:bCs w:val="1"/>
          <w:color w:val="auto"/>
        </w:rPr>
        <w:t>Insolvency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corporate action, legal proceedings or other procedure or step is taken in relation to:</w:t>
      </w:r>
    </w:p>
    <w:p>
      <w:pPr>
        <w:spacing w:after="0" w:line="225" w:lineRule="exact"/>
        <w:rPr>
          <w:sz w:val="20"/>
          <w:szCs w:val="20"/>
          <w:color w:val="auto"/>
        </w:rPr>
      </w:pPr>
    </w:p>
    <w:p>
      <w:pPr>
        <w:ind w:left="1300" w:hanging="644"/>
        <w:spacing w:after="0" w:line="282" w:lineRule="auto"/>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of payments, a moratorium of any indebtedness, winding-up, dissolution, administration or reorganisation (by way of voluntary arrangement, scheme of arrangement or otherwise) of the Borrower;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composition, compromise, assignment or arrangement with any creditor of the Borrower;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 liquidator, receiver, administrative receiver, administrator, compulsory manager or other similar officer in respect of the Borrower or any of its assets; 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 any analogous procedure or step is taken in any jurisdiction.</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This Clause 20.6 shall not apply to any winding up petition which is frivolous or vexatious and is discharged, stayed or dismissed within twenty-eight days of commencement.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20.7</w:t>
      </w:r>
      <w:r>
        <w:rPr>
          <w:sz w:val="20"/>
          <w:szCs w:val="20"/>
          <w:color w:val="auto"/>
        </w:rPr>
        <w:tab/>
      </w:r>
      <w:r>
        <w:rPr>
          <w:rFonts w:ascii="Times New Roman" w:cs="Times New Roman" w:eastAsia="Times New Roman" w:hAnsi="Times New Roman"/>
          <w:sz w:val="17"/>
          <w:szCs w:val="17"/>
          <w:b w:val="1"/>
          <w:bCs w:val="1"/>
          <w:color w:val="auto"/>
        </w:rPr>
        <w:t>Creditors' process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Any expropriation, attachment, sequestration, distress or execution affects any asset or assets of the Borrower having an aggregate value of USD 40,000,000.</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20.8</w:t>
      </w:r>
      <w:r>
        <w:rPr>
          <w:sz w:val="20"/>
          <w:szCs w:val="20"/>
          <w:color w:val="auto"/>
        </w:rPr>
        <w:tab/>
      </w:r>
      <w:r>
        <w:rPr>
          <w:rFonts w:ascii="Times New Roman" w:cs="Times New Roman" w:eastAsia="Times New Roman" w:hAnsi="Times New Roman"/>
          <w:sz w:val="17"/>
          <w:szCs w:val="17"/>
          <w:b w:val="1"/>
          <w:bCs w:val="1"/>
          <w:color w:val="auto"/>
        </w:rPr>
        <w:t>Unlawfulness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It is or becomes unlawful for the Borrower to perform any of its material obligations under the Finance Documents to the extent that the Lender reasonably considers to be materially prejudicial to the interests of the Lender under the Finance Documents.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20.9</w:t>
      </w:r>
      <w:r>
        <w:rPr>
          <w:sz w:val="20"/>
          <w:szCs w:val="20"/>
          <w:color w:val="auto"/>
        </w:rPr>
        <w:tab/>
      </w:r>
      <w:r>
        <w:rPr>
          <w:rFonts w:ascii="Times New Roman" w:cs="Times New Roman" w:eastAsia="Times New Roman" w:hAnsi="Times New Roman"/>
          <w:sz w:val="17"/>
          <w:szCs w:val="17"/>
          <w:b w:val="1"/>
          <w:bCs w:val="1"/>
          <w:color w:val="auto"/>
        </w:rPr>
        <w:t>Repudiation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repudiates a Finance Document or evidences an intention to repudiate a Finance Document.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20.10</w:t>
      </w:r>
      <w:r>
        <w:rPr>
          <w:sz w:val="20"/>
          <w:szCs w:val="20"/>
          <w:color w:val="auto"/>
        </w:rPr>
        <w:tab/>
      </w:r>
      <w:r>
        <w:rPr>
          <w:rFonts w:ascii="Times New Roman" w:cs="Times New Roman" w:eastAsia="Times New Roman" w:hAnsi="Times New Roman"/>
          <w:sz w:val="17"/>
          <w:szCs w:val="17"/>
          <w:b w:val="1"/>
          <w:bCs w:val="1"/>
          <w:color w:val="auto"/>
        </w:rPr>
        <w:t>Material adverse change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event or series of events occurs which has a Material Adverse Effect.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20.11</w:t>
      </w:r>
      <w:r>
        <w:rPr>
          <w:sz w:val="20"/>
          <w:szCs w:val="20"/>
          <w:color w:val="auto"/>
        </w:rPr>
        <w:tab/>
      </w:r>
      <w:r>
        <w:rPr>
          <w:rFonts w:ascii="Times New Roman" w:cs="Times New Roman" w:eastAsia="Times New Roman" w:hAnsi="Times New Roman"/>
          <w:sz w:val="17"/>
          <w:szCs w:val="17"/>
          <w:b w:val="1"/>
          <w:bCs w:val="1"/>
          <w:color w:val="auto"/>
        </w:rPr>
        <w:t>Acceleration</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On and at any time after the occurrence of an Event of Default which is continuing the Agent may, and shall if so directed by the Lender, by notice to the Borrower:</w:t>
      </w:r>
    </w:p>
    <w:p>
      <w:pPr>
        <w:spacing w:after="0" w:line="162" w:lineRule="exact"/>
        <w:rPr>
          <w:sz w:val="20"/>
          <w:szCs w:val="20"/>
          <w:color w:val="auto"/>
        </w:rPr>
      </w:pPr>
    </w:p>
    <w:p>
      <w:pPr>
        <w:ind w:left="1300" w:hanging="644"/>
        <w:spacing w:after="0" w:line="282" w:lineRule="auto"/>
        <w:tabs>
          <w:tab w:leader="none" w:pos="130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the Available Facility whereupon the Available Facility shall immediately be cancelled and the Facility shall immediately cease to be available for further utilisation;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that all or part of the Loans, together with accrued interest, and all other amounts accrued or outstanding under the Finance Documents be immediately due and payable, whereupon they shall become immediately due and payable; and/or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that all or part of the Loans be payable on demand, whereupon they shall immediately become payable on demand by the Agent on the instructions of the Lender.</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CHANGES TO THE LENDER</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b w:val="1"/>
          <w:bCs w:val="1"/>
          <w:color w:val="auto"/>
        </w:rPr>
        <w:t>Assignments and transfers by the Lender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Lender (the "</w:t>
      </w:r>
      <w:r>
        <w:rPr>
          <w:rFonts w:ascii="Times New Roman" w:cs="Times New Roman" w:eastAsia="Times New Roman" w:hAnsi="Times New Roman"/>
          <w:sz w:val="18"/>
          <w:szCs w:val="18"/>
          <w:b w:val="1"/>
          <w:bCs w:val="1"/>
          <w:color w:val="auto"/>
        </w:rPr>
        <w:t>Existing Lender</w:t>
      </w:r>
      <w:r>
        <w:rPr>
          <w:rFonts w:ascii="Times New Roman" w:cs="Times New Roman" w:eastAsia="Times New Roman" w:hAnsi="Times New Roman"/>
          <w:sz w:val="18"/>
          <w:szCs w:val="18"/>
          <w:color w:val="auto"/>
        </w:rPr>
        <w:t>") may:</w:t>
      </w:r>
    </w:p>
    <w:p>
      <w:pPr>
        <w:spacing w:after="0" w:line="229" w:lineRule="exact"/>
        <w:rPr>
          <w:sz w:val="20"/>
          <w:szCs w:val="20"/>
          <w:color w:val="auto"/>
        </w:rPr>
      </w:pPr>
    </w:p>
    <w:p>
      <w:pPr>
        <w:ind w:left="1300" w:hanging="644"/>
        <w:spacing w:after="0"/>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 any of its rights;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by novation any of its rights and obligations,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(i) a Lender or an Affiliate of a Lender; or (ii) with the prior consent of the Borrower, to any other person.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b w:val="1"/>
          <w:bCs w:val="1"/>
          <w:color w:val="auto"/>
        </w:rPr>
        <w:t>Security over Lenders' rights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addition to the other rights provided to Lender(s) under this Clause 21.2, any Lender may without consulting with or obtaining consent from the Borrower, at any time charge, assign or otherwise create Security in or over (whether by way of collateral or otherwise) all or any of its rights under any Finance Document to secure obligations of that Lender including, without limitation:</w:t>
      </w:r>
    </w:p>
    <w:p>
      <w:pPr>
        <w:spacing w:after="0" w:line="176" w:lineRule="exact"/>
        <w:rPr>
          <w:sz w:val="20"/>
          <w:szCs w:val="20"/>
          <w:color w:val="auto"/>
        </w:rPr>
      </w:pPr>
    </w:p>
    <w:p>
      <w:pPr>
        <w:ind w:left="1300" w:hanging="64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charge, assignment or other Security to secure obligations to a federal reserve or central bank;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charge, assignment or other Security granted to any holders (or trustee or representatives of holders) of obligations owed, or securities issued, by that Lender as security for those obligations or securities,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that no such charge, assignment or Security shall:</w:t>
      </w:r>
    </w:p>
    <w:p>
      <w:pPr>
        <w:spacing w:after="0" w:line="225" w:lineRule="exact"/>
        <w:rPr>
          <w:sz w:val="20"/>
          <w:szCs w:val="20"/>
          <w:color w:val="auto"/>
        </w:rPr>
      </w:pPr>
    </w:p>
    <w:p>
      <w:pPr>
        <w:ind w:left="1960" w:hanging="656"/>
        <w:spacing w:after="0" w:line="282" w:lineRule="auto"/>
        <w:tabs>
          <w:tab w:leader="none" w:pos="19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that Lender from any of its obligations under the Finance Documents or substitute the beneficiary of the relevant charge, assignment or Security for the Lender as a party to any of the Finance Documents; or</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payments to be made by the Borrower other than or in excess of, or grant to any person any more extensive rights than, those required to be made or granted to the relevant Lender under the Finance Documents.</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CHANGES TO THE BORROWER</w:t>
      </w:r>
    </w:p>
    <w:p>
      <w:pPr>
        <w:spacing w:after="0" w:line="2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not assign any of its rights or transfer any of its rights or obligations under the Finance Documents.</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ROLE OF THE AGENT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b w:val="1"/>
          <w:bCs w:val="1"/>
          <w:color w:val="auto"/>
        </w:rPr>
        <w:t>Appointment of the Agent</w:t>
      </w:r>
    </w:p>
    <w:p>
      <w:pPr>
        <w:spacing w:after="0" w:line="229" w:lineRule="exact"/>
        <w:rPr>
          <w:sz w:val="20"/>
          <w:szCs w:val="20"/>
          <w:color w:val="auto"/>
        </w:rPr>
      </w:pPr>
    </w:p>
    <w:p>
      <w:pPr>
        <w:ind w:left="1300" w:hanging="644"/>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appoints the Agent to act as its agent under and in connection with the Finance Documents.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authorises the Agent to perform the duties, obligations and responsibilities and to exercise the rights, powers, authorities and discretions specifically given to the Agent under or in connection with the Finance Documents together with any other incidental rights, powers, authorities and discretions.</w:t>
      </w:r>
    </w:p>
    <w:p>
      <w:pPr>
        <w:spacing w:after="0" w:line="39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b w:val="1"/>
          <w:bCs w:val="1"/>
          <w:color w:val="auto"/>
        </w:rPr>
        <w:t>Instructions</w:t>
      </w:r>
    </w:p>
    <w:p>
      <w:pPr>
        <w:spacing w:after="0" w:line="229" w:lineRule="exact"/>
        <w:rPr>
          <w:sz w:val="20"/>
          <w:szCs w:val="20"/>
          <w:color w:val="auto"/>
        </w:rPr>
      </w:pPr>
    </w:p>
    <w:p>
      <w:pPr>
        <w:ind w:left="1300" w:hanging="644"/>
        <w:spacing w:after="0" w:line="282" w:lineRule="auto"/>
        <w:tabs>
          <w:tab w:leader="none" w:pos="1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 be liable for any act (or omission) if it exercises or refrains from exercising any right, power, authority or discretion vested in it as Agent in accordance with any instructions given to it by the Lender.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be entitled to request instructions, or clarification of any instruction, from the Lender as to whether, and in what manner, it should exercise or refrain from exercising any right, power, authority or discretion. The Agent may refrain from acting unless and until it receives any such instructions or clarification that it has requested.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in the case of decisions stipulated to be a matter for the Lender under the relevant Finance Document and unless a contrary indication appears in a Finance Document, any instructions given to the Agent by the Lender shall override any conflicting instructions given by any other Parties and will be binding on all Finance Parties.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refrain from acting in accordance with any instructions of the Lender until it has received any indemnification and/or security that it may in its discretion require (which may be greater in extent than that contained in the Finance Documents and which may include payment in advance) for any cost, loss or liability which it may incur in complying with those instructions.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instructions, the Agent may act (or refrain from acting) as it considers to be in the best interest of the Lender.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is not authorised to act on behalf of the Lender (without first obtaining the Lender's consent) in any legal or arbitration proceedings relating to any Finance Document.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8"/>
          <w:szCs w:val="18"/>
          <w:b w:val="1"/>
          <w:bCs w:val="1"/>
          <w:color w:val="auto"/>
        </w:rPr>
        <w:t>Duties of the Agent</w:t>
      </w:r>
    </w:p>
    <w:p>
      <w:pPr>
        <w:spacing w:after="0" w:line="229" w:lineRule="exact"/>
        <w:rPr>
          <w:sz w:val="20"/>
          <w:szCs w:val="20"/>
          <w:color w:val="auto"/>
        </w:rPr>
      </w:pPr>
    </w:p>
    <w:p>
      <w:pPr>
        <w:ind w:left="1300" w:hanging="644"/>
        <w:spacing w:after="0"/>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duties under the Finance Documents are solely mechanical and administrative in nature.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promptly forward to a Party the original or a copy of any document which is delivered to the Agent for that Party by any other Party.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a Finance Document specifically provides otherwise, the Agent is not obliged to review or check the adequacy, accuracy or completeness of any document it forwards to another Party.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receives notice from a Party referring to this Agreement, describing a Default and stating that the circumstance described is a Default, it shall promptly notify the other Finance Parties.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is aware of the non-payment of any principal, interest, commitment fee or other fee payable to a Finance Party (other than the Agent) under this Agreement, it shall promptly notify the other Finance Parties.</w:t>
      </w:r>
    </w:p>
    <w:p>
      <w:pPr>
        <w:spacing w:after="0" w:line="37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ind w:left="1300" w:hanging="644"/>
        <w:spacing w:after="0" w:line="282" w:lineRule="auto"/>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have only those duties, obligations and responsibilities expressly specified in the Finance Documents to which it is expressed to be a party (and no others shall be implied).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23.4</w:t>
      </w:r>
      <w:r>
        <w:rPr>
          <w:sz w:val="20"/>
          <w:szCs w:val="20"/>
          <w:color w:val="auto"/>
        </w:rPr>
        <w:tab/>
      </w:r>
      <w:r>
        <w:rPr>
          <w:rFonts w:ascii="Times New Roman" w:cs="Times New Roman" w:eastAsia="Times New Roman" w:hAnsi="Times New Roman"/>
          <w:sz w:val="17"/>
          <w:szCs w:val="17"/>
          <w:b w:val="1"/>
          <w:bCs w:val="1"/>
          <w:color w:val="auto"/>
        </w:rPr>
        <w:t>No fiduciary duties</w:t>
      </w:r>
    </w:p>
    <w:p>
      <w:pPr>
        <w:spacing w:after="0" w:line="229" w:lineRule="exact"/>
        <w:rPr>
          <w:sz w:val="20"/>
          <w:szCs w:val="20"/>
          <w:color w:val="auto"/>
        </w:rPr>
      </w:pPr>
    </w:p>
    <w:p>
      <w:pPr>
        <w:ind w:left="1300" w:hanging="644"/>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any Finance Document constitutes the Agent as a trustee or fiduciary of any other person.</w:t>
      </w:r>
    </w:p>
    <w:p>
      <w:pPr>
        <w:spacing w:after="0" w:line="225" w:lineRule="exact"/>
        <w:rPr>
          <w:rFonts w:ascii="Times New Roman" w:cs="Times New Roman" w:eastAsia="Times New Roman" w:hAnsi="Times New Roman"/>
          <w:sz w:val="18"/>
          <w:szCs w:val="18"/>
          <w:color w:val="auto"/>
        </w:rPr>
      </w:pPr>
    </w:p>
    <w:p>
      <w:pPr>
        <w:ind w:right="240" w:firstLine="656"/>
        <w:spacing w:after="0" w:line="500" w:lineRule="auto"/>
        <w:tabs>
          <w:tab w:leader="none" w:pos="129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 shall not be bound to account to the Lender for any sum or the profit element of any sum received by it for its own account. 23.5 </w:t>
      </w:r>
      <w:r>
        <w:rPr>
          <w:rFonts w:ascii="Times New Roman" w:cs="Times New Roman" w:eastAsia="Times New Roman" w:hAnsi="Times New Roman"/>
          <w:sz w:val="18"/>
          <w:szCs w:val="18"/>
          <w:b w:val="1"/>
          <w:bCs w:val="1"/>
          <w:color w:val="auto"/>
        </w:rPr>
        <w:t>Business with the Borrower</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Agent may accept deposits from, lend money to and generally engage in any kind of banking or other business with the Borrower.</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23.6</w:t>
      </w:r>
      <w:r>
        <w:rPr>
          <w:sz w:val="20"/>
          <w:szCs w:val="20"/>
          <w:color w:val="auto"/>
        </w:rPr>
        <w:tab/>
      </w:r>
      <w:r>
        <w:rPr>
          <w:rFonts w:ascii="Times New Roman" w:cs="Times New Roman" w:eastAsia="Times New Roman" w:hAnsi="Times New Roman"/>
          <w:sz w:val="17"/>
          <w:szCs w:val="17"/>
          <w:b w:val="1"/>
          <w:bCs w:val="1"/>
          <w:color w:val="auto"/>
        </w:rPr>
        <w:t>Rights and discretions</w:t>
      </w:r>
    </w:p>
    <w:p>
      <w:pPr>
        <w:spacing w:after="0" w:line="229" w:lineRule="exact"/>
        <w:rPr>
          <w:sz w:val="20"/>
          <w:szCs w:val="20"/>
          <w:color w:val="auto"/>
        </w:rPr>
      </w:pPr>
    </w:p>
    <w:p>
      <w:pPr>
        <w:ind w:left="1300" w:hanging="644"/>
        <w:spacing w:after="0"/>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rely on any representation, communication, notice or document believed by it to be genuine, correct and appropriately authorised;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that:</w:t>
      </w:r>
    </w:p>
    <w:p>
      <w:pPr>
        <w:spacing w:after="0" w:line="225"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2"/>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instructions received by it from the Lender are duly given in accordance with the terms of the Finance Documents; and</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it has received notice of revocation, that those instructions have not been revoked;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rely on a certificate from any person:</w:t>
      </w:r>
    </w:p>
    <w:p>
      <w:pPr>
        <w:spacing w:after="0" w:line="225"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2"/>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matter of fact or circumstance which might reasonably be expected to be within the knowledge of that person; or</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effect that such person approves of any particular dealing, transaction, step, action or thing,</w:t>
      </w:r>
    </w:p>
    <w:p>
      <w:pPr>
        <w:spacing w:after="0" w:line="225" w:lineRule="exact"/>
        <w:rPr>
          <w:sz w:val="20"/>
          <w:szCs w:val="20"/>
          <w:color w:val="auto"/>
        </w:rPr>
      </w:pPr>
    </w:p>
    <w:p>
      <w:pPr>
        <w:ind w:left="1960"/>
        <w:spacing w:after="0" w:line="282" w:lineRule="auto"/>
        <w:rPr>
          <w:sz w:val="20"/>
          <w:szCs w:val="20"/>
          <w:color w:val="auto"/>
        </w:rPr>
      </w:pPr>
      <w:r>
        <w:rPr>
          <w:rFonts w:ascii="Times New Roman" w:cs="Times New Roman" w:eastAsia="Times New Roman" w:hAnsi="Times New Roman"/>
          <w:sz w:val="18"/>
          <w:szCs w:val="18"/>
          <w:color w:val="auto"/>
        </w:rPr>
        <w:t>as sufficient evidence that that is the case and, in the case of paragraph (A) above, may assume the truth and accuracy of that certificate.</w:t>
      </w:r>
    </w:p>
    <w:p>
      <w:pPr>
        <w:spacing w:after="0" w:line="162" w:lineRule="exact"/>
        <w:rPr>
          <w:sz w:val="20"/>
          <w:szCs w:val="20"/>
          <w:color w:val="auto"/>
        </w:rPr>
      </w:pPr>
    </w:p>
    <w:p>
      <w:pPr>
        <w:ind w:left="1300" w:hanging="644"/>
        <w:spacing w:after="0"/>
        <w:tabs>
          <w:tab w:leader="none" w:pos="13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assume (unless it has received notice to the contrary in its capacity as agent for the Lender) that:</w:t>
      </w:r>
    </w:p>
    <w:p>
      <w:pPr>
        <w:spacing w:after="0" w:line="22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has occurred (unless it has actual knowledge of a Default arising under Clause 20.1 (</w:t>
      </w:r>
      <w:r>
        <w:rPr>
          <w:rFonts w:ascii="Times New Roman" w:cs="Times New Roman" w:eastAsia="Times New Roman" w:hAnsi="Times New Roman"/>
          <w:sz w:val="18"/>
          <w:szCs w:val="18"/>
          <w:i w:val="1"/>
          <w:iCs w:val="1"/>
          <w:color w:val="auto"/>
        </w:rPr>
        <w:t>Non-payment</w:t>
      </w:r>
      <w:r>
        <w:rPr>
          <w:rFonts w:ascii="Times New Roman" w:cs="Times New Roman" w:eastAsia="Times New Roman" w:hAnsi="Times New Roman"/>
          <w:sz w:val="18"/>
          <w:szCs w:val="18"/>
          <w:color w:val="auto"/>
        </w:rPr>
        <w:t>)); and</w:t>
      </w:r>
    </w:p>
    <w:p>
      <w:pPr>
        <w:spacing w:after="0" w:line="22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power, authority or discretion vested in any Party or the Lender has not been exercised.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left="1300" w:hanging="644"/>
        <w:spacing w:after="0" w:line="282" w:lineRule="auto"/>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engage and pay for the advice or services of any lawyers, accountants, tax advisers, surveyors or other professional advisers or experts.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generality of paragraph (c) above or paragraph (e) below, the Agent may at any time engage and pay for the services of any lawyers to act as independent counsel to the Agent (and so separate from any lawyers instructed by the Lender) if the Agent in its reasonable opinion deems this to be necessary.</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rely on the advice or services of any lawyers, accountants, tax advisers, surveyors or other professional advisers or experts (whether obtained by the Agent or by any other Party) and shall not be liable for any damages, costs or losses to any person, any diminution in value or any liability whatsoever arising as a result of its so relying.</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act in relation to the Finance Documents through its officers, employees and agents.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Finance Document expressly provides otherwise, the Agent may disclose to any other Party any information it reasonably believes it has received as agent under this Agreement.</w:t>
      </w:r>
    </w:p>
    <w:p>
      <w:pPr>
        <w:spacing w:after="0" w:line="161"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any Finance Document to the contrary, the Agent is not obliged to do or omit to do anything if it would, or might in its reasonable opinion, constitute a breach of any law or regulation or a breach of a fiduciary duty or duty of confidentiality.</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any Finance Document to the contrary, the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23.7</w:t>
      </w:r>
      <w:r>
        <w:rPr>
          <w:sz w:val="20"/>
          <w:szCs w:val="20"/>
          <w:color w:val="auto"/>
        </w:rPr>
        <w:tab/>
      </w:r>
      <w:r>
        <w:rPr>
          <w:rFonts w:ascii="Times New Roman" w:cs="Times New Roman" w:eastAsia="Times New Roman" w:hAnsi="Times New Roman"/>
          <w:sz w:val="17"/>
          <w:szCs w:val="17"/>
          <w:b w:val="1"/>
          <w:bCs w:val="1"/>
          <w:color w:val="auto"/>
        </w:rPr>
        <w:t>Responsibility for documentation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Agent is not responsible or liable for:</w:t>
      </w:r>
    </w:p>
    <w:p>
      <w:pPr>
        <w:spacing w:after="0" w:line="225" w:lineRule="exact"/>
        <w:rPr>
          <w:sz w:val="20"/>
          <w:szCs w:val="20"/>
          <w:color w:val="auto"/>
        </w:rPr>
      </w:pPr>
    </w:p>
    <w:p>
      <w:pPr>
        <w:jc w:val="both"/>
        <w:ind w:left="1300" w:hanging="644"/>
        <w:spacing w:after="0" w:line="261" w:lineRule="auto"/>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accuracy or completeness of any information (whether oral or written) supplied by the Agent, the Borrower or any other person in or in connection with any Finance Document or the transactions contemplated in the Finance Documents or any other agreement, arrangement or document entered into, made or executed in anticipation of, under or in connection with any Finance Document;</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legality, validity, effectiveness, adequacy or enforceability of any Finance Document or any other agreement, arrangement or document entered into, made or executed in anticipation of, under or in connection with any Finance Document;</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determination as to whether any information provided or to be provided to any Finance Party is non-public information the use of which may be regulated or prohibited by applicable law or regulation relating to insider dealing or otherwise.</w:t>
      </w:r>
    </w:p>
    <w:p>
      <w:pPr>
        <w:spacing w:after="0" w:line="37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23.8</w:t>
      </w:r>
      <w:r>
        <w:rPr>
          <w:sz w:val="20"/>
          <w:szCs w:val="20"/>
          <w:color w:val="auto"/>
        </w:rPr>
        <w:tab/>
      </w:r>
      <w:r>
        <w:rPr>
          <w:rFonts w:ascii="Times New Roman" w:cs="Times New Roman" w:eastAsia="Times New Roman" w:hAnsi="Times New Roman"/>
          <w:sz w:val="18"/>
          <w:szCs w:val="18"/>
          <w:b w:val="1"/>
          <w:bCs w:val="1"/>
          <w:color w:val="auto"/>
        </w:rPr>
        <w:t>No duty to monitor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Agent shall not be bound to enquire:</w:t>
      </w:r>
    </w:p>
    <w:p>
      <w:pPr>
        <w:spacing w:after="0" w:line="225" w:lineRule="exact"/>
        <w:rPr>
          <w:sz w:val="20"/>
          <w:szCs w:val="20"/>
          <w:color w:val="auto"/>
        </w:rPr>
      </w:pPr>
    </w:p>
    <w:p>
      <w:pPr>
        <w:ind w:left="1300" w:hanging="644"/>
        <w:spacing w:after="0"/>
        <w:tabs>
          <w:tab w:leader="none" w:pos="13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any Default has occurred;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performance, default or any breach by any Party of its obligations under any Finance Document;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other event specified in any Finance Document has occurred.</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23.9</w:t>
      </w:r>
      <w:r>
        <w:rPr>
          <w:sz w:val="20"/>
          <w:szCs w:val="20"/>
          <w:color w:val="auto"/>
        </w:rPr>
        <w:tab/>
      </w:r>
      <w:r>
        <w:rPr>
          <w:rFonts w:ascii="Times New Roman" w:cs="Times New Roman" w:eastAsia="Times New Roman" w:hAnsi="Times New Roman"/>
          <w:sz w:val="17"/>
          <w:szCs w:val="17"/>
          <w:b w:val="1"/>
          <w:bCs w:val="1"/>
          <w:color w:val="auto"/>
        </w:rPr>
        <w:t>Exclusion of liability</w:t>
      </w:r>
    </w:p>
    <w:p>
      <w:pPr>
        <w:spacing w:after="0" w:line="229" w:lineRule="exact"/>
        <w:rPr>
          <w:sz w:val="20"/>
          <w:szCs w:val="20"/>
          <w:color w:val="auto"/>
        </w:rPr>
      </w:pPr>
    </w:p>
    <w:p>
      <w:pPr>
        <w:ind w:left="1300" w:hanging="644"/>
        <w:spacing w:after="0" w:line="282" w:lineRule="auto"/>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paragraph (b) below (and without prejudice to any other provision of any Finance Document excluding or limiting the liability of the Agent), the Agent will not be liable for:</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damages, costs or losses to any person, any diminution in value, or any liability whatsoever arising as a result of taking or not taking any action under or in connection with any Finance Document, unless directly caused by its gross negligence or wilful misconduct;</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or not exercising, any right, power, authority or discretion given to it by, or in connection with, any Finance Document or any other agreement, arrangement or document entered into, made or executed in anticipation of, under or in connection with, any Finance Document; or</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generality of paragraphs (i) and (ii) above, any damages, costs or losses to any person, any diminution in value or any liability whatsoever (including, without limitation, for negligence or any other category of liability whatsoever but not including any claim based on the fraud of the Agent) arising as a result of:</w:t>
      </w:r>
    </w:p>
    <w:p>
      <w:pPr>
        <w:spacing w:after="0" w:line="17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event or circumstance not reasonably within its control; or</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risks of investment in, or the holding of assets in, any jurisdiction,</w:t>
      </w:r>
    </w:p>
    <w:p>
      <w:pPr>
        <w:spacing w:after="0" w:line="225" w:lineRule="exact"/>
        <w:rPr>
          <w:sz w:val="20"/>
          <w:szCs w:val="20"/>
          <w:color w:val="auto"/>
        </w:rPr>
      </w:pPr>
    </w:p>
    <w:p>
      <w:pPr>
        <w:jc w:val="both"/>
        <w:ind w:left="1960"/>
        <w:spacing w:after="0" w:line="258" w:lineRule="auto"/>
        <w:rPr>
          <w:sz w:val="20"/>
          <w:szCs w:val="20"/>
          <w:color w:val="auto"/>
        </w:rPr>
      </w:pPr>
      <w:r>
        <w:rPr>
          <w:rFonts w:ascii="Times New Roman" w:cs="Times New Roman" w:eastAsia="Times New Roman" w:hAnsi="Times New Roman"/>
          <w:sz w:val="18"/>
          <w:szCs w:val="18"/>
          <w:color w:val="auto"/>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jc w:val="both"/>
        <w:ind w:left="1300" w:hanging="644"/>
        <w:spacing w:after="0" w:line="266" w:lineRule="auto"/>
        <w:tabs>
          <w:tab w:leader="none" w:pos="13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(other than the Agent) may take any proceedings against any officer, employee or agent of the Agent in respect of any claim it might have against the Agent or in respect of any act or omission of any kind by that officer, employee or agent in relation to any Finance Document and any officer, employee or agent of the Agent may rely on this paragraph (b).</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will not be liable for any delay (or any related consequences) in crediting an account with an amount required under the Finance Documents to be paid by the Agent if the Agent has taken all necessary steps as soon as reasonably practicable to comply with the regulations or operating procedures of any recognised clearing or settlement system used by the Agent for that purpose.</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shall oblige the Agent to carry out: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"know your customer" or other checks in relation to any person;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check on the extent to which any transaction contemplated by this Agreement might be unlawful for any Lender,</w:t>
      </w:r>
    </w:p>
    <w:p>
      <w:pPr>
        <w:spacing w:after="0" w:line="225"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on behalf of any Lender and each Lender confirms to the Agent that it is solely responsible for any such checks it is required to carry out and that it may not rely on any statement in relation to such checks made by the Agent.</w:t>
      </w:r>
    </w:p>
    <w:p>
      <w:pPr>
        <w:spacing w:after="0" w:line="162" w:lineRule="exact"/>
        <w:rPr>
          <w:sz w:val="20"/>
          <w:szCs w:val="20"/>
          <w:color w:val="auto"/>
        </w:rPr>
      </w:pPr>
    </w:p>
    <w:p>
      <w:pPr>
        <w:jc w:val="both"/>
        <w:ind w:left="1300" w:hanging="644"/>
        <w:spacing w:after="0" w:line="256" w:lineRule="auto"/>
        <w:tabs>
          <w:tab w:leader="none" w:pos="13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any provision of any Finance Document excluding or limiting the Agent's liability, any liability of the Agent arising under or in connection with any Finance Document shall be limited to the amount of actual loss which has been suffered (as determined by reference to the date of default of the Agent or, if later, the date on which the loss arises as a result of such default) but without reference to any special conditions or circumstances known to the Agent at any time which increase the amount of that loss. In no event shall the Agent be liable for any loss of profits, goodwill, reputation, business opportunity or anticipated saving, or for special, punitive, indirect or consequential damages, whether or not the Agent has been advised of the possibility of such loss or damages.</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23.10</w:t>
      </w:r>
      <w:r>
        <w:rPr>
          <w:sz w:val="20"/>
          <w:szCs w:val="20"/>
          <w:color w:val="auto"/>
        </w:rPr>
        <w:tab/>
      </w:r>
      <w:r>
        <w:rPr>
          <w:rFonts w:ascii="Times New Roman" w:cs="Times New Roman" w:eastAsia="Times New Roman" w:hAnsi="Times New Roman"/>
          <w:sz w:val="17"/>
          <w:szCs w:val="17"/>
          <w:b w:val="1"/>
          <w:bCs w:val="1"/>
          <w:color w:val="auto"/>
        </w:rPr>
        <w:t>Lender's indemnity to the Agent</w:t>
      </w:r>
    </w:p>
    <w:p>
      <w:pPr>
        <w:spacing w:after="0" w:line="229" w:lineRule="exact"/>
        <w:rPr>
          <w:sz w:val="20"/>
          <w:szCs w:val="20"/>
          <w:color w:val="auto"/>
        </w:rPr>
      </w:pPr>
    </w:p>
    <w:p>
      <w:pPr>
        <w:jc w:val="both"/>
        <w:ind w:left="1300" w:hanging="644"/>
        <w:spacing w:after="0" w:line="256" w:lineRule="auto"/>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shall indemnify the Agent, within three Business Days of demand, against any cost, loss or liability (including, without limitation, for negligence or any other category of liability whatsoever) incurred by the Agent (otherwise than by reason of the Agent's gross negligence or wilful misconduct) (or, in the case of any cost, loss or liability pursuant to Clause 25.10 (</w:t>
      </w:r>
      <w:r>
        <w:rPr>
          <w:rFonts w:ascii="Times New Roman" w:cs="Times New Roman" w:eastAsia="Times New Roman" w:hAnsi="Times New Roman"/>
          <w:sz w:val="18"/>
          <w:szCs w:val="18"/>
          <w:i w:val="1"/>
          <w:iCs w:val="1"/>
          <w:color w:val="auto"/>
        </w:rPr>
        <w:t>Disruption to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systems etc.</w:t>
      </w:r>
      <w:r>
        <w:rPr>
          <w:rFonts w:ascii="Times New Roman" w:cs="Times New Roman" w:eastAsia="Times New Roman" w:hAnsi="Times New Roman"/>
          <w:sz w:val="18"/>
          <w:szCs w:val="18"/>
          <w:color w:val="auto"/>
        </w:rPr>
        <w:t>), notwithstanding the Agent's negligence, gross negligence or any other category of liability whatsoever but not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claim based on the fraud of the Agent) in acting as Agent under the Finance Documents (unless the Agent has been reimbursed by the Borrower pursuant to a Finance Document).</w:t>
      </w:r>
    </w:p>
    <w:p>
      <w:pPr>
        <w:spacing w:after="0" w:line="18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immediately on demand reimburse the Lender for any payment that Lender makes to the Agent pursuant to paragraph</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above.</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23.11</w:t>
      </w:r>
      <w:r>
        <w:rPr>
          <w:sz w:val="20"/>
          <w:szCs w:val="20"/>
          <w:color w:val="auto"/>
        </w:rPr>
        <w:tab/>
      </w:r>
      <w:r>
        <w:rPr>
          <w:rFonts w:ascii="Times New Roman" w:cs="Times New Roman" w:eastAsia="Times New Roman" w:hAnsi="Times New Roman"/>
          <w:sz w:val="17"/>
          <w:szCs w:val="17"/>
          <w:b w:val="1"/>
          <w:bCs w:val="1"/>
          <w:color w:val="auto"/>
        </w:rPr>
        <w:t>Confidentiality</w:t>
      </w:r>
    </w:p>
    <w:p>
      <w:pPr>
        <w:spacing w:after="0" w:line="229" w:lineRule="exact"/>
        <w:rPr>
          <w:sz w:val="20"/>
          <w:szCs w:val="20"/>
          <w:color w:val="auto"/>
        </w:rPr>
      </w:pPr>
    </w:p>
    <w:p>
      <w:pPr>
        <w:ind w:left="1300" w:hanging="644"/>
        <w:spacing w:after="0" w:line="282" w:lineRule="auto"/>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acting as agent for the Finance Parties, the Agent shall be regarded as acting through its agency division which shall be treated as a separate entity from any other of its divisions or departments.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information is received by another division or department of the Agent, it may be treated as confidential to that division or department and the Agent shall not be deemed to have notice of it.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23.12</w:t>
      </w:r>
      <w:r>
        <w:rPr>
          <w:sz w:val="20"/>
          <w:szCs w:val="20"/>
          <w:color w:val="auto"/>
        </w:rPr>
        <w:tab/>
      </w:r>
      <w:r>
        <w:rPr>
          <w:rFonts w:ascii="Times New Roman" w:cs="Times New Roman" w:eastAsia="Times New Roman" w:hAnsi="Times New Roman"/>
          <w:sz w:val="17"/>
          <w:szCs w:val="17"/>
          <w:b w:val="1"/>
          <w:bCs w:val="1"/>
          <w:color w:val="auto"/>
        </w:rPr>
        <w:t>Relationship with the Lender</w:t>
      </w:r>
    </w:p>
    <w:p>
      <w:pPr>
        <w:spacing w:after="0" w:line="229" w:lineRule="exact"/>
        <w:rPr>
          <w:sz w:val="20"/>
          <w:szCs w:val="20"/>
          <w:color w:val="auto"/>
        </w:rPr>
      </w:pPr>
    </w:p>
    <w:p>
      <w:pPr>
        <w:ind w:left="1300" w:right="20" w:hanging="644"/>
        <w:spacing w:after="0" w:line="282" w:lineRule="auto"/>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treat the person shown in its records as Lender at the opening of business (in the place of the Agent's principal office as notified to the Finance Parties from time to time) as the Lender acting through its Facility Office:</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entitled to or liable for any payment due under any Finance Document on that day; and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entitled to receive and act upon any notice, request, document or communication or make any decision or determination under any Finance Document made or delivered on that day,</w:t>
      </w:r>
    </w:p>
    <w:p>
      <w:pPr>
        <w:spacing w:after="0" w:line="162"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unless it has received not less than five Business Days' prior notice from that Lender to the contrary in accordance with the terms of this Agreement.</w:t>
      </w:r>
    </w:p>
    <w:p>
      <w:pPr>
        <w:spacing w:after="0" w:line="162" w:lineRule="exact"/>
        <w:rPr>
          <w:sz w:val="20"/>
          <w:szCs w:val="20"/>
          <w:color w:val="auto"/>
        </w:rPr>
      </w:pPr>
    </w:p>
    <w:p>
      <w:pPr>
        <w:jc w:val="both"/>
        <w:ind w:left="1300" w:hanging="644"/>
        <w:spacing w:after="0" w:line="254" w:lineRule="auto"/>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may by notice to the Agent appoint a person to receive on its behalf all notices, communications, information and documents to be made or despatched to that Lender under the Finance Documents. Such notice shall contain the address and (where communication by electronic mail or other electronic means is permitted under Clause 27.5 (</w:t>
      </w:r>
      <w:r>
        <w:rPr>
          <w:rFonts w:ascii="Times New Roman" w:cs="Times New Roman" w:eastAsia="Times New Roman" w:hAnsi="Times New Roman"/>
          <w:sz w:val="18"/>
          <w:szCs w:val="18"/>
          <w:i w:val="1"/>
          <w:iCs w:val="1"/>
          <w:color w:val="auto"/>
        </w:rPr>
        <w:t>Electronic communication</w:t>
      </w:r>
      <w:r>
        <w:rPr>
          <w:rFonts w:ascii="Times New Roman" w:cs="Times New Roman" w:eastAsia="Times New Roman" w:hAnsi="Times New Roman"/>
          <w:sz w:val="18"/>
          <w:szCs w:val="18"/>
          <w:color w:val="auto"/>
        </w:rPr>
        <w:t>)) electronic mail address and/or any other information required to enable the transmission of information by that means (and, in each case, the department or officer, if any, for whose attention communication is to be made) and be treated as a notification of a substitute address, electronic mail address (or such other information), department and officer by that Lender for the purposes of Clause 27.2 (</w:t>
      </w:r>
      <w:r>
        <w:rPr>
          <w:rFonts w:ascii="Times New Roman" w:cs="Times New Roman" w:eastAsia="Times New Roman" w:hAnsi="Times New Roman"/>
          <w:sz w:val="18"/>
          <w:szCs w:val="18"/>
          <w:i w:val="1"/>
          <w:iCs w:val="1"/>
          <w:color w:val="auto"/>
        </w:rPr>
        <w:t>Addresses</w:t>
      </w:r>
      <w:r>
        <w:rPr>
          <w:rFonts w:ascii="Times New Roman" w:cs="Times New Roman" w:eastAsia="Times New Roman" w:hAnsi="Times New Roman"/>
          <w:sz w:val="18"/>
          <w:szCs w:val="18"/>
          <w:color w:val="auto"/>
        </w:rPr>
        <w:t>) and paragraph (a)(ii) of Clause 27.5 (</w:t>
      </w:r>
      <w:r>
        <w:rPr>
          <w:rFonts w:ascii="Times New Roman" w:cs="Times New Roman" w:eastAsia="Times New Roman" w:hAnsi="Times New Roman"/>
          <w:sz w:val="18"/>
          <w:szCs w:val="18"/>
          <w:i w:val="1"/>
          <w:iCs w:val="1"/>
          <w:color w:val="auto"/>
        </w:rPr>
        <w:t>Electronic communication</w:t>
      </w:r>
      <w:r>
        <w:rPr>
          <w:rFonts w:ascii="Times New Roman" w:cs="Times New Roman" w:eastAsia="Times New Roman" w:hAnsi="Times New Roman"/>
          <w:sz w:val="18"/>
          <w:szCs w:val="18"/>
          <w:color w:val="auto"/>
        </w:rPr>
        <w:t>) and the Agent shall be entitled to treat such person as the person entitled to receive all such notices, communications, information and documents as though that person were the Lender.</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23.13</w:t>
      </w:r>
      <w:r>
        <w:rPr>
          <w:sz w:val="20"/>
          <w:szCs w:val="20"/>
          <w:color w:val="auto"/>
        </w:rPr>
        <w:tab/>
      </w:r>
      <w:r>
        <w:rPr>
          <w:rFonts w:ascii="Times New Roman" w:cs="Times New Roman" w:eastAsia="Times New Roman" w:hAnsi="Times New Roman"/>
          <w:sz w:val="17"/>
          <w:szCs w:val="17"/>
          <w:b w:val="1"/>
          <w:bCs w:val="1"/>
          <w:color w:val="auto"/>
        </w:rPr>
        <w:t>Credit appraisal by the Lender</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Without affecting the responsibility of the Borrower for information supplied by it or on its behalf in connection with any Finance Document, the Lender confirms to the Agent that it has been, and will continue to be, solely responsible for making its own independent appraisal and investigation of all risks arising under or in connection with any Finance Document including but not limited to:</w:t>
      </w:r>
    </w:p>
    <w:p>
      <w:pPr>
        <w:spacing w:after="0" w:line="176" w:lineRule="exact"/>
        <w:rPr>
          <w:sz w:val="20"/>
          <w:szCs w:val="20"/>
          <w:color w:val="auto"/>
        </w:rPr>
      </w:pPr>
    </w:p>
    <w:p>
      <w:pPr>
        <w:ind w:left="1300" w:hanging="644"/>
        <w:spacing w:after="0"/>
        <w:tabs>
          <w:tab w:leader="none" w:pos="13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status and nature of the Borrower;</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ind w:left="1300" w:hanging="644"/>
        <w:spacing w:after="0" w:line="282" w:lineRule="auto"/>
        <w:tabs>
          <w:tab w:leader="none" w:pos="13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legality, validity, effectiveness, adequacy or enforceability of any Finance Document and any other agreement, arrangement or document entered into, made or executed in anticipation of, under or in connection with any Finance Document;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Lender has recourse, and the nature and extent of that recourse, against any Party or any of its respective assets under or in connection with any Finance Document, the transactions contemplated by the Finance Documents or any other agreement, arrangement or document entered into, made or executed in anticipation of, under or in connection with any Finance Document;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accuracy or completeness of the Information and any other information provided by the Agent, any Party or by any other person under or in connection with any Finance Document, the transactions contemplated by any Finance Document or any other agreement, arrangement or document entered into, made or executed in anticipation of, under or in connection with any Finance Document.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23.14</w:t>
      </w:r>
      <w:r>
        <w:rPr>
          <w:sz w:val="20"/>
          <w:szCs w:val="20"/>
          <w:color w:val="auto"/>
        </w:rPr>
        <w:tab/>
      </w:r>
      <w:r>
        <w:rPr>
          <w:rFonts w:ascii="Times New Roman" w:cs="Times New Roman" w:eastAsia="Times New Roman" w:hAnsi="Times New Roman"/>
          <w:sz w:val="17"/>
          <w:szCs w:val="17"/>
          <w:b w:val="1"/>
          <w:bCs w:val="1"/>
          <w:color w:val="auto"/>
        </w:rPr>
        <w:t>Deduction from amounts payable by the Agent</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If any Party owes an amount to the Agent under the Finance Documents the Agent may, after giving notice to that Party, deduct an amount not exceeding that amount from any payment to that Party which the Agent would otherwise be obliged to make under the Finance Documents and apply the amount deducted in or towards satisfaction of the amount owed. For the purposes of the Finance Documents that Party shall be regarded as having received any amount so deducted.</w:t>
      </w:r>
    </w:p>
    <w:p>
      <w:pPr>
        <w:spacing w:after="0" w:line="176" w:lineRule="exact"/>
        <w:rPr>
          <w:sz w:val="20"/>
          <w:szCs w:val="20"/>
          <w:color w:val="auto"/>
        </w:rPr>
      </w:pPr>
    </w:p>
    <w:p>
      <w:pPr>
        <w:ind w:left="660" w:right="6080" w:hanging="652"/>
        <w:spacing w:after="0" w:line="503" w:lineRule="auto"/>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CONDUCT OF BUSINESS BY THE FINANCE PARTIES </w:t>
      </w:r>
      <w:r>
        <w:rPr>
          <w:rFonts w:ascii="Times New Roman" w:cs="Times New Roman" w:eastAsia="Times New Roman" w:hAnsi="Times New Roman"/>
          <w:sz w:val="18"/>
          <w:szCs w:val="18"/>
          <w:color w:val="auto"/>
        </w:rPr>
        <w:t>No provision of this Agreement will:</w:t>
      </w:r>
    </w:p>
    <w:p>
      <w:pPr>
        <w:ind w:left="1300" w:hanging="644"/>
        <w:spacing w:after="0"/>
        <w:tabs>
          <w:tab w:leader="none" w:pos="130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interfere with the right of any Finance Party to arrange its affairs (tax or otherwise) in whatever manner it thinks fit;</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oblige any Finance Party to investigate or claim any credit, relief, remission or repayment available to it or the extent, order and manner of any claim;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oblige any Finance Party to disclose any information relating to its affairs (tax or otherwise) or any computations in respect of Tax.</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 MECHANICS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25.1</w:t>
      </w:r>
      <w:r>
        <w:rPr>
          <w:sz w:val="20"/>
          <w:szCs w:val="20"/>
          <w:color w:val="auto"/>
        </w:rPr>
        <w:tab/>
      </w:r>
      <w:r>
        <w:rPr>
          <w:rFonts w:ascii="Times New Roman" w:cs="Times New Roman" w:eastAsia="Times New Roman" w:hAnsi="Times New Roman"/>
          <w:sz w:val="18"/>
          <w:szCs w:val="18"/>
          <w:b w:val="1"/>
          <w:bCs w:val="1"/>
          <w:color w:val="auto"/>
        </w:rPr>
        <w:t>Payments to the Agent</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date on which the Borrower or the Lender is required to make a payment under a Finance Document, the Borrower or the Lender shall make the same available to the Agent (unless a contrary indication appears in a Finance Document) for value on the due date at the time and in such funds specified by the Agent as being customary at the time for settlement of transactions in the relevant currency in the place of payment.</w:t>
      </w:r>
    </w:p>
    <w:p>
      <w:pPr>
        <w:spacing w:after="0" w:line="39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ind w:left="1300" w:right="20" w:hanging="644"/>
        <w:spacing w:after="0" w:line="282" w:lineRule="auto"/>
        <w:tabs>
          <w:tab w:leader="none" w:pos="13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be made to such account in the principal financial centre of the country of that currency and with such bank as the Agent, in each case, specifies.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25.2</w:t>
      </w:r>
      <w:r>
        <w:rPr>
          <w:sz w:val="20"/>
          <w:szCs w:val="20"/>
          <w:color w:val="auto"/>
        </w:rPr>
        <w:tab/>
      </w:r>
      <w:r>
        <w:rPr>
          <w:rFonts w:ascii="Times New Roman" w:cs="Times New Roman" w:eastAsia="Times New Roman" w:hAnsi="Times New Roman"/>
          <w:sz w:val="18"/>
          <w:szCs w:val="18"/>
          <w:b w:val="1"/>
          <w:bCs w:val="1"/>
          <w:color w:val="auto"/>
        </w:rPr>
        <w:t>Distributions by the Agent</w:t>
      </w:r>
    </w:p>
    <w:p>
      <w:pPr>
        <w:spacing w:after="0" w:line="22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Each payment received by the Agent under the Finance Documents for another Party shall, subject to Clause 25.3 (</w:t>
      </w:r>
      <w:r>
        <w:rPr>
          <w:rFonts w:ascii="Times New Roman" w:cs="Times New Roman" w:eastAsia="Times New Roman" w:hAnsi="Times New Roman"/>
          <w:sz w:val="18"/>
          <w:szCs w:val="18"/>
          <w:i w:val="1"/>
          <w:iCs w:val="1"/>
          <w:color w:val="auto"/>
        </w:rPr>
        <w:t>Distributions to the Borrower</w:t>
      </w:r>
      <w:r>
        <w:rPr>
          <w:rFonts w:ascii="Times New Roman" w:cs="Times New Roman" w:eastAsia="Times New Roman" w:hAnsi="Times New Roman"/>
          <w:sz w:val="18"/>
          <w:szCs w:val="18"/>
          <w:color w:val="auto"/>
        </w:rPr>
        <w:t>), Clause 25.4 (</w:t>
      </w:r>
      <w:r>
        <w:rPr>
          <w:rFonts w:ascii="Times New Roman" w:cs="Times New Roman" w:eastAsia="Times New Roman" w:hAnsi="Times New Roman"/>
          <w:sz w:val="18"/>
          <w:szCs w:val="18"/>
          <w:i w:val="1"/>
          <w:iCs w:val="1"/>
          <w:color w:val="auto"/>
        </w:rPr>
        <w:t>Clawback and pre-funding</w:t>
      </w:r>
      <w:r>
        <w:rPr>
          <w:rFonts w:ascii="Times New Roman" w:cs="Times New Roman" w:eastAsia="Times New Roman" w:hAnsi="Times New Roman"/>
          <w:sz w:val="18"/>
          <w:szCs w:val="18"/>
          <w:color w:val="auto"/>
        </w:rPr>
        <w:t>) and Clause 23.14 (</w:t>
      </w:r>
      <w:r>
        <w:rPr>
          <w:rFonts w:ascii="Times New Roman" w:cs="Times New Roman" w:eastAsia="Times New Roman" w:hAnsi="Times New Roman"/>
          <w:sz w:val="18"/>
          <w:szCs w:val="18"/>
          <w:i w:val="1"/>
          <w:iCs w:val="1"/>
          <w:color w:val="auto"/>
        </w:rPr>
        <w:t>Deduction from amounts payable by the Agent</w:t>
      </w:r>
      <w:r>
        <w:rPr>
          <w:rFonts w:ascii="Times New Roman" w:cs="Times New Roman" w:eastAsia="Times New Roman" w:hAnsi="Times New Roman"/>
          <w:sz w:val="18"/>
          <w:szCs w:val="18"/>
          <w:color w:val="auto"/>
        </w:rPr>
        <w:t>) be made available by the Agent as soon as practicable after receipt to the Party entitled to receive payment in accordance with this Agreement (in the case of a Lender, for the account of its Facility Office), to such account as that Party may notify to the Agent by not less than five Business Days' notice with a bank specified by that Party in the principal financial centre of the country of that currency.</w:t>
      </w:r>
    </w:p>
    <w:p>
      <w:pPr>
        <w:spacing w:after="0" w:line="1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25.3</w:t>
      </w:r>
      <w:r>
        <w:rPr>
          <w:sz w:val="20"/>
          <w:szCs w:val="20"/>
          <w:color w:val="auto"/>
        </w:rPr>
        <w:tab/>
      </w:r>
      <w:r>
        <w:rPr>
          <w:rFonts w:ascii="Times New Roman" w:cs="Times New Roman" w:eastAsia="Times New Roman" w:hAnsi="Times New Roman"/>
          <w:sz w:val="17"/>
          <w:szCs w:val="17"/>
          <w:b w:val="1"/>
          <w:bCs w:val="1"/>
          <w:color w:val="auto"/>
        </w:rPr>
        <w:t>Distributions to the Borrower</w:t>
      </w:r>
    </w:p>
    <w:p>
      <w:pPr>
        <w:spacing w:after="0" w:line="227"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color w:val="auto"/>
        </w:rPr>
        <w:t>The Agent may (with the consent of the Borrower or in accordance with Clause 26 (</w:t>
      </w:r>
      <w:r>
        <w:rPr>
          <w:rFonts w:ascii="Times New Roman" w:cs="Times New Roman" w:eastAsia="Times New Roman" w:hAnsi="Times New Roman"/>
          <w:sz w:val="18"/>
          <w:szCs w:val="18"/>
          <w:i w:val="1"/>
          <w:iCs w:val="1"/>
          <w:color w:val="auto"/>
        </w:rPr>
        <w:t>Set-off</w:t>
      </w:r>
      <w:r>
        <w:rPr>
          <w:rFonts w:ascii="Times New Roman" w:cs="Times New Roman" w:eastAsia="Times New Roman" w:hAnsi="Times New Roman"/>
          <w:sz w:val="18"/>
          <w:szCs w:val="18"/>
          <w:color w:val="auto"/>
        </w:rPr>
        <w:t>)) apply any amount received by it for the Borrower in or towards payment (on the date and in the currency and funds of receipt) of any amount due from the Borrower under the Finance Documents or in or towards purchase of any amount of any currency to be so applied.</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25.4</w:t>
      </w:r>
      <w:r>
        <w:rPr>
          <w:sz w:val="20"/>
          <w:szCs w:val="20"/>
          <w:color w:val="auto"/>
        </w:rPr>
        <w:tab/>
      </w:r>
      <w:r>
        <w:rPr>
          <w:rFonts w:ascii="Times New Roman" w:cs="Times New Roman" w:eastAsia="Times New Roman" w:hAnsi="Times New Roman"/>
          <w:sz w:val="17"/>
          <w:szCs w:val="17"/>
          <w:b w:val="1"/>
          <w:bCs w:val="1"/>
          <w:color w:val="auto"/>
        </w:rPr>
        <w:t>Clawback and pre-funding</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sum is to be paid to the Agent under the Finance Documents for another Party, the Agent is not obliged to pay that sum to that other Party (or to enter into or perform any related exchange contract) until it has been able to establish to its satisfaction that it has actually received that sum.</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paragraph (c) below applies, if the Agent pays an amount to another Party and it proves to be the case that the Agent had not actually received that amount, then the Party to whom that amount (or the proceeds of any related exchange contract) was paid by the Agent shall on demand refund the same to the Agent together with interest on that amount from the date of payment to the date of receipt by the Agent, calculated by the Agent to reflect its cost of funds.</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is willing to make available amounts for the account of the Borrower before receiving funds from the Lender then if and to the extent that the Agent does so but it proves to be the case that it does not then receive funds from a Lender in respect of a sum which it paid to the Borrower:</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on demand refund it to the Agent; and</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by whom those funds should have been made available or, if that Lender fails to do so, the Borrower shall on demand pay to the Agent the amount (as certified by the Agent) which will indemnify the Agent against any funding cost incurred by it as a result of paying out that sum before receiving those funds from that Lender.</w:t>
      </w:r>
    </w:p>
    <w:p>
      <w:pPr>
        <w:spacing w:after="0" w:line="39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25.5</w:t>
      </w:r>
      <w:r>
        <w:rPr>
          <w:sz w:val="20"/>
          <w:szCs w:val="20"/>
          <w:color w:val="auto"/>
        </w:rPr>
        <w:tab/>
      </w:r>
      <w:r>
        <w:rPr>
          <w:rFonts w:ascii="Times New Roman" w:cs="Times New Roman" w:eastAsia="Times New Roman" w:hAnsi="Times New Roman"/>
          <w:sz w:val="18"/>
          <w:szCs w:val="18"/>
          <w:b w:val="1"/>
          <w:bCs w:val="1"/>
          <w:color w:val="auto"/>
        </w:rPr>
        <w:t>Partial payments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receives a payment that is insufficient to discharge all the amounts then due and payable by the Borrower under the Finance Documents, the Agent shall apply that payment towards the obligations of the Borrower under the Finance Documents in the following order:</w:t>
      </w:r>
    </w:p>
    <w:p>
      <w:pPr>
        <w:spacing w:after="0" w:line="17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in or towards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unpaid amount owing to the Agent under the Finance Documents;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secondly</w:t>
      </w:r>
      <w:r>
        <w:rPr>
          <w:rFonts w:ascii="Times New Roman" w:cs="Times New Roman" w:eastAsia="Times New Roman" w:hAnsi="Times New Roman"/>
          <w:sz w:val="18"/>
          <w:szCs w:val="18"/>
          <w:color w:val="auto"/>
        </w:rPr>
        <w:t>, in or towards payment pro rata of any accrued interest, fee or commission due but unpaid under this Agreement;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thirdly</w:t>
      </w:r>
      <w:r>
        <w:rPr>
          <w:rFonts w:ascii="Times New Roman" w:cs="Times New Roman" w:eastAsia="Times New Roman" w:hAnsi="Times New Roman"/>
          <w:sz w:val="18"/>
          <w:szCs w:val="18"/>
          <w:color w:val="auto"/>
        </w:rPr>
        <w:t>, in or towards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principal due but unpaid under this Agreement;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fourthly</w:t>
      </w:r>
      <w:r>
        <w:rPr>
          <w:rFonts w:ascii="Times New Roman" w:cs="Times New Roman" w:eastAsia="Times New Roman" w:hAnsi="Times New Roman"/>
          <w:sz w:val="18"/>
          <w:szCs w:val="18"/>
          <w:color w:val="auto"/>
        </w:rPr>
        <w:t>, in or towards payment pro rata of any other sum due but unpaid under the Finance Documents.</w:t>
      </w:r>
    </w:p>
    <w:p>
      <w:pPr>
        <w:spacing w:after="0" w:line="22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if so directed by the Lender, vary the order set out in paragraphs (a)(ii) to (a)(iv) above.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Paragraphs (a) and (b) above will override any appropriation made by the Borrower.</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25.6</w:t>
      </w:r>
      <w:r>
        <w:rPr>
          <w:sz w:val="20"/>
          <w:szCs w:val="20"/>
          <w:color w:val="auto"/>
        </w:rPr>
        <w:tab/>
      </w:r>
      <w:r>
        <w:rPr>
          <w:rFonts w:ascii="Times New Roman" w:cs="Times New Roman" w:eastAsia="Times New Roman" w:hAnsi="Times New Roman"/>
          <w:sz w:val="18"/>
          <w:szCs w:val="18"/>
          <w:b w:val="1"/>
          <w:bCs w:val="1"/>
          <w:color w:val="auto"/>
        </w:rPr>
        <w:t>No set-off by the Borrower</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All payments to be made by the Borrower under the Finance Documents shall be calculated and be made without (and free and clear of any deduction for) set-off or counterclaim.</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25.7</w:t>
      </w:r>
      <w:r>
        <w:rPr>
          <w:sz w:val="20"/>
          <w:szCs w:val="20"/>
          <w:color w:val="auto"/>
        </w:rPr>
        <w:tab/>
      </w:r>
      <w:r>
        <w:rPr>
          <w:rFonts w:ascii="Times New Roman" w:cs="Times New Roman" w:eastAsia="Times New Roman" w:hAnsi="Times New Roman"/>
          <w:sz w:val="17"/>
          <w:szCs w:val="17"/>
          <w:b w:val="1"/>
          <w:bCs w:val="1"/>
          <w:color w:val="auto"/>
        </w:rPr>
        <w:t>Business Days</w:t>
      </w:r>
    </w:p>
    <w:p>
      <w:pPr>
        <w:spacing w:after="0" w:line="229" w:lineRule="exact"/>
        <w:rPr>
          <w:sz w:val="20"/>
          <w:szCs w:val="20"/>
          <w:color w:val="auto"/>
        </w:rPr>
      </w:pPr>
    </w:p>
    <w:p>
      <w:pPr>
        <w:ind w:left="1300" w:hanging="644"/>
        <w:spacing w:after="0" w:line="282" w:lineRule="auto"/>
        <w:tabs>
          <w:tab w:leader="none" w:pos="13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under any Finance Document which is due to be made on a day that is not a Business Day shall be made on the next Business Day in the same calendar month (if there is one) or the preceding Business Day (if there is not).</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extension of the due date for payment of any principal or Unpaid Sum under this Agreement interest is payable on the principal or Unpaid Sum at the rate payable on the original due date.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25.8</w:t>
      </w:r>
      <w:r>
        <w:rPr>
          <w:sz w:val="20"/>
          <w:szCs w:val="20"/>
          <w:color w:val="auto"/>
        </w:rPr>
        <w:tab/>
      </w:r>
      <w:r>
        <w:rPr>
          <w:rFonts w:ascii="Times New Roman" w:cs="Times New Roman" w:eastAsia="Times New Roman" w:hAnsi="Times New Roman"/>
          <w:sz w:val="17"/>
          <w:szCs w:val="17"/>
          <w:b w:val="1"/>
          <w:bCs w:val="1"/>
          <w:color w:val="auto"/>
        </w:rPr>
        <w:t>Currency of account</w:t>
      </w:r>
    </w:p>
    <w:p>
      <w:pPr>
        <w:spacing w:after="0" w:line="229" w:lineRule="exact"/>
        <w:rPr>
          <w:sz w:val="20"/>
          <w:szCs w:val="20"/>
          <w:color w:val="auto"/>
        </w:rPr>
      </w:pPr>
    </w:p>
    <w:p>
      <w:pPr>
        <w:ind w:left="1300" w:hanging="644"/>
        <w:spacing w:after="0" w:line="282" w:lineRule="auto"/>
        <w:tabs>
          <w:tab w:leader="none" w:pos="13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paragraphs (b) and (c) below, dollars is the currency of account and payment for any sum due from the Borrower under any Finance Document.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payment in respect of costs, expenses or Taxes shall be made in the currency in which the costs, expenses or Taxes are incurred.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expressed to be payable in a currency other than dollars shall be paid in that other currency.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25.9</w:t>
      </w:r>
      <w:r>
        <w:rPr>
          <w:sz w:val="20"/>
          <w:szCs w:val="20"/>
          <w:color w:val="auto"/>
        </w:rPr>
        <w:tab/>
      </w:r>
      <w:r>
        <w:rPr>
          <w:rFonts w:ascii="Times New Roman" w:cs="Times New Roman" w:eastAsia="Times New Roman" w:hAnsi="Times New Roman"/>
          <w:sz w:val="17"/>
          <w:szCs w:val="17"/>
          <w:b w:val="1"/>
          <w:bCs w:val="1"/>
          <w:color w:val="auto"/>
        </w:rPr>
        <w:t>Change of currency</w:t>
      </w:r>
    </w:p>
    <w:p>
      <w:pPr>
        <w:spacing w:after="0" w:line="229" w:lineRule="exact"/>
        <w:rPr>
          <w:sz w:val="20"/>
          <w:szCs w:val="20"/>
          <w:color w:val="auto"/>
        </w:rPr>
      </w:pPr>
    </w:p>
    <w:p>
      <w:pPr>
        <w:ind w:left="1300" w:hanging="644"/>
        <w:spacing w:after="0" w:line="282" w:lineRule="auto"/>
        <w:tabs>
          <w:tab w:leader="none" w:pos="13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prohibited by law, if more than one currency or currency unit are at the same time recognised by the central bank of any country as the lawful currency of that country, then:</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the Finance Documents to, and any obligations arising under the Finance Documents in, the currency of that country shall be translated into, or paid in, the currency or currency unit of that country designated by the Agent (after consultation with the Borrower); and</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translation from one currency or currency unit to another shall be at the official rate of exchange recognised by the central bank for the conversion of that currency or currency unit into the other, rounded up or down by the Agent (acting reasonably).</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in any currency of a country occurs, this Agreement will, to the extent the Agent (acting reasonably and after consultation with the Borrower) specifies to be necessary, be amended to comply with any generally accepted conventions and market practice to reflect the change in currency.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25.10</w:t>
      </w:r>
      <w:r>
        <w:rPr>
          <w:sz w:val="20"/>
          <w:szCs w:val="20"/>
          <w:color w:val="auto"/>
        </w:rPr>
        <w:tab/>
      </w:r>
      <w:r>
        <w:rPr>
          <w:rFonts w:ascii="Times New Roman" w:cs="Times New Roman" w:eastAsia="Times New Roman" w:hAnsi="Times New Roman"/>
          <w:sz w:val="17"/>
          <w:szCs w:val="17"/>
          <w:b w:val="1"/>
          <w:bCs w:val="1"/>
          <w:color w:val="auto"/>
        </w:rPr>
        <w:t>Disruption to payment systems etc.</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If either the Agent determines (in its discretion) that a Disruption Event has occurred or the Agent is notified by the Borrower that a Disruption Event has occurred:</w:t>
      </w:r>
    </w:p>
    <w:p>
      <w:pPr>
        <w:spacing w:after="0" w:line="162" w:lineRule="exact"/>
        <w:rPr>
          <w:sz w:val="20"/>
          <w:szCs w:val="20"/>
          <w:color w:val="auto"/>
        </w:rPr>
      </w:pPr>
    </w:p>
    <w:p>
      <w:pPr>
        <w:ind w:left="1300" w:hanging="644"/>
        <w:spacing w:after="0" w:line="282" w:lineRule="auto"/>
        <w:tabs>
          <w:tab w:leader="none" w:pos="13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and shall if requested to do so by the Borrower, consult with the Borrower with a view to agreeing with the Borrower such changes to the operation or administration of the Facility as the Agent may deem necessary in the circumstances;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 be obliged to consult with the Borrower in relation to any changes mentioned in paragraph (a) above if, in its opinion, it is not practicable to do so in the circumstances and, in any event, shall have no obligation to agree to such changes;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consult with the Finance Parties in relation to any changes mentioned in paragraph (a) above but shall not be obliged to do so if, in its opinion, it is not practicable to do so in the circumstances;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changes agreed upon by the Agent and the Borrower shall (whether or not it is finally determined that a Disruption Event has occurred) be binding upon the Parties as an amendment to (or, as the case may be, waiver of) the terms of the Finance Documents notwithstanding the provisions of Clause 31 (</w:t>
      </w:r>
      <w:r>
        <w:rPr>
          <w:rFonts w:ascii="Times New Roman" w:cs="Times New Roman" w:eastAsia="Times New Roman" w:hAnsi="Times New Roman"/>
          <w:sz w:val="18"/>
          <w:szCs w:val="18"/>
          <w:i w:val="1"/>
          <w:iCs w:val="1"/>
          <w:color w:val="auto"/>
        </w:rPr>
        <w:t>Amendments and Waivers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Agent) arising as a result of its taking, or failing to take, any actions pursuant to or in connection with this Clause 25.10; and</w:t>
      </w:r>
    </w:p>
    <w:p>
      <w:pPr>
        <w:spacing w:after="0" w:line="39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ind w:left="1300" w:hanging="644"/>
        <w:spacing w:after="0"/>
        <w:tabs>
          <w:tab w:leader="none" w:pos="13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notify the Finance Parties of all changes agreed pursuant to paragraph (d) above.</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SET-OFF</w:t>
      </w:r>
    </w:p>
    <w:p>
      <w:pPr>
        <w:spacing w:after="0" w:line="229"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Finance Party may set off any matured obligation due from the Borrower under the Finance Documents (to the extent beneficially owned by that Finance Party) against any matured obligation owed by that Finance Party to the Borrower, regardless of the place of payment, booking branch or currency of either obligation. If the obligations are in different currencies, the Finance Party may convert either obligation at a market rate of exchange in its usual course of business for the purpose of the set-off.</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27.1</w:t>
      </w:r>
      <w:r>
        <w:rPr>
          <w:sz w:val="20"/>
          <w:szCs w:val="20"/>
          <w:color w:val="auto"/>
        </w:rPr>
        <w:tab/>
      </w:r>
      <w:r>
        <w:rPr>
          <w:rFonts w:ascii="Times New Roman" w:cs="Times New Roman" w:eastAsia="Times New Roman" w:hAnsi="Times New Roman"/>
          <w:sz w:val="17"/>
          <w:szCs w:val="17"/>
          <w:b w:val="1"/>
          <w:bCs w:val="1"/>
          <w:color w:val="auto"/>
        </w:rPr>
        <w:t>Communications in writing</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Any communication to be made under or in connection with the Finance Documents shall be made in writing and, unless otherwise stated, may be made by letter.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27.2</w:t>
      </w:r>
      <w:r>
        <w:rPr>
          <w:sz w:val="20"/>
          <w:szCs w:val="20"/>
          <w:color w:val="auto"/>
        </w:rPr>
        <w:tab/>
      </w:r>
      <w:r>
        <w:rPr>
          <w:rFonts w:ascii="Times New Roman" w:cs="Times New Roman" w:eastAsia="Times New Roman" w:hAnsi="Times New Roman"/>
          <w:sz w:val="18"/>
          <w:szCs w:val="18"/>
          <w:b w:val="1"/>
          <w:bCs w:val="1"/>
          <w:color w:val="auto"/>
        </w:rPr>
        <w:t>Addresses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address (and the department or officer, if any, for whose attention the communication is to be made) of each Party for any communication or document to be made or delivered under or in connection with the Finance Documents is:</w:t>
      </w:r>
    </w:p>
    <w:p>
      <w:pPr>
        <w:spacing w:after="0" w:line="162" w:lineRule="exact"/>
        <w:rPr>
          <w:sz w:val="20"/>
          <w:szCs w:val="20"/>
          <w:color w:val="auto"/>
        </w:rPr>
      </w:pPr>
    </w:p>
    <w:p>
      <w:pPr>
        <w:ind w:left="1300" w:hanging="644"/>
        <w:spacing w:after="0"/>
        <w:tabs>
          <w:tab w:leader="none" w:pos="13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Borrower, that identified with its name below;</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Lender, that notified in writing to the Agent on or prior to the date on which it becomes a Party;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Agent, that identified with its name below,</w:t>
      </w:r>
    </w:p>
    <w:p>
      <w:pPr>
        <w:spacing w:after="0" w:line="22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or any substitute address or department or officer as the Party may notify to the Agent (or the Agent may notify to the other Parties, if a change is made by the Agent) by not less than five Business Days' notice.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27.3</w:t>
      </w:r>
      <w:r>
        <w:rPr>
          <w:sz w:val="20"/>
          <w:szCs w:val="20"/>
          <w:color w:val="auto"/>
        </w:rPr>
        <w:tab/>
      </w:r>
      <w:r>
        <w:rPr>
          <w:rFonts w:ascii="Times New Roman" w:cs="Times New Roman" w:eastAsia="Times New Roman" w:hAnsi="Times New Roman"/>
          <w:sz w:val="17"/>
          <w:szCs w:val="17"/>
          <w:b w:val="1"/>
          <w:bCs w:val="1"/>
          <w:color w:val="auto"/>
        </w:rPr>
        <w:t>Delivery</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or document made or delivered by one person to another under or in connection with the Finance Documents will only be effective if by way of letter, when it has been left at the relevant address or five Business Days after being deposited in the post postage prepaid in an envelope addressed to it at that address and, if a particular department or officer is specified as part of its address details provided under Clause 27.2 (</w:t>
      </w:r>
      <w:r>
        <w:rPr>
          <w:rFonts w:ascii="Times New Roman" w:cs="Times New Roman" w:eastAsia="Times New Roman" w:hAnsi="Times New Roman"/>
          <w:sz w:val="18"/>
          <w:szCs w:val="18"/>
          <w:i w:val="1"/>
          <w:iCs w:val="1"/>
          <w:color w:val="auto"/>
        </w:rPr>
        <w:t>Addresses</w:t>
      </w:r>
      <w:r>
        <w:rPr>
          <w:rFonts w:ascii="Times New Roman" w:cs="Times New Roman" w:eastAsia="Times New Roman" w:hAnsi="Times New Roman"/>
          <w:sz w:val="18"/>
          <w:szCs w:val="18"/>
          <w:color w:val="auto"/>
        </w:rPr>
        <w:t>), if addressed to that department or officer.</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or document to be made or delivered to the Agent will be effective only when actually received by the Agent and then only if it is expressly marked for the attention of the department or officer identified with the Agent's signature below (or any substitute department or officer as the Agent shall specify for this purpose).</w:t>
      </w:r>
    </w:p>
    <w:p>
      <w:pPr>
        <w:spacing w:after="0" w:line="39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ind w:left="1300" w:hanging="644"/>
        <w:spacing w:after="0"/>
        <w:tabs>
          <w:tab w:leader="none" w:pos="13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from or to the Borrower shall be sent through the Agent.</w:t>
      </w:r>
    </w:p>
    <w:p>
      <w:pPr>
        <w:spacing w:after="0" w:line="228" w:lineRule="exact"/>
        <w:rPr>
          <w:rFonts w:ascii="Times New Roman" w:cs="Times New Roman" w:eastAsia="Times New Roman" w:hAnsi="Times New Roman"/>
          <w:sz w:val="18"/>
          <w:szCs w:val="18"/>
          <w:color w:val="auto"/>
        </w:rPr>
      </w:pPr>
    </w:p>
    <w:p>
      <w:pPr>
        <w:ind w:left="1300" w:hanging="644"/>
        <w:spacing w:after="0" w:line="188" w:lineRule="auto"/>
        <w:tabs>
          <w:tab w:leader="none" w:pos="1300" w:val="left"/>
        </w:tabs>
        <w:numPr>
          <w:ilvl w:val="0"/>
          <w:numId w:val="15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Any communication or document which becomes effective, in accordance with paragraphs (a) to (c)‎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above, after 5:00 p.m. in the place of receipt shall be deemed only to become effective on the following day.</w:t>
      </w:r>
    </w:p>
    <w:p>
      <w:pPr>
        <w:spacing w:after="0" w:line="19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27.4</w:t>
      </w:r>
      <w:r>
        <w:rPr>
          <w:sz w:val="20"/>
          <w:szCs w:val="20"/>
          <w:color w:val="auto"/>
        </w:rPr>
        <w:tab/>
      </w:r>
      <w:r>
        <w:rPr>
          <w:rFonts w:ascii="Times New Roman" w:cs="Times New Roman" w:eastAsia="Times New Roman" w:hAnsi="Times New Roman"/>
          <w:sz w:val="17"/>
          <w:szCs w:val="17"/>
          <w:b w:val="1"/>
          <w:bCs w:val="1"/>
          <w:color w:val="auto"/>
        </w:rPr>
        <w:t>Notification of address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Promptly upon changing its address, the Agent shall notify the other Parties.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27.5</w:t>
      </w:r>
      <w:r>
        <w:rPr>
          <w:sz w:val="20"/>
          <w:szCs w:val="20"/>
          <w:color w:val="auto"/>
        </w:rPr>
        <w:tab/>
      </w:r>
      <w:r>
        <w:rPr>
          <w:rFonts w:ascii="Times New Roman" w:cs="Times New Roman" w:eastAsia="Times New Roman" w:hAnsi="Times New Roman"/>
          <w:sz w:val="17"/>
          <w:szCs w:val="17"/>
          <w:b w:val="1"/>
          <w:bCs w:val="1"/>
          <w:color w:val="auto"/>
        </w:rPr>
        <w:t>Electronic communication</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or document to be made or delivered by one Party to another under or in connection with the Finance Documents may be made by electronic mail or other electronic means (including, without limitation, by way of posting to a secure website) if those two Parties:</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each other in writing of their electronic mail address and/or any other information required to enable the transmission of information by that means;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each other of any change to their address or any other such information supplied by them by not less than five Business Days' notice.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electronic communication or delivery as specified in paragraph (a) above to be made between the Borrower and a Finance Party may only be made in that way to the extent that those two Parties agree that, unless and until notified to the contrary, this is to be an accepted form of communication or delivery.</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electronic communication or document as specified in paragraph (a) above made or delivered by one Party to another will be effective only when actually received (or made available) in readable form and in the case of any electronic communication or document made or delivered by a Party to the Agent only if it is addressed in such a manner as the Agent shall specify for this purpose.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electronic communication or document which becomes effective, in accordance with paragraph I above, after 5:00 p.m. in the place in which the Party to whom the relevant communication or document is sent or made available has its address for the purpose of this Agreement shall be deemed only to become effective on the following day.</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a Finance Document to a communication being sent or received or a document being delivered shall be construed to include that communication or document being made available in accordance with this Clause 27.5.</w:t>
      </w:r>
    </w:p>
    <w:p>
      <w:pPr>
        <w:spacing w:after="0" w:line="37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spacing w:after="0"/>
        <w:tabs>
          <w:tab w:leader="none" w:pos="640" w:val="left"/>
        </w:tabs>
        <w:rPr>
          <w:sz w:val="20"/>
          <w:szCs w:val="20"/>
          <w:color w:val="auto"/>
        </w:rPr>
      </w:pPr>
      <w:r>
        <w:rPr>
          <w:rFonts w:ascii="Times New Roman" w:cs="Times New Roman" w:eastAsia="Times New Roman" w:hAnsi="Times New Roman"/>
          <w:sz w:val="18"/>
          <w:szCs w:val="18"/>
          <w:color w:val="auto"/>
        </w:rPr>
        <w:t>27.6</w:t>
      </w:r>
      <w:r>
        <w:rPr>
          <w:sz w:val="20"/>
          <w:szCs w:val="20"/>
          <w:color w:val="auto"/>
        </w:rPr>
        <w:tab/>
      </w:r>
      <w:r>
        <w:rPr>
          <w:rFonts w:ascii="Times New Roman" w:cs="Times New Roman" w:eastAsia="Times New Roman" w:hAnsi="Times New Roman"/>
          <w:sz w:val="18"/>
          <w:szCs w:val="18"/>
          <w:b w:val="1"/>
          <w:bCs w:val="1"/>
          <w:color w:val="auto"/>
        </w:rPr>
        <w:t>English language</w:t>
      </w:r>
    </w:p>
    <w:p>
      <w:pPr>
        <w:spacing w:after="0" w:line="229" w:lineRule="exact"/>
        <w:rPr>
          <w:sz w:val="20"/>
          <w:szCs w:val="20"/>
          <w:color w:val="auto"/>
        </w:rPr>
      </w:pPr>
    </w:p>
    <w:p>
      <w:pPr>
        <w:ind w:left="1300" w:hanging="644"/>
        <w:spacing w:after="0"/>
        <w:tabs>
          <w:tab w:leader="none" w:pos="130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given under or in connection with any Finance Document must be in English.</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documents provided under or in connection with any Finance Document must be: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English; or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not in English, and if so required by the Agent, accompanied by a certified English translation and, in this case, the English translation will prevail unless the document is a constitutional, statutory or other official document.</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CALCULATIONS AND CERTIFICATES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28.1</w:t>
      </w:r>
      <w:r>
        <w:rPr>
          <w:sz w:val="20"/>
          <w:szCs w:val="20"/>
          <w:color w:val="auto"/>
        </w:rPr>
        <w:tab/>
      </w:r>
      <w:r>
        <w:rPr>
          <w:rFonts w:ascii="Times New Roman" w:cs="Times New Roman" w:eastAsia="Times New Roman" w:hAnsi="Times New Roman"/>
          <w:sz w:val="17"/>
          <w:szCs w:val="17"/>
          <w:b w:val="1"/>
          <w:bCs w:val="1"/>
          <w:color w:val="auto"/>
        </w:rPr>
        <w:t>Accounts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 xml:space="preserve">In any litigation or arbitration proceedings arising out of or in connection with a Finance Document, the entries made in the accounts maintained by a Finance Party are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matters to which they relate.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28.2</w:t>
      </w:r>
      <w:r>
        <w:rPr>
          <w:sz w:val="20"/>
          <w:szCs w:val="20"/>
          <w:color w:val="auto"/>
        </w:rPr>
        <w:tab/>
      </w:r>
      <w:r>
        <w:rPr>
          <w:rFonts w:ascii="Times New Roman" w:cs="Times New Roman" w:eastAsia="Times New Roman" w:hAnsi="Times New Roman"/>
          <w:sz w:val="17"/>
          <w:szCs w:val="17"/>
          <w:b w:val="1"/>
          <w:bCs w:val="1"/>
          <w:color w:val="auto"/>
        </w:rPr>
        <w:t>Certificates and determinations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Any certification or determination by a Finance Party of a rate or amount under any Finance Document is, in the absence of manifest error, conclusive evidence of the matters to which it relates.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28.3</w:t>
      </w:r>
      <w:r>
        <w:rPr>
          <w:sz w:val="20"/>
          <w:szCs w:val="20"/>
          <w:color w:val="auto"/>
        </w:rPr>
        <w:tab/>
      </w:r>
      <w:r>
        <w:rPr>
          <w:rFonts w:ascii="Times New Roman" w:cs="Times New Roman" w:eastAsia="Times New Roman" w:hAnsi="Times New Roman"/>
          <w:sz w:val="17"/>
          <w:szCs w:val="17"/>
          <w:b w:val="1"/>
          <w:bCs w:val="1"/>
          <w:color w:val="auto"/>
        </w:rPr>
        <w:t>Day count convention</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Any interest, commission or fee accruing under a Finance Document will accrue from day to day and is calculated on the basis of the actual number of days elapsed and a year of 360 days.</w:t>
      </w:r>
    </w:p>
    <w:p>
      <w:pPr>
        <w:spacing w:after="0" w:line="158" w:lineRule="exact"/>
        <w:rPr>
          <w:sz w:val="20"/>
          <w:szCs w:val="20"/>
          <w:color w:val="auto"/>
        </w:rPr>
      </w:pPr>
    </w:p>
    <w:p>
      <w:pPr>
        <w:ind w:left="660" w:hanging="652"/>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PARTIAL INVALIDITY</w:t>
      </w:r>
    </w:p>
    <w:p>
      <w:pPr>
        <w:spacing w:after="0" w:line="22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 AND WAIVERS</w:t>
      </w:r>
    </w:p>
    <w:p>
      <w:pPr>
        <w:spacing w:after="0" w:line="229"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to exercise, nor any delay in exercising, on the part of any Finance Party, any right or remedy under a Finance Document shall operate as a waiver of any such right or remedy or constitute an election to affirm any of the Finance Documents. No election to affirm any Finance Document on the part of any Finance Party shall be effective unless it is in writing. No single or partial exercise of any right or remedy shall prevent any further or other exercise or the exercise of any other right or remedy. The rights and remedies provided in each Finance Document are cumulative and not exclusive of any rights or remedies provided by law.</w:t>
      </w:r>
    </w:p>
    <w:p>
      <w:pPr>
        <w:spacing w:after="0" w:line="399"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ind w:left="660" w:hanging="652"/>
        <w:spacing w:after="0"/>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AMENDMENTS AND WAIVERS</w:t>
      </w:r>
    </w:p>
    <w:p>
      <w:pPr>
        <w:spacing w:after="0" w:line="2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 of the Finance Documents may be amended or waived only with the written consent of the Agent, the Lender(s) and the Borrower.</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 INFORMATION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b w:val="1"/>
          <w:bCs w:val="1"/>
          <w:color w:val="auto"/>
        </w:rPr>
        <w:t>Confidentiality</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Each Finance Party agrees to keep all Confidential Information confidential and not to disclose it to anyone, save to the extent permitted by Clause 32.2 (</w:t>
      </w:r>
      <w:r>
        <w:rPr>
          <w:rFonts w:ascii="Times New Roman" w:cs="Times New Roman" w:eastAsia="Times New Roman" w:hAnsi="Times New Roman"/>
          <w:sz w:val="18"/>
          <w:szCs w:val="18"/>
          <w:i w:val="1"/>
          <w:iCs w:val="1"/>
          <w:color w:val="auto"/>
        </w:rPr>
        <w:t>Disclosure of Confidential Information</w:t>
      </w:r>
      <w:r>
        <w:rPr>
          <w:rFonts w:ascii="Times New Roman" w:cs="Times New Roman" w:eastAsia="Times New Roman" w:hAnsi="Times New Roman"/>
          <w:sz w:val="18"/>
          <w:szCs w:val="18"/>
          <w:color w:val="auto"/>
        </w:rPr>
        <w:t>), and to ensure that all Confidential Information is protected with security measures and a degree of care that would apply to its own confidential information.</w:t>
      </w:r>
    </w:p>
    <w:p>
      <w:pPr>
        <w:spacing w:after="0" w:line="172" w:lineRule="exact"/>
        <w:rPr>
          <w:sz w:val="20"/>
          <w:szCs w:val="20"/>
          <w:color w:val="auto"/>
        </w:rPr>
      </w:pPr>
    </w:p>
    <w:p>
      <w:pPr>
        <w:jc w:val="center"/>
        <w:ind w:right="7600"/>
        <w:spacing w:after="0"/>
        <w:tabs>
          <w:tab w:leader="none" w:pos="32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b w:val="1"/>
          <w:bCs w:val="1"/>
          <w:color w:val="auto"/>
        </w:rPr>
        <w:t>Disclosure of Confidential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Finance Party may disclose:</w:t>
      </w:r>
    </w:p>
    <w:p>
      <w:pPr>
        <w:spacing w:after="0" w:line="225" w:lineRule="exact"/>
        <w:rPr>
          <w:sz w:val="20"/>
          <w:szCs w:val="20"/>
          <w:color w:val="auto"/>
        </w:rPr>
      </w:pPr>
    </w:p>
    <w:p>
      <w:pPr>
        <w:jc w:val="both"/>
        <w:ind w:left="1300" w:hanging="644"/>
        <w:spacing w:after="0" w:line="256" w:lineRule="auto"/>
        <w:tabs>
          <w:tab w:leader="none" w:pos="13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of its Affiliates and Related Funds and any of its or their officers, directors, employees, professional advisers, auditors, partners and Representatives such Confidential Information as that Finance Party shall consider appropriate if any person to whom the Confidential Information is to be given pursuant to this paragraph (a)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w:t>
      </w:r>
    </w:p>
    <w:p>
      <w:pPr>
        <w:spacing w:after="0" w:line="18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whom it assigns or transfers (or may potentially assign or transfer) all or any of its rights and/or obligations under one or more Finance Documents or which succeeds (or which may potentially succeed) it as Agent and, in each case, to any of that person's Affiliates, Related Funds, Representatives and professional advisers;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(or through) whom it enters into (or may potentially enter into), whether directly or indirectly, any sub-participation in relation to, or any other transaction under which payments are to be made or may be made by reference to, one or more Finance Documents and/or the Borrower and to any of that person's Affiliates, Related Funds, Representatives and professional advisers;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by any Finance Party or by a person to whom paragraph (b)(i) or (ii) above applies to receive communications, notices, information or documents delivered pursuant to the Finance Documents on its behalf (including, without limitation, any person appointed under paragraph (b) of Clause 23.12 (</w:t>
      </w:r>
      <w:r>
        <w:rPr>
          <w:rFonts w:ascii="Times New Roman" w:cs="Times New Roman" w:eastAsia="Times New Roman" w:hAnsi="Times New Roman"/>
          <w:sz w:val="18"/>
          <w:szCs w:val="18"/>
          <w:i w:val="1"/>
          <w:iCs w:val="1"/>
          <w:color w:val="auto"/>
        </w:rPr>
        <w:t>Relationship with the Lender</w:t>
      </w:r>
      <w:r>
        <w:rPr>
          <w:rFonts w:ascii="Times New Roman" w:cs="Times New Roman" w:eastAsia="Times New Roman" w:hAnsi="Times New Roman"/>
          <w:sz w:val="18"/>
          <w:szCs w:val="18"/>
          <w:color w:val="auto"/>
        </w:rPr>
        <w:t>));</w:t>
      </w:r>
    </w:p>
    <w:p>
      <w:pPr>
        <w:spacing w:after="0" w:line="39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p>
      <w:pPr>
        <w:ind w:left="1300" w:hanging="656"/>
        <w:spacing w:after="0" w:line="282" w:lineRule="auto"/>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invests in or otherwise finances (or may potentially invest in or otherwise finance), directly or indirectly, any transaction referred to in paragraph (b)(i) or (b)(ii) above;</w:t>
      </w:r>
    </w:p>
    <w:p>
      <w:pPr>
        <w:spacing w:after="0" w:line="161" w:lineRule="exact"/>
        <w:rPr>
          <w:rFonts w:ascii="Times New Roman" w:cs="Times New Roman" w:eastAsia="Times New Roman" w:hAnsi="Times New Roman"/>
          <w:sz w:val="18"/>
          <w:szCs w:val="18"/>
          <w:color w:val="auto"/>
        </w:rPr>
      </w:pPr>
    </w:p>
    <w:p>
      <w:pPr>
        <w:jc w:val="both"/>
        <w:ind w:left="1300" w:hanging="656"/>
        <w:spacing w:after="0" w:line="266" w:lineRule="auto"/>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spacing w:after="0" w:line="175" w:lineRule="exact"/>
        <w:rPr>
          <w:rFonts w:ascii="Times New Roman" w:cs="Times New Roman" w:eastAsia="Times New Roman" w:hAnsi="Times New Roman"/>
          <w:sz w:val="18"/>
          <w:szCs w:val="18"/>
          <w:color w:val="auto"/>
        </w:rPr>
      </w:pPr>
    </w:p>
    <w:p>
      <w:pPr>
        <w:ind w:left="1300" w:hanging="656"/>
        <w:spacing w:after="0" w:line="282" w:lineRule="auto"/>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whom information is required to be disclosed in connection with, and for the purposes of, any litigation, arbitration, administrative or other investigations, proceedings or disputes;</w:t>
      </w:r>
    </w:p>
    <w:p>
      <w:pPr>
        <w:spacing w:after="0" w:line="161" w:lineRule="exact"/>
        <w:rPr>
          <w:rFonts w:ascii="Times New Roman" w:cs="Times New Roman" w:eastAsia="Times New Roman" w:hAnsi="Times New Roman"/>
          <w:sz w:val="18"/>
          <w:szCs w:val="18"/>
          <w:color w:val="auto"/>
        </w:rPr>
      </w:pPr>
    </w:p>
    <w:p>
      <w:pPr>
        <w:ind w:left="1300" w:hanging="656"/>
        <w:spacing w:after="0" w:line="282" w:lineRule="auto"/>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whom or for whose benefit that Finance Party charges, assigns or otherwise creates Security (or may do so) pursuant to Clause 21.2 (</w:t>
      </w:r>
      <w:r>
        <w:rPr>
          <w:rFonts w:ascii="Times New Roman" w:cs="Times New Roman" w:eastAsia="Times New Roman" w:hAnsi="Times New Roman"/>
          <w:sz w:val="18"/>
          <w:szCs w:val="18"/>
          <w:i w:val="1"/>
          <w:iCs w:val="1"/>
          <w:color w:val="auto"/>
        </w:rPr>
        <w:t>Security over Lender's rights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is a Party; or</w:t>
      </w:r>
    </w:p>
    <w:p>
      <w:pPr>
        <w:spacing w:after="0" w:line="225"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Borrower;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such Confidential Information as that Finance Party shall consider appropriate if:</w:t>
      </w:r>
    </w:p>
    <w:p>
      <w:pPr>
        <w:spacing w:after="0" w:line="225" w:lineRule="exact"/>
        <w:rPr>
          <w:sz w:val="20"/>
          <w:szCs w:val="20"/>
          <w:color w:val="auto"/>
        </w:rPr>
      </w:pPr>
    </w:p>
    <w:p>
      <w:pPr>
        <w:jc w:val="both"/>
        <w:ind w:left="1940" w:hanging="648"/>
        <w:spacing w:after="0" w:line="261" w:lineRule="auto"/>
        <w:tabs>
          <w:tab w:leader="none" w:pos="19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paragraphs (b)(i), (b)(ii) and (b)(iii)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w:t>
      </w:r>
    </w:p>
    <w:p>
      <w:pPr>
        <w:spacing w:after="0" w:line="179" w:lineRule="exact"/>
        <w:rPr>
          <w:rFonts w:ascii="Times New Roman" w:cs="Times New Roman" w:eastAsia="Times New Roman" w:hAnsi="Times New Roman"/>
          <w:sz w:val="18"/>
          <w:szCs w:val="18"/>
          <w:color w:val="auto"/>
        </w:rPr>
      </w:pPr>
    </w:p>
    <w:p>
      <w:pPr>
        <w:jc w:val="both"/>
        <w:ind w:left="1940" w:hanging="648"/>
        <w:spacing w:after="0" w:line="261" w:lineRule="auto"/>
        <w:tabs>
          <w:tab w:leader="none" w:pos="19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paragraph (b)(iv)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w:t>
      </w:r>
    </w:p>
    <w:p>
      <w:pPr>
        <w:spacing w:after="0" w:line="179" w:lineRule="exact"/>
        <w:rPr>
          <w:rFonts w:ascii="Times New Roman" w:cs="Times New Roman" w:eastAsia="Times New Roman" w:hAnsi="Times New Roman"/>
          <w:sz w:val="18"/>
          <w:szCs w:val="18"/>
          <w:color w:val="auto"/>
        </w:rPr>
      </w:pPr>
    </w:p>
    <w:p>
      <w:pPr>
        <w:jc w:val="both"/>
        <w:ind w:left="1940" w:hanging="648"/>
        <w:spacing w:after="0" w:line="261" w:lineRule="auto"/>
        <w:tabs>
          <w:tab w:leader="none" w:pos="19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paragraphs (b)(v), (b)(vi) and (b)(vii) above, the person to whom the Confidential Information is to be given is informed of its confidential nature and that some or all of such Confidential Information may be price-sensitive information except that there shall be no requirement to so inform if, in the opinion of that Finance Party, it is not practicable so to do in the circumstances;</w:t>
      </w:r>
    </w:p>
    <w:p>
      <w:pPr>
        <w:spacing w:after="0" w:line="395"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2" w:name="page63"/>
    <w:bookmarkEnd w:id="62"/>
    <w:p>
      <w:pPr>
        <w:jc w:val="both"/>
        <w:ind w:left="1300" w:hanging="644"/>
        <w:spacing w:after="0" w:line="255" w:lineRule="auto"/>
        <w:tabs>
          <w:tab w:leader="none" w:pos="13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appointed by that Finance Party or by a person to whom paragraph (b)(i) or (b)(ii)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(c) if the service provider to whom the Confidential Information is to be given has entered into a confidentiality agreement substantially in the form of the LMA Master Confidentiality Undertaking for Use With Administration/Settlement Service Providers or such other form of confidentiality undertaking agreed between the Borrower and the relevant Finance Party; and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rating agency (including its professional advisers) such Confidential Information as may be required to be disclosed to enable such rating agency to carry out its normal rating activities in relation to the Finance Documents and/or the Borrower if the rating agency to whom the Confidential Information is to be given is informed of its confidential nature and that some or all of such Confidential Information may be price-sensitive information.</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Nothing in any Finance Document shall prevent disclosure of any Confidential Information or other matter to the extent that preventing that disclosure would otherwise cause any transaction contemplated by the Finance Documents or any transaction carried out in connection with any transaction contemplated by the Finance Documents to become an arrangement described in Part II A 1 of Annex IV of Directive 2011/16/EU.</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32.3</w:t>
      </w:r>
      <w:r>
        <w:rPr>
          <w:sz w:val="20"/>
          <w:szCs w:val="20"/>
          <w:color w:val="auto"/>
        </w:rPr>
        <w:tab/>
      </w:r>
      <w:r>
        <w:rPr>
          <w:rFonts w:ascii="Times New Roman" w:cs="Times New Roman" w:eastAsia="Times New Roman" w:hAnsi="Times New Roman"/>
          <w:sz w:val="17"/>
          <w:szCs w:val="17"/>
          <w:b w:val="1"/>
          <w:bCs w:val="1"/>
          <w:color w:val="auto"/>
        </w:rPr>
        <w:t>Entire agreement</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This Clause 32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32.4</w:t>
      </w:r>
      <w:r>
        <w:rPr>
          <w:sz w:val="20"/>
          <w:szCs w:val="20"/>
          <w:color w:val="auto"/>
        </w:rPr>
        <w:tab/>
      </w:r>
      <w:r>
        <w:rPr>
          <w:rFonts w:ascii="Times New Roman" w:cs="Times New Roman" w:eastAsia="Times New Roman" w:hAnsi="Times New Roman"/>
          <w:sz w:val="18"/>
          <w:szCs w:val="18"/>
          <w:b w:val="1"/>
          <w:bCs w:val="1"/>
          <w:color w:val="auto"/>
        </w:rPr>
        <w:t>Inside information</w:t>
      </w:r>
    </w:p>
    <w:p>
      <w:pPr>
        <w:spacing w:after="0" w:line="229"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32.5</w:t>
      </w:r>
      <w:r>
        <w:rPr>
          <w:sz w:val="20"/>
          <w:szCs w:val="20"/>
          <w:color w:val="auto"/>
        </w:rPr>
        <w:tab/>
      </w:r>
      <w:r>
        <w:rPr>
          <w:rFonts w:ascii="Times New Roman" w:cs="Times New Roman" w:eastAsia="Times New Roman" w:hAnsi="Times New Roman"/>
          <w:sz w:val="17"/>
          <w:szCs w:val="17"/>
          <w:b w:val="1"/>
          <w:bCs w:val="1"/>
          <w:color w:val="auto"/>
        </w:rPr>
        <w:t>Notification of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Finance Parties agrees (to the extent permitted by law and regulation) to inform the Borrower:</w:t>
      </w:r>
    </w:p>
    <w:p>
      <w:pPr>
        <w:spacing w:after="0" w:line="223" w:lineRule="exact"/>
        <w:rPr>
          <w:sz w:val="20"/>
          <w:szCs w:val="20"/>
          <w:color w:val="auto"/>
        </w:rPr>
      </w:pPr>
    </w:p>
    <w:p>
      <w:pPr>
        <w:jc w:val="both"/>
        <w:ind w:left="1300" w:hanging="644"/>
        <w:spacing w:after="0" w:line="267" w:lineRule="auto"/>
        <w:tabs>
          <w:tab w:leader="none" w:pos="13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circumstances of any disclosure of Confidential Information made pursuant to paragraph (b)(v) of Clause 32.2 (</w:t>
      </w:r>
      <w:r>
        <w:rPr>
          <w:rFonts w:ascii="Times New Roman" w:cs="Times New Roman" w:eastAsia="Times New Roman" w:hAnsi="Times New Roman"/>
          <w:sz w:val="18"/>
          <w:szCs w:val="18"/>
          <w:i w:val="1"/>
          <w:iCs w:val="1"/>
          <w:color w:val="auto"/>
        </w:rPr>
        <w:t>Disclosure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Confidential Information</w:t>
      </w:r>
      <w:r>
        <w:rPr>
          <w:rFonts w:ascii="Times New Roman" w:cs="Times New Roman" w:eastAsia="Times New Roman" w:hAnsi="Times New Roman"/>
          <w:sz w:val="18"/>
          <w:szCs w:val="18"/>
          <w:color w:val="auto"/>
        </w:rPr>
        <w:t>) except where such disclosure is made to any of the persons referred to in that paragraph during the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course of its supervisory or regulatory function; and</w:t>
      </w:r>
    </w:p>
    <w:p>
      <w:pPr>
        <w:spacing w:after="0" w:line="39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ind w:right="2780" w:firstLine="656"/>
        <w:spacing w:after="0" w:line="500" w:lineRule="auto"/>
        <w:tabs>
          <w:tab w:leader="none" w:pos="129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becoming aware that Confidential Information has been disclosed in breach of this Clause 32. 32.6 </w:t>
      </w:r>
      <w:r>
        <w:rPr>
          <w:rFonts w:ascii="Times New Roman" w:cs="Times New Roman" w:eastAsia="Times New Roman" w:hAnsi="Times New Roman"/>
          <w:sz w:val="18"/>
          <w:szCs w:val="18"/>
          <w:b w:val="1"/>
          <w:bCs w:val="1"/>
          <w:color w:val="auto"/>
        </w:rPr>
        <w:t>Continuing obligations</w:t>
      </w:r>
    </w:p>
    <w:p>
      <w:pPr>
        <w:spacing w:after="0" w:line="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obligations in this Clause 32 are continuing and, in particular, shall survive and remain binding on each Finance Party for a period of twelve months from the earlier of:</w:t>
      </w:r>
    </w:p>
    <w:p>
      <w:pPr>
        <w:spacing w:after="0" w:line="162" w:lineRule="exact"/>
        <w:rPr>
          <w:sz w:val="20"/>
          <w:szCs w:val="20"/>
          <w:color w:val="auto"/>
        </w:rPr>
      </w:pPr>
    </w:p>
    <w:p>
      <w:pPr>
        <w:ind w:left="1300" w:hanging="644"/>
        <w:spacing w:after="0" w:line="282" w:lineRule="auto"/>
        <w:tabs>
          <w:tab w:leader="none" w:pos="130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all amounts payable by the Borrower under or in connection with this Agreement have been paid in full and the Facility has been cancelled or otherwise cease to be available;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such Finance Party otherwise ceases to be a Finance Party.</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CONFIDENTIALITY OF FUNDING RATES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33.1</w:t>
      </w:r>
      <w:r>
        <w:rPr>
          <w:sz w:val="20"/>
          <w:szCs w:val="20"/>
          <w:color w:val="auto"/>
        </w:rPr>
        <w:tab/>
      </w:r>
      <w:r>
        <w:rPr>
          <w:rFonts w:ascii="Times New Roman" w:cs="Times New Roman" w:eastAsia="Times New Roman" w:hAnsi="Times New Roman"/>
          <w:sz w:val="17"/>
          <w:szCs w:val="17"/>
          <w:b w:val="1"/>
          <w:bCs w:val="1"/>
          <w:color w:val="auto"/>
        </w:rPr>
        <w:t>Confidentiality and disclosure</w:t>
      </w:r>
    </w:p>
    <w:p>
      <w:pPr>
        <w:spacing w:after="0" w:line="229" w:lineRule="exact"/>
        <w:rPr>
          <w:sz w:val="20"/>
          <w:szCs w:val="20"/>
          <w:color w:val="auto"/>
        </w:rPr>
      </w:pPr>
    </w:p>
    <w:p>
      <w:pPr>
        <w:ind w:left="1300" w:hanging="644"/>
        <w:spacing w:after="0" w:line="282" w:lineRule="auto"/>
        <w:tabs>
          <w:tab w:leader="none" w:pos="13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and the Borrower agree to keep each Funding Rate confidential and not to disclose it to anyone, save to the extent permitted by paragraphs (b) and (c) below.</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disclose:</w:t>
      </w:r>
    </w:p>
    <w:p>
      <w:pPr>
        <w:spacing w:after="0" w:line="22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Funding Rate to the Borrower pursuant to Clause 8.4 (</w:t>
      </w:r>
      <w:r>
        <w:rPr>
          <w:rFonts w:ascii="Times New Roman" w:cs="Times New Roman" w:eastAsia="Times New Roman" w:hAnsi="Times New Roman"/>
          <w:sz w:val="18"/>
          <w:szCs w:val="18"/>
          <w:i w:val="1"/>
          <w:iCs w:val="1"/>
          <w:color w:val="auto"/>
        </w:rPr>
        <w:t>Notification of rates of interest</w:t>
      </w:r>
      <w:r>
        <w:rPr>
          <w:rFonts w:ascii="Times New Roman" w:cs="Times New Roman" w:eastAsia="Times New Roman" w:hAnsi="Times New Roman"/>
          <w:sz w:val="18"/>
          <w:szCs w:val="18"/>
          <w:color w:val="auto"/>
        </w:rPr>
        <w:t>); and</w:t>
      </w:r>
    </w:p>
    <w:p>
      <w:pPr>
        <w:spacing w:after="0" w:line="227"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Funding Rate to any person appointed by it to provide administration services in respect of one or more of the Finance Documents to the extent necessary to enable such service provider to provide those services if the service provider to whom that information is to be given has entered into a confidentiality agreement substantially in the form of the LMA Master Confidentiality Undertaking for Use With Administration/Settlement Service Providers or such other form of confidentiality undertaking agreed between the Agent and the relevant Lender.</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disclose any Funding Rate, and the Borrower may disclose any Funding Rate, to:</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its Affiliates and any of its or their officers, directors, employees, professional advisers, auditors, partners and Representatives if any person to whom that Funding Rate is to be given pursuant to this paragraph (i) is informed in writing of its confidential nature and that it may be price-sensitive information except that there shall be no such requirement to so inform if the recipient is subject to professional obligations to maintain the confidentiality of that Funding Rate or is otherwise bound by requirements of confidentiality in relation to it;</w:t>
      </w:r>
    </w:p>
    <w:p>
      <w:pPr>
        <w:spacing w:after="0" w:line="399"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left="1960" w:hanging="656"/>
        <w:spacing w:after="0" w:line="258" w:lineRule="auto"/>
        <w:tabs>
          <w:tab w:leader="none" w:pos="19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to whom information is required or requested to be disclosed by any court of competent jurisdiction or any governmental, banking, taxation or other regulatory authority or similar body, the rules of any relevant stock exchange or pursuant to any applicable law or regulation if the person to whom that Funding Rate is to be given is informed in writing of its confidential nature and that it may be price-sensitive information except that there shall be no requirement to so inform if, in the opinion of the Agent or the Borrower, as the case may be, it is not practicable to do so in the circumstances;</w:t>
      </w:r>
    </w:p>
    <w:p>
      <w:pPr>
        <w:spacing w:after="0" w:line="183"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to whom information is required to be disclosed in connection with, and for the purposes of, any litigation, arbitration, administrative or other investigations, proceedings or disputes if the person to whom that Funding Rate is to be given is informed in writing of its confidential nature and that it may be price-sensitive information except that there shall be no requirement to so inform if, in the opinion of the Agent or the Borrower, as the case may be, it is not practicable to do so in the circumstances; and</w:t>
      </w:r>
    </w:p>
    <w:p>
      <w:pPr>
        <w:spacing w:after="0" w:line="18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with the consent of the relevant Lender.</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33.2</w:t>
      </w:r>
      <w:r>
        <w:rPr>
          <w:sz w:val="20"/>
          <w:szCs w:val="20"/>
          <w:color w:val="auto"/>
        </w:rPr>
        <w:tab/>
      </w:r>
      <w:r>
        <w:rPr>
          <w:rFonts w:ascii="Times New Roman" w:cs="Times New Roman" w:eastAsia="Times New Roman" w:hAnsi="Times New Roman"/>
          <w:sz w:val="18"/>
          <w:szCs w:val="18"/>
          <w:b w:val="1"/>
          <w:bCs w:val="1"/>
          <w:color w:val="auto"/>
        </w:rPr>
        <w:t>Related obligations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and the Borrower acknowledge that each Funding Rate is or may be price-sensitive information and that its use may be regulated or prohibited by applicable legislation including securities law relating to insider dealing and market abuse and the Agent and the Borrower undertake not to use any Funding Rate for any unlawful purpose.</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and the Borrower agree (to the extent permitted by law and regulation) to inform the relevant Lender:</w:t>
      </w:r>
    </w:p>
    <w:p>
      <w:pPr>
        <w:spacing w:after="0" w:line="223" w:lineRule="exact"/>
        <w:rPr>
          <w:rFonts w:ascii="Times New Roman" w:cs="Times New Roman" w:eastAsia="Times New Roman" w:hAnsi="Times New Roman"/>
          <w:sz w:val="18"/>
          <w:szCs w:val="18"/>
          <w:color w:val="auto"/>
        </w:rPr>
      </w:pPr>
    </w:p>
    <w:p>
      <w:pPr>
        <w:jc w:val="both"/>
        <w:ind w:left="1960" w:hanging="656"/>
        <w:spacing w:after="0" w:line="267" w:lineRule="auto"/>
        <w:tabs>
          <w:tab w:leader="none" w:pos="196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circumstances of any disclosure made pursuant to paragraph I(ii) of Clause 33.1 (</w:t>
      </w:r>
      <w:r>
        <w:rPr>
          <w:rFonts w:ascii="Times New Roman" w:cs="Times New Roman" w:eastAsia="Times New Roman" w:hAnsi="Times New Roman"/>
          <w:sz w:val="18"/>
          <w:szCs w:val="18"/>
          <w:i w:val="1"/>
          <w:iCs w:val="1"/>
          <w:color w:val="auto"/>
        </w:rPr>
        <w:t>Confidentiality and disclosure</w:t>
      </w:r>
      <w:r>
        <w:rPr>
          <w:rFonts w:ascii="Times New Roman" w:cs="Times New Roman" w:eastAsia="Times New Roman" w:hAnsi="Times New Roman"/>
          <w:sz w:val="18"/>
          <w:szCs w:val="18"/>
          <w:color w:val="auto"/>
        </w:rPr>
        <w:t>) except where such disclosure is made to any of the persons referred to in that paragraph during the ordinary course of its supervisory or regulatory function; and</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becoming aware that any information has been disclosed in breach of this Clause 33.</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33.3</w:t>
      </w:r>
      <w:r>
        <w:rPr>
          <w:sz w:val="20"/>
          <w:szCs w:val="20"/>
          <w:color w:val="auto"/>
        </w:rPr>
        <w:tab/>
      </w:r>
      <w:r>
        <w:rPr>
          <w:rFonts w:ascii="Times New Roman" w:cs="Times New Roman" w:eastAsia="Times New Roman" w:hAnsi="Times New Roman"/>
          <w:sz w:val="17"/>
          <w:szCs w:val="17"/>
          <w:b w:val="1"/>
          <w:bCs w:val="1"/>
          <w:color w:val="auto"/>
        </w:rPr>
        <w:t>No Event of Default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Event of Default will occur under Clause 20.2 (</w:t>
      </w:r>
      <w:r>
        <w:rPr>
          <w:rFonts w:ascii="Times New Roman" w:cs="Times New Roman" w:eastAsia="Times New Roman" w:hAnsi="Times New Roman"/>
          <w:sz w:val="18"/>
          <w:szCs w:val="18"/>
          <w:i w:val="1"/>
          <w:iCs w:val="1"/>
          <w:color w:val="auto"/>
        </w:rPr>
        <w:t>Other obligations</w:t>
      </w:r>
      <w:r>
        <w:rPr>
          <w:rFonts w:ascii="Times New Roman" w:cs="Times New Roman" w:eastAsia="Times New Roman" w:hAnsi="Times New Roman"/>
          <w:sz w:val="18"/>
          <w:szCs w:val="18"/>
          <w:color w:val="auto"/>
        </w:rPr>
        <w:t>) by reason only of the Borrower's failure to comply with this Clause 33.</w:t>
      </w:r>
    </w:p>
    <w:p>
      <w:pPr>
        <w:spacing w:after="0" w:line="223" w:lineRule="exact"/>
        <w:rPr>
          <w:sz w:val="20"/>
          <w:szCs w:val="20"/>
          <w:color w:val="auto"/>
        </w:rPr>
      </w:pPr>
    </w:p>
    <w:p>
      <w:pPr>
        <w:ind w:left="660" w:hanging="652"/>
        <w:spacing w:after="0"/>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COUNTERPARTS</w:t>
      </w:r>
    </w:p>
    <w:p>
      <w:pPr>
        <w:spacing w:after="0" w:line="229"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Document may be executed in any number of counterparts, and this has the same effect as if the signatures on the counterparts were on a single copy of the Finance Document.</w:t>
      </w:r>
    </w:p>
    <w:p>
      <w:pPr>
        <w:spacing w:after="0" w:line="37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ind w:left="660" w:hanging="652"/>
        <w:spacing w:after="0"/>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p>
    <w:p>
      <w:pPr>
        <w:spacing w:after="0" w:line="2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any non-contractual obligations arising out of or in connection with it are governed by English law.</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ENFORCEMENT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36.1</w:t>
      </w:r>
      <w:r>
        <w:rPr>
          <w:sz w:val="20"/>
          <w:szCs w:val="20"/>
          <w:color w:val="auto"/>
        </w:rPr>
        <w:tab/>
      </w:r>
      <w:r>
        <w:rPr>
          <w:rFonts w:ascii="Times New Roman" w:cs="Times New Roman" w:eastAsia="Times New Roman" w:hAnsi="Times New Roman"/>
          <w:sz w:val="17"/>
          <w:szCs w:val="17"/>
          <w:b w:val="1"/>
          <w:bCs w:val="1"/>
          <w:color w:val="auto"/>
        </w:rPr>
        <w:t>Jurisdiction</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courts of England have exclusive jurisdiction to settle any dispute arising out of or in connection with this Agreement (including a dispute relating to the existence, validity or termination of this Agreement or the consequences of its nullity or any non-contractual obligations arising out of or in connection with this Agreement)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that the courts of England are the most appropriate and convenient courts to settle Disputes and accordingly the Borrower will not argue to the contrary.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 (a) and (b) above, any Finance Party may take proceedings relating to a Dispute in any other courts with jurisdiction. To the extent allowed by law, the Finance Parties may take concurrent proceedings in any number of jurisdictions.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Agreement has been entered into on the date stated at the beginning of this Agreement.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PRECEDENT TO INITIAL UTILISATION</w:t>
      </w:r>
    </w:p>
    <w:p>
      <w:pPr>
        <w:spacing w:after="0" w:line="203" w:lineRule="exact"/>
        <w:rPr>
          <w:sz w:val="20"/>
          <w:szCs w:val="20"/>
          <w:color w:val="auto"/>
        </w:rPr>
      </w:pPr>
    </w:p>
    <w:p>
      <w:pPr>
        <w:ind w:left="660" w:hanging="652"/>
        <w:spacing w:after="0"/>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Borrower</w:t>
      </w:r>
    </w:p>
    <w:p>
      <w:pPr>
        <w:spacing w:after="0" w:line="22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constitutional documents of the Borrower.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 resolution of the board of directors of the Borrower:</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2"/>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terms of, and the transactions contemplated by, the Finance Documents to which it is a party and resolving that it may execute the Finance Documents to which it is a party;</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a specified person or persons to execute the Finance Documents to which it is a party on its behalf; and</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2"/>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a specified person or persons, on its behalf, to sign and/or despatch all documents and notices (including, any Utilisation Request) to be signed and/or despatched by it under or in connection with the Finance Documents to which it is a party.</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Borrower (signed by the chief executive officer or the chief financial officer of the Borrower) confirming that borrowing the Facility would not cause any borrowing or similar limit binding on the Borrower to be exceeded.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chief executive officer or the chief financial officer of the Borrower certifying that each copy document relating to it specified in this Schedule 1 is correct, complete and in full force and effect as at a date no earlier than the date of the first Utilisation Request to be delivered under this Agreement.</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documents and evidence</w:t>
      </w:r>
    </w:p>
    <w:p>
      <w:pPr>
        <w:spacing w:after="0" w:line="22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the fees, costs and expenses then due from the Borrower pursuant to Clause 16 (Costs and expenses) have been paid or will be paid (by authorising the Lender to withhold proceeds from the first Utilisation) by the first Utilisation Date.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any other Authorisation or other document, opinion or assurance which the Agent considers to be necessary or desirable (if it has notified the Borrower accordingly) in connection with the entry into and performance of the transactions contemplated by any Finance Document or for the validity and enforceability of any Finance Document.</w:t>
      </w:r>
    </w:p>
    <w:p>
      <w:pPr>
        <w:spacing w:after="0" w:line="39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3"/>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UTILISATION REQUEST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Polestar Automotive Holding UK PLC as Borrower</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Geely Sweden Automotive Investment AB as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Polestar Automotive Holding UK PLC – USD 600,000,000 Facility Agreement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dated 16 December 2025 (the "Agreement")</w:t>
      </w:r>
    </w:p>
    <w:p>
      <w:pPr>
        <w:spacing w:after="0" w:line="207" w:lineRule="exact"/>
        <w:rPr>
          <w:sz w:val="20"/>
          <w:szCs w:val="20"/>
          <w:color w:val="auto"/>
        </w:rPr>
      </w:pPr>
    </w:p>
    <w:p>
      <w:pPr>
        <w:ind w:left="660" w:hanging="652"/>
        <w:spacing w:after="0" w:line="282" w:lineRule="auto"/>
        <w:tabs>
          <w:tab w:leader="none" w:pos="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the Agreement. This is a Utilisation Request. Terms defined in the Agreement have the same meaning in this Utilisation Request unless given a different meaning in this Utilisation Request.</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wish to borrow a Loan on the following terms:</w:t>
      </w:r>
    </w:p>
    <w:p>
      <w:pPr>
        <w:sectPr>
          <w:pgSz w:w="11900" w:h="16838" w:orient="portrait"/>
          <w:cols w:equalWidth="0" w:num="1">
            <w:col w:w="11240"/>
          </w:cols>
          <w:pgMar w:left="320" w:top="900" w:right="339" w:bottom="1440" w:gutter="0" w:footer="0" w:header="0"/>
        </w:sectPr>
      </w:pP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Proposed Utilisation Date: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(or, if that is not a Business Day, the next Business Day)</w:t>
      </w:r>
    </w:p>
    <w:p>
      <w:pPr>
        <w:spacing w:after="0" w:line="211" w:lineRule="exact"/>
        <w:rPr>
          <w:sz w:val="20"/>
          <w:szCs w:val="20"/>
          <w:color w:val="auto"/>
        </w:rPr>
      </w:pPr>
    </w:p>
    <w:p>
      <w:pPr>
        <w:sectPr>
          <w:pgSz w:w="11900" w:h="16838" w:orient="portrait"/>
          <w:cols w:equalWidth="0" w:num="3">
            <w:col w:w="4900" w:space="720"/>
            <w:col w:w="60" w:space="220"/>
            <w:col w:w="5340"/>
          </w:cols>
          <w:pgMar w:left="320" w:top="900" w:right="339" w:bottom="144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Amount: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USD[</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or, if less, the Available Facility</w:t>
      </w:r>
    </w:p>
    <w:p>
      <w:pPr>
        <w:spacing w:after="0" w:line="211" w:lineRule="exact"/>
        <w:rPr>
          <w:sz w:val="20"/>
          <w:szCs w:val="20"/>
          <w:color w:val="auto"/>
        </w:rPr>
      </w:pPr>
    </w:p>
    <w:p>
      <w:pPr>
        <w:sectPr>
          <w:pgSz w:w="11900" w:h="16838" w:orient="portrait"/>
          <w:cols w:equalWidth="0" w:num="3">
            <w:col w:w="4900" w:space="720"/>
            <w:col w:w="420" w:space="220"/>
            <w:col w:w="4980"/>
          </w:cols>
          <w:pgMar w:left="320" w:top="900" w:right="339" w:bottom="1440" w:gutter="0" w:footer="0" w:header="0"/>
          <w:type w:val="continuous"/>
        </w:sectPr>
      </w:pPr>
    </w:p>
    <w:p>
      <w:pPr>
        <w:spacing w:after="0" w:line="25" w:lineRule="exact"/>
        <w:rPr>
          <w:sz w:val="20"/>
          <w:szCs w:val="20"/>
          <w:color w:val="auto"/>
        </w:rPr>
      </w:pPr>
    </w:p>
    <w:p>
      <w:pPr>
        <w:ind w:left="660" w:hanging="652"/>
        <w:spacing w:after="0" w:line="282" w:lineRule="auto"/>
        <w:tabs>
          <w:tab w:leader="none" w:pos="6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confirm that each condition specified in Clause 4.2 (Further conditions precedent) of the Agreement is satisfied on the date of this Utilisation Request.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authorise you to deduct from the proceeds of the Loan an aggregate amount equal to the aggregate amount of any fees, costs and expenses due from us as of the Utilisation Date pursuant to Clause 16 (Costs and expenses) of the Agreement, and apply such amount in discharge of such payments.]</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deduction pursuant to paragraph 5 above, the]/[The] proceeds of this Loan should be credited to [account].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Utilisation Request is irrevocable.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authorised signatory for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312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Polestar Automotive Holding UK PLC</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SCHEDULE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EQUITY CONVERSION EXERCISE NOTICE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Geely Sweden Automotive Investment AB as Lender</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Polestar Automotive Holding UK PLC as Borrower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Polestar Automotive Holding UK PLC – USD 600,000,000 Facility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16 December 2025 (the " Agreement")</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refer to the Agreement. This is an Equity Conversion Exercise Notice. Terms defined in the Agreement have the same meaning when used in this Equity Conversion Exercise Notice unless given a different meaning in this Equity Conversion Exercise 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Geely Sweden Automotive Investment AB requests the conversion of [all amounts owing by the Borrower under the Agreement][$____________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principal and interest owed by the Borrower under the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Geely Sweden Automotive Investment AB requests that the Equity Conversion Date occur on: 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 prices of PSNY Class A ADS as reported by NASDAQ on the 5 trading days immediately preceding this notice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80" w:type="dxa"/>
            <w:vAlign w:val="bottom"/>
            <w:tcBorders>
              <w:right w:val="single" w:sz="8" w:color="auto"/>
            </w:tcBorders>
          </w:tcPr>
          <w:p>
            <w:pPr>
              <w:spacing w:after="0"/>
              <w:rPr>
                <w:sz w:val="22"/>
                <w:szCs w:val="22"/>
                <w:color w:val="auto"/>
              </w:rPr>
            </w:pPr>
          </w:p>
        </w:tc>
        <w:tc>
          <w:tcPr>
            <w:tcW w:w="528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PSNY Closing Price Date</w:t>
            </w:r>
          </w:p>
        </w:tc>
        <w:tc>
          <w:tcPr>
            <w:tcW w:w="526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PSNY Closing Price</w:t>
            </w:r>
          </w:p>
        </w:tc>
        <w:tc>
          <w:tcPr>
            <w:tcW w:w="20" w:type="dxa"/>
            <w:vAlign w:val="bottom"/>
          </w:tcPr>
          <w:p>
            <w:pPr>
              <w:spacing w:after="0"/>
              <w:rPr>
                <w:sz w:val="22"/>
                <w:szCs w:val="22"/>
                <w:color w:val="auto"/>
              </w:rPr>
            </w:pPr>
          </w:p>
        </w:tc>
      </w:tr>
      <w:tr>
        <w:trPr>
          <w:trHeight w:val="27"/>
        </w:trPr>
        <w:tc>
          <w:tcPr>
            <w:tcW w:w="680" w:type="dxa"/>
            <w:vAlign w:val="bottom"/>
            <w:tcBorders>
              <w:right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80" w:type="dxa"/>
            <w:vAlign w:val="bottom"/>
            <w:tcBorders>
              <w:right w:val="single" w:sz="8" w:color="auto"/>
            </w:tcBorders>
          </w:tcPr>
          <w:p>
            <w:pPr>
              <w:spacing w:after="0"/>
              <w:rPr>
                <w:sz w:val="20"/>
                <w:szCs w:val="20"/>
                <w:color w:val="auto"/>
              </w:rPr>
            </w:pPr>
          </w:p>
        </w:tc>
        <w:tc>
          <w:tcPr>
            <w:tcW w:w="4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44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680" w:type="dxa"/>
            <w:vAlign w:val="bottom"/>
            <w:tcBorders>
              <w:right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80" w:type="dxa"/>
            <w:vAlign w:val="bottom"/>
            <w:tcBorders>
              <w:right w:val="single" w:sz="8" w:color="auto"/>
            </w:tcBorders>
          </w:tcPr>
          <w:p>
            <w:pPr>
              <w:spacing w:after="0"/>
              <w:rPr>
                <w:sz w:val="20"/>
                <w:szCs w:val="20"/>
                <w:color w:val="auto"/>
              </w:rPr>
            </w:pPr>
          </w:p>
        </w:tc>
        <w:tc>
          <w:tcPr>
            <w:tcW w:w="4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44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680" w:type="dxa"/>
            <w:vAlign w:val="bottom"/>
            <w:tcBorders>
              <w:right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80" w:type="dxa"/>
            <w:vAlign w:val="bottom"/>
            <w:tcBorders>
              <w:right w:val="single" w:sz="8" w:color="auto"/>
            </w:tcBorders>
          </w:tcPr>
          <w:p>
            <w:pPr>
              <w:spacing w:after="0"/>
              <w:rPr>
                <w:sz w:val="20"/>
                <w:szCs w:val="20"/>
                <w:color w:val="auto"/>
              </w:rPr>
            </w:pPr>
          </w:p>
        </w:tc>
        <w:tc>
          <w:tcPr>
            <w:tcW w:w="4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w:t>
            </w:r>
          </w:p>
        </w:tc>
        <w:tc>
          <w:tcPr>
            <w:tcW w:w="112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44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680" w:type="dxa"/>
            <w:vAlign w:val="bottom"/>
            <w:tcBorders>
              <w:right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80" w:type="dxa"/>
            <w:vAlign w:val="bottom"/>
            <w:tcBorders>
              <w:right w:val="single" w:sz="8" w:color="auto"/>
            </w:tcBorders>
          </w:tcPr>
          <w:p>
            <w:pPr>
              <w:spacing w:after="0"/>
              <w:rPr>
                <w:sz w:val="20"/>
                <w:szCs w:val="20"/>
                <w:color w:val="auto"/>
              </w:rPr>
            </w:pPr>
          </w:p>
        </w:tc>
        <w:tc>
          <w:tcPr>
            <w:tcW w:w="4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w:t>
            </w:r>
          </w:p>
        </w:tc>
        <w:tc>
          <w:tcPr>
            <w:tcW w:w="112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44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680" w:type="dxa"/>
            <w:vAlign w:val="bottom"/>
            <w:tcBorders>
              <w:right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80" w:type="dxa"/>
            <w:vAlign w:val="bottom"/>
            <w:tcBorders>
              <w:right w:val="single" w:sz="8" w:color="auto"/>
            </w:tcBorders>
          </w:tcPr>
          <w:p>
            <w:pPr>
              <w:spacing w:after="0"/>
              <w:rPr>
                <w:sz w:val="20"/>
                <w:szCs w:val="20"/>
                <w:color w:val="auto"/>
              </w:rPr>
            </w:pPr>
          </w:p>
        </w:tc>
        <w:tc>
          <w:tcPr>
            <w:tcW w:w="4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44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680" w:type="dxa"/>
            <w:vAlign w:val="bottom"/>
            <w:tcBorders>
              <w:right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4"/>
        </w:trPr>
        <w:tc>
          <w:tcPr>
            <w:tcW w:w="68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xml:space="preserve">Average closing price for above dates, being the </w:t>
            </w:r>
            <w:r>
              <w:rPr>
                <w:rFonts w:ascii="Times New Roman" w:cs="Times New Roman" w:eastAsia="Times New Roman" w:hAnsi="Times New Roman"/>
                <w:sz w:val="18"/>
                <w:szCs w:val="18"/>
                <w:b w:val="1"/>
                <w:bCs w:val="1"/>
                <w:color w:val="auto"/>
              </w:rPr>
              <w:t>Equity Conversion</w:t>
            </w:r>
          </w:p>
        </w:tc>
        <w:tc>
          <w:tcPr>
            <w:tcW w:w="800" w:type="dxa"/>
            <w:vAlign w:val="bottom"/>
          </w:tcPr>
          <w:p>
            <w:pPr>
              <w:spacing w:after="0"/>
              <w:rPr>
                <w:sz w:val="18"/>
                <w:szCs w:val="18"/>
                <w:color w:val="auto"/>
              </w:rPr>
            </w:pPr>
          </w:p>
        </w:tc>
        <w:tc>
          <w:tcPr>
            <w:tcW w:w="4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680" w:type="dxa"/>
            <w:vAlign w:val="bottom"/>
            <w:tcBorders>
              <w:right w:val="single" w:sz="8" w:color="auto"/>
            </w:tcBorders>
          </w:tcPr>
          <w:p>
            <w:pPr>
              <w:spacing w:after="0"/>
              <w:rPr>
                <w:sz w:val="20"/>
                <w:szCs w:val="20"/>
                <w:color w:val="auto"/>
              </w:rPr>
            </w:pPr>
          </w:p>
        </w:tc>
        <w:tc>
          <w:tcPr>
            <w:tcW w:w="4160" w:type="dxa"/>
            <w:vAlign w:val="bottom"/>
          </w:tcPr>
          <w:p>
            <w:pPr>
              <w:spacing w:after="0"/>
              <w:rPr>
                <w:sz w:val="20"/>
                <w:szCs w:val="20"/>
                <w:color w:val="auto"/>
              </w:rPr>
            </w:pPr>
          </w:p>
        </w:tc>
        <w:tc>
          <w:tcPr>
            <w:tcW w:w="11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44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680" w:type="dxa"/>
            <w:vAlign w:val="bottom"/>
            <w:tcBorders>
              <w:right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641"/>
        </w:trPr>
        <w:tc>
          <w:tcPr>
            <w:tcW w:w="680" w:type="dxa"/>
            <w:vAlign w:val="bottom"/>
          </w:tcPr>
          <w:p>
            <w:pPr>
              <w:spacing w:after="0"/>
              <w:rPr>
                <w:sz w:val="24"/>
                <w:szCs w:val="24"/>
                <w:color w:val="auto"/>
              </w:rPr>
            </w:pPr>
          </w:p>
        </w:tc>
        <w:tc>
          <w:tcPr>
            <w:tcW w:w="416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By:</w:t>
            </w:r>
          </w:p>
        </w:tc>
        <w:tc>
          <w:tcPr>
            <w:tcW w:w="1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42"/>
        </w:trPr>
        <w:tc>
          <w:tcPr>
            <w:tcW w:w="6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- 61 -</w:t>
            </w:r>
          </w:p>
        </w:tc>
        <w:tc>
          <w:tcPr>
            <w:tcW w:w="80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CURRENCY: </w:t>
      </w:r>
      <w:r>
        <w:rPr>
          <w:rFonts w:ascii="Times New Roman" w:cs="Times New Roman" w:eastAsia="Times New Roman" w:hAnsi="Times New Roman"/>
          <w:sz w:val="18"/>
          <w:szCs w:val="18"/>
          <w:color w:val="auto"/>
        </w:rPr>
        <w:t>Dollars.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funds as a fallback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funds will apply as a fallback.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Business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Alternative Term Rate:</w:t>
      </w:r>
    </w:p>
    <w:p>
      <w:pPr>
        <w:spacing w:after="0" w:line="20" w:lineRule="exact"/>
        <w:rPr>
          <w:sz w:val="20"/>
          <w:szCs w:val="20"/>
          <w:color w:val="auto"/>
        </w:rPr>
      </w:pPr>
      <w:r>
        <w:rPr>
          <w:sz w:val="20"/>
          <w:szCs w:val="20"/>
          <w:color w:val="auto"/>
        </w:rPr>
        <w:br w:type="column"/>
      </w:r>
    </w:p>
    <w:p>
      <w:pPr>
        <w:jc w:val="center"/>
        <w:ind w:right="4460"/>
        <w:spacing w:after="0"/>
        <w:rPr>
          <w:sz w:val="20"/>
          <w:szCs w:val="20"/>
          <w:color w:val="auto"/>
        </w:rPr>
      </w:pPr>
      <w:r>
        <w:rPr>
          <w:rFonts w:ascii="Times New Roman" w:cs="Times New Roman" w:eastAsia="Times New Roman" w:hAnsi="Times New Roman"/>
          <w:sz w:val="18"/>
          <w:szCs w:val="18"/>
          <w:b w:val="1"/>
          <w:bCs w:val="1"/>
          <w:color w:val="auto"/>
        </w:rPr>
        <w:t>SCHEDULE 4</w:t>
      </w:r>
    </w:p>
    <w:p>
      <w:pPr>
        <w:spacing w:after="0" w:line="31" w:lineRule="exact"/>
        <w:rPr>
          <w:sz w:val="20"/>
          <w:szCs w:val="20"/>
          <w:color w:val="auto"/>
        </w:rPr>
      </w:pPr>
    </w:p>
    <w:p>
      <w:pPr>
        <w:jc w:val="center"/>
        <w:ind w:right="4460"/>
        <w:spacing w:after="0"/>
        <w:rPr>
          <w:sz w:val="20"/>
          <w:szCs w:val="20"/>
          <w:color w:val="auto"/>
        </w:rPr>
      </w:pPr>
      <w:r>
        <w:rPr>
          <w:rFonts w:ascii="Times New Roman" w:cs="Times New Roman" w:eastAsia="Times New Roman" w:hAnsi="Times New Roman"/>
          <w:sz w:val="17"/>
          <w:szCs w:val="17"/>
          <w:b w:val="1"/>
          <w:bCs w:val="1"/>
          <w:color w:val="auto"/>
        </w:rPr>
        <w:t>REFERENCE RATE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Any day other than:</w:t>
      </w:r>
    </w:p>
    <w:p>
      <w:pPr>
        <w:spacing w:after="0" w:line="225" w:lineRule="exact"/>
        <w:rPr>
          <w:sz w:val="20"/>
          <w:szCs w:val="20"/>
          <w:color w:val="auto"/>
        </w:rPr>
      </w:pPr>
    </w:p>
    <w:p>
      <w:pPr>
        <w:ind w:left="1280" w:hanging="332"/>
        <w:spacing w:after="0"/>
        <w:tabs>
          <w:tab w:leader="none" w:pos="12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Saturday or a Sunday; and</w:t>
      </w:r>
    </w:p>
    <w:p>
      <w:pPr>
        <w:spacing w:after="0" w:line="225" w:lineRule="exact"/>
        <w:rPr>
          <w:rFonts w:ascii="Times New Roman" w:cs="Times New Roman" w:eastAsia="Times New Roman" w:hAnsi="Times New Roman"/>
          <w:sz w:val="18"/>
          <w:szCs w:val="18"/>
          <w:color w:val="auto"/>
        </w:rPr>
      </w:pPr>
    </w:p>
    <w:p>
      <w:pPr>
        <w:jc w:val="both"/>
        <w:ind w:left="1280" w:hanging="332"/>
        <w:spacing w:after="0" w:line="261" w:lineRule="auto"/>
        <w:tabs>
          <w:tab w:leader="none" w:pos="12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day on which the Securities Industry and Financial Markets Association (or any successor organisation) recommends that the fixed income departments of its members be closed for the entire day for purposes of trading in US Government securities.</w:t>
      </w:r>
    </w:p>
    <w:p>
      <w:pPr>
        <w:spacing w:after="0" w:line="180" w:lineRule="exact"/>
        <w:rPr>
          <w:sz w:val="20"/>
          <w:szCs w:val="20"/>
          <w:color w:val="auto"/>
        </w:rPr>
      </w:pPr>
    </w:p>
    <w:p>
      <w:pPr>
        <w:jc w:val="both"/>
        <w:ind w:left="940" w:right="100"/>
        <w:spacing w:after="0" w:line="256" w:lineRule="auto"/>
        <w:rPr>
          <w:sz w:val="20"/>
          <w:szCs w:val="20"/>
          <w:color w:val="auto"/>
        </w:rPr>
      </w:pPr>
      <w:r>
        <w:rPr>
          <w:rFonts w:ascii="Times New Roman" w:cs="Times New Roman" w:eastAsia="Times New Roman" w:hAnsi="Times New Roman"/>
          <w:sz w:val="18"/>
          <w:szCs w:val="18"/>
          <w:color w:val="auto"/>
        </w:rPr>
        <w:t>The Term SOFR reference rate administered by ICE Benchmark Administration Limited (or any other person which takes over the administration of that rate) for the relevant period published (before any correction, recalculation or republication by the administrator) by ICE Benchmark Administration Limited (or any other person which takes over the publication of that rate).</w:t>
      </w:r>
    </w:p>
    <w:p>
      <w:pPr>
        <w:spacing w:after="0" w:line="183" w:lineRule="exact"/>
        <w:rPr>
          <w:sz w:val="20"/>
          <w:szCs w:val="20"/>
          <w:color w:val="auto"/>
        </w:rPr>
      </w:pPr>
    </w:p>
    <w:p>
      <w:pPr>
        <w:sectPr>
          <w:pgSz w:w="11900" w:h="16838" w:orient="portrait"/>
          <w:cols w:equalWidth="0" w:num="2">
            <w:col w:w="3740" w:space="720"/>
            <w:col w:w="6780"/>
          </w:cols>
          <w:pgMar w:left="320" w:top="900" w:right="339" w:bottom="1440" w:gutter="0" w:footer="0" w:header="0"/>
        </w:sect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Alternative Term Rate Adjustment:</w:t>
            </w:r>
          </w:p>
        </w:tc>
        <w:tc>
          <w:tcPr>
            <w:tcW w:w="6040" w:type="dxa"/>
            <w:vAlign w:val="bottom"/>
          </w:tcPr>
          <w:p>
            <w:pPr>
              <w:jc w:val="right"/>
              <w:ind w:right="4610"/>
              <w:spacing w:after="0"/>
              <w:rPr>
                <w:sz w:val="20"/>
                <w:szCs w:val="20"/>
                <w:color w:val="auto"/>
              </w:rPr>
            </w:pPr>
            <w:r>
              <w:rPr>
                <w:rFonts w:ascii="Times New Roman" w:cs="Times New Roman" w:eastAsia="Times New Roman" w:hAnsi="Times New Roman"/>
                <w:sz w:val="18"/>
                <w:szCs w:val="18"/>
                <w:color w:val="auto"/>
              </w:rPr>
              <w:t>None specified.</w:t>
            </w:r>
          </w:p>
        </w:tc>
      </w:tr>
      <w:tr>
        <w:trPr>
          <w:trHeight w:val="410"/>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Business Day Conventions (definition of "Month" and Clause 9.2</w:t>
            </w:r>
          </w:p>
        </w:tc>
        <w:tc>
          <w:tcPr>
            <w:tcW w:w="6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  If any period is expressed to accrue by reference to a Month or any number</w:t>
            </w:r>
          </w:p>
        </w:tc>
      </w:t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Non-Business Days</w:t>
            </w:r>
            <w:r>
              <w:rPr>
                <w:rFonts w:ascii="Times New Roman" w:cs="Times New Roman" w:eastAsia="Times New Roman" w:hAnsi="Times New Roman"/>
                <w:sz w:val="18"/>
                <w:szCs w:val="18"/>
                <w:b w:val="1"/>
                <w:bCs w:val="1"/>
                <w:color w:val="auto"/>
              </w:rPr>
              <w:t>)):</w:t>
            </w:r>
          </w:p>
        </w:tc>
        <w:tc>
          <w:tcPr>
            <w:tcW w:w="604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of Months then, in respect of the last Month of that period:</w:t>
            </w:r>
          </w:p>
        </w:tc>
      </w:tr>
      <w:tr>
        <w:trPr>
          <w:trHeight w:val="414"/>
        </w:trPr>
        <w:tc>
          <w:tcPr>
            <w:tcW w:w="5200" w:type="dxa"/>
            <w:vAlign w:val="bottom"/>
          </w:tcPr>
          <w:p>
            <w:pPr>
              <w:spacing w:after="0"/>
              <w:rPr>
                <w:sz w:val="24"/>
                <w:szCs w:val="24"/>
                <w:color w:val="auto"/>
              </w:rPr>
            </w:pPr>
          </w:p>
        </w:tc>
        <w:tc>
          <w:tcPr>
            <w:tcW w:w="6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  subject to paragraph (iii) below, if the numerically corresponding day</w:t>
            </w:r>
          </w:p>
        </w:tc>
      </w:tr>
      <w:tr>
        <w:trPr>
          <w:trHeight w:val="216"/>
        </w:trPr>
        <w:tc>
          <w:tcPr>
            <w:tcW w:w="5200" w:type="dxa"/>
            <w:vAlign w:val="bottom"/>
          </w:tcPr>
          <w:p>
            <w:pPr>
              <w:spacing w:after="0"/>
              <w:rPr>
                <w:sz w:val="18"/>
                <w:szCs w:val="18"/>
                <w:color w:val="auto"/>
              </w:rPr>
            </w:pPr>
          </w:p>
        </w:tc>
        <w:tc>
          <w:tcPr>
            <w:tcW w:w="6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is not a Business Day, that period shall end on the next Business Day in</w:t>
            </w:r>
          </w:p>
        </w:tc>
      </w:tr>
      <w:tr>
        <w:trPr>
          <w:trHeight w:val="216"/>
        </w:trPr>
        <w:tc>
          <w:tcPr>
            <w:tcW w:w="5200" w:type="dxa"/>
            <w:vAlign w:val="bottom"/>
          </w:tcPr>
          <w:p>
            <w:pPr>
              <w:spacing w:after="0"/>
              <w:rPr>
                <w:sz w:val="18"/>
                <w:szCs w:val="18"/>
                <w:color w:val="auto"/>
              </w:rPr>
            </w:pPr>
          </w:p>
        </w:tc>
        <w:tc>
          <w:tcPr>
            <w:tcW w:w="6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that calendar month in which that period is to end if there is one, or if</w:t>
            </w:r>
          </w:p>
        </w:tc>
      </w:tr>
      <w:tr>
        <w:trPr>
          <w:trHeight w:val="234"/>
        </w:trPr>
        <w:tc>
          <w:tcPr>
            <w:tcW w:w="5200" w:type="dxa"/>
            <w:vAlign w:val="bottom"/>
          </w:tcPr>
          <w:p>
            <w:pPr>
              <w:spacing w:after="0"/>
              <w:rPr>
                <w:sz w:val="20"/>
                <w:szCs w:val="20"/>
                <w:color w:val="auto"/>
              </w:rPr>
            </w:pPr>
          </w:p>
        </w:tc>
        <w:tc>
          <w:tcPr>
            <w:tcW w:w="60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there is not, on the immediately preceding Business Day;</w:t>
            </w:r>
          </w:p>
        </w:tc>
      </w:tr>
      <w:tr>
        <w:trPr>
          <w:trHeight w:val="648"/>
        </w:trPr>
        <w:tc>
          <w:tcPr>
            <w:tcW w:w="520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jc w:val="right"/>
              <w:ind w:right="5330"/>
              <w:spacing w:after="0"/>
              <w:rPr>
                <w:sz w:val="20"/>
                <w:szCs w:val="20"/>
                <w:color w:val="auto"/>
              </w:rPr>
            </w:pPr>
            <w:r>
              <w:rPr>
                <w:rFonts w:ascii="Times New Roman" w:cs="Times New Roman" w:eastAsia="Times New Roman" w:hAnsi="Times New Roman"/>
                <w:sz w:val="18"/>
                <w:szCs w:val="18"/>
                <w:color w:val="auto"/>
              </w:rPr>
              <w:t>- 62 -</w:t>
            </w:r>
          </w:p>
        </w:tc>
      </w:tr>
    </w:tbl>
    <w:p>
      <w:pPr>
        <w:sectPr>
          <w:pgSz w:w="11900" w:h="16838" w:orient="portrait"/>
          <w:cols w:equalWidth="0" w:num="1">
            <w:col w:w="11240"/>
          </w:cols>
          <w:pgMar w:left="320" w:top="900" w:right="339" w:bottom="1440" w:gutter="0" w:footer="0" w:header="0"/>
          <w:type w:val="continuous"/>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color w:val="auto"/>
        </w:rPr>
        <w:t>(ii)  if there is no numerically corresponding day in the calendar month in</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which that period is to end, that period shall end on the last Business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Day in that calendar month; and</w:t>
            </w:r>
          </w:p>
        </w:tc>
      </w:tr>
      <w:tr>
        <w:trPr>
          <w:trHeight w:val="395"/>
        </w:trPr>
        <w:tc>
          <w:tcPr>
            <w:tcW w:w="3720" w:type="dxa"/>
            <w:vAlign w:val="bottom"/>
          </w:tcPr>
          <w:p>
            <w:pPr>
              <w:spacing w:after="0"/>
              <w:rPr>
                <w:sz w:val="24"/>
                <w:szCs w:val="24"/>
                <w:color w:val="auto"/>
              </w:rPr>
            </w:pPr>
          </w:p>
        </w:tc>
        <w:tc>
          <w:tcPr>
            <w:tcW w:w="75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(iii) if an Interest Period begins on the last Business Day of a calendar</w:t>
            </w:r>
          </w:p>
        </w:tc>
      </w:tr>
      <w:tr>
        <w:trPr>
          <w:trHeight w:val="216"/>
        </w:trPr>
        <w:tc>
          <w:tcPr>
            <w:tcW w:w="3720" w:type="dxa"/>
            <w:vAlign w:val="bottom"/>
          </w:tcPr>
          <w:p>
            <w:pPr>
              <w:spacing w:after="0"/>
              <w:rPr>
                <w:sz w:val="18"/>
                <w:szCs w:val="18"/>
                <w:color w:val="auto"/>
              </w:rPr>
            </w:pPr>
          </w:p>
        </w:tc>
        <w:tc>
          <w:tcPr>
            <w:tcW w:w="75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month, that Interest Period shall end on the last Business Day in the</w:t>
            </w:r>
          </w:p>
        </w:tc>
      </w:tr>
      <w:tr>
        <w:trPr>
          <w:trHeight w:val="234"/>
        </w:trPr>
        <w:tc>
          <w:tcPr>
            <w:tcW w:w="3720" w:type="dxa"/>
            <w:vAlign w:val="bottom"/>
          </w:tcPr>
          <w:p>
            <w:pPr>
              <w:spacing w:after="0"/>
              <w:rPr>
                <w:sz w:val="20"/>
                <w:szCs w:val="20"/>
                <w:color w:val="auto"/>
              </w:rPr>
            </w:pPr>
          </w:p>
        </w:tc>
        <w:tc>
          <w:tcPr>
            <w:tcW w:w="75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calendar month in which that Interest Period is to end.</w:t>
            </w:r>
          </w:p>
        </w:tc>
      </w:tr>
      <w:tr>
        <w:trPr>
          <w:trHeight w:val="441"/>
        </w:trPr>
        <w:tc>
          <w:tcPr>
            <w:tcW w:w="3720" w:type="dxa"/>
            <w:vAlign w:val="bottom"/>
          </w:tcPr>
          <w:p>
            <w:pPr>
              <w:spacing w:after="0"/>
              <w:rPr>
                <w:sz w:val="24"/>
                <w:szCs w:val="24"/>
                <w:color w:val="auto"/>
              </w:rPr>
            </w:pPr>
          </w:p>
        </w:tc>
        <w:tc>
          <w:tcPr>
            <w:tcW w:w="752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(b)  If an Interest Period would otherwise end on a day which is not a Business</w:t>
            </w:r>
          </w:p>
        </w:tc>
      </w:tr>
      <w:tr>
        <w:trPr>
          <w:trHeight w:val="216"/>
        </w:trPr>
        <w:tc>
          <w:tcPr>
            <w:tcW w:w="3720" w:type="dxa"/>
            <w:vAlign w:val="bottom"/>
          </w:tcPr>
          <w:p>
            <w:pPr>
              <w:spacing w:after="0"/>
              <w:rPr>
                <w:sz w:val="18"/>
                <w:szCs w:val="18"/>
                <w:color w:val="auto"/>
              </w:rPr>
            </w:pPr>
          </w:p>
        </w:tc>
        <w:tc>
          <w:tcPr>
            <w:tcW w:w="75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Day, that Interest Period will instead end on the next Business Day in that</w:t>
            </w:r>
          </w:p>
        </w:tc>
      </w:tr>
      <w:tr>
        <w:trPr>
          <w:trHeight w:val="216"/>
        </w:trPr>
        <w:tc>
          <w:tcPr>
            <w:tcW w:w="3720" w:type="dxa"/>
            <w:vAlign w:val="bottom"/>
          </w:tcPr>
          <w:p>
            <w:pPr>
              <w:spacing w:after="0"/>
              <w:rPr>
                <w:sz w:val="18"/>
                <w:szCs w:val="18"/>
                <w:color w:val="auto"/>
              </w:rPr>
            </w:pPr>
          </w:p>
        </w:tc>
        <w:tc>
          <w:tcPr>
            <w:tcW w:w="75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calendar month (if there is one) or the preceding Business Day (if there is</w:t>
            </w:r>
          </w:p>
        </w:tc>
      </w:tr>
      <w:tr>
        <w:trPr>
          <w:trHeight w:val="234"/>
        </w:trPr>
        <w:tc>
          <w:tcPr>
            <w:tcW w:w="3720" w:type="dxa"/>
            <w:vAlign w:val="bottom"/>
          </w:tcPr>
          <w:p>
            <w:pPr>
              <w:spacing w:after="0"/>
              <w:rPr>
                <w:sz w:val="20"/>
                <w:szCs w:val="20"/>
                <w:color w:val="auto"/>
              </w:rPr>
            </w:pPr>
          </w:p>
        </w:tc>
        <w:tc>
          <w:tcPr>
            <w:tcW w:w="75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not).</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Market Disruption Rate:</w:t>
            </w:r>
          </w:p>
        </w:tc>
        <w:tc>
          <w:tcPr>
            <w:tcW w:w="752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None specified.</w:t>
            </w:r>
          </w:p>
        </w:tc>
      </w:tr>
      <w:tr>
        <w:trPr>
          <w:trHeight w:val="414"/>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Overnight Rate:</w:t>
            </w:r>
          </w:p>
        </w:tc>
        <w:tc>
          <w:tcPr>
            <w:tcW w:w="752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The secured overnight financing rate (SOFR) administered by the Federal</w:t>
            </w:r>
          </w:p>
        </w:tc>
      </w:tr>
      <w:tr>
        <w:trPr>
          <w:trHeight w:val="216"/>
        </w:trPr>
        <w:tc>
          <w:tcPr>
            <w:tcW w:w="3720" w:type="dxa"/>
            <w:vAlign w:val="bottom"/>
          </w:tcPr>
          <w:p>
            <w:pPr>
              <w:spacing w:after="0"/>
              <w:rPr>
                <w:sz w:val="18"/>
                <w:szCs w:val="18"/>
                <w:color w:val="auto"/>
              </w:rPr>
            </w:pPr>
          </w:p>
        </w:tc>
        <w:tc>
          <w:tcPr>
            <w:tcW w:w="752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Reserve  Bank  of  New  York  (or  any  other  person  which  takes  over  the</w:t>
            </w:r>
          </w:p>
        </w:tc>
      </w:tr>
      <w:tr>
        <w:trPr>
          <w:trHeight w:val="216"/>
        </w:trPr>
        <w:tc>
          <w:tcPr>
            <w:tcW w:w="3720" w:type="dxa"/>
            <w:vAlign w:val="bottom"/>
          </w:tcPr>
          <w:p>
            <w:pPr>
              <w:spacing w:after="0"/>
              <w:rPr>
                <w:sz w:val="18"/>
                <w:szCs w:val="18"/>
                <w:color w:val="auto"/>
              </w:rPr>
            </w:pPr>
          </w:p>
        </w:tc>
        <w:tc>
          <w:tcPr>
            <w:tcW w:w="752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administration of that rate) published (before any correction, recalculation or</w:t>
            </w:r>
          </w:p>
        </w:tc>
      </w:tr>
      <w:tr>
        <w:trPr>
          <w:trHeight w:val="216"/>
        </w:trPr>
        <w:tc>
          <w:tcPr>
            <w:tcW w:w="3720" w:type="dxa"/>
            <w:vAlign w:val="bottom"/>
          </w:tcPr>
          <w:p>
            <w:pPr>
              <w:spacing w:after="0"/>
              <w:rPr>
                <w:sz w:val="18"/>
                <w:szCs w:val="18"/>
                <w:color w:val="auto"/>
              </w:rPr>
            </w:pPr>
          </w:p>
        </w:tc>
        <w:tc>
          <w:tcPr>
            <w:tcW w:w="752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republication by the administrator) by the Federal Reserve Bank of New York</w:t>
            </w:r>
          </w:p>
        </w:tc>
      </w:tr>
      <w:tr>
        <w:trPr>
          <w:trHeight w:val="234"/>
        </w:trPr>
        <w:tc>
          <w:tcPr>
            <w:tcW w:w="3720" w:type="dxa"/>
            <w:vAlign w:val="bottom"/>
          </w:tcPr>
          <w:p>
            <w:pPr>
              <w:spacing w:after="0"/>
              <w:rPr>
                <w:sz w:val="20"/>
                <w:szCs w:val="20"/>
                <w:color w:val="auto"/>
              </w:rPr>
            </w:pPr>
          </w:p>
        </w:tc>
        <w:tc>
          <w:tcPr>
            <w:tcW w:w="752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(or any other person which takes over the publication of that rate).</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Overnight Reference Day:</w:t>
            </w:r>
          </w:p>
        </w:tc>
        <w:tc>
          <w:tcPr>
            <w:tcW w:w="752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The day which is two Additional Business Days before the Quotation Day.</w:t>
            </w:r>
          </w:p>
        </w:tc>
      </w:tr>
      <w:tr>
        <w:trPr>
          <w:trHeight w:val="414"/>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Primary Term Rate:</w:t>
            </w:r>
          </w:p>
        </w:tc>
        <w:tc>
          <w:tcPr>
            <w:tcW w:w="752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The Term SOFR reference rate administered by CME Group Benchmark</w:t>
            </w:r>
          </w:p>
        </w:tc>
      </w:tr>
      <w:tr>
        <w:trPr>
          <w:trHeight w:val="216"/>
        </w:trPr>
        <w:tc>
          <w:tcPr>
            <w:tcW w:w="3720" w:type="dxa"/>
            <w:vAlign w:val="bottom"/>
          </w:tcPr>
          <w:p>
            <w:pPr>
              <w:spacing w:after="0"/>
              <w:rPr>
                <w:sz w:val="18"/>
                <w:szCs w:val="18"/>
                <w:color w:val="auto"/>
              </w:rPr>
            </w:pPr>
          </w:p>
        </w:tc>
        <w:tc>
          <w:tcPr>
            <w:tcW w:w="752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Administration Limited (or any other person which takes over the administration</w:t>
            </w:r>
          </w:p>
        </w:tc>
      </w:tr>
      <w:tr>
        <w:trPr>
          <w:trHeight w:val="216"/>
        </w:trPr>
        <w:tc>
          <w:tcPr>
            <w:tcW w:w="3720" w:type="dxa"/>
            <w:vAlign w:val="bottom"/>
          </w:tcPr>
          <w:p>
            <w:pPr>
              <w:spacing w:after="0"/>
              <w:rPr>
                <w:sz w:val="18"/>
                <w:szCs w:val="18"/>
                <w:color w:val="auto"/>
              </w:rPr>
            </w:pPr>
          </w:p>
        </w:tc>
        <w:tc>
          <w:tcPr>
            <w:tcW w:w="752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of  that  rate)  for  the  relevant  period  published  (before  any  correction,</w:t>
            </w:r>
          </w:p>
        </w:tc>
      </w:tr>
      <w:tr>
        <w:trPr>
          <w:trHeight w:val="216"/>
        </w:trPr>
        <w:tc>
          <w:tcPr>
            <w:tcW w:w="3720" w:type="dxa"/>
            <w:vAlign w:val="bottom"/>
          </w:tcPr>
          <w:p>
            <w:pPr>
              <w:spacing w:after="0"/>
              <w:rPr>
                <w:sz w:val="18"/>
                <w:szCs w:val="18"/>
                <w:color w:val="auto"/>
              </w:rPr>
            </w:pPr>
          </w:p>
        </w:tc>
        <w:tc>
          <w:tcPr>
            <w:tcW w:w="752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recalculation or republication by the administrator) by CME Group Benchmark</w:t>
            </w:r>
          </w:p>
        </w:tc>
      </w:tr>
      <w:tr>
        <w:trPr>
          <w:trHeight w:val="216"/>
        </w:trPr>
        <w:tc>
          <w:tcPr>
            <w:tcW w:w="3720" w:type="dxa"/>
            <w:vAlign w:val="bottom"/>
          </w:tcPr>
          <w:p>
            <w:pPr>
              <w:spacing w:after="0"/>
              <w:rPr>
                <w:sz w:val="18"/>
                <w:szCs w:val="18"/>
                <w:color w:val="auto"/>
              </w:rPr>
            </w:pPr>
          </w:p>
        </w:tc>
        <w:tc>
          <w:tcPr>
            <w:tcW w:w="752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Administration Limited (or any other person which takes over the publication of</w:t>
            </w:r>
          </w:p>
        </w:tc>
      </w:tr>
      <w:tr>
        <w:trPr>
          <w:trHeight w:val="234"/>
        </w:trPr>
        <w:tc>
          <w:tcPr>
            <w:tcW w:w="3720" w:type="dxa"/>
            <w:vAlign w:val="bottom"/>
          </w:tcPr>
          <w:p>
            <w:pPr>
              <w:spacing w:after="0"/>
              <w:rPr>
                <w:sz w:val="20"/>
                <w:szCs w:val="20"/>
                <w:color w:val="auto"/>
              </w:rPr>
            </w:pPr>
          </w:p>
        </w:tc>
        <w:tc>
          <w:tcPr>
            <w:tcW w:w="752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that rate).</w:t>
            </w:r>
          </w:p>
        </w:tc>
      </w:tr>
      <w:tr>
        <w:trPr>
          <w:trHeight w:val="648"/>
        </w:trPr>
        <w:tc>
          <w:tcPr>
            <w:tcW w:w="372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- 63 -</w:t>
            </w:r>
          </w:p>
        </w:tc>
      </w:tr>
    </w:tbl>
    <w:p>
      <w:pPr>
        <w:sectPr>
          <w:pgSz w:w="11900" w:h="16838" w:orient="portrait"/>
          <w:cols w:equalWidth="0" w:num="1">
            <w:col w:w="11240"/>
          </w:cols>
          <w:pgMar w:left="320" w:top="904" w:right="339" w:bottom="1440" w:gutter="0" w:footer="0" w:header="0"/>
        </w:sectPr>
      </w:pPr>
    </w:p>
    <w:bookmarkStart w:id="71" w:name="page72"/>
    <w:bookmarkEnd w:id="71"/>
    <w:p>
      <w:pPr>
        <w:spacing w:after="0"/>
        <w:tabs>
          <w:tab w:leader="none" w:pos="5380" w:val="left"/>
        </w:tabs>
        <w:rPr>
          <w:sz w:val="20"/>
          <w:szCs w:val="20"/>
          <w:color w:val="auto"/>
        </w:rPr>
      </w:pPr>
      <w:r>
        <w:rPr>
          <w:rFonts w:ascii="Times New Roman" w:cs="Times New Roman" w:eastAsia="Times New Roman" w:hAnsi="Times New Roman"/>
          <w:sz w:val="18"/>
          <w:szCs w:val="18"/>
          <w:b w:val="1"/>
          <w:bCs w:val="1"/>
          <w:color w:val="auto"/>
        </w:rPr>
        <w:t>Quotation Day:</w:t>
      </w:r>
      <w:r>
        <w:rPr>
          <w:sz w:val="20"/>
          <w:szCs w:val="20"/>
          <w:color w:val="auto"/>
        </w:rPr>
        <w:tab/>
      </w:r>
      <w:r>
        <w:rPr>
          <w:rFonts w:ascii="Times New Roman" w:cs="Times New Roman" w:eastAsia="Times New Roman" w:hAnsi="Times New Roman"/>
          <w:sz w:val="18"/>
          <w:szCs w:val="18"/>
          <w:color w:val="auto"/>
        </w:rPr>
        <w:t>Two Additional Business Days before the first day of the relevant Interest Period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(unless market practice differs in the relevant syndicated loan market, in which</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case the Quotation Day will be determined by the Agent in accordance with that</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market practice (and if quotations would normally be given on more than one</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day, the Quotation Day will be the last of those days)).</w:t>
      </w:r>
    </w:p>
    <w:p>
      <w:pPr>
        <w:spacing w:after="0" w:line="203" w:lineRule="exact"/>
        <w:rPr>
          <w:sz w:val="20"/>
          <w:szCs w:val="20"/>
          <w:color w:val="auto"/>
        </w:rPr>
      </w:pPr>
    </w:p>
    <w:p>
      <w:pPr>
        <w:spacing w:after="0"/>
        <w:tabs>
          <w:tab w:leader="none" w:pos="5380" w:val="left"/>
        </w:tabs>
        <w:rPr>
          <w:sz w:val="20"/>
          <w:szCs w:val="20"/>
          <w:color w:val="auto"/>
        </w:rPr>
      </w:pPr>
      <w:r>
        <w:rPr>
          <w:rFonts w:ascii="Times New Roman" w:cs="Times New Roman" w:eastAsia="Times New Roman" w:hAnsi="Times New Roman"/>
          <w:sz w:val="18"/>
          <w:szCs w:val="18"/>
          <w:b w:val="1"/>
          <w:bCs w:val="1"/>
          <w:color w:val="auto"/>
        </w:rPr>
        <w:t>Quotation Time:</w:t>
      </w:r>
      <w:r>
        <w:rPr>
          <w:sz w:val="20"/>
          <w:szCs w:val="20"/>
          <w:color w:val="auto"/>
        </w:rPr>
        <w:tab/>
      </w:r>
      <w:r>
        <w:rPr>
          <w:rFonts w:ascii="Times New Roman" w:cs="Times New Roman" w:eastAsia="Times New Roman" w:hAnsi="Times New Roman"/>
          <w:sz w:val="18"/>
          <w:szCs w:val="18"/>
          <w:color w:val="auto"/>
        </w:rPr>
        <w:t>The Quotation Day.</w:t>
      </w:r>
    </w:p>
    <w:p>
      <w:pPr>
        <w:spacing w:after="0" w:line="225" w:lineRule="exact"/>
        <w:rPr>
          <w:sz w:val="20"/>
          <w:szCs w:val="20"/>
          <w:color w:val="auto"/>
        </w:rPr>
      </w:pPr>
    </w:p>
    <w:p>
      <w:pPr>
        <w:spacing w:after="0"/>
        <w:tabs>
          <w:tab w:leader="none" w:pos="5380" w:val="left"/>
        </w:tabs>
        <w:rPr>
          <w:sz w:val="20"/>
          <w:szCs w:val="20"/>
          <w:color w:val="auto"/>
        </w:rPr>
      </w:pPr>
      <w:r>
        <w:rPr>
          <w:rFonts w:ascii="Times New Roman" w:cs="Times New Roman" w:eastAsia="Times New Roman" w:hAnsi="Times New Roman"/>
          <w:sz w:val="18"/>
          <w:szCs w:val="18"/>
          <w:b w:val="1"/>
          <w:bCs w:val="1"/>
          <w:color w:val="auto"/>
        </w:rPr>
        <w:t>Relevant Market:</w:t>
      </w:r>
      <w:r>
        <w:rPr>
          <w:sz w:val="20"/>
          <w:szCs w:val="20"/>
          <w:color w:val="auto"/>
        </w:rPr>
        <w:tab/>
      </w:r>
      <w:r>
        <w:rPr>
          <w:rFonts w:ascii="Times New Roman" w:cs="Times New Roman" w:eastAsia="Times New Roman" w:hAnsi="Times New Roman"/>
          <w:sz w:val="18"/>
          <w:szCs w:val="18"/>
          <w:color w:val="auto"/>
        </w:rPr>
        <w:t>The market for overnight cash borrowing collateralised by US Government</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securities.</w:t>
      </w:r>
    </w:p>
    <w:p>
      <w:pPr>
        <w:spacing w:after="0" w:line="203" w:lineRule="exact"/>
        <w:rPr>
          <w:sz w:val="20"/>
          <w:szCs w:val="20"/>
          <w:color w:val="auto"/>
        </w:rPr>
      </w:pPr>
    </w:p>
    <w:p>
      <w:pPr>
        <w:spacing w:after="0"/>
        <w:tabs>
          <w:tab w:leader="none" w:pos="5380" w:val="left"/>
          <w:tab w:leader="none" w:pos="5720" w:val="left"/>
        </w:tabs>
        <w:rPr>
          <w:sz w:val="20"/>
          <w:szCs w:val="20"/>
          <w:color w:val="auto"/>
        </w:rPr>
      </w:pPr>
      <w:r>
        <w:rPr>
          <w:rFonts w:ascii="Times New Roman" w:cs="Times New Roman" w:eastAsia="Times New Roman" w:hAnsi="Times New Roman"/>
          <w:sz w:val="18"/>
          <w:szCs w:val="18"/>
          <w:b w:val="1"/>
          <w:bCs w:val="1"/>
          <w:color w:val="auto"/>
        </w:rPr>
        <w:t>Reporting Day:</w:t>
      </w:r>
      <w:r>
        <w:rPr>
          <w:sz w:val="20"/>
          <w:szCs w:val="20"/>
          <w:color w:val="auto"/>
        </w:rPr>
        <w:tab/>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Subject to paragraph (b) below, the Quotation Day.</w:t>
      </w:r>
    </w:p>
    <w:p>
      <w:pPr>
        <w:spacing w:after="0" w:line="22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  If the Term Reference Rate is, or is based on the Alternative Term Rate, the</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date falling one Business Day after the Quotation Day.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Reporting Times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Deadline for the Lender to report market disruption in accordance with  Close of business in London on the Reporting Day for the relevant Loan.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Clause 10.2 (</w:t>
      </w:r>
      <w:r>
        <w:rPr>
          <w:rFonts w:ascii="Times New Roman" w:cs="Times New Roman" w:eastAsia="Times New Roman" w:hAnsi="Times New Roman"/>
          <w:sz w:val="18"/>
          <w:szCs w:val="18"/>
          <w:i w:val="1"/>
          <w:iCs w:val="1"/>
          <w:color w:val="auto"/>
        </w:rPr>
        <w:t>Market disruption</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900"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Deadline for the Lender to report their cost of funds in accordance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Clause 10.3 (</w:t>
      </w:r>
      <w:r>
        <w:rPr>
          <w:rFonts w:ascii="Times New Roman" w:cs="Times New Roman" w:eastAsia="Times New Roman" w:hAnsi="Times New Roman"/>
          <w:sz w:val="18"/>
          <w:szCs w:val="18"/>
          <w:i w:val="1"/>
          <w:iCs w:val="1"/>
          <w:color w:val="auto"/>
        </w:rPr>
        <w:t>Cost of funds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Close of business on the date falling two Business Days after the Reporting Day for the relevant Loan (or, if earlier, on the date falling two Business Days before the date on which interest is due to be paid in respect of the Interest Period for that Loan).</w:t>
      </w:r>
    </w:p>
    <w:p>
      <w:pPr>
        <w:spacing w:after="0" w:line="200" w:lineRule="exact"/>
        <w:rPr>
          <w:sz w:val="20"/>
          <w:szCs w:val="20"/>
          <w:color w:val="auto"/>
        </w:rPr>
      </w:pPr>
    </w:p>
    <w:p>
      <w:pPr>
        <w:sectPr>
          <w:pgSz w:w="11900" w:h="16838" w:orient="portrait"/>
          <w:cols w:equalWidth="0" w:num="2">
            <w:col w:w="5300" w:space="100"/>
            <w:col w:w="5840"/>
          </w:cols>
          <w:pgMar w:left="320" w:top="900" w:right="339" w:bottom="1440" w:gutter="0" w:footer="0" w:header="0"/>
          <w:type w:val="continuous"/>
        </w:sectPr>
      </w:pP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SCHEDULE 5</w:t>
      </w: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FORM OF COMPLIANCE CERTIFICATE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Polestar Automotive Holding UK PLC as Borrower</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Geely Sweden Automotive Investment AB as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Polestar Automotive Holding UK PLC – USD 600,000,000 Facility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16 December 2025 (the " Agreement")</w:t>
      </w:r>
    </w:p>
    <w:p>
      <w:pPr>
        <w:spacing w:after="0" w:line="207" w:lineRule="exact"/>
        <w:rPr>
          <w:sz w:val="20"/>
          <w:szCs w:val="20"/>
          <w:color w:val="auto"/>
        </w:rPr>
      </w:pPr>
    </w:p>
    <w:p>
      <w:pPr>
        <w:ind w:left="660" w:right="20" w:hanging="328"/>
        <w:spacing w:after="0" w:line="282" w:lineRule="auto"/>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the Agreement. This is a Compliance Certificate. Terms defined in the Agreement have the same meaning when used in this Compliance Certificate unless given a different meaning in this Compliance Certificate.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confirm that no Event of Default is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291465</wp:posOffset>
            </wp:positionV>
            <wp:extent cx="14312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Officer]/[Chief Financial Officer]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Polestar Automotive Holding UK PLC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225" w:lineRule="exact"/>
        <w:rPr>
          <w:sz w:val="20"/>
          <w:szCs w:val="20"/>
          <w:color w:val="auto"/>
        </w:rPr>
      </w:pPr>
    </w:p>
    <w:p>
      <w:pPr>
        <w:ind w:firstLine="8"/>
        <w:spacing w:after="0" w:line="282" w:lineRule="auto"/>
        <w:tabs>
          <w:tab w:leader="none" w:pos="724"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statement cannot be made, the Compliance Certificate should identify any Event of Default that is continuing and the steps, if any, being taken to remedy it.</w:t>
      </w:r>
    </w:p>
    <w:p>
      <w:pPr>
        <w:spacing w:after="0" w:line="37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BORROWER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and on behalf of </w:t>
      </w:r>
      <w:r>
        <w:rPr>
          <w:rFonts w:ascii="Times New Roman" w:cs="Times New Roman" w:eastAsia="Times New Roman" w:hAnsi="Times New Roman"/>
          <w:sz w:val="18"/>
          <w:szCs w:val="18"/>
          <w:b w:val="1"/>
          <w:bCs w:val="1"/>
          <w:color w:val="auto"/>
        </w:rPr>
        <w:t>POLESTAR AUTOMOTIVE HOLDING UK PLC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Lohscheller</w:t>
            </w:r>
          </w:p>
        </w:tc>
        <w:tc>
          <w:tcPr>
            <w:tcW w:w="16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Jean-François Mady</w:t>
            </w:r>
          </w:p>
        </w:tc>
      </w:tr>
      <w:tr>
        <w:trPr>
          <w:trHeight w:val="42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Michael Lohscheller</w:t>
            </w:r>
          </w:p>
        </w:tc>
        <w:tc>
          <w:tcPr>
            <w:tcW w:w="61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Name: Jean-François Mady</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CEO</w:t>
            </w:r>
          </w:p>
        </w:tc>
        <w:tc>
          <w:tcPr>
            <w:tcW w:w="16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CFO</w:t>
            </w:r>
          </w:p>
        </w:tc>
      </w:tr>
      <w:tr>
        <w:trPr>
          <w:trHeight w:val="648"/>
        </w:trPr>
        <w:tc>
          <w:tcPr>
            <w:tcW w:w="58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- 66 -</w:t>
            </w: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THE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For and on behalf of </w:t>
      </w:r>
      <w:r>
        <w:rPr>
          <w:rFonts w:ascii="Times New Roman" w:cs="Times New Roman" w:eastAsia="Times New Roman" w:hAnsi="Times New Roman"/>
          <w:sz w:val="17"/>
          <w:szCs w:val="17"/>
          <w:b w:val="1"/>
          <w:bCs w:val="1"/>
          <w:color w:val="auto"/>
        </w:rPr>
        <w:t>GEELY SWEDEN AUTOMOTIVE INVESTMENT AB</w:t>
      </w:r>
    </w:p>
    <w:p>
      <w:pPr>
        <w:spacing w:after="0" w:line="24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Per Ansgar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Per Ansgar</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ORIGINAL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For and on behalf of </w:t>
      </w:r>
      <w:r>
        <w:rPr>
          <w:rFonts w:ascii="Times New Roman" w:cs="Times New Roman" w:eastAsia="Times New Roman" w:hAnsi="Times New Roman"/>
          <w:sz w:val="17"/>
          <w:szCs w:val="17"/>
          <w:b w:val="1"/>
          <w:bCs w:val="1"/>
          <w:color w:val="auto"/>
        </w:rPr>
        <w:t>GEELY SWEDEN AUTOMOTIVE INVESTMENT AB</w:t>
      </w:r>
    </w:p>
    <w:p>
      <w:pPr>
        <w:spacing w:after="0" w:line="200" w:lineRule="exact"/>
        <w:rPr>
          <w:sz w:val="20"/>
          <w:szCs w:val="20"/>
          <w:color w:val="auto"/>
        </w:rPr>
      </w:pPr>
    </w:p>
    <w:p>
      <w:pPr>
        <w:spacing w:after="0" w:line="25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Per Ansgar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Per Ansgar</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0" w:lineRule="exact"/>
        <w:rPr>
          <w:sz w:val="20"/>
          <w:szCs w:val="20"/>
          <w:color w:val="auto"/>
        </w:rPr>
      </w:pPr>
    </w:p>
    <w:p>
      <w:pPr>
        <w:spacing w:after="0" w:line="22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543050" cy="3511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4305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secures new term loan facility of up to USD 600 million</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GOTHENBURG, SWEDEN – 16 December 2025</w:t>
      </w:r>
      <w:r>
        <w:rPr>
          <w:rFonts w:ascii="Times New Roman" w:cs="Times New Roman" w:eastAsia="Times New Roman" w:hAnsi="Times New Roman"/>
          <w:sz w:val="18"/>
          <w:szCs w:val="18"/>
          <w:color w:val="auto"/>
        </w:rPr>
        <w:t>. Polestar (Nasdaq: PSNY), as borrower, entered into a credit agreement with a wholly owned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as lender, of Geely Sweden Holdings AB in relation to a subordinated term loan facility of up to USD 600 million, of which the last USD 300 million would require lender consent based on Polestar’s future liquidity needs. The term loan facility is available to Polestar for general corporate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Gavrilova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anna.gavrilova@polestar.com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Theo Kjellberg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theo.kjellberg@polestar.com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Polestar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Polestar (Nasdaq: PSNY) is the Swedish electric performance car brand with a focus on uncompromised design and innovation, and the ambition to accelerate the change towards a sustainable future. Headquartered in Gothenburg, Sweden, its cars are available in 28 markets globally across North America, Europe, and Asia Pacific.</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Polestar has four models in its line-up: Polestar 2, Polestar 3, Polestar 4, and Polestar 5. Planned models include Polestar 7 compact SUV (to be introduced in 2028) and the Polestar 6 roadster. With its vehicles currently manufactured on two continents, North America and Asia, Polestar is diversifying its manufacturing footprint further, with production of Polestar 7 planned in Europe.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Polestar has an unwavering commitment to sustainability and has set an ambitious roadmap to reach its climate targets: halve greenhouse gas emissions by 2030 per-vehicle-sold and become climate-neutral across its value chain by 2040. Polestar’s comprehensive sustainability strategy covers the four areas of Climate, Transparency, Circularity, and Inclusion.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6" w:name="page77"/>
    <w:bookmarkEnd w:id="76"/>
    <w:p>
      <w:pPr>
        <w:spacing w:after="0" w:line="2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543050" cy="3511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1543050" cy="351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number of vehicle deliveries and gross margin. For example, projections of revenue, volumes, margins, cash flow break-even and other financial or operating metrics and statements regarding expectations of future needs for funding and plans related thereto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w:t>
      </w:r>
    </w:p>
    <w:p>
      <w:pPr>
        <w:jc w:val="both"/>
        <w:ind w:firstLine="8"/>
        <w:spacing w:after="0" w:line="250" w:lineRule="auto"/>
        <w:tabs>
          <w:tab w:leader="none" w:pos="26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enter into or maintain agreements or partnerships with its strategic partners, including Volvo Cars and Geely, original equipment manufacturers, vendors and technology providers; (2) Polestar’s ability to maintain relationships with its existing suppliers, source new suppliers for its critical components and enter into longer term supply contracts and complete building out its supply chain; (3) Polestar’s ability to raise additional funding;</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27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successfully execute cost-cutting activities and strategic efficiency initiatives; (5) Polestar’s estimates of expenses, profitability, gross margin, cash flow, and cash reserves; (6) Polestar’s ability to continue to meet stock exchange listing standards; (7) changes in domestic and foreign business, market, financial, political and legal conditions; (8) demand for Polestar’s vehicles or car sale volumes, revenue and margin development based on pricing, variant and market mix, cost reduction efficiencies, logistics and growing aftersales; (9) delays in the expected timelines for the development, design, manufacture, launch and financing of Polestar’s vehicles and Polestar’s reliance on a limited number of vehicle models to generate revenues;</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36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disruption of supply or shortage of materials, in particular for lithium-ion cells or semiconductors; (11) risks related to product recalls, regulatory fines and/or an unexpectedly high volume of warranty claims; (12)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 (13) the ability of Polestar to grow and manage growth profitably, maintain relationships with customers and suppliers and retain its management and key employees; (14) risks related to future market adoption of Polestar’s offerings; (15) risks related to Polestar’s current distribution model and the evolution of its distribution model in the future; (16) the effects of competition and the high barriers to entry in the automotive industry and the pace and depth of electric vehicle adoption generally on Polestar’s future business; (17) changes in regulatory requirements (including environmental laws and regulations and regulations related to connected vehicles), governmental incentives, tariffs and fuel and energy prices; (18) Polestar’s reliance on the development of vehicle charging networks to provide charging solutions for its vehicles and its strategic partners for servicing its vehicles and their integrated software; (19) Polestar’s ability to establish its brand and capture additional market share, and the risks associated with negative press or reputational harm, including from electric vehicle fires; (20) the outcome of any potential litigation, including litigation involving Polestar and Gores Guggenheim, Inc., government and regulatory proceedings, including the NHTSA investigation into the Polestar 2 rear view camera, tax audits, investigations and inquiries; (21) Polestar’s ability to continuously and rapidly innovate, develop and market new products; (22) the impact of the ongoing conflict between Ukraine and Russia and in Israel, the Gaza Strip and the Red Sea; and</w:t>
      </w:r>
    </w:p>
    <w:p>
      <w:pPr>
        <w:spacing w:after="0" w:line="5" w:lineRule="exact"/>
        <w:rPr>
          <w:rFonts w:ascii="Times New Roman" w:cs="Times New Roman" w:eastAsia="Times New Roman" w:hAnsi="Times New Roman"/>
          <w:sz w:val="18"/>
          <w:szCs w:val="18"/>
          <w:color w:val="auto"/>
        </w:rPr>
      </w:pPr>
    </w:p>
    <w:p>
      <w:pPr>
        <w:jc w:val="both"/>
        <w:ind w:firstLine="8"/>
        <w:spacing w:after="0" w:line="251" w:lineRule="auto"/>
        <w:tabs>
          <w:tab w:leader="none" w:pos="347"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conflict between Ukraine and Russia and in Israel, the Gaza Strip and the Red Sea; and (24)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 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F18422"/>
    <w:multiLevelType w:val="hybridMultilevel"/>
    <w:lvl w:ilvl="0">
      <w:lvlJc w:val="left"/>
      <w:lvlText w:val="(%1)"/>
      <w:numFmt w:val="decimal"/>
      <w:start w:val="1"/>
    </w:lvl>
  </w:abstractNum>
  <w:abstractNum w:abstractNumId="1">
    <w:nsid w:val="60EF0119"/>
    <w:multiLevelType w:val="hybridMultilevel"/>
    <w:lvl w:ilvl="0">
      <w:lvlJc w:val="left"/>
      <w:lvlText w:val="%1."/>
      <w:numFmt w:val="decimal"/>
      <w:start w:val="1"/>
    </w:lvl>
  </w:abstractNum>
  <w:abstractNum w:abstractNumId="2">
    <w:nsid w:val="26F324BA"/>
    <w:multiLevelType w:val="hybridMultilevel"/>
    <w:lvl w:ilvl="0">
      <w:lvlJc w:val="left"/>
      <w:lvlText w:val="(%1)"/>
      <w:numFmt w:val="lowerLetter"/>
      <w:start w:val="1"/>
    </w:lvl>
  </w:abstractNum>
  <w:abstractNum w:abstractNumId="3">
    <w:nsid w:val="7F01579B"/>
    <w:multiLevelType w:val="hybridMultilevel"/>
    <w:lvl w:ilvl="0">
      <w:lvlJc w:val="left"/>
      <w:lvlText w:val="(%1)"/>
      <w:numFmt w:val="lowerLetter"/>
      <w:start w:val="1"/>
    </w:lvl>
    <w:lvl w:ilvl="1">
      <w:lvlJc w:val="left"/>
      <w:lvlText w:val="-"/>
      <w:numFmt w:val="bullet"/>
      <w:start w:val="1"/>
    </w:lvl>
  </w:abstractNum>
  <w:abstractNum w:abstractNumId="4">
    <w:nsid w:val="49DA307D"/>
    <w:multiLevelType w:val="hybridMultilevel"/>
    <w:lvl w:ilvl="0">
      <w:lvlJc w:val="left"/>
      <w:lvlText w:val="(%1)"/>
      <w:numFmt w:val="lowerLetter"/>
      <w:start w:val="1"/>
    </w:lvl>
  </w:abstractNum>
  <w:abstractNum w:abstractNumId="5">
    <w:nsid w:val="7055A5F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6">
    <w:nsid w:val="5FB8370B"/>
    <w:multiLevelType w:val="hybridMultilevel"/>
    <w:lvl w:ilvl="0">
      <w:lvlJc w:val="left"/>
      <w:lvlText w:val="(%1)"/>
      <w:numFmt w:val="lowerLetter"/>
      <w:start w:val="2"/>
    </w:lvl>
  </w:abstractNum>
  <w:abstractNum w:abstractNumId="7">
    <w:nsid w:val="50801EE1"/>
    <w:multiLevelType w:val="hybridMultilevel"/>
    <w:lvl w:ilvl="0">
      <w:lvlJc w:val="left"/>
      <w:lvlText w:val="(%1)"/>
      <w:numFmt w:val="lowerLetter"/>
      <w:start w:val="1"/>
    </w:lvl>
  </w:abstractNum>
  <w:abstractNum w:abstractNumId="8">
    <w:nsid w:val="488AC1A"/>
    <w:multiLevelType w:val="hybridMultilevel"/>
    <w:lvl w:ilvl="0">
      <w:lvlJc w:val="left"/>
      <w:lvlText w:val="(%1)"/>
      <w:numFmt w:val="lowerLetter"/>
      <w:start w:val="1"/>
    </w:lvl>
    <w:lvl w:ilvl="1">
      <w:lvlJc w:val="left"/>
      <w:lvlText w:val="(%2)"/>
      <w:numFmt w:val="lowerRoman"/>
      <w:start w:val="1"/>
    </w:lvl>
  </w:abstractNum>
  <w:abstractNum w:abstractNumId="9">
    <w:nsid w:val="5FB8011C"/>
    <w:multiLevelType w:val="hybridMultilevel"/>
    <w:lvl w:ilvl="0">
      <w:lvlJc w:val="left"/>
      <w:lvlText w:val="(%1)"/>
      <w:numFmt w:val="lowerLetter"/>
      <w:start w:val="1"/>
    </w:lvl>
  </w:abstractNum>
  <w:abstractNum w:abstractNumId="10">
    <w:nsid w:val="6AA78F7F"/>
    <w:multiLevelType w:val="hybridMultilevel"/>
    <w:lvl w:ilvl="0">
      <w:lvlJc w:val="left"/>
      <w:lvlText w:val="(%1)"/>
      <w:numFmt w:val="lowerLetter"/>
      <w:start w:val="1"/>
    </w:lvl>
    <w:lvl w:ilvl="1">
      <w:lvlJc w:val="left"/>
      <w:lvlText w:val="-"/>
      <w:numFmt w:val="bullet"/>
      <w:start w:val="1"/>
    </w:lvl>
  </w:abstractNum>
  <w:abstractNum w:abstractNumId="11">
    <w:nsid w:val="7672BD23"/>
    <w:multiLevelType w:val="hybridMultilevel"/>
    <w:lvl w:ilvl="0">
      <w:lvlJc w:val="left"/>
      <w:lvlText w:val="(%1)"/>
      <w:numFmt w:val="lowerLetter"/>
      <w:start w:val="1"/>
    </w:lvl>
    <w:lvl w:ilvl="1">
      <w:lvlJc w:val="left"/>
      <w:lvlText w:val="(%2)"/>
      <w:numFmt w:val="lowerRoman"/>
      <w:start w:val="1"/>
    </w:lvl>
  </w:abstractNum>
  <w:abstractNum w:abstractNumId="12">
    <w:nsid w:val="6FC75AF8"/>
    <w:multiLevelType w:val="hybridMultilevel"/>
    <w:lvl w:ilvl="0">
      <w:lvlJc w:val="left"/>
      <w:lvlText w:val="(%1)"/>
      <w:numFmt w:val="lowerLetter"/>
      <w:start w:val="1"/>
    </w:lvl>
    <w:lvl w:ilvl="1">
      <w:lvlJc w:val="left"/>
      <w:lvlText w:val="(%2)"/>
      <w:numFmt w:val="lowerRoman"/>
      <w:start w:val="1"/>
    </w:lvl>
  </w:abstractNum>
  <w:abstractNum w:abstractNumId="13">
    <w:nsid w:val="6A5F702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4">
    <w:nsid w:val="7D5E18F8"/>
    <w:multiLevelType w:val="hybridMultilevel"/>
    <w:lvl w:ilvl="0">
      <w:lvlJc w:val="left"/>
      <w:lvlText w:val="(%1)"/>
      <w:numFmt w:val="lowerLetter"/>
      <w:start w:val="2"/>
    </w:lvl>
  </w:abstractNum>
  <w:abstractNum w:abstractNumId="15">
    <w:nsid w:val="5F3534A4"/>
    <w:multiLevelType w:val="hybridMultilevel"/>
    <w:lvl w:ilvl="0">
      <w:lvlJc w:val="left"/>
      <w:lvlText w:val="(%1)"/>
      <w:numFmt w:val="lowerLetter"/>
      <w:start w:val="1"/>
    </w:lvl>
  </w:abstractNum>
  <w:abstractNum w:abstractNumId="16">
    <w:nsid w:val="73A1821B"/>
    <w:multiLevelType w:val="hybridMultilevel"/>
    <w:lvl w:ilvl="0">
      <w:lvlJc w:val="left"/>
      <w:lvlText w:val="(%1)"/>
      <w:numFmt w:val="lowerLetter"/>
      <w:start w:val="1"/>
    </w:lvl>
  </w:abstractNum>
  <w:abstractNum w:abstractNumId="17">
    <w:nsid w:val="7DE67713"/>
    <w:multiLevelType w:val="hybridMultilevel"/>
    <w:lvl w:ilvl="0">
      <w:lvlJc w:val="left"/>
      <w:lvlText w:val="(%1)"/>
      <w:numFmt w:val="lowerLetter"/>
      <w:start w:val="1"/>
    </w:lvl>
  </w:abstractNum>
  <w:abstractNum w:abstractNumId="18">
    <w:nsid w:val="555C55B5"/>
    <w:multiLevelType w:val="hybridMultilevel"/>
    <w:lvl w:ilvl="0">
      <w:lvlJc w:val="left"/>
      <w:lvlText w:val="(%1)"/>
      <w:numFmt w:val="lowerLetter"/>
      <w:start w:val="1"/>
    </w:lvl>
  </w:abstractNum>
  <w:abstractNum w:abstractNumId="19">
    <w:nsid w:val="3FA62ACA"/>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0">
    <w:nsid w:val="14FCE74E"/>
    <w:multiLevelType w:val="hybridMultilevel"/>
    <w:lvl w:ilvl="0">
      <w:lvlJc w:val="left"/>
      <w:lvlText w:val="%1"/>
      <w:numFmt w:val="lowerLetter"/>
      <w:start w:val="1"/>
    </w:lvl>
    <w:lvl w:ilvl="1">
      <w:lvlJc w:val="left"/>
      <w:lvlText w:val="(%2)"/>
      <w:numFmt w:val="lowerRoman"/>
      <w:start w:val="8"/>
    </w:lvl>
  </w:abstractNum>
  <w:abstractNum w:abstractNumId="21">
    <w:nsid w:val="6A3DD3E8"/>
    <w:multiLevelType w:val="hybridMultilevel"/>
    <w:lvl w:ilvl="0">
      <w:lvlJc w:val="left"/>
      <w:lvlText w:val="(%1)"/>
      <w:numFmt w:val="lowerLetter"/>
      <w:start w:val="2"/>
    </w:lvl>
    <w:lvl w:ilvl="1">
      <w:lvlJc w:val="left"/>
      <w:lvlText w:val="(%2)"/>
      <w:numFmt w:val="lowerRoman"/>
      <w:start w:val="1"/>
    </w:lvl>
  </w:abstractNum>
  <w:abstractNum w:abstractNumId="22">
    <w:nsid w:val="71C91298"/>
    <w:multiLevelType w:val="hybridMultilevel"/>
    <w:lvl w:ilvl="0">
      <w:lvlJc w:val="left"/>
      <w:lvlText w:val="%1."/>
      <w:numFmt w:val="decimal"/>
      <w:start w:val="2"/>
    </w:lvl>
  </w:abstractNum>
  <w:abstractNum w:abstractNumId="23">
    <w:nsid w:val="9DAF632"/>
    <w:multiLevelType w:val="hybridMultilevel"/>
    <w:lvl w:ilvl="0">
      <w:lvlJc w:val="left"/>
      <w:lvlText w:val="%1."/>
      <w:numFmt w:val="decimal"/>
      <w:start w:val="3"/>
    </w:lvl>
  </w:abstractNum>
  <w:abstractNum w:abstractNumId="24">
    <w:nsid w:val="53299938"/>
    <w:multiLevelType w:val="hybridMultilevel"/>
    <w:lvl w:ilvl="0">
      <w:lvlJc w:val="left"/>
      <w:lvlText w:val="%1."/>
      <w:numFmt w:val="decimal"/>
      <w:start w:val="4"/>
    </w:lvl>
  </w:abstractNum>
  <w:abstractNum w:abstractNumId="25">
    <w:nsid w:val="1FBFE8E0"/>
    <w:multiLevelType w:val="hybridMultilevel"/>
    <w:lvl w:ilvl="0">
      <w:lvlJc w:val="left"/>
      <w:lvlText w:val="%1"/>
      <w:numFmt w:val="decimal"/>
      <w:start w:val="1"/>
    </w:lvl>
    <w:lvl w:ilvl="1">
      <w:lvlJc w:val="left"/>
      <w:lvlText w:val="(%2)"/>
      <w:numFmt w:val="lowerLetter"/>
      <w:start w:val="1"/>
    </w:lvl>
  </w:abstractNum>
  <w:abstractNum w:abstractNumId="26">
    <w:nsid w:val="5092CA79"/>
    <w:multiLevelType w:val="hybridMultilevel"/>
    <w:lvl w:ilvl="0">
      <w:lvlJc w:val="left"/>
      <w:lvlText w:val="%1."/>
      <w:numFmt w:val="decimal"/>
      <w:start w:val="5"/>
    </w:lvl>
    <w:lvl w:ilvl="1">
      <w:lvlJc w:val="left"/>
      <w:lvlText w:val="%2"/>
      <w:numFmt w:val="lowerLetter"/>
      <w:start w:val="1"/>
    </w:lvl>
  </w:abstractNum>
  <w:abstractNum w:abstractNumId="27">
    <w:nsid w:val="1D545C4D"/>
    <w:multiLevelType w:val="hybridMultilevel"/>
    <w:lvl w:ilvl="0">
      <w:lvlJc w:val="left"/>
      <w:lvlText w:val="(%1)"/>
      <w:numFmt w:val="lowerLetter"/>
      <w:start w:val="1"/>
    </w:lvl>
  </w:abstractNum>
  <w:abstractNum w:abstractNumId="28">
    <w:nsid w:val="59ADEA3D"/>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9">
    <w:nsid w:val="288F1A34"/>
    <w:multiLevelType w:val="hybridMultilevel"/>
    <w:lvl w:ilvl="0">
      <w:lvlJc w:val="left"/>
      <w:lvlText w:val="(%1)"/>
      <w:numFmt w:val="lowerLetter"/>
      <w:start w:val="2"/>
    </w:lvl>
  </w:abstractNum>
  <w:abstractNum w:abstractNumId="30">
    <w:nsid w:val="2A155DBC"/>
    <w:multiLevelType w:val="hybridMultilevel"/>
    <w:lvl w:ilvl="0">
      <w:lvlJc w:val="left"/>
      <w:lvlText w:val="(%1)"/>
      <w:numFmt w:val="lowerLetter"/>
      <w:start w:val="1"/>
    </w:lvl>
  </w:abstractNum>
  <w:abstractNum w:abstractNumId="31">
    <w:nsid w:val="1D9F6E5F"/>
    <w:multiLevelType w:val="hybridMultilevel"/>
    <w:lvl w:ilvl="0">
      <w:lvlJc w:val="left"/>
      <w:lvlText w:val="%1."/>
      <w:numFmt w:val="decimal"/>
      <w:start w:val="6"/>
    </w:lvl>
  </w:abstractNum>
  <w:abstractNum w:abstractNumId="32">
    <w:nsid w:val="97E1B4E"/>
    <w:multiLevelType w:val="hybridMultilevel"/>
    <w:lvl w:ilvl="0">
      <w:lvlJc w:val="left"/>
      <w:lvlText w:val="(%1)"/>
      <w:numFmt w:val="lowerLetter"/>
      <w:start w:val="1"/>
    </w:lvl>
  </w:abstractNum>
  <w:abstractNum w:abstractNumId="33">
    <w:nsid w:val="51088277"/>
    <w:multiLevelType w:val="hybridMultilevel"/>
    <w:lvl w:ilvl="0">
      <w:lvlJc w:val="left"/>
      <w:lvlText w:val="(%1)"/>
      <w:numFmt w:val="lowerLetter"/>
      <w:start w:val="1"/>
    </w:lvl>
    <w:lvl w:ilvl="1">
      <w:lvlJc w:val="left"/>
      <w:lvlText w:val="-"/>
      <w:numFmt w:val="bullet"/>
      <w:start w:val="1"/>
    </w:lvl>
  </w:abstractNum>
  <w:abstractNum w:abstractNumId="34">
    <w:nsid w:val="1CA0C5F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5">
    <w:nsid w:val="53584BC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6">
    <w:nsid w:val="415E286C"/>
    <w:multiLevelType w:val="hybridMultilevel"/>
    <w:lvl w:ilvl="0">
      <w:lvlJc w:val="left"/>
      <w:lvlText w:val="(%1)"/>
      <w:numFmt w:val="lowerLetter"/>
      <w:start w:val="1"/>
    </w:lvl>
    <w:lvl w:ilvl="1">
      <w:lvlJc w:val="left"/>
      <w:lvlText w:val="-"/>
      <w:numFmt w:val="bullet"/>
      <w:start w:val="1"/>
    </w:lvl>
  </w:abstractNum>
  <w:abstractNum w:abstractNumId="37">
    <w:nsid w:val="7C58FD0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8">
    <w:nsid w:val="23D86AAC"/>
    <w:multiLevelType w:val="hybridMultilevel"/>
    <w:lvl w:ilvl="0">
      <w:lvlJc w:val="left"/>
      <w:lvlText w:val="(%1)"/>
      <w:numFmt w:val="lowerLetter"/>
      <w:start w:val="1"/>
    </w:lvl>
  </w:abstractNum>
  <w:abstractNum w:abstractNumId="39">
    <w:nsid w:val="45E6D486"/>
    <w:multiLevelType w:val="hybridMultilevel"/>
    <w:lvl w:ilvl="0">
      <w:lvlJc w:val="left"/>
      <w:lvlText w:val="%1."/>
      <w:numFmt w:val="decimal"/>
      <w:start w:val="8"/>
    </w:lvl>
  </w:abstractNum>
  <w:abstractNum w:abstractNumId="40">
    <w:nsid w:val="5C10FE21"/>
    <w:multiLevelType w:val="hybridMultilevel"/>
    <w:lvl w:ilvl="0">
      <w:lvlJc w:val="left"/>
      <w:lvlText w:val="(%1)"/>
      <w:numFmt w:val="lowerLetter"/>
      <w:start w:val="1"/>
    </w:lvl>
  </w:abstractNum>
  <w:abstractNum w:abstractNumId="41">
    <w:nsid w:val="E7FFA2B"/>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42">
    <w:nsid w:val="3C5991AA"/>
    <w:multiLevelType w:val="hybridMultilevel"/>
    <w:lvl w:ilvl="0">
      <w:lvlJc w:val="left"/>
      <w:lvlText w:val="(%1)"/>
      <w:numFmt w:val="lowerLetter"/>
      <w:start w:val="2"/>
    </w:lvl>
    <w:lvl w:ilvl="1">
      <w:lvlJc w:val="left"/>
      <w:lvlText w:val="(%2)"/>
      <w:numFmt w:val="lowerRoman"/>
      <w:start w:val="1"/>
    </w:lvl>
  </w:abstractNum>
  <w:abstractNum w:abstractNumId="43">
    <w:nsid w:val="4BD8591A"/>
    <w:multiLevelType w:val="hybridMultilevel"/>
    <w:lvl w:ilvl="0">
      <w:lvlJc w:val="left"/>
      <w:lvlText w:val="%1"/>
      <w:numFmt w:val="decimal"/>
      <w:start w:val="1"/>
    </w:lvl>
    <w:lvl w:ilvl="1">
      <w:lvlJc w:val="left"/>
      <w:lvlText w:val="(%2)"/>
      <w:numFmt w:val="lowerLetter"/>
      <w:start w:val="1"/>
    </w:lvl>
  </w:abstractNum>
  <w:abstractNum w:abstractNumId="44">
    <w:nsid w:val="78DF6A55"/>
    <w:multiLevelType w:val="hybridMultilevel"/>
    <w:lvl w:ilvl="0">
      <w:lvlJc w:val="left"/>
      <w:lvlText w:val="%1."/>
      <w:numFmt w:val="decimal"/>
      <w:start w:val="9"/>
    </w:lvl>
    <w:lvl w:ilvl="1">
      <w:lvlJc w:val="left"/>
      <w:lvlText w:val="%2"/>
      <w:numFmt w:val="lowerLetter"/>
      <w:start w:val="1"/>
    </w:lvl>
  </w:abstractNum>
  <w:abstractNum w:abstractNumId="45">
    <w:nsid w:val="39B7AAA2"/>
    <w:multiLevelType w:val="hybridMultilevel"/>
    <w:lvl w:ilvl="0">
      <w:lvlJc w:val="left"/>
      <w:lvlText w:val="(%1)"/>
      <w:numFmt w:val="lowerLetter"/>
      <w:start w:val="1"/>
    </w:lvl>
  </w:abstractNum>
  <w:abstractNum w:abstractNumId="46">
    <w:nsid w:val="2B0D8DBE"/>
    <w:multiLevelType w:val="hybridMultilevel"/>
    <w:lvl w:ilvl="0">
      <w:lvlJc w:val="left"/>
      <w:lvlText w:val="%1."/>
      <w:numFmt w:val="decimal"/>
      <w:start w:val="10"/>
    </w:lvl>
  </w:abstractNum>
  <w:abstractNum w:abstractNumId="47">
    <w:nsid w:val="6C80EC70"/>
    <w:multiLevelType w:val="hybridMultilevel"/>
    <w:lvl w:ilvl="0">
      <w:lvlJc w:val="left"/>
      <w:lvlText w:val="(%1)"/>
      <w:numFmt w:val="lowerLetter"/>
      <w:start w:val="1"/>
    </w:lvl>
    <w:lvl w:ilvl="1">
      <w:lvlJc w:val="left"/>
      <w:lvlText w:val="(%2)"/>
      <w:numFmt w:val="lowerRoman"/>
      <w:start w:val="1"/>
    </w:lvl>
  </w:abstractNum>
  <w:abstractNum w:abstractNumId="48">
    <w:nsid w:val="379E21B5"/>
    <w:multiLevelType w:val="hybridMultilevel"/>
    <w:lvl w:ilvl="0">
      <w:lvlJc w:val="left"/>
      <w:lvlText w:val="(%1)"/>
      <w:numFmt w:val="lowerLetter"/>
      <w:start w:val="1"/>
    </w:lvl>
  </w:abstractNum>
  <w:abstractNum w:abstractNumId="49">
    <w:nsid w:val="69E373"/>
    <w:multiLevelType w:val="hybridMultilevel"/>
    <w:lvl w:ilvl="0">
      <w:lvlJc w:val="left"/>
      <w:lvlText w:val="(%1)"/>
      <w:numFmt w:val="lowerLetter"/>
      <w:start w:val="1"/>
    </w:lvl>
    <w:lvl w:ilvl="1">
      <w:lvlJc w:val="left"/>
      <w:lvlText w:val="(%2)"/>
      <w:numFmt w:val="lowerRoman"/>
      <w:start w:val="1"/>
    </w:lvl>
  </w:abstractNum>
  <w:abstractNum w:abstractNumId="50">
    <w:nsid w:val="2C27173B"/>
    <w:multiLevelType w:val="hybridMultilevel"/>
    <w:lvl w:ilvl="0">
      <w:lvlJc w:val="left"/>
      <w:lvlText w:val="%1"/>
      <w:numFmt w:val="decimal"/>
      <w:start w:val="1"/>
    </w:lvl>
    <w:lvl w:ilvl="1">
      <w:lvlJc w:val="left"/>
      <w:lvlText w:val="(%2)"/>
      <w:numFmt w:val="lowerLetter"/>
      <w:start w:val="1"/>
    </w:lvl>
  </w:abstractNum>
  <w:abstractNum w:abstractNumId="51">
    <w:nsid w:val="4C9B0904"/>
    <w:multiLevelType w:val="hybridMultilevel"/>
    <w:lvl w:ilvl="0">
      <w:lvlJc w:val="left"/>
      <w:lvlText w:val="%1."/>
      <w:numFmt w:val="decimal"/>
      <w:start w:val="11"/>
    </w:lvl>
    <w:lvl w:ilvl="1">
      <w:lvlJc w:val="left"/>
      <w:lvlText w:val="%2"/>
      <w:numFmt w:val="lowerLetter"/>
      <w:start w:val="1"/>
    </w:lvl>
  </w:abstractNum>
  <w:abstractNum w:abstractNumId="52">
    <w:nsid w:val="6AA7B75C"/>
    <w:multiLevelType w:val="hybridMultilevel"/>
    <w:lvl w:ilvl="0">
      <w:lvlJc w:val="left"/>
      <w:lvlText w:val="(%1)"/>
      <w:numFmt w:val="lowerLetter"/>
      <w:start w:val="1"/>
    </w:lvl>
  </w:abstractNum>
  <w:abstractNum w:abstractNumId="53">
    <w:nsid w:val="1DF029D3"/>
    <w:multiLevelType w:val="hybridMultilevel"/>
    <w:lvl w:ilvl="0">
      <w:lvlJc w:val="left"/>
      <w:lvlText w:val="%1."/>
      <w:numFmt w:val="decimal"/>
      <w:start w:val="12"/>
    </w:lvl>
  </w:abstractNum>
  <w:abstractNum w:abstractNumId="54">
    <w:nsid w:val="5675FF36"/>
    <w:multiLevelType w:val="hybridMultilevel"/>
    <w:lvl w:ilvl="0">
      <w:lvlJc w:val="left"/>
      <w:lvlText w:val="(%1)"/>
      <w:numFmt w:val="lowerLetter"/>
      <w:start w:val="1"/>
    </w:lvl>
    <w:lvl w:ilvl="1">
      <w:lvlJc w:val="left"/>
      <w:lvlText w:val="-"/>
      <w:numFmt w:val="bullet"/>
      <w:start w:val="1"/>
    </w:lvl>
  </w:abstractNum>
  <w:abstractNum w:abstractNumId="55">
    <w:nsid w:val="3DD15094"/>
    <w:multiLevelType w:val="hybridMultilevel"/>
    <w:lvl w:ilvl="0">
      <w:lvlJc w:val="left"/>
      <w:lvlText w:val="(%1)"/>
      <w:numFmt w:val="lowerLetter"/>
      <w:start w:val="3"/>
    </w:lvl>
  </w:abstractNum>
  <w:abstractNum w:abstractNumId="56">
    <w:nsid w:val="3DB012B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7">
    <w:nsid w:val="2708C9AF"/>
    <w:multiLevelType w:val="hybridMultilevel"/>
    <w:lvl w:ilvl="0">
      <w:lvlJc w:val="left"/>
      <w:lvlText w:val="(%1)"/>
      <w:numFmt w:val="lowerRoman"/>
      <w:start w:val="2"/>
    </w:lvl>
    <w:lvl w:ilvl="1">
      <w:lvlJc w:val="left"/>
      <w:lvlText w:val="(%2)"/>
      <w:numFmt w:val="upperLetter"/>
      <w:start w:val="1"/>
    </w:lvl>
    <w:lvl w:ilvl="2">
      <w:lvlJc w:val="left"/>
      <w:lvlText w:val="-"/>
      <w:numFmt w:val="bullet"/>
      <w:start w:val="1"/>
    </w:lvl>
  </w:abstractNum>
  <w:abstractNum w:abstractNumId="58">
    <w:nsid w:val="5B25ACE2"/>
    <w:multiLevelType w:val="hybridMultilevel"/>
    <w:lvl w:ilvl="0">
      <w:lvlJc w:val="left"/>
      <w:lvlText w:val="%1"/>
      <w:numFmt w:val="lowerLetter"/>
      <w:start w:val="1"/>
    </w:lvl>
    <w:lvl w:ilvl="1">
      <w:lvlJc w:val="left"/>
      <w:lvlText w:val="(%2)"/>
      <w:numFmt w:val="upperLetter"/>
      <w:start w:val="2"/>
    </w:lvl>
  </w:abstractNum>
  <w:abstractNum w:abstractNumId="59">
    <w:nsid w:val="175DFCF0"/>
    <w:multiLevelType w:val="hybridMultilevel"/>
    <w:lvl w:ilvl="0">
      <w:lvlJc w:val="left"/>
      <w:lvlText w:val="(%1)"/>
      <w:numFmt w:val="lowerLetter"/>
      <w:start w:val="3"/>
    </w:lvl>
    <w:lvl w:ilvl="1">
      <w:lvlJc w:val="left"/>
      <w:lvlText w:val="%2"/>
      <w:numFmt w:val="upperLetter"/>
      <w:start w:val="1"/>
    </w:lvl>
  </w:abstractNum>
  <w:abstractNum w:abstractNumId="60">
    <w:nsid w:val="4F97E3E4"/>
    <w:multiLevelType w:val="hybridMultilevel"/>
    <w:lvl w:ilvl="0">
      <w:lvlJc w:val="left"/>
      <w:lvlText w:val="(%1)"/>
      <w:numFmt w:val="lowerLetter"/>
      <w:start w:val="1"/>
    </w:lvl>
  </w:abstractNum>
  <w:abstractNum w:abstractNumId="61">
    <w:nsid w:val="53B0A9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62">
    <w:nsid w:val="34FD6B4F"/>
    <w:multiLevelType w:val="hybridMultilevel"/>
    <w:lvl w:ilvl="0">
      <w:lvlJc w:val="left"/>
      <w:lvlText w:val="%1"/>
      <w:numFmt w:val="lowerLetter"/>
      <w:start w:val="1"/>
    </w:lvl>
    <w:lvl w:ilvl="1">
      <w:lvlJc w:val="left"/>
      <w:lvlText w:val="(%2)"/>
      <w:numFmt w:val="lowerLetter"/>
      <w:start w:val="35"/>
    </w:lvl>
  </w:abstractNum>
  <w:abstractNum w:abstractNumId="63">
    <w:nsid w:val="5915FF32"/>
    <w:multiLevelType w:val="hybridMultilevel"/>
    <w:lvl w:ilvl="0">
      <w:lvlJc w:val="left"/>
      <w:lvlText w:val="(%1)"/>
      <w:numFmt w:val="lowerLetter"/>
      <w:start w:val="3"/>
    </w:lvl>
    <w:lvl w:ilvl="1">
      <w:lvlJc w:val="left"/>
      <w:lvlText w:val="%2"/>
      <w:numFmt w:val="lowerLetter"/>
      <w:start w:val="1"/>
    </w:lvl>
  </w:abstractNum>
  <w:abstractNum w:abstractNumId="64">
    <w:nsid w:val="56438D1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65">
    <w:nsid w:val="519E3149"/>
    <w:multiLevelType w:val="hybridMultilevel"/>
    <w:lvl w:ilvl="0">
      <w:lvlJc w:val="left"/>
      <w:lvlText w:val="(%1)"/>
      <w:numFmt w:val="lowerLetter"/>
      <w:start w:val="2"/>
    </w:lvl>
    <w:lvl w:ilvl="1">
      <w:lvlJc w:val="left"/>
      <w:lvlText w:val="(%2)"/>
      <w:numFmt w:val="lowerRoman"/>
      <w:start w:val="1"/>
    </w:lvl>
  </w:abstractNum>
  <w:abstractNum w:abstractNumId="66">
    <w:nsid w:val="2C6E4AFD"/>
    <w:multiLevelType w:val="hybridMultilevel"/>
    <w:lvl w:ilvl="0">
      <w:lvlJc w:val="left"/>
      <w:lvlText w:val="(%1)"/>
      <w:numFmt w:val="lowerLetter"/>
      <w:start w:val="1"/>
    </w:lvl>
  </w:abstractNum>
  <w:abstractNum w:abstractNumId="67">
    <w:nsid w:val="17A1B582"/>
    <w:multiLevelType w:val="hybridMultilevel"/>
    <w:lvl w:ilvl="0">
      <w:lvlJc w:val="left"/>
      <w:lvlText w:val="%1."/>
      <w:numFmt w:val="decimal"/>
      <w:start w:val="13"/>
    </w:lvl>
  </w:abstractNum>
  <w:abstractNum w:abstractNumId="68">
    <w:nsid w:val="4DF72E4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69">
    <w:nsid w:val="5046B5A9"/>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70">
    <w:nsid w:val="5D888A0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1">
    <w:nsid w:val="2A082C70"/>
    <w:multiLevelType w:val="hybridMultilevel"/>
    <w:lvl w:ilvl="0">
      <w:lvlJc w:val="left"/>
      <w:lvlText w:val="(%1)"/>
      <w:numFmt w:val="lowerRoman"/>
      <w:start w:val="2"/>
    </w:lvl>
    <w:lvl w:ilvl="1">
      <w:lvlJc w:val="left"/>
      <w:lvlText w:val="(%2)"/>
      <w:numFmt w:val="upperLetter"/>
      <w:start w:val="1"/>
    </w:lvl>
    <w:lvl w:ilvl="2">
      <w:lvlJc w:val="left"/>
      <w:lvlText w:val="-"/>
      <w:numFmt w:val="bullet"/>
      <w:start w:val="1"/>
    </w:lvl>
  </w:abstractNum>
  <w:abstractNum w:abstractNumId="72">
    <w:nsid w:val="5EC6AFD4"/>
    <w:multiLevelType w:val="hybridMultilevel"/>
    <w:lvl w:ilvl="0">
      <w:lvlJc w:val="left"/>
      <w:lvlText w:val="%1"/>
      <w:numFmt w:val="lowerRoman"/>
      <w:start w:val="1"/>
    </w:lvl>
    <w:lvl w:ilvl="1">
      <w:lvlJc w:val="left"/>
      <w:lvlText w:val="(%2)"/>
      <w:numFmt w:val="upperLetter"/>
      <w:start w:val="2"/>
    </w:lvl>
  </w:abstractNum>
  <w:abstractNum w:abstractNumId="73">
    <w:nsid w:val="19E21BB2"/>
    <w:multiLevelType w:val="hybridMultilevel"/>
    <w:lvl w:ilvl="0">
      <w:lvlJc w:val="left"/>
      <w:lvlText w:val="(%1)"/>
      <w:numFmt w:val="lowerRoman"/>
      <w:start w:val="5"/>
    </w:lvl>
    <w:lvl w:ilvl="1">
      <w:lvlJc w:val="left"/>
      <w:lvlText w:val="(%2)"/>
      <w:numFmt w:val="upperLetter"/>
      <w:start w:val="1"/>
    </w:lvl>
  </w:abstractNum>
  <w:abstractNum w:abstractNumId="74">
    <w:nsid w:val="75E0858A"/>
    <w:multiLevelType w:val="hybridMultilevel"/>
    <w:lvl w:ilvl="0">
      <w:lvlJc w:val="left"/>
      <w:lvlText w:val="(%1)"/>
      <w:numFmt w:val="lowerLetter"/>
      <w:start w:val="1"/>
    </w:lvl>
  </w:abstractNum>
  <w:abstractNum w:abstractNumId="75">
    <w:nsid w:val="57A61A2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76">
    <w:nsid w:val="5399C6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77">
    <w:nsid w:val="20EE134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8">
    <w:nsid w:val="4427069A"/>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79">
    <w:nsid w:val="B37E80A"/>
    <w:multiLevelType w:val="hybridMultilevel"/>
    <w:lvl w:ilvl="0">
      <w:lvlJc w:val="left"/>
      <w:lvlText w:val="(%1)"/>
      <w:numFmt w:val="lowerLetter"/>
      <w:start w:val="1"/>
    </w:lvl>
    <w:lvl w:ilvl="1">
      <w:lvlJc w:val="left"/>
      <w:lvlText w:val="(%2)"/>
      <w:numFmt w:val="lowerRoman"/>
      <w:start w:val="1"/>
    </w:lvl>
  </w:abstractNum>
  <w:abstractNum w:abstractNumId="80">
    <w:nsid w:val="2157F6BC"/>
    <w:multiLevelType w:val="hybridMultilevel"/>
    <w:lvl w:ilvl="0">
      <w:lvlJc w:val="left"/>
      <w:lvlText w:val="(%1)"/>
      <w:numFmt w:val="lowerLetter"/>
      <w:start w:val="2"/>
    </w:lvl>
  </w:abstractNum>
  <w:abstractNum w:abstractNumId="81">
    <w:nsid w:val="704E1DD5"/>
    <w:multiLevelType w:val="hybridMultilevel"/>
    <w:lvl w:ilvl="0">
      <w:lvlJc w:val="left"/>
      <w:lvlText w:val="(%1)"/>
      <w:numFmt w:val="lowerLetter"/>
      <w:start w:val="1"/>
    </w:lvl>
    <w:lvl w:ilvl="1">
      <w:lvlJc w:val="left"/>
      <w:lvlText w:val="-"/>
      <w:numFmt w:val="bullet"/>
      <w:start w:val="1"/>
    </w:lvl>
  </w:abstractNum>
  <w:abstractNum w:abstractNumId="82">
    <w:nsid w:val="57D2F10E"/>
    <w:multiLevelType w:val="hybridMultilevel"/>
    <w:lvl w:ilvl="0">
      <w:lvlJc w:val="left"/>
      <w:lvlText w:val="(%1)"/>
      <w:numFmt w:val="lowerLetter"/>
      <w:start w:val="5"/>
    </w:lvl>
  </w:abstractNum>
  <w:abstractNum w:abstractNumId="83">
    <w:nsid w:val="BFFAE18"/>
    <w:multiLevelType w:val="hybridMultilevel"/>
    <w:lvl w:ilvl="0">
      <w:lvlJc w:val="left"/>
      <w:lvlText w:val="%1"/>
      <w:numFmt w:val="decimal"/>
      <w:start w:val="1"/>
    </w:lvl>
    <w:lvl w:ilvl="1">
      <w:lvlJc w:val="left"/>
      <w:lvlText w:val="(%2)"/>
      <w:numFmt w:val="lowerLetter"/>
      <w:start w:val="1"/>
    </w:lvl>
  </w:abstractNum>
  <w:abstractNum w:abstractNumId="84">
    <w:nsid w:val="E3E47A8"/>
    <w:multiLevelType w:val="hybridMultilevel"/>
    <w:lvl w:ilvl="0">
      <w:lvlJc w:val="left"/>
      <w:lvlText w:val="%1."/>
      <w:numFmt w:val="decimal"/>
      <w:start w:val="15"/>
    </w:lvl>
    <w:lvl w:ilvl="1">
      <w:lvlJc w:val="left"/>
      <w:lvlText w:val="%2"/>
      <w:numFmt w:val="lowerLetter"/>
      <w:start w:val="1"/>
    </w:lvl>
  </w:abstractNum>
  <w:abstractNum w:abstractNumId="85">
    <w:nsid w:val="2E48F044"/>
    <w:multiLevelType w:val="hybridMultilevel"/>
    <w:lvl w:ilvl="0">
      <w:lvlJc w:val="left"/>
      <w:lvlText w:val="(%1)"/>
      <w:numFmt w:val="lowerLetter"/>
      <w:start w:val="1"/>
    </w:lvl>
  </w:abstractNum>
  <w:abstractNum w:abstractNumId="86">
    <w:nsid w:val="49D0FEAC"/>
    <w:multiLevelType w:val="hybridMultilevel"/>
    <w:lvl w:ilvl="0">
      <w:lvlJc w:val="left"/>
      <w:lvlText w:val="%1"/>
      <w:numFmt w:val="decimal"/>
      <w:start w:val="1"/>
    </w:lvl>
    <w:lvl w:ilvl="1">
      <w:lvlJc w:val="left"/>
      <w:lvlText w:val="(%2)"/>
      <w:numFmt w:val="lowerLetter"/>
      <w:start w:val="1"/>
    </w:lvl>
  </w:abstractNum>
  <w:abstractNum w:abstractNumId="87">
    <w:nsid w:val="4BEE5A5B"/>
    <w:multiLevelType w:val="hybridMultilevel"/>
    <w:lvl w:ilvl="0">
      <w:lvlJc w:val="left"/>
      <w:lvlText w:val="%1."/>
      <w:numFmt w:val="decimal"/>
      <w:start w:val="16"/>
    </w:lvl>
    <w:lvl w:ilvl="1">
      <w:lvlJc w:val="left"/>
      <w:lvlText w:val="%2"/>
      <w:numFmt w:val="lowerLetter"/>
      <w:start w:val="1"/>
    </w:lvl>
  </w:abstractNum>
  <w:abstractNum w:abstractNumId="88">
    <w:nsid w:val="5551B9F3"/>
    <w:multiLevelType w:val="hybridMultilevel"/>
    <w:lvl w:ilvl="0">
      <w:lvlJc w:val="left"/>
      <w:lvlText w:val="(%1)"/>
      <w:numFmt w:val="lowerLetter"/>
      <w:start w:val="1"/>
    </w:lvl>
    <w:lvl w:ilvl="1">
      <w:lvlJc w:val="left"/>
      <w:lvlText w:val="-"/>
      <w:numFmt w:val="bullet"/>
      <w:start w:val="1"/>
    </w:lvl>
  </w:abstractNum>
  <w:abstractNum w:abstractNumId="89">
    <w:nsid w:val="24F6AB8E"/>
    <w:multiLevelType w:val="hybridMultilevel"/>
    <w:lvl w:ilvl="0">
      <w:lvlJc w:val="left"/>
      <w:lvlText w:val="(%1)"/>
      <w:numFmt w:val="lowerLetter"/>
      <w:start w:val="2"/>
    </w:lvl>
  </w:abstractNum>
  <w:abstractNum w:abstractNumId="90">
    <w:nsid w:val="634C574C"/>
    <w:multiLevelType w:val="hybridMultilevel"/>
    <w:lvl w:ilvl="0">
      <w:lvlJc w:val="left"/>
      <w:lvlText w:val="%1."/>
      <w:numFmt w:val="decimal"/>
      <w:start w:val="17"/>
    </w:lvl>
  </w:abstractNum>
  <w:abstractNum w:abstractNumId="91">
    <w:nsid w:val="24E99DD7"/>
    <w:multiLevelType w:val="hybridMultilevel"/>
    <w:lvl w:ilvl="0">
      <w:lvlJc w:val="left"/>
      <w:lvlText w:val="(%1)"/>
      <w:numFmt w:val="lowerLetter"/>
      <w:start w:val="1"/>
    </w:lvl>
  </w:abstractNum>
  <w:abstractNum w:abstractNumId="92">
    <w:nsid w:val="2A31B62D"/>
    <w:multiLevelType w:val="hybridMultilevel"/>
    <w:lvl w:ilvl="0">
      <w:lvlJc w:val="left"/>
      <w:lvlText w:val="(%1)"/>
      <w:numFmt w:val="lowerLetter"/>
      <w:start w:val="1"/>
    </w:lvl>
  </w:abstractNum>
  <w:abstractNum w:abstractNumId="93">
    <w:nsid w:val="1849C29B"/>
    <w:multiLevelType w:val="hybridMultilevel"/>
    <w:lvl w:ilvl="0">
      <w:lvlJc w:val="left"/>
      <w:lvlText w:val="(%1)"/>
      <w:numFmt w:val="lowerLetter"/>
      <w:start w:val="1"/>
    </w:lvl>
  </w:abstractNum>
  <w:abstractNum w:abstractNumId="94">
    <w:nsid w:val="7DFF9D09"/>
    <w:multiLevelType w:val="hybridMultilevel"/>
    <w:lvl w:ilvl="0">
      <w:lvlJc w:val="left"/>
      <w:lvlText w:val="(%1)"/>
      <w:numFmt w:val="lowerLetter"/>
      <w:start w:val="1"/>
    </w:lvl>
  </w:abstractNum>
  <w:abstractNum w:abstractNumId="95">
    <w:nsid w:val="754342"/>
    <w:multiLevelType w:val="hybridMultilevel"/>
    <w:lvl w:ilvl="0">
      <w:lvlJc w:val="left"/>
      <w:lvlText w:val="(%1)"/>
      <w:numFmt w:val="lowerLetter"/>
      <w:start w:val="1"/>
    </w:lvl>
    <w:lvl w:ilvl="1">
      <w:lvlJc w:val="left"/>
      <w:lvlText w:val="-"/>
      <w:numFmt w:val="bullet"/>
      <w:start w:val="1"/>
    </w:lvl>
  </w:abstractNum>
  <w:abstractNum w:abstractNumId="96">
    <w:nsid w:val="69E7F3E5"/>
    <w:multiLevelType w:val="hybridMultilevel"/>
    <w:lvl w:ilvl="0">
      <w:lvlJc w:val="left"/>
      <w:lvlText w:val="(%1)"/>
      <w:numFmt w:val="lowerLetter"/>
      <w:start w:val="1"/>
    </w:lvl>
  </w:abstractNum>
  <w:abstractNum w:abstractNumId="97">
    <w:nsid w:val="2A6DE806"/>
    <w:multiLevelType w:val="hybridMultilevel"/>
    <w:lvl w:ilvl="0">
      <w:lvlJc w:val="left"/>
      <w:lvlText w:val="%1."/>
      <w:numFmt w:val="decimal"/>
      <w:start w:val="18"/>
    </w:lvl>
  </w:abstractNum>
  <w:abstractNum w:abstractNumId="98">
    <w:nsid w:val="1816F8C4"/>
    <w:multiLevelType w:val="hybridMultilevel"/>
    <w:lvl w:ilvl="0">
      <w:lvlJc w:val="left"/>
      <w:lvlText w:val="(%1)"/>
      <w:numFmt w:val="lowerLetter"/>
      <w:start w:val="1"/>
    </w:lvl>
    <w:lvl w:ilvl="1">
      <w:lvlJc w:val="left"/>
      <w:lvlText w:val="-"/>
      <w:numFmt w:val="bullet"/>
      <w:start w:val="1"/>
    </w:lvl>
  </w:abstractNum>
  <w:abstractNum w:abstractNumId="99">
    <w:nsid w:val="37DF2233"/>
    <w:multiLevelType w:val="hybridMultilevel"/>
    <w:lvl w:ilvl="0">
      <w:lvlJc w:val="left"/>
      <w:lvlText w:val="(%1)"/>
      <w:numFmt w:val="lowerLetter"/>
      <w:start w:val="2"/>
    </w:lvl>
  </w:abstractNum>
  <w:abstractNum w:abstractNumId="100">
    <w:nsid w:val="7AB49DAF"/>
    <w:multiLevelType w:val="hybridMultilevel"/>
    <w:lvl w:ilvl="0">
      <w:lvlJc w:val="left"/>
      <w:lvlText w:val="(%1)"/>
      <w:numFmt w:val="lowerLetter"/>
      <w:start w:val="1"/>
    </w:lvl>
  </w:abstractNum>
  <w:abstractNum w:abstractNumId="101">
    <w:nsid w:val="759F82CD"/>
    <w:multiLevelType w:val="hybridMultilevel"/>
    <w:lvl w:ilvl="0">
      <w:lvlJc w:val="left"/>
      <w:lvlText w:val="(%1)"/>
      <w:numFmt w:val="lowerLetter"/>
      <w:start w:val="1"/>
    </w:lvl>
    <w:lvl w:ilvl="1">
      <w:lvlJc w:val="left"/>
      <w:lvlText w:val="-"/>
      <w:numFmt w:val="bullet"/>
      <w:start w:val="1"/>
    </w:lvl>
  </w:abstractNum>
  <w:abstractNum w:abstractNumId="102">
    <w:nsid w:val="61E74EA3"/>
    <w:multiLevelType w:val="hybridMultilevel"/>
    <w:lvl w:ilvl="0">
      <w:lvlJc w:val="left"/>
      <w:lvlText w:val="(%1)"/>
      <w:numFmt w:val="lowerLetter"/>
      <w:start w:val="2"/>
    </w:lvl>
  </w:abstractNum>
  <w:abstractNum w:abstractNumId="103">
    <w:nsid w:val="597B4D84"/>
    <w:multiLevelType w:val="hybridMultilevel"/>
    <w:lvl w:ilvl="0">
      <w:lvlJc w:val="left"/>
      <w:lvlText w:val="(%1)"/>
      <w:numFmt w:val="lowerLetter"/>
      <w:start w:val="1"/>
    </w:lvl>
    <w:lvl w:ilvl="1">
      <w:lvlJc w:val="left"/>
      <w:lvlText w:val="(%2)"/>
      <w:numFmt w:val="lowerRoman"/>
      <w:start w:val="1"/>
    </w:lvl>
  </w:abstractNum>
  <w:abstractNum w:abstractNumId="104">
    <w:nsid w:val="F819E7F"/>
    <w:multiLevelType w:val="hybridMultilevel"/>
    <w:lvl w:ilvl="0">
      <w:lvlJc w:val="left"/>
      <w:lvlText w:val="(%1)"/>
      <w:numFmt w:val="lowerLetter"/>
      <w:start w:val="2"/>
    </w:lvl>
    <w:lvl w:ilvl="1">
      <w:lvlJc w:val="left"/>
      <w:lvlText w:val="-"/>
      <w:numFmt w:val="bullet"/>
      <w:start w:val="1"/>
    </w:lvl>
  </w:abstractNum>
  <w:abstractNum w:abstractNumId="105">
    <w:nsid w:val="57C7D42D"/>
    <w:multiLevelType w:val="hybridMultilevel"/>
    <w:lvl w:ilvl="0">
      <w:lvlJc w:val="left"/>
      <w:lvlText w:val="%1."/>
      <w:numFmt w:val="decimal"/>
      <w:start w:val="19"/>
    </w:lvl>
  </w:abstractNum>
  <w:abstractNum w:abstractNumId="106">
    <w:nsid w:val="312167AD"/>
    <w:multiLevelType w:val="hybridMultilevel"/>
    <w:lvl w:ilvl="0">
      <w:lvlJc w:val="left"/>
      <w:lvlText w:val="(%1)"/>
      <w:numFmt w:val="lowerLetter"/>
      <w:start w:val="1"/>
    </w:lvl>
  </w:abstractNum>
  <w:abstractNum w:abstractNumId="107">
    <w:nsid w:val="631B64D4"/>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108">
    <w:nsid w:val="78B5E776"/>
    <w:multiLevelType w:val="hybridMultilevel"/>
    <w:lvl w:ilvl="0">
      <w:lvlJc w:val="left"/>
      <w:lvlText w:val="(%1)"/>
      <w:numFmt w:val="lowerLetter"/>
      <w:start w:val="1"/>
    </w:lvl>
    <w:lvl w:ilvl="1">
      <w:lvlJc w:val="left"/>
      <w:lvlText w:val="-"/>
      <w:numFmt w:val="bullet"/>
      <w:start w:val="1"/>
    </w:lvl>
  </w:abstractNum>
  <w:abstractNum w:abstractNumId="109">
    <w:nsid w:val="75486E47"/>
    <w:multiLevelType w:val="hybridMultilevel"/>
    <w:lvl w:ilvl="0">
      <w:lvlJc w:val="left"/>
      <w:lvlText w:val="%1"/>
      <w:numFmt w:val="decimal"/>
      <w:start w:val="1"/>
    </w:lvl>
    <w:lvl w:ilvl="1">
      <w:lvlJc w:val="left"/>
      <w:lvlText w:val="(%2)"/>
      <w:numFmt w:val="lowerLetter"/>
      <w:start w:val="2"/>
    </w:lvl>
  </w:abstractNum>
  <w:abstractNum w:abstractNumId="110">
    <w:nsid w:val="6E534CDE"/>
    <w:multiLevelType w:val="hybridMultilevel"/>
    <w:lvl w:ilvl="0">
      <w:lvlJc w:val="left"/>
      <w:lvlText w:val="%1."/>
      <w:numFmt w:val="decimal"/>
      <w:start w:val="20"/>
    </w:lvl>
    <w:lvl w:ilvl="1">
      <w:lvlJc w:val="left"/>
      <w:lvlText w:val="%2"/>
      <w:numFmt w:val="lowerLetter"/>
      <w:start w:val="1"/>
    </w:lvl>
  </w:abstractNum>
  <w:abstractNum w:abstractNumId="111">
    <w:nsid w:val="1A0DDE32"/>
    <w:multiLevelType w:val="hybridMultilevel"/>
    <w:lvl w:ilvl="0">
      <w:lvlJc w:val="left"/>
      <w:lvlText w:val="(%1)"/>
      <w:numFmt w:val="lowerLetter"/>
      <w:start w:val="1"/>
    </w:lvl>
    <w:lvl w:ilvl="1">
      <w:lvlJc w:val="left"/>
      <w:lvlText w:val="(%2)"/>
      <w:numFmt w:val="lowerRoman"/>
      <w:start w:val="1"/>
    </w:lvl>
  </w:abstractNum>
  <w:abstractNum w:abstractNumId="112">
    <w:nsid w:val="65968C1C"/>
    <w:multiLevelType w:val="hybridMultilevel"/>
    <w:lvl w:ilvl="0">
      <w:lvlJc w:val="left"/>
      <w:lvlText w:val="%1"/>
      <w:numFmt w:val="lowerLetter"/>
      <w:start w:val="1"/>
    </w:lvl>
    <w:lvl w:ilvl="1">
      <w:lvlJc w:val="left"/>
      <w:lvlText w:val="(%2)"/>
      <w:numFmt w:val="lowerRoman"/>
      <w:start w:val="2"/>
    </w:lvl>
  </w:abstractNum>
  <w:abstractNum w:abstractNumId="113">
    <w:nsid w:val="46263DEC"/>
    <w:multiLevelType w:val="hybridMultilevel"/>
    <w:lvl w:ilvl="0">
      <w:lvlJc w:val="left"/>
      <w:lvlText w:val="(%1)"/>
      <w:numFmt w:val="lowerLetter"/>
      <w:start w:val="1"/>
    </w:lvl>
  </w:abstractNum>
  <w:abstractNum w:abstractNumId="114">
    <w:nsid w:val="260D8C4A"/>
    <w:multiLevelType w:val="hybridMultilevel"/>
    <w:lvl w:ilvl="0">
      <w:lvlJc w:val="left"/>
      <w:lvlText w:val="(%1)"/>
      <w:numFmt w:val="lowerLetter"/>
      <w:start w:val="1"/>
    </w:lvl>
    <w:lvl w:ilvl="1">
      <w:lvlJc w:val="left"/>
      <w:lvlText w:val="-"/>
      <w:numFmt w:val="bullet"/>
      <w:start w:val="1"/>
    </w:lvl>
  </w:abstractNum>
  <w:abstractNum w:abstractNumId="115">
    <w:nsid w:val="73D4D3C4"/>
    <w:multiLevelType w:val="hybridMultilevel"/>
    <w:lvl w:ilvl="0">
      <w:lvlJc w:val="left"/>
      <w:lvlText w:val="(%1)"/>
      <w:numFmt w:val="lowerLetter"/>
      <w:start w:val="1"/>
    </w:lvl>
  </w:abstractNum>
  <w:abstractNum w:abstractNumId="116">
    <w:nsid w:val="746F2E30"/>
    <w:multiLevelType w:val="hybridMultilevel"/>
    <w:lvl w:ilvl="0">
      <w:lvlJc w:val="left"/>
      <w:lvlText w:val="(%1)"/>
      <w:numFmt w:val="lowerLetter"/>
      <w:start w:val="1"/>
    </w:lvl>
    <w:lvl w:ilvl="1">
      <w:lvlJc w:val="left"/>
      <w:lvlText w:val="(%2)"/>
      <w:numFmt w:val="lowerRoman"/>
      <w:start w:val="1"/>
    </w:lvl>
  </w:abstractNum>
  <w:abstractNum w:abstractNumId="117">
    <w:nsid w:val="6FDE8AF6"/>
    <w:multiLevelType w:val="hybridMultilevel"/>
    <w:lvl w:ilvl="0">
      <w:lvlJc w:val="left"/>
      <w:lvlText w:val="(%1)"/>
      <w:numFmt w:val="lowerLetter"/>
      <w:start w:val="1"/>
    </w:lvl>
  </w:abstractNum>
  <w:abstractNum w:abstractNumId="118">
    <w:nsid w:val="3FC32E20"/>
    <w:multiLevelType w:val="hybridMultilevel"/>
    <w:lvl w:ilvl="0">
      <w:lvlJc w:val="left"/>
      <w:lvlText w:val="%1"/>
      <w:numFmt w:val="decimal"/>
      <w:start w:val="1"/>
    </w:lvl>
    <w:lvl w:ilvl="1">
      <w:lvlJc w:val="left"/>
      <w:lvlText w:val="(%2)"/>
      <w:numFmt w:val="lowerLetter"/>
      <w:start w:val="1"/>
    </w:lvl>
  </w:abstractNum>
  <w:abstractNum w:abstractNumId="119">
    <w:nsid w:val="49C0E823"/>
    <w:multiLevelType w:val="hybridMultilevel"/>
    <w:lvl w:ilvl="0">
      <w:lvlJc w:val="left"/>
      <w:lvlText w:val="%1."/>
      <w:numFmt w:val="decimal"/>
      <w:start w:val="21"/>
    </w:lvl>
    <w:lvl w:ilvl="1">
      <w:lvlJc w:val="left"/>
      <w:lvlText w:val="%2"/>
      <w:numFmt w:val="lowerLetter"/>
      <w:start w:val="1"/>
    </w:lvl>
  </w:abstractNum>
  <w:abstractNum w:abstractNumId="120">
    <w:nsid w:val="14D53685"/>
    <w:multiLevelType w:val="hybridMultilevel"/>
    <w:lvl w:ilvl="0">
      <w:lvlJc w:val="left"/>
      <w:lvlText w:val="(%1)"/>
      <w:numFmt w:val="lowerLetter"/>
      <w:start w:val="1"/>
    </w:lvl>
  </w:abstractNum>
  <w:abstractNum w:abstractNumId="121">
    <w:nsid w:val="230F856C"/>
    <w:multiLevelType w:val="hybridMultilevel"/>
    <w:lvl w:ilvl="0">
      <w:lvlJc w:val="left"/>
      <w:lvlText w:val="(%1)"/>
      <w:numFmt w:val="lowerLetter"/>
      <w:start w:val="1"/>
    </w:lvl>
  </w:abstractNum>
  <w:abstractNum w:abstractNumId="122">
    <w:nsid w:val="6EAA85FB"/>
    <w:multiLevelType w:val="hybridMultilevel"/>
    <w:lvl w:ilvl="0">
      <w:lvlJc w:val="left"/>
      <w:lvlText w:val="%1"/>
      <w:numFmt w:val="decimal"/>
      <w:start w:val="1"/>
    </w:lvl>
    <w:lvl w:ilvl="1">
      <w:lvlJc w:val="left"/>
      <w:lvlText w:val="(%2)"/>
      <w:numFmt w:val="lowerRoman"/>
      <w:start w:val="1"/>
    </w:lvl>
  </w:abstractNum>
  <w:abstractNum w:abstractNumId="123">
    <w:nsid w:val="3F06ECB2"/>
    <w:multiLevelType w:val="hybridMultilevel"/>
    <w:lvl w:ilvl="0">
      <w:lvlJc w:val="left"/>
      <w:lvlText w:val="%1."/>
      <w:numFmt w:val="decimal"/>
      <w:start w:val="22"/>
    </w:lvl>
    <w:lvl w:ilvl="1">
      <w:lvlJc w:val="left"/>
      <w:lvlText w:val="%2"/>
      <w:numFmt w:val="lowerRoman"/>
      <w:start w:val="1"/>
    </w:lvl>
  </w:abstractNum>
  <w:abstractNum w:abstractNumId="124">
    <w:nsid w:val="3B594807"/>
    <w:multiLevelType w:val="hybridMultilevel"/>
    <w:lvl w:ilvl="0">
      <w:lvlJc w:val="left"/>
      <w:lvlText w:val="(%1)"/>
      <w:numFmt w:val="lowerLetter"/>
      <w:start w:val="1"/>
    </w:lvl>
    <w:lvl w:ilvl="1">
      <w:lvlJc w:val="left"/>
      <w:lvlText w:val="-"/>
      <w:numFmt w:val="bullet"/>
      <w:start w:val="1"/>
    </w:lvl>
  </w:abstractNum>
  <w:abstractNum w:abstractNumId="125">
    <w:nsid w:val="6CAA2304"/>
    <w:multiLevelType w:val="hybridMultilevel"/>
    <w:lvl w:ilvl="0">
      <w:lvlJc w:val="left"/>
      <w:lvlText w:val="(%1)"/>
      <w:numFmt w:val="lowerLetter"/>
      <w:start w:val="1"/>
    </w:lvl>
  </w:abstractNum>
  <w:abstractNum w:abstractNumId="126">
    <w:nsid w:val="3F7C2FF4"/>
    <w:multiLevelType w:val="hybridMultilevel"/>
    <w:lvl w:ilvl="0">
      <w:lvlJc w:val="left"/>
      <w:lvlText w:val="(%1)"/>
      <w:numFmt w:val="lowerLetter"/>
      <w:start w:val="1"/>
    </w:lvl>
    <w:lvl w:ilvl="1">
      <w:lvlJc w:val="left"/>
      <w:lvlText w:val="-"/>
      <w:numFmt w:val="bullet"/>
      <w:start w:val="1"/>
    </w:lvl>
  </w:abstractNum>
  <w:abstractNum w:abstractNumId="127">
    <w:nsid w:val="25413BEC"/>
    <w:multiLevelType w:val="hybridMultilevel"/>
    <w:lvl w:ilvl="0">
      <w:lvlJc w:val="left"/>
      <w:lvlText w:val="(%1)"/>
      <w:numFmt w:val="lowerLetter"/>
      <w:start w:val="6"/>
    </w:lvl>
  </w:abstractNum>
  <w:abstractNum w:abstractNumId="128">
    <w:nsid w:val="17180B0B"/>
    <w:multiLevelType w:val="hybridMultilevel"/>
    <w:lvl w:ilvl="0">
      <w:lvlJc w:val="left"/>
      <w:lvlText w:val="(%1)"/>
      <w:numFmt w:val="lowerLetter"/>
      <w:start w:val="1"/>
    </w:lvl>
  </w:abstractNum>
  <w:abstractNum w:abstractNumId="129">
    <w:nsid w:val="579328B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0">
    <w:nsid w:val="5D205E20"/>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31">
    <w:nsid w:val="11CCA8BA"/>
    <w:multiLevelType w:val="hybridMultilevel"/>
    <w:lvl w:ilvl="0">
      <w:lvlJc w:val="left"/>
      <w:lvlText w:val="(%1)"/>
      <w:numFmt w:val="lowerLetter"/>
      <w:start w:val="3"/>
    </w:lvl>
  </w:abstractNum>
  <w:abstractNum w:abstractNumId="132">
    <w:nsid w:val="4D32AB86"/>
    <w:multiLevelType w:val="hybridMultilevel"/>
    <w:lvl w:ilvl="0">
      <w:lvlJc w:val="left"/>
      <w:lvlText w:val="(%1)"/>
      <w:numFmt w:val="lowerLetter"/>
      <w:start w:val="1"/>
    </w:lvl>
    <w:lvl w:ilvl="1">
      <w:lvlJc w:val="left"/>
      <w:lvlText w:val="-"/>
      <w:numFmt w:val="bullet"/>
      <w:start w:val="1"/>
    </w:lvl>
  </w:abstractNum>
  <w:abstractNum w:abstractNumId="133">
    <w:nsid w:val="3F07ACC3"/>
    <w:multiLevelType w:val="hybridMultilevel"/>
    <w:lvl w:ilvl="0">
      <w:lvlJc w:val="left"/>
      <w:lvlText w:val="(%1)"/>
      <w:numFmt w:val="lowerLetter"/>
      <w:start w:val="1"/>
    </w:lvl>
  </w:abstractNum>
  <w:abstractNum w:abstractNumId="134">
    <w:nsid w:val="6B47F63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5">
    <w:nsid w:val="5CB44A05"/>
    <w:multiLevelType w:val="hybridMultilevel"/>
    <w:lvl w:ilvl="0">
      <w:lvlJc w:val="left"/>
      <w:lvlText w:val="(%1)"/>
      <w:numFmt w:val="lowerLetter"/>
      <w:start w:val="2"/>
    </w:lvl>
    <w:lvl w:ilvl="1">
      <w:lvlJc w:val="left"/>
      <w:lvlText w:val="(%2)"/>
      <w:numFmt w:val="lowerRoman"/>
      <w:start w:val="1"/>
    </w:lvl>
  </w:abstractNum>
  <w:abstractNum w:abstractNumId="136">
    <w:nsid w:val="16CF80F1"/>
    <w:multiLevelType w:val="hybridMultilevel"/>
    <w:lvl w:ilvl="0">
      <w:lvlJc w:val="left"/>
      <w:lvlText w:val="(%1)"/>
      <w:numFmt w:val="lowerLetter"/>
      <w:start w:val="5"/>
    </w:lvl>
  </w:abstractNum>
  <w:abstractNum w:abstractNumId="137">
    <w:nsid w:val="1C695DEC"/>
    <w:multiLevelType w:val="hybridMultilevel"/>
    <w:lvl w:ilvl="0">
      <w:lvlJc w:val="left"/>
      <w:lvlText w:val="(%1)"/>
      <w:numFmt w:val="lowerLetter"/>
      <w:start w:val="1"/>
    </w:lvl>
    <w:lvl w:ilvl="1">
      <w:lvlJc w:val="left"/>
      <w:lvlText w:val="-"/>
      <w:numFmt w:val="bullet"/>
      <w:start w:val="1"/>
    </w:lvl>
  </w:abstractNum>
  <w:abstractNum w:abstractNumId="138">
    <w:nsid w:val="3FCFAED9"/>
    <w:multiLevelType w:val="hybridMultilevel"/>
    <w:lvl w:ilvl="0">
      <w:lvlJc w:val="left"/>
      <w:lvlText w:val="(%1)"/>
      <w:numFmt w:val="lowerLetter"/>
      <w:start w:val="1"/>
    </w:lvl>
  </w:abstractNum>
  <w:abstractNum w:abstractNumId="139">
    <w:nsid w:val="F856867"/>
    <w:multiLevelType w:val="hybridMultilevel"/>
    <w:lvl w:ilvl="0">
      <w:lvlJc w:val="left"/>
      <w:lvlText w:val="(%1)"/>
      <w:numFmt w:val="lowerLetter"/>
      <w:start w:val="1"/>
    </w:lvl>
    <w:lvl w:ilvl="1">
      <w:lvlJc w:val="left"/>
      <w:lvlText w:val="(%2)"/>
      <w:numFmt w:val="lowerRoman"/>
      <w:start w:val="1"/>
    </w:lvl>
  </w:abstractNum>
  <w:abstractNum w:abstractNumId="140">
    <w:nsid w:val="11B1CC33"/>
    <w:multiLevelType w:val="hybridMultilevel"/>
    <w:lvl w:ilvl="0">
      <w:lvlJc w:val="left"/>
      <w:lvlText w:val="(%1)"/>
      <w:numFmt w:val="lowerLetter"/>
      <w:start w:val="2"/>
    </w:lvl>
  </w:abstractNum>
  <w:abstractNum w:abstractNumId="141">
    <w:nsid w:val="2E22FBB7"/>
    <w:multiLevelType w:val="hybridMultilevel"/>
    <w:lvl w:ilvl="0">
      <w:lvlJc w:val="left"/>
      <w:lvlText w:val="(%1)"/>
      <w:numFmt w:val="lowerLetter"/>
      <w:start w:val="1"/>
    </w:lvl>
    <w:lvl w:ilvl="1">
      <w:lvlJc w:val="left"/>
      <w:lvlText w:val="-"/>
      <w:numFmt w:val="bullet"/>
      <w:start w:val="1"/>
    </w:lvl>
  </w:abstractNum>
  <w:abstractNum w:abstractNumId="142">
    <w:nsid w:val="29934699"/>
    <w:multiLevelType w:val="hybridMultilevel"/>
    <w:lvl w:ilvl="0">
      <w:lvlJc w:val="left"/>
      <w:lvlText w:val="(%1)"/>
      <w:numFmt w:val="lowerLetter"/>
      <w:start w:val="2"/>
    </w:lvl>
  </w:abstractNum>
  <w:abstractNum w:abstractNumId="143">
    <w:nsid w:val="77485850"/>
    <w:multiLevelType w:val="hybridMultilevel"/>
    <w:lvl w:ilvl="0">
      <w:lvlJc w:val="left"/>
      <w:lvlText w:val="%1."/>
      <w:numFmt w:val="decimal"/>
      <w:start w:val="24"/>
    </w:lvl>
    <w:lvl w:ilvl="1">
      <w:lvlJc w:val="left"/>
      <w:lvlText w:val="(%2)"/>
      <w:numFmt w:val="lowerLetter"/>
      <w:start w:val="1"/>
    </w:lvl>
  </w:abstractNum>
  <w:abstractNum w:abstractNumId="144">
    <w:nsid w:val="744939A3"/>
    <w:multiLevelType w:val="hybridMultilevel"/>
    <w:lvl w:ilvl="0">
      <w:lvlJc w:val="left"/>
      <w:lvlText w:val="(%1)"/>
      <w:numFmt w:val="lowerLetter"/>
      <w:start w:val="1"/>
    </w:lvl>
    <w:lvl w:ilvl="1">
      <w:lvlJc w:val="left"/>
      <w:lvlText w:val="-"/>
      <w:numFmt w:val="bullet"/>
      <w:start w:val="1"/>
    </w:lvl>
  </w:abstractNum>
  <w:abstractNum w:abstractNumId="145">
    <w:nsid w:val="4FA0D2E3"/>
    <w:multiLevelType w:val="hybridMultilevel"/>
    <w:lvl w:ilvl="0">
      <w:lvlJc w:val="left"/>
      <w:lvlText w:val="(%1)"/>
      <w:numFmt w:val="lowerLetter"/>
      <w:start w:val="2"/>
    </w:lvl>
  </w:abstractNum>
  <w:abstractNum w:abstractNumId="146">
    <w:nsid w:val="6B1D2C1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47">
    <w:nsid w:val="68B867D3"/>
    <w:multiLevelType w:val="hybridMultilevel"/>
    <w:lvl w:ilvl="0">
      <w:lvlJc w:val="left"/>
      <w:lvlText w:val="(%1)"/>
      <w:numFmt w:val="lowerLetter"/>
      <w:start w:val="1"/>
    </w:lvl>
    <w:lvl w:ilvl="1">
      <w:lvlJc w:val="left"/>
      <w:lvlText w:val="(%2)"/>
      <w:numFmt w:val="lowerRoman"/>
      <w:start w:val="1"/>
    </w:lvl>
  </w:abstractNum>
  <w:abstractNum w:abstractNumId="148">
    <w:nsid w:val="3F7F5DD9"/>
    <w:multiLevelType w:val="hybridMultilevel"/>
    <w:lvl w:ilvl="0">
      <w:lvlJc w:val="left"/>
      <w:lvlText w:val="(%1)"/>
      <w:numFmt w:val="lowerLetter"/>
      <w:start w:val="1"/>
    </w:lvl>
  </w:abstractNum>
  <w:abstractNum w:abstractNumId="149">
    <w:nsid w:val="2AE05A34"/>
    <w:multiLevelType w:val="hybridMultilevel"/>
    <w:lvl w:ilvl="0">
      <w:lvlJc w:val="left"/>
      <w:lvlText w:val="(%1)"/>
      <w:numFmt w:val="lowerLetter"/>
      <w:start w:val="1"/>
    </w:lvl>
    <w:lvl w:ilvl="1">
      <w:lvlJc w:val="left"/>
      <w:lvlText w:val="-"/>
      <w:numFmt w:val="bullet"/>
      <w:start w:val="1"/>
    </w:lvl>
  </w:abstractNum>
  <w:abstractNum w:abstractNumId="150">
    <w:nsid w:val="32794FF7"/>
    <w:multiLevelType w:val="hybridMultilevel"/>
    <w:lvl w:ilvl="0">
      <w:lvlJc w:val="left"/>
      <w:lvlText w:val="(%1)"/>
      <w:numFmt w:val="lowerLetter"/>
      <w:start w:val="1"/>
    </w:lvl>
    <w:lvl w:ilvl="1">
      <w:lvlJc w:val="left"/>
      <w:lvlText w:val="(%2)"/>
      <w:numFmt w:val="lowerRoman"/>
      <w:start w:val="1"/>
    </w:lvl>
  </w:abstractNum>
  <w:abstractNum w:abstractNumId="151">
    <w:nsid w:val="5454945E"/>
    <w:multiLevelType w:val="hybridMultilevel"/>
    <w:lvl w:ilvl="0">
      <w:lvlJc w:val="left"/>
      <w:lvlText w:val="(%1)"/>
      <w:numFmt w:val="lowerLetter"/>
      <w:start w:val="1"/>
    </w:lvl>
    <w:lvl w:ilvl="1">
      <w:lvlJc w:val="left"/>
      <w:lvlText w:val="-"/>
      <w:numFmt w:val="bullet"/>
      <w:start w:val="1"/>
    </w:lvl>
  </w:abstractNum>
  <w:abstractNum w:abstractNumId="152">
    <w:nsid w:val="4DEFDFA0"/>
    <w:multiLevelType w:val="hybridMultilevel"/>
    <w:lvl w:ilvl="0">
      <w:lvlJc w:val="left"/>
      <w:lvlText w:val="%1"/>
      <w:numFmt w:val="decimal"/>
      <w:start w:val="1"/>
    </w:lvl>
    <w:lvl w:ilvl="1">
      <w:lvlJc w:val="left"/>
      <w:lvlText w:val="(%2)"/>
      <w:numFmt w:val="lowerLetter"/>
      <w:start w:val="6"/>
    </w:lvl>
  </w:abstractNum>
  <w:abstractNum w:abstractNumId="153">
    <w:nsid w:val="2123D5F2"/>
    <w:multiLevelType w:val="hybridMultilevel"/>
    <w:lvl w:ilvl="0">
      <w:lvlJc w:val="left"/>
      <w:lvlText w:val="%1."/>
      <w:numFmt w:val="decimal"/>
      <w:start w:val="26"/>
    </w:lvl>
    <w:lvl w:ilvl="1">
      <w:lvlJc w:val="left"/>
      <w:lvlText w:val="%2"/>
      <w:numFmt w:val="lowerLetter"/>
      <w:start w:val="1"/>
    </w:lvl>
  </w:abstractNum>
  <w:abstractNum w:abstractNumId="154">
    <w:nsid w:val="135B8110"/>
    <w:multiLevelType w:val="hybridMultilevel"/>
    <w:lvl w:ilvl="0">
      <w:lvlJc w:val="left"/>
      <w:lvlText w:val="(%1)"/>
      <w:numFmt w:val="lowerLetter"/>
      <w:start w:val="1"/>
    </w:lvl>
  </w:abstractNum>
  <w:abstractNum w:abstractNumId="155">
    <w:nsid w:val="94927A8"/>
    <w:multiLevelType w:val="hybridMultilevel"/>
    <w:lvl w:ilvl="0">
      <w:lvlJc w:val="left"/>
      <w:lvlText w:val="(%1)"/>
      <w:numFmt w:val="lowerLetter"/>
      <w:start w:val="1"/>
    </w:lvl>
    <w:lvl w:ilvl="1">
      <w:lvlJc w:val="left"/>
      <w:lvlText w:val="-"/>
      <w:numFmt w:val="bullet"/>
      <w:start w:val="1"/>
    </w:lvl>
  </w:abstractNum>
  <w:abstractNum w:abstractNumId="156">
    <w:nsid w:val="DCDF8F6"/>
    <w:multiLevelType w:val="hybridMultilevel"/>
    <w:lvl w:ilvl="0">
      <w:lvlJc w:val="left"/>
      <w:lvlText w:val="(%1)"/>
      <w:numFmt w:val="lowerLetter"/>
      <w:start w:val="3"/>
    </w:lvl>
  </w:abstractNum>
  <w:abstractNum w:abstractNumId="157">
    <w:nsid w:val="52D7B10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58">
    <w:nsid w:val="2E8A639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9">
    <w:nsid w:val="24E60401"/>
    <w:multiLevelType w:val="hybridMultilevel"/>
    <w:lvl w:ilvl="0">
      <w:lvlJc w:val="left"/>
      <w:lvlText w:val="%1."/>
      <w:numFmt w:val="decimal"/>
      <w:start w:val="28"/>
    </w:lvl>
    <w:lvl w:ilvl="1">
      <w:lvlJc w:val="left"/>
      <w:lvlText w:val="%2"/>
      <w:numFmt w:val="lowerLetter"/>
      <w:start w:val="1"/>
    </w:lvl>
    <w:lvl w:ilvl="2">
      <w:lvlJc w:val="left"/>
      <w:lvlText w:val="%3"/>
      <w:numFmt w:val="lowerRoman"/>
      <w:start w:val="1"/>
    </w:lvl>
  </w:abstractNum>
  <w:abstractNum w:abstractNumId="160">
    <w:nsid w:val="2A6AD9BE"/>
    <w:multiLevelType w:val="hybridMultilevel"/>
    <w:lvl w:ilvl="0">
      <w:lvlJc w:val="left"/>
      <w:lvlText w:val="%1."/>
      <w:numFmt w:val="decimal"/>
      <w:start w:val="29"/>
    </w:lvl>
    <w:lvl w:ilvl="1">
      <w:lvlJc w:val="left"/>
      <w:lvlText w:val="-"/>
      <w:numFmt w:val="bullet"/>
      <w:start w:val="1"/>
    </w:lvl>
  </w:abstractNum>
  <w:abstractNum w:abstractNumId="161">
    <w:nsid w:val="BAAC1B4"/>
    <w:multiLevelType w:val="hybridMultilevel"/>
    <w:lvl w:ilvl="0">
      <w:lvlJc w:val="left"/>
      <w:lvlText w:val="%1."/>
      <w:numFmt w:val="decimal"/>
      <w:start w:val="31"/>
    </w:lvl>
  </w:abstractNum>
  <w:abstractNum w:abstractNumId="162">
    <w:nsid w:val="36B2ACBC"/>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63">
    <w:nsid w:val="779D8544"/>
    <w:multiLevelType w:val="hybridMultilevel"/>
    <w:lvl w:ilvl="0">
      <w:lvlJc w:val="left"/>
      <w:lvlText w:val="(%1)"/>
      <w:numFmt w:val="lowerRoman"/>
      <w:start w:val="4"/>
    </w:lvl>
  </w:abstractNum>
  <w:abstractNum w:abstractNumId="164">
    <w:nsid w:val="4AB26E78"/>
    <w:multiLevelType w:val="hybridMultilevel"/>
    <w:lvl w:ilvl="0">
      <w:lvlJc w:val="left"/>
      <w:lvlText w:val="(%1)"/>
      <w:numFmt w:val="upperLetter"/>
      <w:start w:val="1"/>
    </w:lvl>
    <w:lvl w:ilvl="1">
      <w:lvlJc w:val="left"/>
      <w:lvlText w:val="-"/>
      <w:numFmt w:val="bullet"/>
      <w:start w:val="1"/>
    </w:lvl>
  </w:abstractNum>
  <w:abstractNum w:abstractNumId="165">
    <w:nsid w:val="21FAA2FA"/>
    <w:multiLevelType w:val="hybridMultilevel"/>
    <w:lvl w:ilvl="0">
      <w:lvlJc w:val="left"/>
      <w:lvlText w:val="(%1)"/>
      <w:numFmt w:val="lowerLetter"/>
      <w:start w:val="3"/>
    </w:lvl>
  </w:abstractNum>
  <w:abstractNum w:abstractNumId="166">
    <w:nsid w:val="5451CF49"/>
    <w:multiLevelType w:val="hybridMultilevel"/>
    <w:lvl w:ilvl="0">
      <w:lvlJc w:val="left"/>
      <w:lvlText w:val="(%1)"/>
      <w:numFmt w:val="lowerLetter"/>
      <w:start w:val="1"/>
    </w:lvl>
    <w:lvl w:ilvl="1">
      <w:lvlJc w:val="left"/>
      <w:lvlText w:val="-"/>
      <w:numFmt w:val="bullet"/>
      <w:start w:val="1"/>
    </w:lvl>
  </w:abstractNum>
  <w:abstractNum w:abstractNumId="167">
    <w:nsid w:val="6181EF69"/>
    <w:multiLevelType w:val="hybridMultilevel"/>
    <w:lvl w:ilvl="0">
      <w:lvlJc w:val="left"/>
      <w:lvlText w:val="(%1)"/>
      <w:numFmt w:val="lowerLetter"/>
      <w:start w:val="2"/>
    </w:lvl>
  </w:abstractNum>
  <w:abstractNum w:abstractNumId="168">
    <w:nsid w:val="3E6400E6"/>
    <w:multiLevelType w:val="hybridMultilevel"/>
    <w:lvl w:ilvl="0">
      <w:lvlJc w:val="left"/>
      <w:lvlText w:val="%1"/>
      <w:numFmt w:val="decimal"/>
      <w:start w:val="1"/>
    </w:lvl>
    <w:lvl w:ilvl="1">
      <w:lvlJc w:val="left"/>
      <w:lvlText w:val="(%2)"/>
      <w:numFmt w:val="lowerLetter"/>
      <w:start w:val="1"/>
    </w:lvl>
  </w:abstractNum>
  <w:abstractNum w:abstractNumId="169">
    <w:nsid w:val="14217E23"/>
    <w:multiLevelType w:val="hybridMultilevel"/>
    <w:lvl w:ilvl="0">
      <w:lvlJc w:val="left"/>
      <w:lvlText w:val="%1."/>
      <w:numFmt w:val="decimal"/>
      <w:start w:val="33"/>
    </w:lvl>
    <w:lvl w:ilvl="1">
      <w:lvlJc w:val="left"/>
      <w:lvlText w:val="%2"/>
      <w:numFmt w:val="lowerLetter"/>
      <w:start w:val="1"/>
    </w:lvl>
  </w:abstractNum>
  <w:abstractNum w:abstractNumId="170">
    <w:nsid w:val="710757D0"/>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71">
    <w:nsid w:val="5015CD1A"/>
    <w:multiLevelType w:val="hybridMultilevel"/>
    <w:lvl w:ilvl="0">
      <w:lvlJc w:val="left"/>
      <w:lvlText w:val="(%1)"/>
      <w:numFmt w:val="lowerRoman"/>
      <w:start w:val="2"/>
    </w:lvl>
  </w:abstractNum>
  <w:abstractNum w:abstractNumId="172">
    <w:nsid w:val="424479DA"/>
    <w:multiLevelType w:val="hybridMultilevel"/>
    <w:lvl w:ilvl="0">
      <w:lvlJc w:val="left"/>
      <w:lvlText w:val="(%1)"/>
      <w:numFmt w:val="lowerLetter"/>
      <w:start w:val="1"/>
    </w:lvl>
    <w:lvl w:ilvl="1">
      <w:lvlJc w:val="left"/>
      <w:lvlText w:val="(%2)"/>
      <w:numFmt w:val="lowerRoman"/>
      <w:start w:val="1"/>
    </w:lvl>
  </w:abstractNum>
  <w:abstractNum w:abstractNumId="173">
    <w:nsid w:val="1A9A9E69"/>
    <w:multiLevelType w:val="hybridMultilevel"/>
    <w:lvl w:ilvl="0">
      <w:lvlJc w:val="left"/>
      <w:lvlText w:val="%1."/>
      <w:numFmt w:val="decimal"/>
      <w:start w:val="34"/>
    </w:lvl>
    <w:lvl w:ilvl="1">
      <w:lvlJc w:val="left"/>
      <w:lvlText w:val="-"/>
      <w:numFmt w:val="bullet"/>
      <w:start w:val="1"/>
    </w:lvl>
  </w:abstractNum>
  <w:abstractNum w:abstractNumId="174">
    <w:nsid w:val="475E256A"/>
    <w:multiLevelType w:val="hybridMultilevel"/>
    <w:lvl w:ilvl="0">
      <w:lvlJc w:val="left"/>
      <w:lvlText w:val="%1."/>
      <w:numFmt w:val="decimal"/>
      <w:start w:val="35"/>
    </w:lvl>
  </w:abstractNum>
  <w:abstractNum w:abstractNumId="175">
    <w:nsid w:val="368DB37E"/>
    <w:multiLevelType w:val="hybridMultilevel"/>
    <w:lvl w:ilvl="0">
      <w:lvlJc w:val="left"/>
      <w:lvlText w:val="(%1)"/>
      <w:numFmt w:val="lowerLetter"/>
      <w:start w:val="1"/>
    </w:lvl>
  </w:abstractNum>
  <w:abstractNum w:abstractNumId="176">
    <w:nsid w:val="6A3B714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77">
    <w:nsid w:val="327B517E"/>
    <w:multiLevelType w:val="hybridMultilevel"/>
    <w:lvl w:ilvl="0">
      <w:lvlJc w:val="left"/>
      <w:lvlText w:val="%1."/>
      <w:numFmt w:val="decimal"/>
      <w:start w:val="1"/>
    </w:lvl>
  </w:abstractNum>
  <w:abstractNum w:abstractNumId="178">
    <w:nsid w:val="1F461B51"/>
    <w:multiLevelType w:val="hybridMultilevel"/>
    <w:lvl w:ilvl="0">
      <w:lvlJc w:val="left"/>
      <w:lvlText w:val="%1."/>
      <w:numFmt w:val="decimal"/>
      <w:start w:val="3"/>
    </w:lvl>
  </w:abstractNum>
  <w:abstractNum w:abstractNumId="179">
    <w:nsid w:val="29BACF25"/>
    <w:multiLevelType w:val="hybridMultilevel"/>
    <w:lvl w:ilvl="0">
      <w:lvlJc w:val="left"/>
      <w:lvlText w:val="(%1)"/>
      <w:numFmt w:val="lowerLetter"/>
      <w:start w:val="1"/>
    </w:lvl>
  </w:abstractNum>
  <w:abstractNum w:abstractNumId="180">
    <w:nsid w:val="5D5BABB3"/>
    <w:multiLevelType w:val="hybridMultilevel"/>
    <w:lvl w:ilvl="0">
      <w:lvlJc w:val="left"/>
      <w:lvlText w:val="%1."/>
      <w:numFmt w:val="decimal"/>
      <w:start w:val="1"/>
    </w:lvl>
  </w:abstractNum>
  <w:abstractNum w:abstractNumId="181">
    <w:nsid w:val="51BF6B48"/>
    <w:multiLevelType w:val="hybridMultilevel"/>
    <w:lvl w:ilvl="0">
      <w:lvlJc w:val="left"/>
      <w:lvlText w:val="*"/>
      <w:numFmt w:val="bullet"/>
      <w:start w:val="1"/>
    </w:lvl>
    <w:lvl w:ilvl="1">
      <w:lvlJc w:val="left"/>
      <w:lvlText w:val="-"/>
      <w:numFmt w:val="bullet"/>
      <w:start w:val="1"/>
    </w:lvl>
  </w:abstractNum>
  <w:abstractNum w:abstractNumId="182">
    <w:nsid w:val="7E0F6384"/>
    <w:multiLevelType w:val="hybridMultilevel"/>
    <w:lvl w:ilvl="0">
      <w:lvlJc w:val="left"/>
      <w:lvlText w:val="(%1)"/>
      <w:numFmt w:val="decimal"/>
      <w:start w:val="1"/>
    </w:lvl>
  </w:abstractNum>
  <w:abstractNum w:abstractNumId="183">
    <w:nsid w:val="2B4B8B53"/>
    <w:multiLevelType w:val="hybridMultilevel"/>
    <w:lvl w:ilvl="0">
      <w:lvlJc w:val="left"/>
      <w:lvlText w:val="(%1)"/>
      <w:numFmt w:val="decimal"/>
      <w:start w:val="4"/>
    </w:lvl>
  </w:abstractNum>
  <w:abstractNum w:abstractNumId="184">
    <w:nsid w:val="72E3413A"/>
    <w:multiLevelType w:val="hybridMultilevel"/>
    <w:lvl w:ilvl="0">
      <w:lvlJc w:val="left"/>
      <w:lvlText w:val="(%1)"/>
      <w:numFmt w:val="decimal"/>
      <w:start w:val="10"/>
    </w:lvl>
  </w:abstractNum>
  <w:abstractNum w:abstractNumId="185">
    <w:nsid w:val="116AE494"/>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2025-12-16T15:23:49Z</dcterms:created>
  <dcterms:modified xsi:type="dcterms:W3CDTF">2025-12-16T15:23:49Z</dcterms:modified>
</cp:coreProperties>
</file>