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64"/>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144"/>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984"/>
        <w:spacing w:after="0"/>
        <w:rPr>
          <w:sz w:val="20"/>
          <w:szCs w:val="20"/>
          <w:color w:val="auto"/>
        </w:rPr>
      </w:pPr>
      <w:r>
        <w:rPr>
          <w:rFonts w:ascii="Arial" w:cs="Arial" w:eastAsia="Arial" w:hAnsi="Arial"/>
          <w:sz w:val="39"/>
          <w:szCs w:val="39"/>
          <w:b w:val="1"/>
          <w:bCs w:val="1"/>
          <w:color w:val="auto"/>
        </w:rPr>
        <w:t>Polestar Automotive Holding UK PLC</w:t>
      </w:r>
    </w:p>
    <w:p>
      <w:pPr>
        <w:spacing w:after="0" w:line="96" w:lineRule="exact"/>
        <w:rPr>
          <w:sz w:val="24"/>
          <w:szCs w:val="24"/>
          <w:color w:val="auto"/>
        </w:rPr>
      </w:pPr>
    </w:p>
    <w:p>
      <w:pPr>
        <w:ind w:left="3544"/>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3"/>
          </w:cols>
          <w:pgMar w:left="436" w:top="38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044"/>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001-41431</w:t>
      </w:r>
    </w:p>
    <w:p>
      <w:pPr>
        <w:spacing w:after="0" w:line="50" w:lineRule="exact"/>
        <w:rPr>
          <w:sz w:val="24"/>
          <w:szCs w:val="24"/>
          <w:color w:val="auto"/>
        </w:rPr>
      </w:pPr>
    </w:p>
    <w:p>
      <w:pPr>
        <w:sectPr>
          <w:pgSz w:w="11900" w:h="16838" w:orient="portrait"/>
          <w:cols w:equalWidth="0" w:num="2">
            <w:col w:w="7244" w:space="720"/>
            <w:col w:w="2059"/>
          </w:cols>
          <w:pgMar w:left="436" w:top="382" w:right="1440" w:bottom="1440" w:gutter="0" w:footer="0" w:header="0"/>
          <w:type w:val="continuous"/>
        </w:sectPr>
      </w:pPr>
    </w:p>
    <w:p>
      <w:pPr>
        <w:ind w:left="924"/>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197" w:lineRule="exact"/>
        <w:rPr>
          <w:sz w:val="24"/>
          <w:szCs w:val="24"/>
          <w:color w:val="auto"/>
        </w:rPr>
      </w:pPr>
    </w:p>
    <w:p>
      <w:pPr>
        <w:sectPr>
          <w:pgSz w:w="11900" w:h="16838" w:orient="portrait"/>
          <w:cols w:equalWidth="0" w:num="2">
            <w:col w:w="6784" w:space="720"/>
            <w:col w:w="2519"/>
          </w:cols>
          <w:pgMar w:left="436" w:top="382" w:right="1440" w:bottom="1440" w:gutter="0" w:footer="0" w:header="0"/>
          <w:type w:val="continuous"/>
        </w:sectPr>
      </w:pPr>
    </w:p>
    <w:p>
      <w:pPr>
        <w:jc w:val="center"/>
        <w:ind w:right="-984"/>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405 31 Gothenburg, Sweden</w:t>
      </w:r>
    </w:p>
    <w:p>
      <w:pPr>
        <w:spacing w:after="0" w:line="2" w:lineRule="exact"/>
        <w:rPr>
          <w:sz w:val="24"/>
          <w:szCs w:val="24"/>
          <w:color w:val="auto"/>
        </w:rPr>
      </w:pPr>
    </w:p>
    <w:p>
      <w:pPr>
        <w:ind w:left="3964"/>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0023"/>
          </w:cols>
          <w:pgMar w:left="436" w:top="382" w:right="1440" w:bottom="1440" w:gutter="0" w:footer="0" w:header="0"/>
          <w:type w:val="continuous"/>
        </w:sectPr>
      </w:pPr>
    </w:p>
    <w:p>
      <w:pPr>
        <w:spacing w:after="0" w:line="215"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Thomas Ingenlath</w:t>
      </w:r>
    </w:p>
    <w:p>
      <w:pPr>
        <w:spacing w:after="0" w:line="27"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Tel: +1 949 735 1834</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252"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13p-1 under the Securities Exchange Act (17 CFR 240.13p-1) for the reporting period from January 1 to December 31, 2022.</w:t>
      </w:r>
    </w:p>
    <w:p>
      <w:pPr>
        <w:spacing w:after="0" w:line="109" w:lineRule="exact"/>
        <w:rPr>
          <w:sz w:val="24"/>
          <w:szCs w:val="24"/>
          <w:color w:val="auto"/>
        </w:rPr>
      </w:pPr>
    </w:p>
    <w:p>
      <w:pPr>
        <w:ind w:left="4"/>
        <w:spacing w:after="0" w:line="207" w:lineRule="exact"/>
        <w:tabs>
          <w:tab w:leader="none" w:pos="424" w:val="left"/>
          <w:tab w:leader="none" w:pos="7584"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Rule 13q-1 under the Securities Exchange Act (17 CFR 240.13q-1) for the fiscal year ended</w:t>
      </w:r>
      <w:r>
        <w:rPr>
          <w:sz w:val="20"/>
          <w:szCs w:val="20"/>
          <w:color w:val="auto"/>
        </w:rPr>
        <w:tab/>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17780</wp:posOffset>
            </wp:positionV>
            <wp:extent cx="342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0023"/>
          </w:cols>
          <w:pgMar w:left="436" w:top="382"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1 - Conflict Minerals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 copy of the Conflict Minerals Report of Polestar Automotive Holding UK PLC (the “Company”) for the reporting period from January 1, 2022 to December 31, 2022 is filed as Exhibit 1.01 hereto. The Company’s Conflict Minerals Report is also publicly available on the Company’s website at https://www.polestar.com/global/legal/ethics. The reference to the Company’s website is provided for convenience only, and its contents are not incorporated by reference into this Form SD and the Conflict Minerals Report nor deemed filed with the U.S. Securities and Exchange Commission.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as an exhibit to this Form SD, the Conflict Minerals Report required by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00" w:type="dxa"/>
            <w:vAlign w:val="bottom"/>
          </w:tcPr>
          <w:p>
            <w:pPr>
              <w:spacing w:after="0"/>
              <w:rPr>
                <w:sz w:val="14"/>
                <w:szCs w:val="14"/>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5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Conflict Minerals Report as required by Items 1.01 and 1.02 of this Form.</w:t>
            </w:r>
          </w:p>
        </w:tc>
      </w:tr>
      <w:tr>
        <w:trPr>
          <w:trHeight w:val="38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gridSpan w:val="2"/>
          </w:tcPr>
          <w:p>
            <w:pPr>
              <w:jc w:val="right"/>
              <w:ind w:right="12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680"/>
          </w:cols>
          <w:pgMar w:left="440" w:top="486" w:right="7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AUTOMOTIVE HOLDING UK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Thomas Ingenlath</w:t>
            </w:r>
          </w:p>
        </w:tc>
        <w:tc>
          <w:tcPr>
            <w:tcW w:w="1940" w:type="dxa"/>
            <w:vAlign w:val="bottom"/>
          </w:tcPr>
          <w:p>
            <w:pPr>
              <w:ind w:left="500"/>
              <w:spacing w:after="0"/>
              <w:rPr>
                <w:sz w:val="20"/>
                <w:szCs w:val="20"/>
                <w:color w:val="auto"/>
              </w:rPr>
            </w:pPr>
            <w:r>
              <w:rPr>
                <w:rFonts w:ascii="Arial" w:cs="Arial" w:eastAsia="Arial" w:hAnsi="Arial"/>
                <w:sz w:val="18"/>
                <w:szCs w:val="18"/>
                <w:color w:val="auto"/>
                <w:w w:val="90"/>
              </w:rPr>
              <w:t>Date: May 31, 2023</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3400" w:type="dxa"/>
            <w:vAlign w:val="bottom"/>
          </w:tcPr>
          <w:p>
            <w:pPr>
              <w:ind w:left="80"/>
              <w:spacing w:after="0" w:line="195" w:lineRule="exact"/>
              <w:rPr>
                <w:sz w:val="20"/>
                <w:szCs w:val="20"/>
                <w:color w:val="auto"/>
              </w:rPr>
            </w:pPr>
            <w:r>
              <w:rPr>
                <w:rFonts w:ascii="Arial" w:cs="Arial" w:eastAsia="Arial" w:hAnsi="Arial"/>
                <w:sz w:val="18"/>
                <w:szCs w:val="18"/>
                <w:color w:val="auto"/>
              </w:rPr>
              <w:t>Thomas Ingenlath</w:t>
            </w:r>
          </w:p>
        </w:tc>
        <w:tc>
          <w:tcPr>
            <w:tcW w:w="194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1940" w:type="dxa"/>
            <w:vAlign w:val="bottom"/>
          </w:tcPr>
          <w:p>
            <w:pPr>
              <w:spacing w:after="0"/>
              <w:rPr>
                <w:sz w:val="20"/>
                <w:szCs w:val="20"/>
                <w:color w:val="auto"/>
              </w:rPr>
            </w:pP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Johan Malmqvist</w:t>
            </w:r>
          </w:p>
        </w:tc>
        <w:tc>
          <w:tcPr>
            <w:tcW w:w="1940" w:type="dxa"/>
            <w:vAlign w:val="bottom"/>
          </w:tcPr>
          <w:p>
            <w:pPr>
              <w:ind w:left="500"/>
              <w:spacing w:after="0"/>
              <w:rPr>
                <w:sz w:val="20"/>
                <w:szCs w:val="20"/>
                <w:color w:val="auto"/>
              </w:rPr>
            </w:pPr>
            <w:r>
              <w:rPr>
                <w:rFonts w:ascii="Arial" w:cs="Arial" w:eastAsia="Arial" w:hAnsi="Arial"/>
                <w:sz w:val="18"/>
                <w:szCs w:val="18"/>
                <w:color w:val="auto"/>
                <w:w w:val="90"/>
              </w:rPr>
              <w:t>Date: May 31, 2023</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3400" w:type="dxa"/>
            <w:vAlign w:val="bottom"/>
          </w:tcPr>
          <w:p>
            <w:pPr>
              <w:ind w:left="80"/>
              <w:spacing w:after="0" w:line="195" w:lineRule="exact"/>
              <w:rPr>
                <w:sz w:val="20"/>
                <w:szCs w:val="20"/>
                <w:color w:val="auto"/>
              </w:rPr>
            </w:pPr>
            <w:r>
              <w:rPr>
                <w:rFonts w:ascii="Arial" w:cs="Arial" w:eastAsia="Arial" w:hAnsi="Arial"/>
                <w:sz w:val="18"/>
                <w:szCs w:val="18"/>
                <w:color w:val="auto"/>
              </w:rPr>
              <w:t>Johan Malmqvist</w:t>
            </w:r>
          </w:p>
        </w:tc>
        <w:tc>
          <w:tcPr>
            <w:tcW w:w="194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340"/>
          </w:cols>
          <w:pgMar w:left="440" w:top="486"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829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Report by Polestar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Year Ending December 31,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This report has been prepared by the management of Polestar Automotive Holding UK PLC (herein referred to as “Polestar,” the “Company,” “we,” “us,” or “our”). The information includes the activities of all majority-owned subsidiaries and variable interest entities that are required to be consolidated.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Report includes statements that express Polestar’s opinions, expectations, beliefs, plans, objectives, assumptions or projections regarding future events or future results and therefore are, or may be deemed to be, “forward-looking statements” as defined in Section 27A of the U.S.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due diligence of suppliers, risk mitigation measures, and efforts to increase transparency through data collection and risk evaluation.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“Cautionary Note Regarding Forward-Looking Statements” in Polestar’s Form 20-F, and other documents filed, or to be filed, with the SEC by Polestar.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Introduction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the 2022 calendar year, Polestar determined that tin, tungsten, tantalum, and/or gold (3TGs) were necessary to the functionality or production of products that were manufactured or contracted to be manufactured. Therefore, Polestar conducted a reasonable country of origin inquiry in good faith to determine whether any of the 3TGs in its products originated from the Democratic Republic of the Congo (DRC), any adjoining country of the DRC, or from other “Conflict-Affected and High-Risk Areas” (a group of countries listed at the following website, which is regularly updated by Rand Europe: cahraslist.net, and, collectively with the DRC and its adjoining countries, the “Covered Countries”).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the country of origin data, Polestar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9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Polestar is committed to complying with the requirements and upholding responsible sourcing practices. As such the Company has put into place a robust due diligence program to ensure its contributions to upholding human rights and responsible practices across the supply chain.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Program &amp; Policy</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Company has actively engaged with suppliers with respect to the use of conflict minerals. Polestar adopted a conflict minerals position articulating the conflict minerals supply chain due diligence process and the Company’s commitments to reporting obligations regarding conflict minerals. The policy is available online, and can be found here: </w:t>
      </w:r>
      <w:r>
        <w:rPr>
          <w:rFonts w:ascii="Arial" w:cs="Arial" w:eastAsia="Arial" w:hAnsi="Arial"/>
          <w:sz w:val="18"/>
          <w:szCs w:val="18"/>
          <w:u w:val="single" w:color="auto"/>
          <w:color w:val="auto"/>
        </w:rPr>
        <w:t>https://www.polestar.com/global/legal/ethics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 Country of Origin Inquiry</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To determine whether necessary 3TGs in products originated in Conflict-Affected and High-Risk Areas, Polestar retained Assent Inc. (“Assent”), a third-party service provider, to assist in reviewing its supply chain and identifying risks. Polestar provided a list composed of suppliers and parts associated with the in-scope products to Assent for upload to the Assent Compliance Manager. To trace materials, and demonstrate transparency procured by the supply chain, Polestar utilized the Conflict Minerals Reporting Template (CMRT) Version 6.22 or higher to conduct a survey during May 2022 to May 2023 of all in-scope suppliers (the “CMR campaign”).</w:t>
      </w:r>
    </w:p>
    <w:p>
      <w:pPr>
        <w:spacing w:after="0" w:line="1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the 2022 calendar year, Volvo Cars has manufactured Polestar cars and contracted the suppliers of components and parts used in Polestar 2 and 3. During the CMR campaign there was 1 supplier, Polestar’s business partner Volvo Cars, in scope of the conflict minerals program/survey. Volvo Cars provided a completed CMRT. The Company’s total response rate for this reporting year was thus 100%.</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Polestar conducted further actions to identify Tier 2 suppliers, which are Volvo Cars’ direct material suppliers, to track program gaps of Polestar 2 and 3 and discuss with our Tier 1 supplier and business partner future improvement opportunities.</w:t>
      </w:r>
    </w:p>
    <w:p>
      <w:pPr>
        <w:sectPr>
          <w:pgSz w:w="11900" w:h="16838" w:orient="portrait"/>
          <w:cols w:equalWidth="0" w:num="1">
            <w:col w:w="10940"/>
          </w:cols>
          <w:pgMar w:left="440" w:top="904" w:right="519" w:bottom="1440" w:gutter="0" w:footer="0" w:header="0"/>
        </w:sectPr>
      </w:pPr>
    </w:p>
    <w:bookmarkStart w:id="5" w:name="page6"/>
    <w:bookmarkEnd w:id="5"/>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Polestar’s ambition is to use Assent Compliance Manager, a software-as-a-service (SaaS) platform provided by Assent, as it enters into further agreements with other manufacturing business partners as well as for direct supplier sourcing.</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Assent Compliance Manager enables users to complete and track supplier communications and allows suppliers to upload completed CMRTs directly to the platform for validation, assessment and management.</w:t>
      </w:r>
    </w:p>
    <w:p>
      <w:pPr>
        <w:spacing w:after="0" w:line="170"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49"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Via the Assent Compliance Manager and Assent team, the Company requested that all suppliers complete a CMRT. Training and education to guide suppliers on best practices and the use of this template was included. Assent monitored and tracked all communications in the Assent Compliance Manager for future reporting and transparency. According to the process, Polestar will contact suppliers that are unresponsive to Assent’s communications during the diligence process and request these suppliers to complete the CMRT and submit it to Assent.</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Polestar’s program includes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All submitted declaration forms are accepted so that data is retained, but they are classified as valid or invalid based on a set criteria of validation errors (see appendix C for CMRT validation criteria).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Polestar tracks program gaps to account for future improvement opportunities.</w:t>
      </w:r>
    </w:p>
    <w:p>
      <w:pPr>
        <w:spacing w:after="0" w:line="1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Through reasonable due diligence practices, Polestar was able to take advantage of a broader set of country-of-origin data to complement efforts in establishing transparency in the supply chain. Based on the findings, Polestar can determine all the possible countries minerals (such as 3TGs) used in its product originated from. As such, Polestar can then perform further due diligence on the source and chain of custody of the minerals in question.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Polestar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ectPr>
          <w:pgSz w:w="11900" w:h="16838" w:orient="portrait"/>
          <w:cols w:equalWidth="0" w:num="1">
            <w:col w:w="10960"/>
          </w:cols>
          <w:pgMar w:left="440" w:top="908" w:right="49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1) Establish Strong Company Management Systems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Compliance Team</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Polestar has recently completed its first CMR campaign and aims to establish a cross-functional Conflict Minerals Compliance Team led by its Global Procurement Sustainability Lead. The Conflict Minerals Compliance Team will be responsible for implementing the conflict minerals compliance strategy and briefing senior management about the results of these due diligence efforts.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Polestar also works with its service provider Assent to assist with evaluating supply chain information regarding 3TGs, identifying potential risks, and in the development and implementation of additional due diligence steps that Polestar will undertake with suppliers and/or respective stakeholders about conflict minerals.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Polestar leverages Assent’s Managed Services to work with dedicated program specialists who support Polestar’s conflict minerals program. Polestar communicates regularly with the Assent team to receive updates on program status.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Systems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Polestar expects all manufacturers and suppliers to have policies and procedures in place to ensure that 3TGs used in the production of the products sold to Polestar are “conflict free or responsibly sourced.” This means that the products should not contain minerals (3TGs) sourced from areas that have been identified to be in the presence of widespread human rights abuses and violations of law either directly or indirectly. Polestar expects direct suppliers to provide information on the origin of the 3TGs contained in components and materials supplied, including sources of 3TGs that are supplied to them from lower-tier suppliers.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Polestar’s Code of Conduct for Business partners applies to all direct suppliers and outlines certain expected behaviors and practices. This code of conduct is based on industry and internationally accepted principles such as the United Nations Guiding Principles on Business and Human Rights and the OECD Due Diligence Guidance. The Code of Conduct for Business partners is provided to all direct suppliers. If a supplier does not meet the Company’s requirements, the relationship with this supplier will be evaluated. The Code of Conduct for Business partners is reviewed annually to ensure it continues to align with industry best practices.</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2022 calendar year, Volvo Cars has contracted the suppliers manufacturing components and materials used in Polestar 2 and 3, and these suppliers have agreed to Volvo’s Code of Conduct for Business partners, which contains principles similar to Polestar’s Code of Conduct for Business partners.</w:t>
      </w:r>
    </w:p>
    <w:p>
      <w:pPr>
        <w:sectPr>
          <w:pgSz w:w="11900" w:h="16838" w:orient="portrait"/>
          <w:cols w:equalWidth="0" w:num="1">
            <w:col w:w="11020"/>
          </w:cols>
          <w:pgMar w:left="440" w:top="908"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Supplier Engagement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Polestar has a strong relationship with its Tier 1 direct supplier Volvo Cars and is also, through Volvo Cars, tracks the response status of Tier 2 suppliers. Polestar’s Tier 1 and Tier 2 suppliers are able to leverage Assent’s team of supplier support specialists to ensure they receive appropriate support and understand how to properly complete a CMRT. Tier 1 and Tier 2 suppliers are provided guidance in their native language, if needed.</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2022 calendar year, Polestar engaged with Volvo Cars directly to request a valid (free of validated errors) CMRT for the products that Volvo Cars supplies to Polestar. Polestar’s ambition is to engage with suppliers directly to request such CMRT for the products they supply to Polestar, as it enters into further direct supply agreements with other parties.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OECD requirement to strengthen engagement with suppliers, Polestar will develop an internal procedure that includes a supplier risk identification process that then leads to further steps of supplier engagement in the form of escalations.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Additionally, the Company’s rules on conflict minerals are included in the Code of Conduct for Business Partners, which is part of supplier contracts, requiring new suppliers to read and accept the rules as a requirement of doing business with Polestar. When entering into or renewing supplier contracts, a clause is added that requires suppliers to provide information about the source of 3TGs and smelters.</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Polestar places a strong emphasis on supplier education and training. To accomplish this, Assent’s online resources will be leveraged, and all in-scope suppliers will be provided with access to the Assent library of conflict minerals training and support resources. Also, Assent’s automated feedback process that notifies suppliers of risks associated with their CMRT submission serves to educate suppliers of certain conflict minerals’ risks.</w:t>
      </w:r>
    </w:p>
    <w:p>
      <w:pPr>
        <w:spacing w:after="0" w:line="1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Polestar believes that the combination of the Code of Conduct for Business partners, the Conflict Minerals Position, and direct engagement with suppliers for conflict minerals training and support constitute a strong supplier engagement program.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Grievance Mechanisms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Polestar established grievance mechanisms whereby employees, suppliers and others outside Polestar can report grievances, suspected violations or other concerns regarding conflict minerals to the Company,. Suppliers and others outside of Polestar can direct such reports via the whistleblowing channel SpeakUp, available in the Code of Conduct for Business partners, on Polestar’s external website and in other communications with suppliers. Please see the following link: https://www.polestar.com/global/legal/ethics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Violations or grievances at the industry level can be reported to the RMI directly as well. This can be done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http://www.responsiblemineralsinitiative.org/responsible-minerals-assurance-process/grievance-mechanism/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Maintain Records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Polestar has adopted a policy to retain relevant documentation for a period of five years. Through Assent, a document retention policy to retain conflict minerals related documents, including supplier responses to CMRTs and the sources identified within each reporting period, has been implemented. Polestar stores all the information and findings from this process in a database that can be audited by internal or external parties.</w:t>
      </w:r>
    </w:p>
    <w:p>
      <w:pPr>
        <w:sectPr>
          <w:pgSz w:w="11900" w:h="16838" w:orient="portrait"/>
          <w:cols w:equalWidth="0" w:num="1">
            <w:col w:w="11000"/>
          </w:cols>
          <w:pgMar w:left="440" w:top="908"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2) Identifying &amp; Assessing Risk in the Supply Chain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Risk Evaluation</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Risks associated with Tier 1 suppliers’ due diligence processes as well as to some extent Tier 2 suppliers is assessed by their responses on a CMRT, which the Assent Compliance Manager identifies automatically based on established criteria. These risks are addressed by Assent staff and members of Polestar’s internal Conflict Minerals Team, who engage with suppliers to gather pertinent data and ask for corrective actions if needed, performing an overall assessment of the supplier’s conformity status, which is referred to as “conflict minerals status.”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Risks at the supplier level may include non-responsive suppliers or incomplete CMRTs. In cases where a company-level CMRT (such as when a company declares there are no 3TGs in any of its products) is submitted, Polestar is unable to determine if all the specified smelters/refiners were used for 3TGs in the products supplied to the Company.</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Assent’s supplier risk assessment (flagging suppliers’ risk as high, medium, low) identifies problematic suppliers in a company’s supply chain. The risk assessment is derived from the smelter validation process, which establishes risk at the smelter level via an analysis that considers multiple conflict minerals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Smelter/Refiners Risk Evaluation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2022 calendar year.</w:t>
      </w:r>
    </w:p>
    <w:p>
      <w:pPr>
        <w:spacing w:after="0" w:line="187"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Assent determined if the smelter had been audited against a standard in conformance with the OECD Guidance, such as the Responsible Minerals Assurance Process (RMAP). Polestar does not have a direct relationship with smelters/refiners and does not perform direct audits of these entities.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spacing w:after="0" w:line="89" w:lineRule="exact"/>
        <w:rPr>
          <w:sz w:val="20"/>
          <w:szCs w:val="20"/>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proximity to Covered Countries.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Sanctions risks</w:t>
      </w:r>
    </w:p>
    <w:p>
      <w:pPr>
        <w:sectPr>
          <w:pgSz w:w="11900" w:h="16838" w:orient="portrait"/>
          <w:cols w:equalWidth="0" w:num="1">
            <w:col w:w="10980"/>
          </w:cols>
          <w:pgMar w:left="440" w:top="908" w:right="47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Risk mitigation activities are initiated whenever a supplier’s CMRT shows facilities of concern. Through Assent, suppliers with submissions that included any smelters of concern were immediately provided with feedback instructing suppliers to take their own independent risk mitigation actions. Examples include the submission of a product specific CMRT to better identify the connection to products that they supply to Polestar. Additional escalatory steps may be taken to address any continued sourcing from these smelters of concern. Suppliers are given clear performance objectives within reasonable timeframes with the goal of progressive elimination of these smelters of concern from the supply chain.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 Design &amp; Implement A Strategy to Respond to Risks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Polestar together with Assent, developed processes to assess and respond to the risks identified in the supply chain. Polestar has a risk management plan, through which the conflict minerals program will be implemented, managed, and monitored. As the program progresses, escalations will be sent to non-responsive suppliers to outline the importance of a response via CMRTs and to outline the required cooperation for compliance with the conflict minerals rules and the Company’s expectations.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Polestar will assess if replacing that supplier is feasible. The results of the program and risk assessment are shared with the Conflict Minerals Team and the Polestar’s Management Team to ensure transparency within the Company.</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2022 calendar year, Volvo Cars has contracted the suppliers manufacturing components and materials used in Polestar 2. Together with Volvo Cars, Polestar will discuss the outcome of the CMR campaign and align on any necessary risk mitigation actions.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4) Carry Out Independent Third-Party Audit of Supply Chain Due Diligence at Identified Points in the Supply Chain</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Polestar does not have a direct relationship with any 3TG smelters/refiners and does not perform or direct audits of these entities within the supply chain. Instead, Polestar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Assent directly engages smelters/refiners that are not currently enrolled in an industry recognized audit/assessment program to encourage their participation and for those smelters/refiners already conformant to the corresponding program’s standards, Assent thanks them for their efforts on behalf of its compliance partners. Polestar is a signatory of these communications in accordance with the requirements of downstream companies detailed in the OECD Guidance.</w:t>
      </w:r>
    </w:p>
    <w:p>
      <w:pPr>
        <w:sectPr>
          <w:pgSz w:w="11900" w:h="16838" w:orient="portrait"/>
          <w:cols w:equalWidth="0" w:num="1">
            <w:col w:w="11000"/>
          </w:cols>
          <w:pgMar w:left="440" w:top="908" w:right="459" w:bottom="1440" w:gutter="0" w:footer="0" w:header="0"/>
        </w:sectPr>
      </w:pPr>
    </w:p>
    <w:bookmarkStart w:id="10" w:name="page11"/>
    <w:bookmarkEnd w:id="10"/>
    <w:p>
      <w:pPr>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Through Polestar’s membership with the RMI, smelters/refiners have been encouraged to participate in the RMAP. Any smelters/refiners that were reported by suppliers who were not part of the RMAP were also contacted directly by Assent to encourage them to participate in the RMAP.</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5) Report Annually on Supply Chain Due Diligence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This report, which covers the year ended December 31, 2022, is Polestar’sfirst Conflict Mineral Report. This report will be made available in the Ethics section of Polestar’s website at </w:t>
      </w:r>
      <w:r>
        <w:rPr>
          <w:rFonts w:ascii="Arial" w:cs="Arial" w:eastAsia="Arial" w:hAnsi="Arial"/>
          <w:sz w:val="18"/>
          <w:szCs w:val="18"/>
          <w:u w:val="single" w:color="auto"/>
          <w:color w:val="auto"/>
        </w:rPr>
        <w:t>https://www.polestar.com/global/legal/ethics</w:t>
      </w:r>
      <w:r>
        <w:rPr>
          <w:rFonts w:ascii="Arial" w:cs="Arial" w:eastAsia="Arial" w:hAnsi="Arial"/>
          <w:sz w:val="18"/>
          <w:szCs w:val="18"/>
          <w:color w:val="auto"/>
        </w:rPr>
        <w:t>. Information found on or accessed through this website is not considered part of this report and is not incorporated by reference herein. Polestar has also publicly filed a Form SD and this report with the U.S. Securities and Exchange Commission (SEC).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year Polestar has also considered impacts from the EU Conflict Minerals Regulation when disclosing details with regards to due diligence efforts. Polestar will continue to expand efforts both for transparency through the data collection process and risk evaluation, as well as the disclosure of efforts through the form of public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Due Diligence Results</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Supply chain outreach is required to identify the upstream sources of origin of tin, tantalum, tungsten, and gold. According to the industry standard process, CMRTs are sent to and requested from Tier 1 suppliers, who are expected to follow this process until the smelter and refiner sources are identified. However please note that below number are the results referring to Tier 2 supplier for the outreach conducted by Polestar for the 2022 reporting year. Tier 1 response rate is 100% and that is Volvo Cars that sourcing and manufacturing Polestar 2 and 3 as well as being responsible for direct material sourcing.</w:t>
      </w:r>
    </w:p>
    <w:p>
      <w:pPr>
        <w:spacing w:after="0" w:line="210"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4100" w:type="dxa"/>
            <w:vAlign w:val="bottom"/>
          </w:tcPr>
          <w:p>
            <w:pPr>
              <w:spacing w:after="0"/>
              <w:rPr>
                <w:sz w:val="20"/>
                <w:szCs w:val="20"/>
                <w:color w:val="auto"/>
              </w:rPr>
            </w:pPr>
            <w:r>
              <w:rPr>
                <w:rFonts w:ascii="Arial" w:cs="Arial" w:eastAsia="Arial" w:hAnsi="Arial"/>
                <w:sz w:val="14"/>
                <w:szCs w:val="14"/>
                <w:color w:val="auto"/>
              </w:rPr>
              <w:t>Number of in-scope suppliers</w:t>
            </w:r>
          </w:p>
        </w:tc>
        <w:tc>
          <w:tcPr>
            <w:tcW w:w="3380" w:type="dxa"/>
            <w:vAlign w:val="bottom"/>
          </w:tcPr>
          <w:p>
            <w:pPr>
              <w:jc w:val="right"/>
              <w:ind w:right="99"/>
              <w:spacing w:after="0"/>
              <w:rPr>
                <w:sz w:val="20"/>
                <w:szCs w:val="20"/>
                <w:color w:val="auto"/>
              </w:rPr>
            </w:pPr>
            <w:r>
              <w:rPr>
                <w:rFonts w:ascii="Arial" w:cs="Arial" w:eastAsia="Arial" w:hAnsi="Arial"/>
                <w:sz w:val="14"/>
                <w:szCs w:val="14"/>
                <w:color w:val="auto"/>
              </w:rPr>
              <w:t>Response rate</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Upstream Data Transparency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Appendix A includes all smelters/refiners that Tier 1 and Tier 2 suppliers listed in completed CMRTs that met the recognized definition of a 3TGs processing facility and were operational during the 2022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processed the 3TGs contained in Polestar’s products.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Suppliers that identified these specific smelters of concern on their CMRT were contacted in accordance with the OECD Guidance, as stipulated in the previous sections.</w:t>
      </w:r>
    </w:p>
    <w:p>
      <w:pPr>
        <w:sectPr>
          <w:pgSz w:w="11900" w:h="16838" w:orient="portrait"/>
          <w:cols w:equalWidth="0" w:num="1">
            <w:col w:w="10920"/>
          </w:cols>
          <w:pgMar w:left="440" w:top="908" w:right="539" w:bottom="1440" w:gutter="0" w:footer="0" w:header="0"/>
        </w:sectPr>
      </w:pPr>
    </w:p>
    <w:bookmarkStart w:id="11" w:name="page12"/>
    <w:bookmarkEnd w:id="11"/>
    <w:tbl>
      <w:tblPr>
        <w:tblLayout w:type="fixed"/>
        <w:tblInd w:w="17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660" w:type="dxa"/>
            <w:vAlign w:val="bottom"/>
          </w:tcPr>
          <w:p>
            <w:pPr>
              <w:ind w:left="2400"/>
              <w:spacing w:after="0"/>
              <w:rPr>
                <w:sz w:val="20"/>
                <w:szCs w:val="20"/>
                <w:color w:val="auto"/>
              </w:rPr>
            </w:pPr>
            <w:r>
              <w:rPr>
                <w:rFonts w:ascii="Arial" w:cs="Arial" w:eastAsia="Arial" w:hAnsi="Arial"/>
                <w:sz w:val="14"/>
                <w:szCs w:val="14"/>
                <w:color w:val="auto"/>
                <w:w w:val="98"/>
              </w:rPr>
              <w:t>Number of identified</w:t>
            </w:r>
          </w:p>
        </w:tc>
      </w:tr>
      <w:tr>
        <w:trPr>
          <w:trHeight w:val="167"/>
        </w:trPr>
        <w:tc>
          <w:tcPr>
            <w:tcW w:w="3820" w:type="dxa"/>
            <w:vAlign w:val="bottom"/>
          </w:tcPr>
          <w:p>
            <w:pPr>
              <w:spacing w:after="0"/>
              <w:rPr>
                <w:sz w:val="20"/>
                <w:szCs w:val="20"/>
                <w:color w:val="auto"/>
              </w:rPr>
            </w:pPr>
            <w:r>
              <w:rPr>
                <w:rFonts w:ascii="Arial" w:cs="Arial" w:eastAsia="Arial" w:hAnsi="Arial"/>
                <w:sz w:val="14"/>
                <w:szCs w:val="14"/>
                <w:color w:val="auto"/>
              </w:rPr>
              <w:t>Status</w:t>
            </w:r>
          </w:p>
        </w:tc>
        <w:tc>
          <w:tcPr>
            <w:tcW w:w="3660" w:type="dxa"/>
            <w:vAlign w:val="bottom"/>
          </w:tcPr>
          <w:p>
            <w:pPr>
              <w:ind w:left="2400"/>
              <w:spacing w:after="0"/>
              <w:rPr>
                <w:sz w:val="20"/>
                <w:szCs w:val="20"/>
                <w:color w:val="auto"/>
              </w:rPr>
            </w:pPr>
            <w:r>
              <w:rPr>
                <w:rFonts w:ascii="Arial" w:cs="Arial" w:eastAsia="Arial" w:hAnsi="Arial"/>
                <w:sz w:val="14"/>
                <w:szCs w:val="14"/>
                <w:color w:val="auto"/>
              </w:rPr>
              <w:t>smelters/refiners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RMAP Conformant</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RMAP Active</w:t>
            </w:r>
          </w:p>
        </w:tc>
        <w:tc>
          <w:tcPr>
            <w:tcW w:w="3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Not Enrolled</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Non-Conformant</w:t>
            </w:r>
          </w:p>
        </w:tc>
        <w:tc>
          <w:tcPr>
            <w:tcW w:w="36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Country of Origin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Appendix B includes an aggregated list of countries of origin from which the reported facilities collectively source 3TGs, based on reasonable identification of country-of-origin data obtained via Assent’s supply chain database (or other RCOI data, in the scenario Polestar decides to use alternative data sources). As mentioned in the above section, it is understood that overreporting might occur which could result in Appendix B having more countries than those strictly relevant to Polestar’s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Steps to Be Taken to Mitigate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Polestar is unable to determine, following the due diligence summarized above, whether all of the necessary 3TGs material contained in its products qualifies as “DRC conflict free” within the meaning of Item 1.01(c)(2) of Form SD, it has taken, or intends to take, the following steps to improve the due diligence conducted to further mitigate any risk that the necessary 3TGs material in Polestar’s products could originate from Covered Countries and benefit armed groups:</w:t>
      </w:r>
    </w:p>
    <w:p>
      <w:pPr>
        <w:spacing w:after="0" w:line="92" w:lineRule="exact"/>
        <w:rPr>
          <w:sz w:val="20"/>
          <w:szCs w:val="20"/>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evaluate upstream sources through a broader set of tools to evaluate risk. These include, but are not limited to:</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Using a comprehensive smelter and refiner library with detailed status and notes for each entity.</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Scanning for verifiable media sources on each smelter and refiner to flag risk issues.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Comparing the list of smelters/refiners against government watch and denied parties lists.</w:t>
      </w:r>
    </w:p>
    <w:p>
      <w:pPr>
        <w:spacing w:after="0" w:line="130" w:lineRule="exact"/>
        <w:rPr>
          <w:rFonts w:ascii="Arial" w:cs="Arial" w:eastAsia="Arial" w:hAnsi="Arial"/>
          <w:sz w:val="18"/>
          <w:szCs w:val="18"/>
          <w:color w:val="auto"/>
        </w:rPr>
      </w:pPr>
    </w:p>
    <w:p>
      <w:pPr>
        <w:ind w:left="980" w:right="10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with our business partners and suppliers more closely and provide more information and training resources regarding responsible sourcing of 3TGs.</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Encourage business partners and suppliers to have due diligence procedures in place for their supply chains to improve the content of the responses from such suppliers.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include a conflict minerals flow-down clause in new or renewed supplier contracts.</w:t>
      </w:r>
    </w:p>
    <w:p>
      <w:pPr>
        <w:spacing w:after="0" w:line="130" w:lineRule="exact"/>
        <w:rPr>
          <w:rFonts w:ascii="Arial" w:cs="Arial" w:eastAsia="Arial" w:hAnsi="Arial"/>
          <w:sz w:val="18"/>
          <w:szCs w:val="18"/>
          <w:color w:val="auto"/>
        </w:rPr>
      </w:pPr>
    </w:p>
    <w:p>
      <w:pPr>
        <w:ind w:left="980" w:right="3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OECD Guidance process, increase the emphasis on clean and validated smelter and refiner information from the supply chain through feedback and detailed smelter analysis.</w:t>
      </w:r>
    </w:p>
    <w:p>
      <w:pPr>
        <w:sectPr>
          <w:pgSz w:w="11900" w:h="16838" w:orient="portrait"/>
          <w:cols w:equalWidth="0" w:num="1">
            <w:col w:w="10960"/>
          </w:cols>
          <w:pgMar w:left="440" w:top="891"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Appendix A: Smelter List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Includes: mineral, smelter/refinery name, location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94"/>
              </w:rPr>
              <w:t>Metal</w:t>
            </w:r>
          </w:p>
        </w:tc>
        <w:tc>
          <w:tcPr>
            <w:tcW w:w="6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Smelter Name</w:t>
            </w:r>
          </w:p>
        </w:tc>
        <w:tc>
          <w:tcPr>
            <w:tcW w:w="100" w:type="dxa"/>
            <w:vAlign w:val="bottom"/>
          </w:tcPr>
          <w:p>
            <w:pPr>
              <w:spacing w:after="0"/>
              <w:rPr>
                <w:sz w:val="16"/>
                <w:szCs w:val="16"/>
                <w:color w:val="auto"/>
              </w:rPr>
            </w:pP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Smelter ID</w:t>
            </w:r>
          </w:p>
        </w:tc>
        <w:tc>
          <w:tcPr>
            <w:tcW w:w="100" w:type="dxa"/>
            <w:vAlign w:val="bottom"/>
          </w:tcPr>
          <w:p>
            <w:pPr>
              <w:spacing w:after="0"/>
              <w:rPr>
                <w:sz w:val="16"/>
                <w:szCs w:val="16"/>
                <w:color w:val="auto"/>
              </w:rPr>
            </w:pPr>
          </w:p>
        </w:tc>
        <w:tc>
          <w:tcPr>
            <w:tcW w:w="2100" w:type="dxa"/>
            <w:vAlign w:val="bottom"/>
          </w:tcPr>
          <w:p>
            <w:pPr>
              <w:ind w:left="440"/>
              <w:spacing w:after="0"/>
              <w:rPr>
                <w:sz w:val="20"/>
                <w:szCs w:val="20"/>
                <w:color w:val="auto"/>
              </w:rPr>
            </w:pPr>
            <w:r>
              <w:rPr>
                <w:rFonts w:ascii="Arial" w:cs="Arial" w:eastAsia="Arial" w:hAnsi="Arial"/>
                <w:sz w:val="14"/>
                <w:szCs w:val="14"/>
                <w:b w:val="1"/>
                <w:bCs w:val="1"/>
                <w:color w:val="auto"/>
              </w:rPr>
              <w:t>RMAP Audit Status</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Gold</w:t>
            </w:r>
          </w:p>
        </w:tc>
        <w:tc>
          <w:tcPr>
            <w:tcW w:w="180" w:type="dxa"/>
            <w:vAlign w:val="bottom"/>
          </w:tcPr>
          <w:p>
            <w:pPr>
              <w:spacing w:after="0"/>
              <w:rPr>
                <w:sz w:val="16"/>
                <w:szCs w:val="16"/>
                <w:color w:val="auto"/>
              </w:rPr>
            </w:pPr>
          </w:p>
        </w:tc>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Advanced Chemical Company</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CID000015</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Aida Chemical Industries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CID000019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Agosi AG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CID000035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Almalyk Mining and Metallurgical Complex (AMMC)</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CID000041</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AngloGold Ashanti Corrego do Sitio Mineracao</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CID000058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Argor-Heraeus S.A.</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CID000077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Asahi Pretec Corp.</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CID000082</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Asaka Riken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CID000090</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Aurubis AG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CID000113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Bangko Sentral ng Pilipinas (Central Bank of the Philippines)</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CID000128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Boliden AB</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CID000157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C. Hafner GmbH + Co. KG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CID000176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CCR Refinery—Glencore Canada Corporation</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CID000185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Cendres + Metaux S.A.</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CID000189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Non-Conformant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Chimet S.p.A.</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CID000233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Chugai Mining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CID000264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LT Metal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CID000689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Heimerle + Meule GmbH</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CID000694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Heraeus Metals Hong Kong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CID000707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Heraeus Germany GmbH Co. KG</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CID000711</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Inner Mongolia Qiankun Gold and Silver Refinery Share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CID000801</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Ishifuku Metal Industry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CID000807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Istanbul Gold Refinery</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CID000814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Japan Mint</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CID000823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Jiangxi Copper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CID000855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Asahi Refining USA Inc.</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CID000920</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Asahi Refining Canada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CID000924</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JX Nippon Mining &amp; Metals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CID000937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Kazzinc</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CID000957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Kennecott Utah Copper LLC</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CID000969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Kojima Chemicals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CID000981</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LS-NIKKO Copper Inc.</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CID001078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Materion</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CID001113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Matsuda Sangyo Co.,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CID001119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Metalor Technologies (Suzhou)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CID001147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Metalor Technologies (Hong Kong)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CID001149</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Metalor Technologies (Singapore) Pte., Ltd.</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CID001152</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89"/>
              </w:rPr>
              <w:t>Gold</w:t>
            </w:r>
          </w:p>
        </w:tc>
        <w:tc>
          <w:tcPr>
            <w:tcW w:w="6920" w:type="dxa"/>
            <w:vAlign w:val="bottom"/>
            <w:gridSpan w:val="2"/>
          </w:tcPr>
          <w:p>
            <w:pPr>
              <w:ind w:left="180"/>
              <w:spacing w:after="0"/>
              <w:rPr>
                <w:sz w:val="20"/>
                <w:szCs w:val="20"/>
                <w:color w:val="auto"/>
              </w:rPr>
            </w:pPr>
            <w:r>
              <w:rPr>
                <w:rFonts w:ascii="Arial" w:cs="Arial" w:eastAsia="Arial" w:hAnsi="Arial"/>
                <w:sz w:val="18"/>
                <w:szCs w:val="18"/>
                <w:color w:val="auto"/>
              </w:rPr>
              <w:t>Metalor Technologies S.A.</w:t>
            </w: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CID001153</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1020"/>
          </w:cols>
          <w:pgMar w:left="440" w:top="904"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Metalor USA Refining Corporation</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CID001157</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Metalurgica Met-Mex Penoles S.A. De C.V.</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CID001161</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Mitsubishi Materials Corporation</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CID001188</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Mitsui Mining and Smelting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CID001193</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Nadir Metal Rafineri San. Ve Tic. A.S.</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CID001220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Navoi Mining and Metallurgical Combinat</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CID001236</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Nihon Material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CID001259</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MKS PAMP SA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CID001352</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PT Aneka Tambang (Persero) Tbk</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CID001397</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PX Precinox S.A.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CID001498</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Rand Refinery (Pty)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CID001512</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Royal Canadian Mint</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CID001534</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SEMPSA Joyeria Plateria S.A.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CID001585</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Shandong Zhaojin Gold &amp; Silver Refinery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CID001622</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Sichuan Tianze Precious Metals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CID001736</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Solar Applied Materials Technology Corp.</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CID001761</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Sumitomo Metal Mining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CID001798</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Tanaka Kikinzoku Kogyo K.K.</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CID001875</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Shandong Gold Smelting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CID001916</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Tokuriki Honten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CID001938</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Umicore S.A. Business Unit Precious Metals Refining</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CID001980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United Precious Metal Refining, Inc.</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CID001993</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Valcambi S.A.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CID002003</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Western Australian Mint (T/a The Perth Mint)</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CID002030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Yokohama Metal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CID002129</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Zhongyuan Gold Smelter of Zhongjin Gold Corporation</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CID002224</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Gold Refinery of Zijin Mining Group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CID002243</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SAFINA A.S.</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CID002290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Umicore Precious Metals Thailand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CID002314</w:t>
            </w:r>
          </w:p>
        </w:tc>
        <w:tc>
          <w:tcPr>
            <w:tcW w:w="1580" w:type="dxa"/>
            <w:vAlign w:val="bottom"/>
          </w:tcPr>
          <w:p>
            <w:pPr>
              <w:ind w:left="340"/>
              <w:spacing w:after="0"/>
              <w:rPr>
                <w:sz w:val="20"/>
                <w:szCs w:val="20"/>
                <w:color w:val="auto"/>
              </w:rPr>
            </w:pPr>
            <w:r>
              <w:rPr>
                <w:rFonts w:ascii="Arial" w:cs="Arial" w:eastAsia="Arial" w:hAnsi="Arial"/>
                <w:sz w:val="18"/>
                <w:szCs w:val="18"/>
                <w:color w:val="auto"/>
                <w:w w:val="91"/>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Geib Refining Corporation</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CID002459</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MMTC-PAMP India Pvt.,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CID002509</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KGHM Polska Miedz Spolka Akcyjna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CID002511</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Singway Technology Co., Ltd.</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CID002516</w:t>
            </w:r>
          </w:p>
        </w:tc>
        <w:tc>
          <w:tcPr>
            <w:tcW w:w="1580" w:type="dxa"/>
            <w:vAlign w:val="bottom"/>
          </w:tcPr>
          <w:p>
            <w:pPr>
              <w:ind w:left="340"/>
              <w:spacing w:after="0"/>
              <w:rPr>
                <w:sz w:val="20"/>
                <w:szCs w:val="20"/>
                <w:color w:val="auto"/>
              </w:rPr>
            </w:pPr>
            <w:r>
              <w:rPr>
                <w:rFonts w:ascii="Arial" w:cs="Arial" w:eastAsia="Arial" w:hAnsi="Arial"/>
                <w:sz w:val="18"/>
                <w:szCs w:val="18"/>
                <w:color w:val="auto"/>
                <w:w w:val="91"/>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Al Etihad Gold Refinery DMCC</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CID002560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Emirates Gold DMCC</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CID002561</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T.C.A S.p.A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CID002580</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REMONDIS PMR B.V.</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CID002582</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Marsam Metals</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CID002606</w:t>
            </w:r>
          </w:p>
        </w:tc>
        <w:tc>
          <w:tcPr>
            <w:tcW w:w="1580" w:type="dxa"/>
            <w:vAlign w:val="bottom"/>
          </w:tcPr>
          <w:p>
            <w:pPr>
              <w:ind w:left="340"/>
              <w:spacing w:after="0"/>
              <w:rPr>
                <w:sz w:val="20"/>
                <w:szCs w:val="20"/>
                <w:color w:val="auto"/>
              </w:rPr>
            </w:pPr>
            <w:r>
              <w:rPr>
                <w:rFonts w:ascii="Arial" w:cs="Arial" w:eastAsia="Arial" w:hAnsi="Arial"/>
                <w:sz w:val="18"/>
                <w:szCs w:val="18"/>
                <w:color w:val="auto"/>
                <w:w w:val="91"/>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TOO Tau-Ken-Altyn</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CID002615</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Abington Reldan Metals, LLC</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CID002708</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SAAMP</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CID002761</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520" w:type="dxa"/>
            <w:vAlign w:val="bottom"/>
          </w:tcPr>
          <w:p>
            <w:pPr>
              <w:ind w:left="80"/>
              <w:spacing w:after="0"/>
              <w:rPr>
                <w:sz w:val="20"/>
                <w:szCs w:val="20"/>
                <w:color w:val="auto"/>
              </w:rPr>
            </w:pPr>
            <w:r>
              <w:rPr>
                <w:rFonts w:ascii="Arial" w:cs="Arial" w:eastAsia="Arial" w:hAnsi="Arial"/>
                <w:sz w:val="18"/>
                <w:szCs w:val="18"/>
                <w:color w:val="auto"/>
              </w:rPr>
              <w:t>L’Orfebre S.A.</w:t>
            </w:r>
          </w:p>
        </w:tc>
        <w:tc>
          <w:tcPr>
            <w:tcW w:w="2600" w:type="dxa"/>
            <w:vAlign w:val="bottom"/>
          </w:tcPr>
          <w:p>
            <w:pPr>
              <w:ind w:left="1400"/>
              <w:spacing w:after="0"/>
              <w:rPr>
                <w:sz w:val="20"/>
                <w:szCs w:val="20"/>
                <w:color w:val="auto"/>
              </w:rPr>
            </w:pPr>
            <w:r>
              <w:rPr>
                <w:rFonts w:ascii="Arial" w:cs="Arial" w:eastAsia="Arial" w:hAnsi="Arial"/>
                <w:sz w:val="18"/>
                <w:szCs w:val="18"/>
                <w:color w:val="auto"/>
              </w:rPr>
              <w:t>CID002762</w:t>
            </w:r>
          </w:p>
        </w:tc>
        <w:tc>
          <w:tcPr>
            <w:tcW w:w="1580" w:type="dxa"/>
            <w:vAlign w:val="bottom"/>
          </w:tcPr>
          <w:p>
            <w:pPr>
              <w:ind w:left="34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0160"/>
          </w:cols>
          <w:pgMar w:left="440" w:top="908" w:right="129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8853 S.p.A.</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CID002763</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Italpreziosi</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CID002765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WIELAND Edelmetalle GmbH</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CID002778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Ogussa Osterreichische Gold- und Silber-Scheideanstalt GmbH</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CID002779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GGC Gujrat Gold Centre Pvt.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CID002852</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Bangalore Refinery</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CID002863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SungEel HiMetal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CID002918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Planta Recuperadora de Metales SpA</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CID002919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Safimet S.p.A</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CID002973</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NH Recytech Company</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CID003189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C.I Metales Procesados Industriales SAS</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CID003421</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Eco-System Recycling Co., Ltd. North Plant</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CID003424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Eco-System Recycling Co., Ltd. West Plant</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CID003425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Augmont Enterprises Private Limited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CID003461</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Alexy Metals</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CID003500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Sancus ZFS (L’Orfebre, SA)</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CID003529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Metal Concentrators SA (Pty)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CID003575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WEEEREFINING</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CID003615</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Atasay Kuyumculuk Sanayi Ve Ticaret A.S.</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CID000103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Caridad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CID000180</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Yunnan Copper Industry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CID000197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Daye Non-Ferrous Metals Mining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CID000343</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DSC (Do Sung Corporation)</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CID000359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Dowa</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CID000401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Eco-System Recycling Co., Ltd. East Plant</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CID000425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JSC Novosibirsk Refinery</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CID000493</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Refinery of Seemine Gold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CID000522</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Guoda Safina High-Tech Environmental Refinery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CID000651</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Hangzhou Fuchunjiang Smelting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CID000671</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Hunan Chenzhou Mining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CID000767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Hunan Guiyang yinxing Nonferrous Smelting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CID000773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HwaSeong CJ CO., LTD.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CID000778</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4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JSC Ekaterinburg Non-Ferrous Metal Processing Plant</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CID000927</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JSC Uralelectromed</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CID000929</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5800" w:type="dxa"/>
            <w:vAlign w:val="bottom"/>
          </w:tcPr>
          <w:p>
            <w:pPr>
              <w:ind w:left="80"/>
              <w:spacing w:after="0"/>
              <w:rPr>
                <w:sz w:val="20"/>
                <w:szCs w:val="20"/>
                <w:color w:val="auto"/>
              </w:rPr>
            </w:pPr>
            <w:r>
              <w:rPr>
                <w:rFonts w:ascii="Arial" w:cs="Arial" w:eastAsia="Arial" w:hAnsi="Arial"/>
                <w:sz w:val="18"/>
                <w:szCs w:val="18"/>
                <w:color w:val="auto"/>
              </w:rPr>
              <w:t>Kazakhmys Smelting LLC</w:t>
            </w:r>
          </w:p>
        </w:tc>
        <w:tc>
          <w:tcPr>
            <w:tcW w:w="2320" w:type="dxa"/>
            <w:vAlign w:val="bottom"/>
          </w:tcPr>
          <w:p>
            <w:pPr>
              <w:ind w:left="1120"/>
              <w:spacing w:after="0"/>
              <w:rPr>
                <w:sz w:val="20"/>
                <w:szCs w:val="20"/>
                <w:color w:val="auto"/>
              </w:rPr>
            </w:pPr>
            <w:r>
              <w:rPr>
                <w:rFonts w:ascii="Arial" w:cs="Arial" w:eastAsia="Arial" w:hAnsi="Arial"/>
                <w:sz w:val="18"/>
                <w:szCs w:val="18"/>
                <w:color w:val="auto"/>
              </w:rPr>
              <w:t>CID000956</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bl>
    <w:p>
      <w:pPr>
        <w:sectPr>
          <w:pgSz w:w="11900" w:h="16838" w:orient="portrait"/>
          <w:cols w:equalWidth="0" w:num="1">
            <w:col w:w="10940"/>
          </w:cols>
          <w:pgMar w:left="440" w:top="908" w:right="5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Kyrgyzaltyn JSC</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CID001029</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L’azurde Company For Jewelry</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CID001032</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Lingbao Gold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CID001056</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Lingbao Jinyuan Tonghui Refinery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CID001058</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Luoyang Zijin Yinhui Gold Refinery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CID001093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Moscow Special Alloys Processing Plant</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CID001204</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Ohura Precious Metal Industry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CID001325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w w:val="98"/>
              </w:rPr>
              <w:t>OJSC “The Gulidov Krasnoyarsk Non-Ferrous Metals Plant” (OJSC Krastsvetmet)</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CID001326</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Penglai Penggang Gold Industry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CID001362</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Prioksky Plant of Non-Ferrous Metals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CID001386</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Sabin Metal Corp.</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CID001546</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Samduck Precious Metals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CID001555</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Samwon Metals Corp.</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CID001562</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Shandong Tiancheng Biological Gold Industrial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CID001619</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SOE Shyolkovsky Factory of Secondary Precious Metals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CID001756</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Great Wall Precious Metals Co., Ltd. of CBPM</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CID001909</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Tongling Nonferrous Metals Group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CID001947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Torecom</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CID001955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Yamakin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CID002100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Morris and Watson</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CID002282</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Guangdong Jinding Gold Limited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CID002312</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Fidelity Printers and Refiners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CID002515</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Shandong Humon Smelting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CID002525</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Shenzhen Zhonghenglong Real Industry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CID002527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International Precious Metal Refiners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CID002562</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Kaloti Precious Metals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CID002563</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4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Gold</w:t>
            </w:r>
          </w:p>
        </w:tc>
        <w:tc>
          <w:tcPr>
            <w:tcW w:w="6500" w:type="dxa"/>
            <w:vAlign w:val="bottom"/>
          </w:tcPr>
          <w:p>
            <w:pPr>
              <w:ind w:left="80"/>
              <w:spacing w:after="0"/>
              <w:rPr>
                <w:sz w:val="20"/>
                <w:szCs w:val="20"/>
                <w:color w:val="auto"/>
              </w:rPr>
            </w:pPr>
            <w:r>
              <w:rPr>
                <w:rFonts w:ascii="Arial" w:cs="Arial" w:eastAsia="Arial" w:hAnsi="Arial"/>
                <w:sz w:val="18"/>
                <w:szCs w:val="18"/>
                <w:color w:val="auto"/>
              </w:rPr>
              <w:t>Sudan Gold Refinery</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CID002567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bl>
    <w:p>
      <w:pPr>
        <w:sectPr>
          <w:pgSz w:w="11900" w:h="16838" w:orient="portrait"/>
          <w:cols w:equalWidth="0" w:num="1">
            <w:col w:w="10940"/>
          </w:cols>
          <w:pgMar w:left="440" w:top="908" w:right="5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Fujairah Gold FZC</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CID002584</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Industrial Refining Company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CID002587</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Shirpur Gold Refinery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CID002588</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Korea Zinc Co.,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CID002605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AU Traders and Refiners</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CID002850</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Sai Refinery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CID002853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Modeltech Sdn Bhd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CID002857</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Kyshtym Copper-Electrolytic Plant ZAO</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CID002865</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Degussa Sonne / Mond Goldhandel GmbH</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CID002867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Pease &amp; Curren</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CID002872</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JALAN &amp; Company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CID002893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CID003153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African Gold Refinery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CID003185</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Gold Coast Refinery</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CID003186</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QG Refining, LLC</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CID003324</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Dijllah Gold Refinery FZC</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CID003348</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CGR Metalloys Pvt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CID003382</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Sovereign Metals</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CID003383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Kundan Care Products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CID003463</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1)</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CID003487</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2)</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CID003488</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3)</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CID003489</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Emerald Jewel Industry India Limited (Unit 4)</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CID003490</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K.A. Rasmussen</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CID003497</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Sellem Industries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CID003540</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7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MD Overseas</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CID003548</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Metallix Refining Inc.</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CID003557</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Super Dragon Technology Co.,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CID001810</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Shenzhen CuiLu Gold Co.,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CID002750</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Albino Mountinho Lda.</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CID002760</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ABC Refinery Pty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CID002920</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Gold by Gold Colombia</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CID003641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Gold</w:t>
            </w:r>
          </w:p>
        </w:tc>
        <w:tc>
          <w:tcPr>
            <w:tcW w:w="5840" w:type="dxa"/>
            <w:vAlign w:val="bottom"/>
          </w:tcPr>
          <w:p>
            <w:pPr>
              <w:ind w:left="100"/>
              <w:spacing w:after="0"/>
              <w:rPr>
                <w:sz w:val="20"/>
                <w:szCs w:val="20"/>
                <w:color w:val="auto"/>
              </w:rPr>
            </w:pPr>
            <w:r>
              <w:rPr>
                <w:rFonts w:ascii="Arial" w:cs="Arial" w:eastAsia="Arial" w:hAnsi="Arial"/>
                <w:sz w:val="18"/>
                <w:szCs w:val="18"/>
                <w:color w:val="auto"/>
              </w:rPr>
              <w:t>Dongwu Gold Group</w:t>
            </w:r>
          </w:p>
        </w:tc>
        <w:tc>
          <w:tcPr>
            <w:tcW w:w="1960" w:type="dxa"/>
            <w:vAlign w:val="bottom"/>
          </w:tcPr>
          <w:p>
            <w:pPr>
              <w:ind w:left="760"/>
              <w:spacing w:after="0"/>
              <w:rPr>
                <w:sz w:val="20"/>
                <w:szCs w:val="20"/>
                <w:color w:val="auto"/>
              </w:rPr>
            </w:pPr>
            <w:r>
              <w:rPr>
                <w:rFonts w:ascii="Arial" w:cs="Arial" w:eastAsia="Arial" w:hAnsi="Arial"/>
                <w:sz w:val="18"/>
                <w:szCs w:val="18"/>
                <w:color w:val="auto"/>
              </w:rPr>
              <w:t>CID003663</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840" w:type="dxa"/>
            <w:vAlign w:val="bottom"/>
          </w:tcPr>
          <w:p>
            <w:pPr>
              <w:ind w:left="100"/>
              <w:spacing w:after="0"/>
              <w:rPr>
                <w:sz w:val="20"/>
                <w:szCs w:val="20"/>
                <w:color w:val="auto"/>
              </w:rPr>
            </w:pPr>
            <w:r>
              <w:rPr>
                <w:rFonts w:ascii="Arial" w:cs="Arial" w:eastAsia="Arial" w:hAnsi="Arial"/>
                <w:sz w:val="18"/>
                <w:szCs w:val="18"/>
                <w:color w:val="auto"/>
              </w:rPr>
              <w:t>Jiujiang Tanbre Co.,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CID000917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840" w:type="dxa"/>
            <w:vAlign w:val="bottom"/>
          </w:tcPr>
          <w:p>
            <w:pPr>
              <w:ind w:left="100"/>
              <w:spacing w:after="0"/>
              <w:rPr>
                <w:sz w:val="20"/>
                <w:szCs w:val="20"/>
                <w:color w:val="auto"/>
              </w:rPr>
            </w:pPr>
            <w:r>
              <w:rPr>
                <w:rFonts w:ascii="Arial" w:cs="Arial" w:eastAsia="Arial" w:hAnsi="Arial"/>
                <w:sz w:val="18"/>
                <w:szCs w:val="18"/>
                <w:color w:val="auto"/>
              </w:rPr>
              <w:t>Mineracao Taboca S.A.</w:t>
            </w:r>
          </w:p>
        </w:tc>
        <w:tc>
          <w:tcPr>
            <w:tcW w:w="1960" w:type="dxa"/>
            <w:vAlign w:val="bottom"/>
          </w:tcPr>
          <w:p>
            <w:pPr>
              <w:ind w:left="760"/>
              <w:spacing w:after="0"/>
              <w:rPr>
                <w:sz w:val="20"/>
                <w:szCs w:val="20"/>
                <w:color w:val="auto"/>
              </w:rPr>
            </w:pPr>
            <w:r>
              <w:rPr>
                <w:rFonts w:ascii="Arial" w:cs="Arial" w:eastAsia="Arial" w:hAnsi="Arial"/>
                <w:sz w:val="18"/>
                <w:szCs w:val="18"/>
                <w:color w:val="auto"/>
              </w:rPr>
              <w:t>CID001175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840" w:type="dxa"/>
            <w:vAlign w:val="bottom"/>
          </w:tcPr>
          <w:p>
            <w:pPr>
              <w:ind w:left="100"/>
              <w:spacing w:after="0"/>
              <w:rPr>
                <w:sz w:val="20"/>
                <w:szCs w:val="20"/>
                <w:color w:val="auto"/>
              </w:rPr>
            </w:pPr>
            <w:r>
              <w:rPr>
                <w:rFonts w:ascii="Arial" w:cs="Arial" w:eastAsia="Arial" w:hAnsi="Arial"/>
                <w:sz w:val="18"/>
                <w:szCs w:val="18"/>
                <w:color w:val="auto"/>
              </w:rPr>
              <w:t>Mitsui Mining and Smelting Co., Ltd.</w:t>
            </w:r>
          </w:p>
        </w:tc>
        <w:tc>
          <w:tcPr>
            <w:tcW w:w="1960" w:type="dxa"/>
            <w:vAlign w:val="bottom"/>
          </w:tcPr>
          <w:p>
            <w:pPr>
              <w:ind w:left="760"/>
              <w:spacing w:after="0"/>
              <w:rPr>
                <w:sz w:val="20"/>
                <w:szCs w:val="20"/>
                <w:color w:val="auto"/>
              </w:rPr>
            </w:pPr>
            <w:r>
              <w:rPr>
                <w:rFonts w:ascii="Arial" w:cs="Arial" w:eastAsia="Arial" w:hAnsi="Arial"/>
                <w:sz w:val="18"/>
                <w:szCs w:val="18"/>
                <w:color w:val="auto"/>
              </w:rPr>
              <w:t>CID001192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0940"/>
          </w:cols>
          <w:pgMar w:left="440" w:top="908" w:right="5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QuantumClean</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CID001508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D Block Metals, LLC</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CID002504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Jiujiang Zhongao Tantalum &amp; Niobium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CID002506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Jiangxi Dinghai Tantalum &amp; Niobium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CID002512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TANIOBIS Smelting GmbH &amp; Co. KG</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CID002550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Jiangxi Tuohong New Raw Material</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CID002842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F&amp;X Electro-Materials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CID000460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XIMEI RESOURCES (GUANGDONG) LIMITED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CID000616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JiuJiang JinXin Nonferrous Metals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CID000914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AMG Brasil</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CID001076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Metallurgical Products India Pvt.,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CID001163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NPM Silmet AS</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CID001200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CID001277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Yanling Jincheng Tantalum &amp; Niobium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CID001522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Solikamsk Magnesium Works OAO</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CID001769</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Taki Chemical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CID001869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Telex Metals</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CID001891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Ulba Metallurgical Plant JSC</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CID001969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Hengyang King Xing Lifeng New Materials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CID002492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FIR Metals &amp; Resource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CID002505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XinXing HaoRong Electronic Material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CID002508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KEMET de Mexico</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CID002539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TANIOBIS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CID002544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TANIOBIS GmbH</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CID002545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Materion Newton Inc.</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CID002548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TANIOBIS Japan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CID002549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Global Advanced Metals Boyertown</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CID002557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Global Advanced Metals Aizu</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CID002558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Resind Industria e Comercio Ltda.</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CID002707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RFH Yancheng Jinye New Material Technology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CID003583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100"/>
              <w:spacing w:after="0"/>
              <w:rPr>
                <w:sz w:val="20"/>
                <w:szCs w:val="20"/>
                <w:color w:val="auto"/>
              </w:rPr>
            </w:pPr>
            <w:r>
              <w:rPr>
                <w:rFonts w:ascii="Arial" w:cs="Arial" w:eastAsia="Arial" w:hAnsi="Arial"/>
                <w:sz w:val="18"/>
                <w:szCs w:val="18"/>
                <w:color w:val="auto"/>
              </w:rPr>
              <w:t>5D Production OU</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CID003926</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420" w:type="dxa"/>
            <w:vAlign w:val="bottom"/>
          </w:tcPr>
          <w:p>
            <w:pPr>
              <w:ind w:left="100"/>
              <w:spacing w:after="0"/>
              <w:rPr>
                <w:sz w:val="20"/>
                <w:szCs w:val="20"/>
                <w:color w:val="auto"/>
              </w:rPr>
            </w:pPr>
            <w:r>
              <w:rPr>
                <w:rFonts w:ascii="Arial" w:cs="Arial" w:eastAsia="Arial" w:hAnsi="Arial"/>
                <w:sz w:val="18"/>
                <w:szCs w:val="18"/>
                <w:color w:val="auto"/>
              </w:rPr>
              <w:t>Chenzhou Yunxiang Mining and Metallurgy Co., Ltd.</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CID000228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420" w:type="dxa"/>
            <w:vAlign w:val="bottom"/>
          </w:tcPr>
          <w:p>
            <w:pPr>
              <w:ind w:left="100"/>
              <w:spacing w:after="0"/>
              <w:rPr>
                <w:sz w:val="20"/>
                <w:szCs w:val="20"/>
                <w:color w:val="auto"/>
              </w:rPr>
            </w:pPr>
            <w:r>
              <w:rPr>
                <w:rFonts w:ascii="Arial" w:cs="Arial" w:eastAsia="Arial" w:hAnsi="Arial"/>
                <w:sz w:val="18"/>
                <w:szCs w:val="18"/>
                <w:color w:val="auto"/>
              </w:rPr>
              <w:t>Alpha</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CID000292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420" w:type="dxa"/>
            <w:vAlign w:val="bottom"/>
          </w:tcPr>
          <w:p>
            <w:pPr>
              <w:ind w:left="100"/>
              <w:spacing w:after="0"/>
              <w:rPr>
                <w:sz w:val="20"/>
                <w:szCs w:val="20"/>
                <w:color w:val="auto"/>
              </w:rPr>
            </w:pPr>
            <w:r>
              <w:rPr>
                <w:rFonts w:ascii="Arial" w:cs="Arial" w:eastAsia="Arial" w:hAnsi="Arial"/>
                <w:sz w:val="18"/>
                <w:szCs w:val="18"/>
                <w:color w:val="auto"/>
              </w:rPr>
              <w:t>PT Aries Kencana Sejahtera</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CID000309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420" w:type="dxa"/>
            <w:vAlign w:val="bottom"/>
          </w:tcPr>
          <w:p>
            <w:pPr>
              <w:ind w:left="100"/>
              <w:spacing w:after="0"/>
              <w:rPr>
                <w:sz w:val="20"/>
                <w:szCs w:val="20"/>
                <w:color w:val="auto"/>
              </w:rPr>
            </w:pPr>
            <w:r>
              <w:rPr>
                <w:rFonts w:ascii="Arial" w:cs="Arial" w:eastAsia="Arial" w:hAnsi="Arial"/>
                <w:sz w:val="18"/>
                <w:szCs w:val="18"/>
                <w:color w:val="auto"/>
              </w:rPr>
              <w:t>Dowa</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CID000402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Tin</w:t>
            </w:r>
          </w:p>
        </w:tc>
        <w:tc>
          <w:tcPr>
            <w:tcW w:w="5420" w:type="dxa"/>
            <w:vAlign w:val="bottom"/>
          </w:tcPr>
          <w:p>
            <w:pPr>
              <w:ind w:left="100"/>
              <w:spacing w:after="0"/>
              <w:rPr>
                <w:sz w:val="20"/>
                <w:szCs w:val="20"/>
                <w:color w:val="auto"/>
              </w:rPr>
            </w:pPr>
            <w:r>
              <w:rPr>
                <w:rFonts w:ascii="Arial" w:cs="Arial" w:eastAsia="Arial" w:hAnsi="Arial"/>
                <w:sz w:val="18"/>
                <w:szCs w:val="18"/>
                <w:color w:val="auto"/>
              </w:rPr>
              <w:t>Fenix Metals</w:t>
            </w:r>
          </w:p>
        </w:tc>
        <w:tc>
          <w:tcPr>
            <w:tcW w:w="2380" w:type="dxa"/>
            <w:vAlign w:val="bottom"/>
          </w:tcPr>
          <w:p>
            <w:pPr>
              <w:ind w:left="1180"/>
              <w:spacing w:after="0"/>
              <w:rPr>
                <w:sz w:val="20"/>
                <w:szCs w:val="20"/>
                <w:color w:val="auto"/>
              </w:rPr>
            </w:pPr>
            <w:r>
              <w:rPr>
                <w:rFonts w:ascii="Arial" w:cs="Arial" w:eastAsia="Arial" w:hAnsi="Arial"/>
                <w:sz w:val="18"/>
                <w:szCs w:val="18"/>
                <w:color w:val="auto"/>
              </w:rPr>
              <w:t>CID000468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0940"/>
          </w:cols>
          <w:pgMar w:left="440" w:top="908" w:right="51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320675</wp:posOffset>
            </wp:positionV>
            <wp:extent cx="58293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CID000538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CID000555</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Malaysia Smelting Corporation (MSC)</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CID001105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Mineracao Taboca 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CID001173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Minsur</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CID001182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Mitsubishi Materials Corporation</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CID001191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O.M. Manufacturing (Thailand)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CID001314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Artha Cipta Langgeng</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CID001399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Babel Inti Perkasa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CID001402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Refined Bangka Tin</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CID001460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Stanindo Inti Perkasa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CID001468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Timah Tbk Kundur</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CID001477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Timah Tbk Mentok</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CID001482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Timah Nusantara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CID001486</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Tinindo Inter Nusa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CID001490</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Rui Da Hung</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CID001539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Thaisarco</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CID001898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White Solder Metalurgia e Mineracao Ltda.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CID002036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Yunnan Chengfeng Non-ferrous Metals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CID002158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CV Venus Inti Perkasa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CID002455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Magnu’s Minerais Metais e Ligas Ltda.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CID002468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ATD Makmur Mandiri Jaya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CID002503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O.M. Manufacturing Philippines, Inc.</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CID002517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Super Ligas</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CID002756</w:t>
            </w:r>
          </w:p>
        </w:tc>
        <w:tc>
          <w:tcPr>
            <w:tcW w:w="236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Menara Cipta Mulia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CID002835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Bangka Serumpun</w:t>
            </w:r>
          </w:p>
        </w:tc>
        <w:tc>
          <w:tcPr>
            <w:tcW w:w="1620" w:type="dxa"/>
            <w:vAlign w:val="bottom"/>
          </w:tcPr>
          <w:p>
            <w:pPr>
              <w:ind w:left="420"/>
              <w:spacing w:after="0"/>
              <w:rPr>
                <w:sz w:val="20"/>
                <w:szCs w:val="20"/>
                <w:color w:val="auto"/>
              </w:rPr>
            </w:pPr>
            <w:r>
              <w:rPr>
                <w:rFonts w:ascii="Arial" w:cs="Arial" w:eastAsia="Arial" w:hAnsi="Arial"/>
                <w:sz w:val="18"/>
                <w:szCs w:val="18"/>
                <w:color w:val="auto"/>
              </w:rPr>
              <w:t>CID003205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Rajawali Rimba Perkasa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CID003381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Mitra Sukses Globalindo</w:t>
            </w:r>
          </w:p>
        </w:tc>
        <w:tc>
          <w:tcPr>
            <w:tcW w:w="1620" w:type="dxa"/>
            <w:vAlign w:val="bottom"/>
          </w:tcPr>
          <w:p>
            <w:pPr>
              <w:ind w:left="420"/>
              <w:spacing w:after="0"/>
              <w:rPr>
                <w:sz w:val="20"/>
                <w:szCs w:val="20"/>
                <w:color w:val="auto"/>
              </w:rPr>
            </w:pPr>
            <w:r>
              <w:rPr>
                <w:rFonts w:ascii="Arial" w:cs="Arial" w:eastAsia="Arial" w:hAnsi="Arial"/>
                <w:sz w:val="18"/>
                <w:szCs w:val="18"/>
                <w:color w:val="auto"/>
              </w:rPr>
              <w:t>CID003449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w w:val="97"/>
              </w:rPr>
              <w:t>CRM Fundicao De Metais E Comercio De Equipamentos Eletronicos Do Brasil Ltda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CID003486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EM Vinto</w:t>
            </w:r>
          </w:p>
        </w:tc>
        <w:tc>
          <w:tcPr>
            <w:tcW w:w="1620" w:type="dxa"/>
            <w:vAlign w:val="bottom"/>
          </w:tcPr>
          <w:p>
            <w:pPr>
              <w:ind w:left="420"/>
              <w:spacing w:after="0"/>
              <w:rPr>
                <w:sz w:val="20"/>
                <w:szCs w:val="20"/>
                <w:color w:val="auto"/>
              </w:rPr>
            </w:pPr>
            <w:r>
              <w:rPr>
                <w:rFonts w:ascii="Arial" w:cs="Arial" w:eastAsia="Arial" w:hAnsi="Arial"/>
                <w:sz w:val="18"/>
                <w:szCs w:val="18"/>
                <w:color w:val="auto"/>
              </w:rPr>
              <w:t>CID000438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Estanho de Rondonia 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CID000448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Gejiu Kai Meng Industry and Trade LLC</w:t>
            </w:r>
          </w:p>
        </w:tc>
        <w:tc>
          <w:tcPr>
            <w:tcW w:w="1620" w:type="dxa"/>
            <w:vAlign w:val="bottom"/>
          </w:tcPr>
          <w:p>
            <w:pPr>
              <w:ind w:left="420"/>
              <w:spacing w:after="0"/>
              <w:rPr>
                <w:sz w:val="20"/>
                <w:szCs w:val="20"/>
                <w:color w:val="auto"/>
              </w:rPr>
            </w:pPr>
            <w:r>
              <w:rPr>
                <w:rFonts w:ascii="Arial" w:cs="Arial" w:eastAsia="Arial" w:hAnsi="Arial"/>
                <w:sz w:val="18"/>
                <w:szCs w:val="18"/>
                <w:color w:val="auto"/>
              </w:rPr>
              <w:t>CID000942</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China Tin Group Co.,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CID001070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Metallic Resources, Inc.</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CID001142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Jiangxi New Nanshan Technology Ltd.</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CID001231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Novosibirsk Tin Combine</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CID001305</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Operaciones Metalurgicas S.A.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CID001337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Babel Surya Alam Lestari</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CID001406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Mitra Stania Prima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CID001453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620" w:type="dxa"/>
            <w:vAlign w:val="bottom"/>
          </w:tcPr>
          <w:p>
            <w:pPr>
              <w:ind w:left="100"/>
              <w:spacing w:after="0"/>
              <w:rPr>
                <w:sz w:val="20"/>
                <w:szCs w:val="20"/>
                <w:color w:val="auto"/>
              </w:rPr>
            </w:pPr>
            <w:r>
              <w:rPr>
                <w:rFonts w:ascii="Arial" w:cs="Arial" w:eastAsia="Arial" w:hAnsi="Arial"/>
                <w:sz w:val="18"/>
                <w:szCs w:val="18"/>
                <w:color w:val="auto"/>
              </w:rPr>
              <w:t>PT Prima Timah Utama</w:t>
            </w:r>
          </w:p>
        </w:tc>
        <w:tc>
          <w:tcPr>
            <w:tcW w:w="1620" w:type="dxa"/>
            <w:vAlign w:val="bottom"/>
          </w:tcPr>
          <w:p>
            <w:pPr>
              <w:ind w:left="420"/>
              <w:spacing w:after="0"/>
              <w:rPr>
                <w:sz w:val="20"/>
                <w:szCs w:val="20"/>
                <w:color w:val="auto"/>
              </w:rPr>
            </w:pPr>
            <w:r>
              <w:rPr>
                <w:rFonts w:ascii="Arial" w:cs="Arial" w:eastAsia="Arial" w:hAnsi="Arial"/>
                <w:sz w:val="18"/>
                <w:szCs w:val="18"/>
                <w:color w:val="auto"/>
              </w:rPr>
              <w:t>CID001458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bl>
    <w:p>
      <w:pPr>
        <w:sectPr>
          <w:pgSz w:w="11900" w:h="16838" w:orient="portrait"/>
          <w:cols w:equalWidth="0" w:num="1">
            <w:col w:w="10940"/>
          </w:cols>
          <w:pgMar w:left="440" w:top="908" w:right="51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Gejiu Yunxin Nonferrous Electrolysis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CID001908</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VQB Mineral and Trading Group JSC</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CID002015</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Tin Smelting Branch of Yunnan Tin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CID002180</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Melt Metais e Ligas S.A.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CID002500</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CV Ayi Jaya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CID002570</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w w:val="95"/>
              </w:rPr>
              <w:t>Electro-Mechanical Facility of the Cao Bang Minerals &amp; Metallurgy Joint Stock Company</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CID002572</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Nghe Tinh Non-Ferrous Metals Joint Stock Company</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CID002573</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Tuyen Quang Non-Ferrous Metals Joint Stock Company</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CID002574</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Rajehan Ariq</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CID002593</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An Vinh Joint Stock Mineral Processing Company</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CID002703</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Resind Industria e Comercio Ltda.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CID002706</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Aurubis Beerse</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CID002773</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Aurubis Berango</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CID002774</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Modeltech Sdn Bhd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CID002858</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Guangdong Hanhe Non-Ferrous Metal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CID003116</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Chifeng Dajingzi Tin Industry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CID003190</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Pongpipat Company Limited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CID003208</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Tin Technology &amp; Refining</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CID003325</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Dongguan CiEXPO Environmental Engineering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CID003356</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Luna Smelter,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CID003387</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Yunnan Yunfan Non-ferrous Metals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CID003397</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Precious Minerals and Smelting Limited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CID003409</w:t>
            </w:r>
          </w:p>
        </w:tc>
        <w:tc>
          <w:tcPr>
            <w:tcW w:w="170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Gejiu City Fuxiang Industry and Trade Co., Ltd.</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CID003410</w:t>
            </w:r>
          </w:p>
        </w:tc>
        <w:tc>
          <w:tcPr>
            <w:tcW w:w="1700" w:type="dxa"/>
            <w:vAlign w:val="bottom"/>
          </w:tcPr>
          <w:p>
            <w:pPr>
              <w:ind w:left="340"/>
              <w:spacing w:after="0"/>
              <w:rPr>
                <w:sz w:val="20"/>
                <w:szCs w:val="20"/>
                <w:color w:val="auto"/>
              </w:rPr>
            </w:pPr>
            <w:r>
              <w:rPr>
                <w:rFonts w:ascii="Arial" w:cs="Arial" w:eastAsia="Arial" w:hAnsi="Arial"/>
                <w:sz w:val="18"/>
                <w:szCs w:val="18"/>
                <w:color w:val="auto"/>
                <w:w w:val="88"/>
              </w:rPr>
              <w:t>Outreach Required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CRM Synergies</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CID003524</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Fabrica Auricchio Industria e Comercio Ltda.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CID003582</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Belitung Industri Sejahtera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CID001421</w:t>
            </w:r>
          </w:p>
        </w:tc>
        <w:tc>
          <w:tcPr>
            <w:tcW w:w="1700" w:type="dxa"/>
            <w:vAlign w:val="bottom"/>
          </w:tcPr>
          <w:p>
            <w:pPr>
              <w:ind w:left="340"/>
              <w:spacing w:after="0"/>
              <w:rPr>
                <w:sz w:val="20"/>
                <w:szCs w:val="20"/>
                <w:color w:val="auto"/>
              </w:rPr>
            </w:pPr>
            <w:r>
              <w:rPr>
                <w:rFonts w:ascii="Arial" w:cs="Arial" w:eastAsia="Arial" w:hAnsi="Arial"/>
                <w:sz w:val="18"/>
                <w:szCs w:val="18"/>
                <w:color w:val="auto"/>
              </w:rPr>
              <w:t>Active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Bukit Timah</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CID001428</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Panca Mega Persada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CID001457</w:t>
            </w:r>
          </w:p>
        </w:tc>
        <w:tc>
          <w:tcPr>
            <w:tcW w:w="1700" w:type="dxa"/>
            <w:vAlign w:val="bottom"/>
          </w:tcPr>
          <w:p>
            <w:pPr>
              <w:ind w:left="340"/>
              <w:spacing w:after="0"/>
              <w:rPr>
                <w:sz w:val="20"/>
                <w:szCs w:val="20"/>
                <w:color w:val="auto"/>
              </w:rPr>
            </w:pPr>
            <w:r>
              <w:rPr>
                <w:rFonts w:ascii="Arial" w:cs="Arial" w:eastAsia="Arial" w:hAnsi="Arial"/>
                <w:sz w:val="18"/>
                <w:szCs w:val="18"/>
                <w:color w:val="auto"/>
                <w:w w:val="92"/>
              </w:rPr>
              <w:t>In Communication</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Sariwiguna Binasentosa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CID001463</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Tirus Putra Mandiri</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CID002478</w:t>
            </w:r>
          </w:p>
        </w:tc>
        <w:tc>
          <w:tcPr>
            <w:tcW w:w="1700" w:type="dxa"/>
            <w:vAlign w:val="bottom"/>
          </w:tcPr>
          <w:p>
            <w:pPr>
              <w:ind w:left="340"/>
              <w:spacing w:after="0"/>
              <w:rPr>
                <w:sz w:val="20"/>
                <w:szCs w:val="20"/>
                <w:color w:val="auto"/>
              </w:rPr>
            </w:pPr>
            <w:r>
              <w:rPr>
                <w:rFonts w:ascii="Arial" w:cs="Arial" w:eastAsia="Arial" w:hAnsi="Arial"/>
                <w:sz w:val="18"/>
                <w:szCs w:val="18"/>
                <w:color w:val="auto"/>
                <w:w w:val="92"/>
              </w:rPr>
              <w:t>In Communication</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Cipta Persada Mulia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CID002696</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Sukses Inti Makmur</w:t>
            </w:r>
          </w:p>
        </w:tc>
        <w:tc>
          <w:tcPr>
            <w:tcW w:w="1400" w:type="dxa"/>
            <w:vAlign w:val="bottom"/>
          </w:tcPr>
          <w:p>
            <w:pPr>
              <w:ind w:left="200"/>
              <w:spacing w:after="0"/>
              <w:rPr>
                <w:sz w:val="20"/>
                <w:szCs w:val="20"/>
                <w:color w:val="auto"/>
              </w:rPr>
            </w:pPr>
            <w:r>
              <w:rPr>
                <w:rFonts w:ascii="Arial" w:cs="Arial" w:eastAsia="Arial" w:hAnsi="Arial"/>
                <w:sz w:val="18"/>
                <w:szCs w:val="18"/>
                <w:color w:val="auto"/>
              </w:rPr>
              <w:t>CID002816</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Tommy Utama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CID001493</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Premium Tin Indonesia</w:t>
            </w:r>
          </w:p>
        </w:tc>
        <w:tc>
          <w:tcPr>
            <w:tcW w:w="1400" w:type="dxa"/>
            <w:vAlign w:val="bottom"/>
          </w:tcPr>
          <w:p>
            <w:pPr>
              <w:ind w:left="200"/>
              <w:spacing w:after="0"/>
              <w:rPr>
                <w:sz w:val="20"/>
                <w:szCs w:val="20"/>
                <w:color w:val="auto"/>
              </w:rPr>
            </w:pPr>
            <w:r>
              <w:rPr>
                <w:rFonts w:ascii="Arial" w:cs="Arial" w:eastAsia="Arial" w:hAnsi="Arial"/>
                <w:sz w:val="18"/>
                <w:szCs w:val="18"/>
                <w:color w:val="auto"/>
              </w:rPr>
              <w:t>CID000313</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DS Myanmar</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CID003831</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Putera Sarana Shakti (PT PSS)</w:t>
            </w:r>
          </w:p>
        </w:tc>
        <w:tc>
          <w:tcPr>
            <w:tcW w:w="1400" w:type="dxa"/>
            <w:vAlign w:val="bottom"/>
          </w:tcPr>
          <w:p>
            <w:pPr>
              <w:ind w:left="200"/>
              <w:spacing w:after="0"/>
              <w:rPr>
                <w:sz w:val="20"/>
                <w:szCs w:val="20"/>
                <w:color w:val="auto"/>
              </w:rPr>
            </w:pPr>
            <w:r>
              <w:rPr>
                <w:rFonts w:ascii="Arial" w:cs="Arial" w:eastAsia="Arial" w:hAnsi="Arial"/>
                <w:sz w:val="18"/>
                <w:szCs w:val="18"/>
                <w:color w:val="auto"/>
              </w:rPr>
              <w:t>CID003868</w:t>
            </w:r>
          </w:p>
        </w:tc>
        <w:tc>
          <w:tcPr>
            <w:tcW w:w="170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Tin</w:t>
            </w:r>
          </w:p>
        </w:tc>
        <w:tc>
          <w:tcPr>
            <w:tcW w:w="6840" w:type="dxa"/>
            <w:vAlign w:val="bottom"/>
          </w:tcPr>
          <w:p>
            <w:pPr>
              <w:ind w:left="100"/>
              <w:spacing w:after="0"/>
              <w:rPr>
                <w:sz w:val="20"/>
                <w:szCs w:val="20"/>
                <w:color w:val="auto"/>
              </w:rPr>
            </w:pPr>
            <w:r>
              <w:rPr>
                <w:rFonts w:ascii="Arial" w:cs="Arial" w:eastAsia="Arial" w:hAnsi="Arial"/>
                <w:sz w:val="18"/>
                <w:szCs w:val="18"/>
                <w:color w:val="auto"/>
              </w:rPr>
              <w:t>PT Bangka Tin Industry</w:t>
            </w:r>
          </w:p>
        </w:tc>
        <w:tc>
          <w:tcPr>
            <w:tcW w:w="1400" w:type="dxa"/>
            <w:vAlign w:val="bottom"/>
          </w:tcPr>
          <w:p>
            <w:pPr>
              <w:ind w:left="200"/>
              <w:spacing w:after="0"/>
              <w:rPr>
                <w:sz w:val="20"/>
                <w:szCs w:val="20"/>
                <w:color w:val="auto"/>
              </w:rPr>
            </w:pPr>
            <w:r>
              <w:rPr>
                <w:rFonts w:ascii="Arial" w:cs="Arial" w:eastAsia="Arial" w:hAnsi="Arial"/>
                <w:sz w:val="18"/>
                <w:szCs w:val="18"/>
                <w:color w:val="auto"/>
              </w:rPr>
              <w:t>CID001419</w:t>
            </w:r>
          </w:p>
        </w:tc>
        <w:tc>
          <w:tcPr>
            <w:tcW w:w="1700" w:type="dxa"/>
            <w:vAlign w:val="bottom"/>
          </w:tcPr>
          <w:p>
            <w:pPr>
              <w:ind w:left="340"/>
              <w:spacing w:after="0"/>
              <w:rPr>
                <w:sz w:val="20"/>
                <w:szCs w:val="20"/>
                <w:color w:val="auto"/>
              </w:rPr>
            </w:pPr>
            <w:r>
              <w:rPr>
                <w:rFonts w:ascii="Arial" w:cs="Arial" w:eastAsia="Arial" w:hAnsi="Arial"/>
                <w:sz w:val="18"/>
                <w:szCs w:val="18"/>
                <w:color w:val="auto"/>
                <w:w w:val="92"/>
              </w:rPr>
              <w:t>In Communication</w:t>
            </w:r>
          </w:p>
        </w:tc>
      </w:tr>
    </w:tbl>
    <w:p>
      <w:pPr>
        <w:sectPr>
          <w:pgSz w:w="11900" w:h="16838" w:orient="portrait"/>
          <w:cols w:equalWidth="0" w:num="1">
            <w:col w:w="10280"/>
          </w:cols>
          <w:pgMar w:left="440" w:top="908" w:right="117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Tin</w:t>
            </w:r>
          </w:p>
        </w:tc>
        <w:tc>
          <w:tcPr>
            <w:tcW w:w="6460" w:type="dxa"/>
            <w:vAlign w:val="bottom"/>
          </w:tcPr>
          <w:p>
            <w:pPr>
              <w:ind w:left="120"/>
              <w:spacing w:after="0"/>
              <w:rPr>
                <w:sz w:val="20"/>
                <w:szCs w:val="20"/>
                <w:color w:val="auto"/>
              </w:rPr>
            </w:pPr>
            <w:r>
              <w:rPr>
                <w:rFonts w:ascii="Arial" w:cs="Arial" w:eastAsia="Arial" w:hAnsi="Arial"/>
                <w:sz w:val="18"/>
                <w:szCs w:val="18"/>
                <w:color w:val="auto"/>
              </w:rPr>
              <w:t>PT Bangka Prima Tin</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CID002776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A.L.M.T. Corp.</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CID000004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Kennametal Huntsville</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CID000105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Guangdong Xianglu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CID000218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Chongyi Zhangyuan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CID000258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Hunan Chenzhou Mining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CID000766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Japan New Metals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CID000825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CID000875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Kennametal Fallon</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CID000966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Xiamen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CID002082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Ganzhou Jiangwu Ferrotungsten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Malipo Haiyu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Jiangxi Gan Bei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CID002321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Ganzhou Seadragon W &amp; Mo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CID002494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Asia Tungsten Products Vietnam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CID002502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H.C. Starck Tungsten GmbH</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CID002541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Masan High-Tech Materials</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CID002543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Ganzhou Haichuang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CID002645</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CID002827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ACL Metais Eireli</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CID002833</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Lianyou Metals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CID003407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Albasteel Industria e Comercio de Ligas Para Fundicao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CID003427</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Cronimet Brasil Ltda</w:t>
            </w:r>
          </w:p>
        </w:tc>
        <w:tc>
          <w:tcPr>
            <w:tcW w:w="1360" w:type="dxa"/>
            <w:vAlign w:val="bottom"/>
          </w:tcPr>
          <w:p>
            <w:pPr>
              <w:ind w:left="160"/>
              <w:spacing w:after="0"/>
              <w:rPr>
                <w:sz w:val="20"/>
                <w:szCs w:val="20"/>
                <w:color w:val="auto"/>
              </w:rPr>
            </w:pPr>
            <w:r>
              <w:rPr>
                <w:rFonts w:ascii="Arial" w:cs="Arial" w:eastAsia="Arial" w:hAnsi="Arial"/>
                <w:sz w:val="18"/>
                <w:szCs w:val="18"/>
                <w:color w:val="auto"/>
              </w:rPr>
              <w:t>CID003468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CNMC (Guangxi) PGMA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CID000281</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Global Tungsten &amp; Powders LLC</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CID000568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Hunan Jintai New Material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CID000769</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Wolfram Bergbau und Hutten AG</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CID002044</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Jiangxi Minmetals Gao’an Non-ferrous Metals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CID002313</w:t>
            </w:r>
          </w:p>
        </w:tc>
        <w:tc>
          <w:tcPr>
            <w:tcW w:w="2360" w:type="dxa"/>
            <w:vAlign w:val="bottom"/>
          </w:tcPr>
          <w:p>
            <w:pPr>
              <w:ind w:left="340"/>
              <w:spacing w:after="0"/>
              <w:rPr>
                <w:sz w:val="20"/>
                <w:szCs w:val="20"/>
                <w:color w:val="auto"/>
              </w:rPr>
            </w:pPr>
            <w:r>
              <w:rPr>
                <w:rFonts w:ascii="Arial" w:cs="Arial" w:eastAsia="Arial" w:hAnsi="Arial"/>
                <w:sz w:val="18"/>
                <w:szCs w:val="18"/>
                <w:color w:val="auto"/>
                <w:w w:val="90"/>
              </w:rPr>
              <w:t>Communication Suspended</w:t>
            </w:r>
          </w:p>
        </w:tc>
      </w:tr>
      <w:tr>
        <w:trPr>
          <w:trHeight w:val="216"/>
        </w:trPr>
        <w:tc>
          <w:tcPr>
            <w:tcW w:w="7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—Not Interested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Jiangxi Yaosheng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CID002316</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CID002318</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Xiamen Tungsten (H.C.)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CID002320</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w w:val="92"/>
              </w:rPr>
              <w:t>Hunan Shizhuyuan Nonferrous Metals Co., Ltd. Chenzhou Tungsten Products Branch</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CID002513</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TANIOBIS Smelting GmbH &amp; Co. KG</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CID002542</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CID002551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Niagara Refining LLC</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CID002589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China Molybdenum Tungsten Co., Ltd.</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CID002641</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Hydrometallurg, JSC</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CID002649</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6460" w:type="dxa"/>
            <w:vAlign w:val="bottom"/>
          </w:tcPr>
          <w:p>
            <w:pPr>
              <w:ind w:left="120"/>
              <w:spacing w:after="0"/>
              <w:rPr>
                <w:sz w:val="20"/>
                <w:szCs w:val="20"/>
                <w:color w:val="auto"/>
              </w:rPr>
            </w:pPr>
            <w:r>
              <w:rPr>
                <w:rFonts w:ascii="Arial" w:cs="Arial" w:eastAsia="Arial" w:hAnsi="Arial"/>
                <w:sz w:val="18"/>
                <w:szCs w:val="18"/>
                <w:color w:val="auto"/>
              </w:rPr>
              <w:t>Unecha Refractory metals plant</w:t>
            </w:r>
          </w:p>
        </w:tc>
        <w:tc>
          <w:tcPr>
            <w:tcW w:w="1360" w:type="dxa"/>
            <w:vAlign w:val="bottom"/>
          </w:tcPr>
          <w:p>
            <w:pPr>
              <w:ind w:left="160"/>
              <w:spacing w:after="0"/>
              <w:rPr>
                <w:sz w:val="20"/>
                <w:szCs w:val="20"/>
                <w:color w:val="auto"/>
              </w:rPr>
            </w:pPr>
            <w:r>
              <w:rPr>
                <w:rFonts w:ascii="Arial" w:cs="Arial" w:eastAsia="Arial" w:hAnsi="Arial"/>
                <w:sz w:val="18"/>
                <w:szCs w:val="18"/>
                <w:color w:val="auto"/>
              </w:rPr>
              <w:t>CID002724</w:t>
            </w:r>
          </w:p>
        </w:tc>
        <w:tc>
          <w:tcPr>
            <w:tcW w:w="2360" w:type="dxa"/>
            <w:vAlign w:val="bottom"/>
          </w:tcPr>
          <w:p>
            <w:pPr>
              <w:ind w:left="340"/>
              <w:spacing w:after="0"/>
              <w:rPr>
                <w:sz w:val="20"/>
                <w:szCs w:val="20"/>
                <w:color w:val="auto"/>
              </w:rPr>
            </w:pPr>
            <w:r>
              <w:rPr>
                <w:rFonts w:ascii="Arial" w:cs="Arial" w:eastAsia="Arial" w:hAnsi="Arial"/>
                <w:sz w:val="18"/>
                <w:szCs w:val="18"/>
                <w:color w:val="auto"/>
              </w:rPr>
              <w:t>Non-Conformant</w:t>
            </w:r>
          </w:p>
        </w:tc>
      </w:tr>
    </w:tbl>
    <w:p>
      <w:pPr>
        <w:sectPr>
          <w:pgSz w:w="11900" w:h="16838" w:orient="portrait"/>
          <w:cols w:equalWidth="0" w:num="1">
            <w:col w:w="10940"/>
          </w:cols>
          <w:pgMar w:left="440" w:top="908" w:right="5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Moliren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CID002845</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JSC “Kirovgrad Hard Alloys Plant”</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CID003408</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NPP Tyazhmetprom LLC</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CID003416</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Hubei Green Tungsten Co.,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CID003417</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Artek LLC</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CID003553</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Fujian Xinlu Tungsten Co.,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CID003609</w:t>
            </w:r>
          </w:p>
        </w:tc>
        <w:tc>
          <w:tcPr>
            <w:tcW w:w="2360" w:type="dxa"/>
            <w:vAlign w:val="bottom"/>
          </w:tcPr>
          <w:p>
            <w:pPr>
              <w:ind w:left="340"/>
              <w:spacing w:after="0"/>
              <w:rPr>
                <w:sz w:val="20"/>
                <w:szCs w:val="20"/>
                <w:color w:val="auto"/>
              </w:rPr>
            </w:pPr>
            <w:r>
              <w:rPr>
                <w:rFonts w:ascii="Arial" w:cs="Arial" w:eastAsia="Arial" w:hAnsi="Arial"/>
                <w:sz w:val="18"/>
                <w:szCs w:val="18"/>
                <w:color w:val="auto"/>
              </w:rPr>
              <w:t>Conformant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OOO “Technolom” 2</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CID003612</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OOO “Technolom” 1</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CID003614</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LLC Vostok</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CID003643</w:t>
            </w:r>
          </w:p>
        </w:tc>
        <w:tc>
          <w:tcPr>
            <w:tcW w:w="2360" w:type="dxa"/>
            <w:vAlign w:val="bottom"/>
          </w:tcPr>
          <w:p>
            <w:pPr>
              <w:ind w:left="340"/>
              <w:spacing w:after="0"/>
              <w:rPr>
                <w:sz w:val="20"/>
                <w:szCs w:val="20"/>
                <w:color w:val="auto"/>
              </w:rPr>
            </w:pPr>
            <w:r>
              <w:rPr>
                <w:rFonts w:ascii="Arial" w:cs="Arial" w:eastAsia="Arial" w:hAnsi="Arial"/>
                <w:sz w:val="18"/>
                <w:szCs w:val="18"/>
                <w:color w:val="auto"/>
                <w:w w:val="93"/>
              </w:rPr>
              <w:t>RMI Due Diligence Review</w:t>
            </w:r>
          </w:p>
        </w:tc>
      </w:tr>
      <w:tr>
        <w:trPr>
          <w:trHeight w:val="216"/>
        </w:trPr>
        <w:tc>
          <w:tcPr>
            <w:tcW w:w="7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360" w:type="dxa"/>
            <w:vAlign w:val="bottom"/>
          </w:tcPr>
          <w:p>
            <w:pPr>
              <w:ind w:left="340"/>
              <w:spacing w:after="0"/>
              <w:rPr>
                <w:sz w:val="20"/>
                <w:szCs w:val="20"/>
                <w:color w:val="auto"/>
              </w:rPr>
            </w:pPr>
            <w:r>
              <w:rPr>
                <w:rFonts w:ascii="Arial" w:cs="Arial" w:eastAsia="Arial" w:hAnsi="Arial"/>
                <w:sz w:val="18"/>
                <w:szCs w:val="18"/>
                <w:color w:val="auto"/>
              </w:rPr>
              <w:t>—Unable to Proceed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YUDU ANSHENG TUNGSTEN CO.,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CID003662</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HANNAE FOR T Co.,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CID003978</w:t>
            </w:r>
          </w:p>
        </w:tc>
        <w:tc>
          <w:tcPr>
            <w:tcW w:w="2360" w:type="dxa"/>
            <w:vAlign w:val="bottom"/>
          </w:tcPr>
          <w:p>
            <w:pPr>
              <w:ind w:left="340"/>
              <w:spacing w:after="0"/>
              <w:rPr>
                <w:sz w:val="20"/>
                <w:szCs w:val="20"/>
                <w:color w:val="auto"/>
              </w:rPr>
            </w:pPr>
            <w:r>
              <w:rPr>
                <w:rFonts w:ascii="Arial" w:cs="Arial" w:eastAsia="Arial" w:hAnsi="Arial"/>
                <w:sz w:val="18"/>
                <w:szCs w:val="18"/>
                <w:color w:val="auto"/>
              </w:rPr>
              <w:t>Outreach Required</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w w:val="98"/>
              </w:rPr>
              <w:t>Tungsten</w:t>
            </w:r>
          </w:p>
        </w:tc>
        <w:tc>
          <w:tcPr>
            <w:tcW w:w="4980" w:type="dxa"/>
            <w:vAlign w:val="bottom"/>
          </w:tcPr>
          <w:p>
            <w:pPr>
              <w:ind w:left="120"/>
              <w:spacing w:after="0"/>
              <w:rPr>
                <w:sz w:val="20"/>
                <w:szCs w:val="20"/>
                <w:color w:val="auto"/>
              </w:rPr>
            </w:pPr>
            <w:r>
              <w:rPr>
                <w:rFonts w:ascii="Arial" w:cs="Arial" w:eastAsia="Arial" w:hAnsi="Arial"/>
                <w:sz w:val="18"/>
                <w:szCs w:val="18"/>
                <w:color w:val="auto"/>
              </w:rPr>
              <w:t>DONGKUK INDUSTRIES CO., LTD.</w:t>
            </w:r>
          </w:p>
        </w:tc>
        <w:tc>
          <w:tcPr>
            <w:tcW w:w="2840" w:type="dxa"/>
            <w:vAlign w:val="bottom"/>
          </w:tcPr>
          <w:p>
            <w:pPr>
              <w:ind w:left="1640"/>
              <w:spacing w:after="0"/>
              <w:rPr>
                <w:sz w:val="20"/>
                <w:szCs w:val="20"/>
                <w:color w:val="auto"/>
              </w:rPr>
            </w:pPr>
            <w:r>
              <w:rPr>
                <w:rFonts w:ascii="Arial" w:cs="Arial" w:eastAsia="Arial" w:hAnsi="Arial"/>
                <w:sz w:val="18"/>
                <w:szCs w:val="18"/>
                <w:color w:val="auto"/>
              </w:rPr>
              <w:t>CID004060</w:t>
            </w:r>
          </w:p>
        </w:tc>
        <w:tc>
          <w:tcPr>
            <w:tcW w:w="2360" w:type="dxa"/>
            <w:vAlign w:val="bottom"/>
          </w:tcPr>
          <w:p>
            <w:pPr>
              <w:ind w:left="340"/>
              <w:spacing w:after="0"/>
              <w:rPr>
                <w:sz w:val="20"/>
                <w:szCs w:val="20"/>
                <w:color w:val="auto"/>
              </w:rPr>
            </w:pPr>
            <w:r>
              <w:rPr>
                <w:rFonts w:ascii="Arial" w:cs="Arial" w:eastAsia="Arial" w:hAnsi="Arial"/>
                <w:sz w:val="18"/>
                <w:szCs w:val="18"/>
                <w:color w:val="auto"/>
              </w:rPr>
              <w:t>In Communication</w:t>
            </w:r>
          </w:p>
        </w:tc>
      </w:tr>
    </w:tbl>
    <w:p>
      <w:pPr>
        <w:sectPr>
          <w:pgSz w:w="11900" w:h="16838" w:orient="portrait"/>
          <w:cols w:equalWidth="0" w:num="1">
            <w:col w:w="10940"/>
          </w:cols>
          <w:pgMar w:left="440" w:top="908" w:right="51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Appendix B: Countries of Origin</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Below is an aggregated list of the countries of origin from which the reported facilities collectively source 3TGs, based on information provided by suppliers and from the RMI.</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Afghanistan</w:t>
            </w:r>
          </w:p>
        </w:tc>
        <w:tc>
          <w:tcPr>
            <w:tcW w:w="3020" w:type="dxa"/>
            <w:vAlign w:val="bottom"/>
          </w:tcPr>
          <w:p>
            <w:pPr>
              <w:ind w:left="500"/>
              <w:spacing w:after="0"/>
              <w:rPr>
                <w:sz w:val="20"/>
                <w:szCs w:val="20"/>
                <w:color w:val="auto"/>
              </w:rPr>
            </w:pPr>
            <w:r>
              <w:rPr>
                <w:rFonts w:ascii="Arial" w:cs="Arial" w:eastAsia="Arial" w:hAnsi="Arial"/>
                <w:sz w:val="18"/>
                <w:szCs w:val="18"/>
                <w:color w:val="auto"/>
              </w:rPr>
              <w:t>Czechia</w:t>
            </w:r>
          </w:p>
        </w:tc>
        <w:tc>
          <w:tcPr>
            <w:tcW w:w="2320" w:type="dxa"/>
            <w:vAlign w:val="bottom"/>
          </w:tcPr>
          <w:p>
            <w:pPr>
              <w:ind w:left="220"/>
              <w:spacing w:after="0"/>
              <w:rPr>
                <w:sz w:val="20"/>
                <w:szCs w:val="20"/>
                <w:color w:val="auto"/>
              </w:rPr>
            </w:pPr>
            <w:r>
              <w:rPr>
                <w:rFonts w:ascii="Arial" w:cs="Arial" w:eastAsia="Arial" w:hAnsi="Arial"/>
                <w:sz w:val="18"/>
                <w:szCs w:val="18"/>
                <w:color w:val="auto"/>
              </w:rPr>
              <w:t>Kenya</w:t>
            </w:r>
          </w:p>
        </w:tc>
        <w:tc>
          <w:tcPr>
            <w:tcW w:w="2220" w:type="dxa"/>
            <w:vAlign w:val="bottom"/>
          </w:tcPr>
          <w:p>
            <w:pPr>
              <w:ind w:left="660"/>
              <w:spacing w:after="0"/>
              <w:rPr>
                <w:sz w:val="20"/>
                <w:szCs w:val="20"/>
                <w:color w:val="auto"/>
              </w:rPr>
            </w:pPr>
            <w:r>
              <w:rPr>
                <w:rFonts w:ascii="Arial" w:cs="Arial" w:eastAsia="Arial" w:hAnsi="Arial"/>
                <w:sz w:val="18"/>
                <w:szCs w:val="18"/>
                <w:color w:val="auto"/>
              </w:rPr>
              <w:t>Rwanda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Ãland Islands</w:t>
            </w:r>
          </w:p>
        </w:tc>
        <w:tc>
          <w:tcPr>
            <w:tcW w:w="3020" w:type="dxa"/>
            <w:vAlign w:val="bottom"/>
          </w:tcPr>
          <w:p>
            <w:pPr>
              <w:ind w:left="500"/>
              <w:spacing w:after="0" w:line="216" w:lineRule="exact"/>
              <w:rPr>
                <w:sz w:val="20"/>
                <w:szCs w:val="20"/>
                <w:color w:val="auto"/>
              </w:rPr>
            </w:pPr>
            <w:r>
              <w:rPr>
                <w:rFonts w:ascii="Arial" w:cs="Arial" w:eastAsia="Arial" w:hAnsi="Arial"/>
                <w:sz w:val="17"/>
                <w:szCs w:val="17"/>
                <w:color w:val="auto"/>
              </w:rPr>
              <w:t>Democratic Republic of Congo</w:t>
            </w:r>
            <w:r>
              <w:rPr>
                <w:rFonts w:ascii="Arial" w:cs="Arial" w:eastAsia="Arial" w:hAnsi="Arial"/>
                <w:sz w:val="25"/>
                <w:szCs w:val="25"/>
                <w:color w:val="auto"/>
                <w:vertAlign w:val="superscript"/>
              </w:rPr>
              <w:t>1</w:t>
            </w:r>
          </w:p>
        </w:tc>
        <w:tc>
          <w:tcPr>
            <w:tcW w:w="2320" w:type="dxa"/>
            <w:vAlign w:val="bottom"/>
          </w:tcPr>
          <w:p>
            <w:pPr>
              <w:ind w:left="220"/>
              <w:spacing w:after="0"/>
              <w:rPr>
                <w:sz w:val="20"/>
                <w:szCs w:val="20"/>
                <w:color w:val="auto"/>
              </w:rPr>
            </w:pPr>
            <w:r>
              <w:rPr>
                <w:rFonts w:ascii="Arial" w:cs="Arial" w:eastAsia="Arial" w:hAnsi="Arial"/>
                <w:sz w:val="18"/>
                <w:szCs w:val="18"/>
                <w:color w:val="auto"/>
              </w:rPr>
              <w:t>Korea</w:t>
            </w:r>
          </w:p>
        </w:tc>
        <w:tc>
          <w:tcPr>
            <w:tcW w:w="2220" w:type="dxa"/>
            <w:vAlign w:val="bottom"/>
          </w:tcPr>
          <w:p>
            <w:pPr>
              <w:ind w:left="660"/>
              <w:spacing w:after="0"/>
              <w:rPr>
                <w:sz w:val="20"/>
                <w:szCs w:val="20"/>
                <w:color w:val="auto"/>
              </w:rPr>
            </w:pPr>
            <w:r>
              <w:rPr>
                <w:rFonts w:ascii="Arial" w:cs="Arial" w:eastAsia="Arial" w:hAnsi="Arial"/>
                <w:sz w:val="18"/>
                <w:szCs w:val="18"/>
                <w:color w:val="auto"/>
              </w:rPr>
              <w:t>Samoa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Albania</w:t>
            </w:r>
          </w:p>
        </w:tc>
        <w:tc>
          <w:tcPr>
            <w:tcW w:w="3020" w:type="dxa"/>
            <w:vAlign w:val="bottom"/>
          </w:tcPr>
          <w:p>
            <w:pPr>
              <w:ind w:left="500"/>
              <w:spacing w:after="0"/>
              <w:rPr>
                <w:sz w:val="20"/>
                <w:szCs w:val="20"/>
                <w:color w:val="auto"/>
              </w:rPr>
            </w:pPr>
            <w:r>
              <w:rPr>
                <w:rFonts w:ascii="Arial" w:cs="Arial" w:eastAsia="Arial" w:hAnsi="Arial"/>
                <w:sz w:val="18"/>
                <w:szCs w:val="18"/>
                <w:color w:val="auto"/>
              </w:rPr>
              <w:t>Djibouti</w:t>
            </w:r>
          </w:p>
        </w:tc>
        <w:tc>
          <w:tcPr>
            <w:tcW w:w="2320" w:type="dxa"/>
            <w:vAlign w:val="bottom"/>
          </w:tcPr>
          <w:p>
            <w:pPr>
              <w:ind w:left="220"/>
              <w:spacing w:after="0"/>
              <w:rPr>
                <w:sz w:val="20"/>
                <w:szCs w:val="20"/>
                <w:color w:val="auto"/>
              </w:rPr>
            </w:pPr>
            <w:r>
              <w:rPr>
                <w:rFonts w:ascii="Arial" w:cs="Arial" w:eastAsia="Arial" w:hAnsi="Arial"/>
                <w:sz w:val="18"/>
                <w:szCs w:val="18"/>
                <w:color w:val="auto"/>
              </w:rPr>
              <w:t>Kyrgyzstan</w:t>
            </w:r>
          </w:p>
        </w:tc>
        <w:tc>
          <w:tcPr>
            <w:tcW w:w="2220" w:type="dxa"/>
            <w:vAlign w:val="bottom"/>
          </w:tcPr>
          <w:p>
            <w:pPr>
              <w:ind w:left="660"/>
              <w:spacing w:after="0"/>
              <w:rPr>
                <w:sz w:val="20"/>
                <w:szCs w:val="20"/>
                <w:color w:val="auto"/>
              </w:rPr>
            </w:pPr>
            <w:r>
              <w:rPr>
                <w:rFonts w:ascii="Arial" w:cs="Arial" w:eastAsia="Arial" w:hAnsi="Arial"/>
                <w:sz w:val="18"/>
                <w:szCs w:val="18"/>
                <w:color w:val="auto"/>
              </w:rPr>
              <w:t>Saudi Arabia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American Samoa</w:t>
            </w:r>
          </w:p>
        </w:tc>
        <w:tc>
          <w:tcPr>
            <w:tcW w:w="3020" w:type="dxa"/>
            <w:vAlign w:val="bottom"/>
          </w:tcPr>
          <w:p>
            <w:pPr>
              <w:ind w:left="500"/>
              <w:spacing w:after="0"/>
              <w:rPr>
                <w:sz w:val="20"/>
                <w:szCs w:val="20"/>
                <w:color w:val="auto"/>
              </w:rPr>
            </w:pPr>
            <w:r>
              <w:rPr>
                <w:rFonts w:ascii="Arial" w:cs="Arial" w:eastAsia="Arial" w:hAnsi="Arial"/>
                <w:sz w:val="18"/>
                <w:szCs w:val="18"/>
                <w:color w:val="auto"/>
              </w:rPr>
              <w:t>Dominica</w:t>
            </w:r>
          </w:p>
        </w:tc>
        <w:tc>
          <w:tcPr>
            <w:tcW w:w="2320" w:type="dxa"/>
            <w:vAlign w:val="bottom"/>
          </w:tcPr>
          <w:p>
            <w:pPr>
              <w:ind w:left="220"/>
              <w:spacing w:after="0"/>
              <w:rPr>
                <w:sz w:val="20"/>
                <w:szCs w:val="20"/>
                <w:color w:val="auto"/>
              </w:rPr>
            </w:pPr>
            <w:r>
              <w:rPr>
                <w:rFonts w:ascii="Arial" w:cs="Arial" w:eastAsia="Arial" w:hAnsi="Arial"/>
                <w:sz w:val="18"/>
                <w:szCs w:val="18"/>
                <w:color w:val="auto"/>
              </w:rPr>
              <w:t>Liberia</w:t>
            </w:r>
          </w:p>
        </w:tc>
        <w:tc>
          <w:tcPr>
            <w:tcW w:w="2220" w:type="dxa"/>
            <w:vAlign w:val="bottom"/>
          </w:tcPr>
          <w:p>
            <w:pPr>
              <w:ind w:left="660"/>
              <w:spacing w:after="0"/>
              <w:rPr>
                <w:sz w:val="20"/>
                <w:szCs w:val="20"/>
                <w:color w:val="auto"/>
              </w:rPr>
            </w:pPr>
            <w:r>
              <w:rPr>
                <w:rFonts w:ascii="Arial" w:cs="Arial" w:eastAsia="Arial" w:hAnsi="Arial"/>
                <w:sz w:val="18"/>
                <w:szCs w:val="18"/>
                <w:color w:val="auto"/>
              </w:rPr>
              <w:t>Senegal</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Andorra</w:t>
            </w:r>
          </w:p>
        </w:tc>
        <w:tc>
          <w:tcPr>
            <w:tcW w:w="3020" w:type="dxa"/>
            <w:vAlign w:val="bottom"/>
          </w:tcPr>
          <w:p>
            <w:pPr>
              <w:ind w:left="500"/>
              <w:spacing w:after="0"/>
              <w:rPr>
                <w:sz w:val="20"/>
                <w:szCs w:val="20"/>
                <w:color w:val="auto"/>
              </w:rPr>
            </w:pPr>
            <w:r>
              <w:rPr>
                <w:rFonts w:ascii="Arial" w:cs="Arial" w:eastAsia="Arial" w:hAnsi="Arial"/>
                <w:sz w:val="18"/>
                <w:szCs w:val="18"/>
                <w:color w:val="auto"/>
              </w:rPr>
              <w:t>Dominican Republic</w:t>
            </w:r>
          </w:p>
        </w:tc>
        <w:tc>
          <w:tcPr>
            <w:tcW w:w="2320" w:type="dxa"/>
            <w:vAlign w:val="bottom"/>
          </w:tcPr>
          <w:p>
            <w:pPr>
              <w:ind w:left="220"/>
              <w:spacing w:after="0"/>
              <w:rPr>
                <w:sz w:val="20"/>
                <w:szCs w:val="20"/>
                <w:color w:val="auto"/>
              </w:rPr>
            </w:pPr>
            <w:r>
              <w:rPr>
                <w:rFonts w:ascii="Arial" w:cs="Arial" w:eastAsia="Arial" w:hAnsi="Arial"/>
                <w:sz w:val="18"/>
                <w:szCs w:val="18"/>
                <w:color w:val="auto"/>
              </w:rPr>
              <w:t>Liechtenstein</w:t>
            </w:r>
          </w:p>
        </w:tc>
        <w:tc>
          <w:tcPr>
            <w:tcW w:w="2220" w:type="dxa"/>
            <w:vAlign w:val="bottom"/>
          </w:tcPr>
          <w:p>
            <w:pPr>
              <w:ind w:left="660"/>
              <w:spacing w:after="0"/>
              <w:rPr>
                <w:sz w:val="20"/>
                <w:szCs w:val="20"/>
                <w:color w:val="auto"/>
              </w:rPr>
            </w:pPr>
            <w:r>
              <w:rPr>
                <w:rFonts w:ascii="Arial" w:cs="Arial" w:eastAsia="Arial" w:hAnsi="Arial"/>
                <w:sz w:val="18"/>
                <w:szCs w:val="18"/>
                <w:color w:val="auto"/>
              </w:rPr>
              <w:t>Sierra Leone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Angola</w:t>
            </w:r>
          </w:p>
        </w:tc>
        <w:tc>
          <w:tcPr>
            <w:tcW w:w="3020" w:type="dxa"/>
            <w:vAlign w:val="bottom"/>
          </w:tcPr>
          <w:p>
            <w:pPr>
              <w:ind w:left="500"/>
              <w:spacing w:after="0"/>
              <w:rPr>
                <w:sz w:val="20"/>
                <w:szCs w:val="20"/>
                <w:color w:val="auto"/>
              </w:rPr>
            </w:pPr>
            <w:r>
              <w:rPr>
                <w:rFonts w:ascii="Arial" w:cs="Arial" w:eastAsia="Arial" w:hAnsi="Arial"/>
                <w:sz w:val="18"/>
                <w:szCs w:val="18"/>
                <w:color w:val="auto"/>
              </w:rPr>
              <w:t>Ecuador</w:t>
            </w:r>
          </w:p>
        </w:tc>
        <w:tc>
          <w:tcPr>
            <w:tcW w:w="2320" w:type="dxa"/>
            <w:vAlign w:val="bottom"/>
          </w:tcPr>
          <w:p>
            <w:pPr>
              <w:ind w:left="220"/>
              <w:spacing w:after="0"/>
              <w:rPr>
                <w:sz w:val="20"/>
                <w:szCs w:val="20"/>
                <w:color w:val="auto"/>
              </w:rPr>
            </w:pPr>
            <w:r>
              <w:rPr>
                <w:rFonts w:ascii="Arial" w:cs="Arial" w:eastAsia="Arial" w:hAnsi="Arial"/>
                <w:sz w:val="18"/>
                <w:szCs w:val="18"/>
                <w:color w:val="auto"/>
              </w:rPr>
              <w:t>Lithuania</w:t>
            </w:r>
          </w:p>
        </w:tc>
        <w:tc>
          <w:tcPr>
            <w:tcW w:w="2220" w:type="dxa"/>
            <w:vAlign w:val="bottom"/>
          </w:tcPr>
          <w:p>
            <w:pPr>
              <w:ind w:left="660"/>
              <w:spacing w:after="0"/>
              <w:rPr>
                <w:sz w:val="20"/>
                <w:szCs w:val="20"/>
                <w:color w:val="auto"/>
              </w:rPr>
            </w:pPr>
            <w:r>
              <w:rPr>
                <w:rFonts w:ascii="Arial" w:cs="Arial" w:eastAsia="Arial" w:hAnsi="Arial"/>
                <w:sz w:val="18"/>
                <w:szCs w:val="18"/>
                <w:color w:val="auto"/>
              </w:rPr>
              <w:t>Singapore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Argentina</w:t>
            </w:r>
          </w:p>
        </w:tc>
        <w:tc>
          <w:tcPr>
            <w:tcW w:w="3020" w:type="dxa"/>
            <w:vAlign w:val="bottom"/>
          </w:tcPr>
          <w:p>
            <w:pPr>
              <w:ind w:left="500"/>
              <w:spacing w:after="0"/>
              <w:rPr>
                <w:sz w:val="20"/>
                <w:szCs w:val="20"/>
                <w:color w:val="auto"/>
              </w:rPr>
            </w:pPr>
            <w:r>
              <w:rPr>
                <w:rFonts w:ascii="Arial" w:cs="Arial" w:eastAsia="Arial" w:hAnsi="Arial"/>
                <w:sz w:val="18"/>
                <w:szCs w:val="18"/>
                <w:color w:val="auto"/>
              </w:rPr>
              <w:t>Egypt</w:t>
            </w:r>
          </w:p>
        </w:tc>
        <w:tc>
          <w:tcPr>
            <w:tcW w:w="2320" w:type="dxa"/>
            <w:vAlign w:val="bottom"/>
          </w:tcPr>
          <w:p>
            <w:pPr>
              <w:ind w:left="220"/>
              <w:spacing w:after="0"/>
              <w:rPr>
                <w:sz w:val="20"/>
                <w:szCs w:val="20"/>
                <w:color w:val="auto"/>
              </w:rPr>
            </w:pPr>
            <w:r>
              <w:rPr>
                <w:rFonts w:ascii="Arial" w:cs="Arial" w:eastAsia="Arial" w:hAnsi="Arial"/>
                <w:sz w:val="18"/>
                <w:szCs w:val="18"/>
                <w:color w:val="auto"/>
              </w:rPr>
              <w:t>Luxembourg</w:t>
            </w:r>
          </w:p>
        </w:tc>
        <w:tc>
          <w:tcPr>
            <w:tcW w:w="2220" w:type="dxa"/>
            <w:vAlign w:val="bottom"/>
          </w:tcPr>
          <w:p>
            <w:pPr>
              <w:ind w:left="660"/>
              <w:spacing w:after="0"/>
              <w:rPr>
                <w:sz w:val="20"/>
                <w:szCs w:val="20"/>
                <w:color w:val="auto"/>
              </w:rPr>
            </w:pPr>
            <w:r>
              <w:rPr>
                <w:rFonts w:ascii="Arial" w:cs="Arial" w:eastAsia="Arial" w:hAnsi="Arial"/>
                <w:sz w:val="18"/>
                <w:szCs w:val="18"/>
                <w:color w:val="auto"/>
              </w:rPr>
              <w:t>Slovakia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Armenia</w:t>
            </w:r>
          </w:p>
        </w:tc>
        <w:tc>
          <w:tcPr>
            <w:tcW w:w="3020" w:type="dxa"/>
            <w:vAlign w:val="bottom"/>
          </w:tcPr>
          <w:p>
            <w:pPr>
              <w:ind w:left="500"/>
              <w:spacing w:after="0"/>
              <w:rPr>
                <w:sz w:val="20"/>
                <w:szCs w:val="20"/>
                <w:color w:val="auto"/>
              </w:rPr>
            </w:pPr>
            <w:r>
              <w:rPr>
                <w:rFonts w:ascii="Arial" w:cs="Arial" w:eastAsia="Arial" w:hAnsi="Arial"/>
                <w:sz w:val="18"/>
                <w:szCs w:val="18"/>
                <w:color w:val="auto"/>
              </w:rPr>
              <w:t>Eritrea</w:t>
            </w:r>
          </w:p>
        </w:tc>
        <w:tc>
          <w:tcPr>
            <w:tcW w:w="2320" w:type="dxa"/>
            <w:vAlign w:val="bottom"/>
          </w:tcPr>
          <w:p>
            <w:pPr>
              <w:ind w:left="220"/>
              <w:spacing w:after="0"/>
              <w:rPr>
                <w:sz w:val="20"/>
                <w:szCs w:val="20"/>
                <w:color w:val="auto"/>
              </w:rPr>
            </w:pPr>
            <w:r>
              <w:rPr>
                <w:rFonts w:ascii="Arial" w:cs="Arial" w:eastAsia="Arial" w:hAnsi="Arial"/>
                <w:sz w:val="18"/>
                <w:szCs w:val="18"/>
                <w:color w:val="auto"/>
              </w:rPr>
              <w:t>Madagascar</w:t>
            </w:r>
          </w:p>
        </w:tc>
        <w:tc>
          <w:tcPr>
            <w:tcW w:w="2220" w:type="dxa"/>
            <w:vAlign w:val="bottom"/>
          </w:tcPr>
          <w:p>
            <w:pPr>
              <w:ind w:left="660"/>
              <w:spacing w:after="0"/>
              <w:rPr>
                <w:sz w:val="20"/>
                <w:szCs w:val="20"/>
                <w:color w:val="auto"/>
              </w:rPr>
            </w:pPr>
            <w:r>
              <w:rPr>
                <w:rFonts w:ascii="Arial" w:cs="Arial" w:eastAsia="Arial" w:hAnsi="Arial"/>
                <w:sz w:val="18"/>
                <w:szCs w:val="18"/>
                <w:color w:val="auto"/>
              </w:rPr>
              <w:t>Slovenia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Aruba</w:t>
            </w:r>
          </w:p>
        </w:tc>
        <w:tc>
          <w:tcPr>
            <w:tcW w:w="3020" w:type="dxa"/>
            <w:vAlign w:val="bottom"/>
          </w:tcPr>
          <w:p>
            <w:pPr>
              <w:ind w:left="500"/>
              <w:spacing w:after="0"/>
              <w:rPr>
                <w:sz w:val="20"/>
                <w:szCs w:val="20"/>
                <w:color w:val="auto"/>
              </w:rPr>
            </w:pPr>
            <w:r>
              <w:rPr>
                <w:rFonts w:ascii="Arial" w:cs="Arial" w:eastAsia="Arial" w:hAnsi="Arial"/>
                <w:sz w:val="18"/>
                <w:szCs w:val="18"/>
                <w:color w:val="auto"/>
              </w:rPr>
              <w:t>Estonia</w:t>
            </w:r>
          </w:p>
        </w:tc>
        <w:tc>
          <w:tcPr>
            <w:tcW w:w="2320" w:type="dxa"/>
            <w:vAlign w:val="bottom"/>
          </w:tcPr>
          <w:p>
            <w:pPr>
              <w:ind w:left="220"/>
              <w:spacing w:after="0"/>
              <w:rPr>
                <w:sz w:val="20"/>
                <w:szCs w:val="20"/>
                <w:color w:val="auto"/>
              </w:rPr>
            </w:pPr>
            <w:r>
              <w:rPr>
                <w:rFonts w:ascii="Arial" w:cs="Arial" w:eastAsia="Arial" w:hAnsi="Arial"/>
                <w:sz w:val="18"/>
                <w:szCs w:val="18"/>
                <w:color w:val="auto"/>
              </w:rPr>
              <w:t>Malaysia</w:t>
            </w:r>
          </w:p>
        </w:tc>
        <w:tc>
          <w:tcPr>
            <w:tcW w:w="2220" w:type="dxa"/>
            <w:vAlign w:val="bottom"/>
          </w:tcPr>
          <w:p>
            <w:pPr>
              <w:ind w:left="660"/>
              <w:spacing w:after="0"/>
              <w:rPr>
                <w:sz w:val="20"/>
                <w:szCs w:val="20"/>
                <w:color w:val="auto"/>
              </w:rPr>
            </w:pPr>
            <w:r>
              <w:rPr>
                <w:rFonts w:ascii="Arial" w:cs="Arial" w:eastAsia="Arial" w:hAnsi="Arial"/>
                <w:sz w:val="18"/>
                <w:szCs w:val="18"/>
                <w:color w:val="auto"/>
              </w:rPr>
              <w:t>South Africa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Australia</w:t>
            </w:r>
          </w:p>
        </w:tc>
        <w:tc>
          <w:tcPr>
            <w:tcW w:w="3020" w:type="dxa"/>
            <w:vAlign w:val="bottom"/>
          </w:tcPr>
          <w:p>
            <w:pPr>
              <w:ind w:left="500"/>
              <w:spacing w:after="0"/>
              <w:rPr>
                <w:sz w:val="20"/>
                <w:szCs w:val="20"/>
                <w:color w:val="auto"/>
              </w:rPr>
            </w:pPr>
            <w:r>
              <w:rPr>
                <w:rFonts w:ascii="Arial" w:cs="Arial" w:eastAsia="Arial" w:hAnsi="Arial"/>
                <w:sz w:val="18"/>
                <w:szCs w:val="18"/>
                <w:color w:val="auto"/>
              </w:rPr>
              <w:t>Ethiopia</w:t>
            </w:r>
          </w:p>
        </w:tc>
        <w:tc>
          <w:tcPr>
            <w:tcW w:w="2320" w:type="dxa"/>
            <w:vAlign w:val="bottom"/>
          </w:tcPr>
          <w:p>
            <w:pPr>
              <w:ind w:left="220"/>
              <w:spacing w:after="0"/>
              <w:rPr>
                <w:sz w:val="20"/>
                <w:szCs w:val="20"/>
                <w:color w:val="auto"/>
              </w:rPr>
            </w:pPr>
            <w:r>
              <w:rPr>
                <w:rFonts w:ascii="Arial" w:cs="Arial" w:eastAsia="Arial" w:hAnsi="Arial"/>
                <w:sz w:val="18"/>
                <w:szCs w:val="18"/>
                <w:color w:val="auto"/>
              </w:rPr>
              <w:t>Mali</w:t>
            </w:r>
          </w:p>
        </w:tc>
        <w:tc>
          <w:tcPr>
            <w:tcW w:w="2220" w:type="dxa"/>
            <w:vAlign w:val="bottom"/>
          </w:tcPr>
          <w:p>
            <w:pPr>
              <w:ind w:left="660"/>
              <w:spacing w:after="0"/>
              <w:rPr>
                <w:sz w:val="20"/>
                <w:szCs w:val="20"/>
                <w:color w:val="auto"/>
              </w:rPr>
            </w:pPr>
            <w:r>
              <w:rPr>
                <w:rFonts w:ascii="Arial" w:cs="Arial" w:eastAsia="Arial" w:hAnsi="Arial"/>
                <w:sz w:val="18"/>
                <w:szCs w:val="18"/>
                <w:color w:val="auto"/>
              </w:rPr>
              <w:t>South Sudan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Austria</w:t>
            </w:r>
          </w:p>
        </w:tc>
        <w:tc>
          <w:tcPr>
            <w:tcW w:w="3020" w:type="dxa"/>
            <w:vAlign w:val="bottom"/>
          </w:tcPr>
          <w:p>
            <w:pPr>
              <w:ind w:left="500"/>
              <w:spacing w:after="0"/>
              <w:rPr>
                <w:sz w:val="20"/>
                <w:szCs w:val="20"/>
                <w:color w:val="auto"/>
              </w:rPr>
            </w:pPr>
            <w:r>
              <w:rPr>
                <w:rFonts w:ascii="Arial" w:cs="Arial" w:eastAsia="Arial" w:hAnsi="Arial"/>
                <w:sz w:val="18"/>
                <w:szCs w:val="18"/>
                <w:color w:val="auto"/>
              </w:rPr>
              <w:t>Finland</w:t>
            </w:r>
          </w:p>
        </w:tc>
        <w:tc>
          <w:tcPr>
            <w:tcW w:w="2320" w:type="dxa"/>
            <w:vAlign w:val="bottom"/>
          </w:tcPr>
          <w:p>
            <w:pPr>
              <w:ind w:left="220"/>
              <w:spacing w:after="0"/>
              <w:rPr>
                <w:sz w:val="20"/>
                <w:szCs w:val="20"/>
                <w:color w:val="auto"/>
              </w:rPr>
            </w:pPr>
            <w:r>
              <w:rPr>
                <w:rFonts w:ascii="Arial" w:cs="Arial" w:eastAsia="Arial" w:hAnsi="Arial"/>
                <w:sz w:val="18"/>
                <w:szCs w:val="18"/>
                <w:color w:val="auto"/>
              </w:rPr>
              <w:t>Mauritania</w:t>
            </w:r>
          </w:p>
        </w:tc>
        <w:tc>
          <w:tcPr>
            <w:tcW w:w="2220" w:type="dxa"/>
            <w:vAlign w:val="bottom"/>
          </w:tcPr>
          <w:p>
            <w:pPr>
              <w:ind w:left="660"/>
              <w:spacing w:after="0"/>
              <w:rPr>
                <w:sz w:val="20"/>
                <w:szCs w:val="20"/>
                <w:color w:val="auto"/>
              </w:rPr>
            </w:pPr>
            <w:r>
              <w:rPr>
                <w:rFonts w:ascii="Arial" w:cs="Arial" w:eastAsia="Arial" w:hAnsi="Arial"/>
                <w:sz w:val="18"/>
                <w:szCs w:val="18"/>
                <w:color w:val="auto"/>
              </w:rPr>
              <w:t>Spain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Azerbaijan</w:t>
            </w:r>
          </w:p>
        </w:tc>
        <w:tc>
          <w:tcPr>
            <w:tcW w:w="3020" w:type="dxa"/>
            <w:vAlign w:val="bottom"/>
          </w:tcPr>
          <w:p>
            <w:pPr>
              <w:ind w:left="500"/>
              <w:spacing w:after="0"/>
              <w:rPr>
                <w:sz w:val="20"/>
                <w:szCs w:val="20"/>
                <w:color w:val="auto"/>
              </w:rPr>
            </w:pPr>
            <w:r>
              <w:rPr>
                <w:rFonts w:ascii="Arial" w:cs="Arial" w:eastAsia="Arial" w:hAnsi="Arial"/>
                <w:sz w:val="18"/>
                <w:szCs w:val="18"/>
                <w:color w:val="auto"/>
              </w:rPr>
              <w:t>France</w:t>
            </w:r>
          </w:p>
        </w:tc>
        <w:tc>
          <w:tcPr>
            <w:tcW w:w="2320" w:type="dxa"/>
            <w:vAlign w:val="bottom"/>
          </w:tcPr>
          <w:p>
            <w:pPr>
              <w:ind w:left="220"/>
              <w:spacing w:after="0"/>
              <w:rPr>
                <w:sz w:val="20"/>
                <w:szCs w:val="20"/>
                <w:color w:val="auto"/>
              </w:rPr>
            </w:pPr>
            <w:r>
              <w:rPr>
                <w:rFonts w:ascii="Arial" w:cs="Arial" w:eastAsia="Arial" w:hAnsi="Arial"/>
                <w:sz w:val="18"/>
                <w:szCs w:val="18"/>
                <w:color w:val="auto"/>
              </w:rPr>
              <w:t>Mexico</w:t>
            </w:r>
          </w:p>
        </w:tc>
        <w:tc>
          <w:tcPr>
            <w:tcW w:w="2220" w:type="dxa"/>
            <w:vAlign w:val="bottom"/>
          </w:tcPr>
          <w:p>
            <w:pPr>
              <w:ind w:left="660"/>
              <w:spacing w:after="0"/>
              <w:rPr>
                <w:sz w:val="20"/>
                <w:szCs w:val="20"/>
                <w:color w:val="auto"/>
              </w:rPr>
            </w:pPr>
            <w:r>
              <w:rPr>
                <w:rFonts w:ascii="Arial" w:cs="Arial" w:eastAsia="Arial" w:hAnsi="Arial"/>
                <w:sz w:val="18"/>
                <w:szCs w:val="18"/>
                <w:color w:val="auto"/>
              </w:rPr>
              <w:t>Sudan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Bahamas</w:t>
            </w:r>
          </w:p>
        </w:tc>
        <w:tc>
          <w:tcPr>
            <w:tcW w:w="3020" w:type="dxa"/>
            <w:vAlign w:val="bottom"/>
          </w:tcPr>
          <w:p>
            <w:pPr>
              <w:ind w:left="500"/>
              <w:spacing w:after="0"/>
              <w:rPr>
                <w:sz w:val="20"/>
                <w:szCs w:val="20"/>
                <w:color w:val="auto"/>
              </w:rPr>
            </w:pPr>
            <w:r>
              <w:rPr>
                <w:rFonts w:ascii="Arial" w:cs="Arial" w:eastAsia="Arial" w:hAnsi="Arial"/>
                <w:sz w:val="18"/>
                <w:szCs w:val="18"/>
                <w:color w:val="auto"/>
              </w:rPr>
              <w:t>Georgia</w:t>
            </w:r>
          </w:p>
        </w:tc>
        <w:tc>
          <w:tcPr>
            <w:tcW w:w="2320" w:type="dxa"/>
            <w:vAlign w:val="bottom"/>
          </w:tcPr>
          <w:p>
            <w:pPr>
              <w:ind w:left="220"/>
              <w:spacing w:after="0"/>
              <w:rPr>
                <w:sz w:val="20"/>
                <w:szCs w:val="20"/>
                <w:color w:val="auto"/>
              </w:rPr>
            </w:pPr>
            <w:r>
              <w:rPr>
                <w:rFonts w:ascii="Arial" w:cs="Arial" w:eastAsia="Arial" w:hAnsi="Arial"/>
                <w:sz w:val="18"/>
                <w:szCs w:val="18"/>
                <w:color w:val="auto"/>
              </w:rPr>
              <w:t>Mongolia</w:t>
            </w:r>
          </w:p>
        </w:tc>
        <w:tc>
          <w:tcPr>
            <w:tcW w:w="2220" w:type="dxa"/>
            <w:vAlign w:val="bottom"/>
          </w:tcPr>
          <w:p>
            <w:pPr>
              <w:ind w:left="660"/>
              <w:spacing w:after="0"/>
              <w:rPr>
                <w:sz w:val="20"/>
                <w:szCs w:val="20"/>
                <w:color w:val="auto"/>
              </w:rPr>
            </w:pPr>
            <w:r>
              <w:rPr>
                <w:rFonts w:ascii="Arial" w:cs="Arial" w:eastAsia="Arial" w:hAnsi="Arial"/>
                <w:sz w:val="18"/>
                <w:szCs w:val="18"/>
                <w:color w:val="auto"/>
              </w:rPr>
              <w:t>Suriname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Barbados</w:t>
            </w:r>
          </w:p>
        </w:tc>
        <w:tc>
          <w:tcPr>
            <w:tcW w:w="3020" w:type="dxa"/>
            <w:vAlign w:val="bottom"/>
          </w:tcPr>
          <w:p>
            <w:pPr>
              <w:ind w:left="500"/>
              <w:spacing w:after="0"/>
              <w:rPr>
                <w:sz w:val="20"/>
                <w:szCs w:val="20"/>
                <w:color w:val="auto"/>
              </w:rPr>
            </w:pPr>
            <w:r>
              <w:rPr>
                <w:rFonts w:ascii="Arial" w:cs="Arial" w:eastAsia="Arial" w:hAnsi="Arial"/>
                <w:sz w:val="18"/>
                <w:szCs w:val="18"/>
                <w:color w:val="auto"/>
              </w:rPr>
              <w:t>Germany</w:t>
            </w:r>
          </w:p>
        </w:tc>
        <w:tc>
          <w:tcPr>
            <w:tcW w:w="2320" w:type="dxa"/>
            <w:vAlign w:val="bottom"/>
          </w:tcPr>
          <w:p>
            <w:pPr>
              <w:ind w:left="220"/>
              <w:spacing w:after="0"/>
              <w:rPr>
                <w:sz w:val="20"/>
                <w:szCs w:val="20"/>
                <w:color w:val="auto"/>
              </w:rPr>
            </w:pPr>
            <w:r>
              <w:rPr>
                <w:rFonts w:ascii="Arial" w:cs="Arial" w:eastAsia="Arial" w:hAnsi="Arial"/>
                <w:sz w:val="18"/>
                <w:szCs w:val="18"/>
                <w:color w:val="auto"/>
              </w:rPr>
              <w:t>Morocco</w:t>
            </w:r>
          </w:p>
        </w:tc>
        <w:tc>
          <w:tcPr>
            <w:tcW w:w="2220" w:type="dxa"/>
            <w:vAlign w:val="bottom"/>
          </w:tcPr>
          <w:p>
            <w:pPr>
              <w:ind w:left="660"/>
              <w:spacing w:after="0"/>
              <w:rPr>
                <w:sz w:val="20"/>
                <w:szCs w:val="20"/>
                <w:color w:val="auto"/>
              </w:rPr>
            </w:pPr>
            <w:r>
              <w:rPr>
                <w:rFonts w:ascii="Arial" w:cs="Arial" w:eastAsia="Arial" w:hAnsi="Arial"/>
                <w:sz w:val="18"/>
                <w:szCs w:val="18"/>
                <w:color w:val="auto"/>
              </w:rPr>
              <w:t>Sweden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Belarus</w:t>
            </w:r>
          </w:p>
        </w:tc>
        <w:tc>
          <w:tcPr>
            <w:tcW w:w="3020" w:type="dxa"/>
            <w:vAlign w:val="bottom"/>
          </w:tcPr>
          <w:p>
            <w:pPr>
              <w:ind w:left="500"/>
              <w:spacing w:after="0"/>
              <w:rPr>
                <w:sz w:val="20"/>
                <w:szCs w:val="20"/>
                <w:color w:val="auto"/>
              </w:rPr>
            </w:pPr>
            <w:r>
              <w:rPr>
                <w:rFonts w:ascii="Arial" w:cs="Arial" w:eastAsia="Arial" w:hAnsi="Arial"/>
                <w:sz w:val="18"/>
                <w:szCs w:val="18"/>
                <w:color w:val="auto"/>
              </w:rPr>
              <w:t>Ghana</w:t>
            </w:r>
          </w:p>
        </w:tc>
        <w:tc>
          <w:tcPr>
            <w:tcW w:w="2320" w:type="dxa"/>
            <w:vAlign w:val="bottom"/>
          </w:tcPr>
          <w:p>
            <w:pPr>
              <w:ind w:left="220"/>
              <w:spacing w:after="0"/>
              <w:rPr>
                <w:sz w:val="20"/>
                <w:szCs w:val="20"/>
                <w:color w:val="auto"/>
              </w:rPr>
            </w:pPr>
            <w:r>
              <w:rPr>
                <w:rFonts w:ascii="Arial" w:cs="Arial" w:eastAsia="Arial" w:hAnsi="Arial"/>
                <w:sz w:val="18"/>
                <w:szCs w:val="18"/>
                <w:color w:val="auto"/>
              </w:rPr>
              <w:t>Mozambique</w:t>
            </w:r>
          </w:p>
        </w:tc>
        <w:tc>
          <w:tcPr>
            <w:tcW w:w="222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Belgium</w:t>
            </w:r>
          </w:p>
        </w:tc>
        <w:tc>
          <w:tcPr>
            <w:tcW w:w="3020" w:type="dxa"/>
            <w:vAlign w:val="bottom"/>
          </w:tcPr>
          <w:p>
            <w:pPr>
              <w:ind w:left="500"/>
              <w:spacing w:after="0"/>
              <w:rPr>
                <w:sz w:val="20"/>
                <w:szCs w:val="20"/>
                <w:color w:val="auto"/>
              </w:rPr>
            </w:pPr>
            <w:r>
              <w:rPr>
                <w:rFonts w:ascii="Arial" w:cs="Arial" w:eastAsia="Arial" w:hAnsi="Arial"/>
                <w:sz w:val="18"/>
                <w:szCs w:val="18"/>
                <w:color w:val="auto"/>
              </w:rPr>
              <w:t>Guam</w:t>
            </w:r>
          </w:p>
        </w:tc>
        <w:tc>
          <w:tcPr>
            <w:tcW w:w="2320" w:type="dxa"/>
            <w:vAlign w:val="bottom"/>
          </w:tcPr>
          <w:p>
            <w:pPr>
              <w:ind w:left="220"/>
              <w:spacing w:after="0"/>
              <w:rPr>
                <w:sz w:val="20"/>
                <w:szCs w:val="20"/>
                <w:color w:val="auto"/>
              </w:rPr>
            </w:pPr>
            <w:r>
              <w:rPr>
                <w:rFonts w:ascii="Arial" w:cs="Arial" w:eastAsia="Arial" w:hAnsi="Arial"/>
                <w:sz w:val="18"/>
                <w:szCs w:val="18"/>
                <w:color w:val="auto"/>
              </w:rPr>
              <w:t>Myanmar</w:t>
            </w:r>
          </w:p>
        </w:tc>
        <w:tc>
          <w:tcPr>
            <w:tcW w:w="2220" w:type="dxa"/>
            <w:vAlign w:val="bottom"/>
          </w:tcPr>
          <w:p>
            <w:pPr>
              <w:ind w:left="660"/>
              <w:spacing w:after="0"/>
              <w:rPr>
                <w:sz w:val="20"/>
                <w:szCs w:val="20"/>
                <w:color w:val="auto"/>
              </w:rPr>
            </w:pPr>
            <w:r>
              <w:rPr>
                <w:rFonts w:ascii="Arial" w:cs="Arial" w:eastAsia="Arial" w:hAnsi="Arial"/>
                <w:sz w:val="18"/>
                <w:szCs w:val="18"/>
                <w:color w:val="auto"/>
              </w:rPr>
              <w:t>Taiwan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Benin</w:t>
            </w:r>
          </w:p>
        </w:tc>
        <w:tc>
          <w:tcPr>
            <w:tcW w:w="3020" w:type="dxa"/>
            <w:vAlign w:val="bottom"/>
          </w:tcPr>
          <w:p>
            <w:pPr>
              <w:ind w:left="500"/>
              <w:spacing w:after="0"/>
              <w:rPr>
                <w:sz w:val="20"/>
                <w:szCs w:val="20"/>
                <w:color w:val="auto"/>
              </w:rPr>
            </w:pPr>
            <w:r>
              <w:rPr>
                <w:rFonts w:ascii="Arial" w:cs="Arial" w:eastAsia="Arial" w:hAnsi="Arial"/>
                <w:sz w:val="18"/>
                <w:szCs w:val="18"/>
                <w:color w:val="auto"/>
              </w:rPr>
              <w:t>Guatemala</w:t>
            </w:r>
          </w:p>
        </w:tc>
        <w:tc>
          <w:tcPr>
            <w:tcW w:w="2320" w:type="dxa"/>
            <w:vAlign w:val="bottom"/>
          </w:tcPr>
          <w:p>
            <w:pPr>
              <w:ind w:left="220"/>
              <w:spacing w:after="0"/>
              <w:rPr>
                <w:sz w:val="20"/>
                <w:szCs w:val="20"/>
                <w:color w:val="auto"/>
              </w:rPr>
            </w:pPr>
            <w:r>
              <w:rPr>
                <w:rFonts w:ascii="Arial" w:cs="Arial" w:eastAsia="Arial" w:hAnsi="Arial"/>
                <w:sz w:val="18"/>
                <w:szCs w:val="18"/>
                <w:color w:val="auto"/>
              </w:rPr>
              <w:t>Namibia</w:t>
            </w:r>
          </w:p>
        </w:tc>
        <w:tc>
          <w:tcPr>
            <w:tcW w:w="2220" w:type="dxa"/>
            <w:vAlign w:val="bottom"/>
          </w:tcPr>
          <w:p>
            <w:pPr>
              <w:ind w:left="660"/>
              <w:spacing w:after="0"/>
              <w:rPr>
                <w:sz w:val="20"/>
                <w:szCs w:val="20"/>
                <w:color w:val="auto"/>
              </w:rPr>
            </w:pPr>
            <w:r>
              <w:rPr>
                <w:rFonts w:ascii="Arial" w:cs="Arial" w:eastAsia="Arial" w:hAnsi="Arial"/>
                <w:sz w:val="18"/>
                <w:szCs w:val="18"/>
                <w:color w:val="auto"/>
              </w:rPr>
              <w:t>Tajikistan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Bermuda</w:t>
            </w:r>
          </w:p>
        </w:tc>
        <w:tc>
          <w:tcPr>
            <w:tcW w:w="3020" w:type="dxa"/>
            <w:vAlign w:val="bottom"/>
          </w:tcPr>
          <w:p>
            <w:pPr>
              <w:ind w:left="500"/>
              <w:spacing w:after="0"/>
              <w:rPr>
                <w:sz w:val="20"/>
                <w:szCs w:val="20"/>
                <w:color w:val="auto"/>
              </w:rPr>
            </w:pPr>
            <w:r>
              <w:rPr>
                <w:rFonts w:ascii="Arial" w:cs="Arial" w:eastAsia="Arial" w:hAnsi="Arial"/>
                <w:sz w:val="18"/>
                <w:szCs w:val="18"/>
                <w:color w:val="auto"/>
              </w:rPr>
              <w:t>Guinea</w:t>
            </w:r>
          </w:p>
        </w:tc>
        <w:tc>
          <w:tcPr>
            <w:tcW w:w="2320" w:type="dxa"/>
            <w:vAlign w:val="bottom"/>
          </w:tcPr>
          <w:p>
            <w:pPr>
              <w:ind w:left="220"/>
              <w:spacing w:after="0"/>
              <w:rPr>
                <w:sz w:val="20"/>
                <w:szCs w:val="20"/>
                <w:color w:val="auto"/>
              </w:rPr>
            </w:pPr>
            <w:r>
              <w:rPr>
                <w:rFonts w:ascii="Arial" w:cs="Arial" w:eastAsia="Arial" w:hAnsi="Arial"/>
                <w:sz w:val="18"/>
                <w:szCs w:val="18"/>
                <w:color w:val="auto"/>
              </w:rPr>
              <w:t>Netherlands</w:t>
            </w:r>
          </w:p>
        </w:tc>
        <w:tc>
          <w:tcPr>
            <w:tcW w:w="2220" w:type="dxa"/>
            <w:vAlign w:val="bottom"/>
          </w:tcPr>
          <w:p>
            <w:pPr>
              <w:ind w:left="660"/>
              <w:spacing w:after="0"/>
              <w:rPr>
                <w:sz w:val="20"/>
                <w:szCs w:val="20"/>
                <w:color w:val="auto"/>
              </w:rPr>
            </w:pPr>
            <w:r>
              <w:rPr>
                <w:rFonts w:ascii="Arial" w:cs="Arial" w:eastAsia="Arial" w:hAnsi="Arial"/>
                <w:sz w:val="18"/>
                <w:szCs w:val="18"/>
                <w:color w:val="auto"/>
              </w:rPr>
              <w:t>Tanzania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Bolivia (Plurinational State of)</w:t>
            </w:r>
          </w:p>
        </w:tc>
        <w:tc>
          <w:tcPr>
            <w:tcW w:w="3020" w:type="dxa"/>
            <w:vAlign w:val="bottom"/>
          </w:tcPr>
          <w:p>
            <w:pPr>
              <w:ind w:left="500"/>
              <w:spacing w:after="0"/>
              <w:rPr>
                <w:sz w:val="20"/>
                <w:szCs w:val="20"/>
                <w:color w:val="auto"/>
              </w:rPr>
            </w:pPr>
            <w:r>
              <w:rPr>
                <w:rFonts w:ascii="Arial" w:cs="Arial" w:eastAsia="Arial" w:hAnsi="Arial"/>
                <w:sz w:val="18"/>
                <w:szCs w:val="18"/>
                <w:color w:val="auto"/>
              </w:rPr>
              <w:t>Guyana</w:t>
            </w:r>
          </w:p>
        </w:tc>
        <w:tc>
          <w:tcPr>
            <w:tcW w:w="2320" w:type="dxa"/>
            <w:vAlign w:val="bottom"/>
          </w:tcPr>
          <w:p>
            <w:pPr>
              <w:ind w:left="220"/>
              <w:spacing w:after="0"/>
              <w:rPr>
                <w:sz w:val="20"/>
                <w:szCs w:val="20"/>
                <w:color w:val="auto"/>
              </w:rPr>
            </w:pPr>
            <w:r>
              <w:rPr>
                <w:rFonts w:ascii="Arial" w:cs="Arial" w:eastAsia="Arial" w:hAnsi="Arial"/>
                <w:sz w:val="18"/>
                <w:szCs w:val="18"/>
                <w:color w:val="auto"/>
              </w:rPr>
              <w:t>New Zealand</w:t>
            </w:r>
          </w:p>
        </w:tc>
        <w:tc>
          <w:tcPr>
            <w:tcW w:w="2220" w:type="dxa"/>
            <w:vAlign w:val="bottom"/>
          </w:tcPr>
          <w:p>
            <w:pPr>
              <w:ind w:left="660"/>
              <w:spacing w:after="0"/>
              <w:rPr>
                <w:sz w:val="20"/>
                <w:szCs w:val="20"/>
                <w:color w:val="auto"/>
              </w:rPr>
            </w:pPr>
            <w:r>
              <w:rPr>
                <w:rFonts w:ascii="Arial" w:cs="Arial" w:eastAsia="Arial" w:hAnsi="Arial"/>
                <w:sz w:val="18"/>
                <w:szCs w:val="18"/>
                <w:color w:val="auto"/>
              </w:rPr>
              <w:t>Thailand</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Brazil</w:t>
            </w:r>
          </w:p>
        </w:tc>
        <w:tc>
          <w:tcPr>
            <w:tcW w:w="3020" w:type="dxa"/>
            <w:vAlign w:val="bottom"/>
          </w:tcPr>
          <w:p>
            <w:pPr>
              <w:ind w:left="500"/>
              <w:spacing w:after="0"/>
              <w:rPr>
                <w:sz w:val="20"/>
                <w:szCs w:val="20"/>
                <w:color w:val="auto"/>
              </w:rPr>
            </w:pPr>
            <w:r>
              <w:rPr>
                <w:rFonts w:ascii="Arial" w:cs="Arial" w:eastAsia="Arial" w:hAnsi="Arial"/>
                <w:sz w:val="18"/>
                <w:szCs w:val="18"/>
                <w:color w:val="auto"/>
              </w:rPr>
              <w:t>Honduras</w:t>
            </w:r>
          </w:p>
        </w:tc>
        <w:tc>
          <w:tcPr>
            <w:tcW w:w="2320" w:type="dxa"/>
            <w:vAlign w:val="bottom"/>
          </w:tcPr>
          <w:p>
            <w:pPr>
              <w:ind w:left="220"/>
              <w:spacing w:after="0"/>
              <w:rPr>
                <w:sz w:val="20"/>
                <w:szCs w:val="20"/>
                <w:color w:val="auto"/>
              </w:rPr>
            </w:pPr>
            <w:r>
              <w:rPr>
                <w:rFonts w:ascii="Arial" w:cs="Arial" w:eastAsia="Arial" w:hAnsi="Arial"/>
                <w:sz w:val="18"/>
                <w:szCs w:val="18"/>
                <w:color w:val="auto"/>
              </w:rPr>
              <w:t>Nicaragua</w:t>
            </w:r>
          </w:p>
        </w:tc>
        <w:tc>
          <w:tcPr>
            <w:tcW w:w="2220" w:type="dxa"/>
            <w:vAlign w:val="bottom"/>
          </w:tcPr>
          <w:p>
            <w:pPr>
              <w:ind w:left="660"/>
              <w:spacing w:after="0"/>
              <w:rPr>
                <w:sz w:val="20"/>
                <w:szCs w:val="20"/>
                <w:color w:val="auto"/>
              </w:rPr>
            </w:pPr>
            <w:r>
              <w:rPr>
                <w:rFonts w:ascii="Arial" w:cs="Arial" w:eastAsia="Arial" w:hAnsi="Arial"/>
                <w:sz w:val="18"/>
                <w:szCs w:val="18"/>
                <w:color w:val="auto"/>
              </w:rPr>
              <w:t>Turkey</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Bulgaria</w:t>
            </w:r>
          </w:p>
        </w:tc>
        <w:tc>
          <w:tcPr>
            <w:tcW w:w="3020" w:type="dxa"/>
            <w:vAlign w:val="bottom"/>
          </w:tcPr>
          <w:p>
            <w:pPr>
              <w:ind w:left="500"/>
              <w:spacing w:after="0"/>
              <w:rPr>
                <w:sz w:val="20"/>
                <w:szCs w:val="20"/>
                <w:color w:val="auto"/>
              </w:rPr>
            </w:pPr>
            <w:r>
              <w:rPr>
                <w:rFonts w:ascii="Arial" w:cs="Arial" w:eastAsia="Arial" w:hAnsi="Arial"/>
                <w:sz w:val="18"/>
                <w:szCs w:val="18"/>
                <w:color w:val="auto"/>
              </w:rPr>
              <w:t>Hong Kong</w:t>
            </w:r>
          </w:p>
        </w:tc>
        <w:tc>
          <w:tcPr>
            <w:tcW w:w="2320" w:type="dxa"/>
            <w:vAlign w:val="bottom"/>
          </w:tcPr>
          <w:p>
            <w:pPr>
              <w:ind w:left="220"/>
              <w:spacing w:after="0"/>
              <w:rPr>
                <w:sz w:val="20"/>
                <w:szCs w:val="20"/>
                <w:color w:val="auto"/>
              </w:rPr>
            </w:pPr>
            <w:r>
              <w:rPr>
                <w:rFonts w:ascii="Arial" w:cs="Arial" w:eastAsia="Arial" w:hAnsi="Arial"/>
                <w:sz w:val="18"/>
                <w:szCs w:val="18"/>
                <w:color w:val="auto"/>
              </w:rPr>
              <w:t>Niger</w:t>
            </w:r>
          </w:p>
        </w:tc>
        <w:tc>
          <w:tcPr>
            <w:tcW w:w="2220" w:type="dxa"/>
            <w:vAlign w:val="bottom"/>
          </w:tcPr>
          <w:p>
            <w:pPr>
              <w:ind w:left="660"/>
              <w:spacing w:after="0"/>
              <w:rPr>
                <w:sz w:val="20"/>
                <w:szCs w:val="20"/>
                <w:color w:val="auto"/>
              </w:rPr>
            </w:pPr>
            <w:r>
              <w:rPr>
                <w:rFonts w:ascii="Arial" w:cs="Arial" w:eastAsia="Arial" w:hAnsi="Arial"/>
                <w:sz w:val="18"/>
                <w:szCs w:val="18"/>
                <w:color w:val="auto"/>
              </w:rPr>
              <w:t>Uganda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Burkina Faso</w:t>
            </w:r>
          </w:p>
        </w:tc>
        <w:tc>
          <w:tcPr>
            <w:tcW w:w="3020" w:type="dxa"/>
            <w:vAlign w:val="bottom"/>
          </w:tcPr>
          <w:p>
            <w:pPr>
              <w:ind w:left="500"/>
              <w:spacing w:after="0"/>
              <w:rPr>
                <w:sz w:val="20"/>
                <w:szCs w:val="20"/>
                <w:color w:val="auto"/>
              </w:rPr>
            </w:pPr>
            <w:r>
              <w:rPr>
                <w:rFonts w:ascii="Arial" w:cs="Arial" w:eastAsia="Arial" w:hAnsi="Arial"/>
                <w:sz w:val="18"/>
                <w:szCs w:val="18"/>
                <w:color w:val="auto"/>
              </w:rPr>
              <w:t>Hungary</w:t>
            </w:r>
          </w:p>
        </w:tc>
        <w:tc>
          <w:tcPr>
            <w:tcW w:w="2320" w:type="dxa"/>
            <w:vAlign w:val="bottom"/>
          </w:tcPr>
          <w:p>
            <w:pPr>
              <w:ind w:left="220"/>
              <w:spacing w:after="0"/>
              <w:rPr>
                <w:sz w:val="20"/>
                <w:szCs w:val="20"/>
                <w:color w:val="auto"/>
              </w:rPr>
            </w:pPr>
            <w:r>
              <w:rPr>
                <w:rFonts w:ascii="Arial" w:cs="Arial" w:eastAsia="Arial" w:hAnsi="Arial"/>
                <w:sz w:val="18"/>
                <w:szCs w:val="18"/>
                <w:color w:val="auto"/>
              </w:rPr>
              <w:t>Nigeria</w:t>
            </w:r>
          </w:p>
        </w:tc>
        <w:tc>
          <w:tcPr>
            <w:tcW w:w="2220" w:type="dxa"/>
            <w:vAlign w:val="bottom"/>
          </w:tcPr>
          <w:p>
            <w:pPr>
              <w:ind w:left="660"/>
              <w:spacing w:after="0"/>
              <w:rPr>
                <w:sz w:val="20"/>
                <w:szCs w:val="20"/>
                <w:color w:val="auto"/>
              </w:rPr>
            </w:pPr>
            <w:r>
              <w:rPr>
                <w:rFonts w:ascii="Arial" w:cs="Arial" w:eastAsia="Arial" w:hAnsi="Arial"/>
                <w:sz w:val="18"/>
                <w:szCs w:val="18"/>
                <w:color w:val="auto"/>
                <w:w w:val="90"/>
              </w:rPr>
              <w:t>United Arab Emirates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Burundi</w:t>
            </w:r>
          </w:p>
        </w:tc>
        <w:tc>
          <w:tcPr>
            <w:tcW w:w="3020" w:type="dxa"/>
            <w:vAlign w:val="bottom"/>
          </w:tcPr>
          <w:p>
            <w:pPr>
              <w:ind w:left="500"/>
              <w:spacing w:after="0"/>
              <w:rPr>
                <w:sz w:val="20"/>
                <w:szCs w:val="20"/>
                <w:color w:val="auto"/>
              </w:rPr>
            </w:pPr>
            <w:r>
              <w:rPr>
                <w:rFonts w:ascii="Arial" w:cs="Arial" w:eastAsia="Arial" w:hAnsi="Arial"/>
                <w:sz w:val="18"/>
                <w:szCs w:val="18"/>
                <w:color w:val="auto"/>
              </w:rPr>
              <w:t>India</w:t>
            </w:r>
          </w:p>
        </w:tc>
        <w:tc>
          <w:tcPr>
            <w:tcW w:w="2320" w:type="dxa"/>
            <w:vAlign w:val="bottom"/>
          </w:tcPr>
          <w:p>
            <w:pPr>
              <w:ind w:left="220"/>
              <w:spacing w:after="0"/>
              <w:rPr>
                <w:sz w:val="20"/>
                <w:szCs w:val="20"/>
                <w:color w:val="auto"/>
              </w:rPr>
            </w:pPr>
            <w:r>
              <w:rPr>
                <w:rFonts w:ascii="Arial" w:cs="Arial" w:eastAsia="Arial" w:hAnsi="Arial"/>
                <w:sz w:val="18"/>
                <w:szCs w:val="18"/>
                <w:color w:val="auto"/>
              </w:rPr>
              <w:t>Norway</w:t>
            </w:r>
          </w:p>
        </w:tc>
        <w:tc>
          <w:tcPr>
            <w:tcW w:w="2220" w:type="dxa"/>
            <w:vAlign w:val="bottom"/>
          </w:tcPr>
          <w:p>
            <w:pPr>
              <w:ind w:left="660"/>
              <w:spacing w:after="0"/>
              <w:rPr>
                <w:sz w:val="20"/>
                <w:szCs w:val="20"/>
                <w:color w:val="auto"/>
              </w:rPr>
            </w:pPr>
            <w:r>
              <w:rPr>
                <w:rFonts w:ascii="Arial" w:cs="Arial" w:eastAsia="Arial" w:hAnsi="Arial"/>
                <w:sz w:val="18"/>
                <w:szCs w:val="18"/>
                <w:color w:val="auto"/>
              </w:rPr>
              <w:t>United Kingdom</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Cambodia</w:t>
            </w:r>
          </w:p>
        </w:tc>
        <w:tc>
          <w:tcPr>
            <w:tcW w:w="3020" w:type="dxa"/>
            <w:vAlign w:val="bottom"/>
          </w:tcPr>
          <w:p>
            <w:pPr>
              <w:ind w:left="500"/>
              <w:spacing w:after="0"/>
              <w:rPr>
                <w:sz w:val="20"/>
                <w:szCs w:val="20"/>
                <w:color w:val="auto"/>
              </w:rPr>
            </w:pPr>
            <w:r>
              <w:rPr>
                <w:rFonts w:ascii="Arial" w:cs="Arial" w:eastAsia="Arial" w:hAnsi="Arial"/>
                <w:sz w:val="18"/>
                <w:szCs w:val="18"/>
                <w:color w:val="auto"/>
              </w:rPr>
              <w:t>Indonesia</w:t>
            </w:r>
          </w:p>
        </w:tc>
        <w:tc>
          <w:tcPr>
            <w:tcW w:w="2320" w:type="dxa"/>
            <w:vAlign w:val="bottom"/>
          </w:tcPr>
          <w:p>
            <w:pPr>
              <w:ind w:left="220"/>
              <w:spacing w:after="0"/>
              <w:rPr>
                <w:sz w:val="20"/>
                <w:szCs w:val="20"/>
                <w:color w:val="auto"/>
              </w:rPr>
            </w:pPr>
            <w:r>
              <w:rPr>
                <w:rFonts w:ascii="Arial" w:cs="Arial" w:eastAsia="Arial" w:hAnsi="Arial"/>
                <w:sz w:val="18"/>
                <w:szCs w:val="18"/>
                <w:color w:val="auto"/>
              </w:rPr>
              <w:t>Panama</w:t>
            </w:r>
          </w:p>
        </w:tc>
        <w:tc>
          <w:tcPr>
            <w:tcW w:w="2220" w:type="dxa"/>
            <w:vAlign w:val="bottom"/>
          </w:tcPr>
          <w:p>
            <w:pPr>
              <w:ind w:left="660"/>
              <w:spacing w:after="0"/>
              <w:rPr>
                <w:sz w:val="20"/>
                <w:szCs w:val="20"/>
                <w:color w:val="auto"/>
              </w:rPr>
            </w:pPr>
            <w:r>
              <w:rPr>
                <w:rFonts w:ascii="Arial" w:cs="Arial" w:eastAsia="Arial" w:hAnsi="Arial"/>
                <w:sz w:val="18"/>
                <w:szCs w:val="18"/>
                <w:color w:val="auto"/>
              </w:rPr>
              <w:t>United States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Canada</w:t>
            </w:r>
          </w:p>
        </w:tc>
        <w:tc>
          <w:tcPr>
            <w:tcW w:w="3020" w:type="dxa"/>
            <w:vAlign w:val="bottom"/>
          </w:tcPr>
          <w:p>
            <w:pPr>
              <w:ind w:left="500"/>
              <w:spacing w:after="0"/>
              <w:rPr>
                <w:sz w:val="20"/>
                <w:szCs w:val="20"/>
                <w:color w:val="auto"/>
              </w:rPr>
            </w:pPr>
            <w:r>
              <w:rPr>
                <w:rFonts w:ascii="Arial" w:cs="Arial" w:eastAsia="Arial" w:hAnsi="Arial"/>
                <w:sz w:val="18"/>
                <w:szCs w:val="18"/>
                <w:color w:val="auto"/>
              </w:rPr>
              <w:t>Ireland</w:t>
            </w:r>
          </w:p>
        </w:tc>
        <w:tc>
          <w:tcPr>
            <w:tcW w:w="2320" w:type="dxa"/>
            <w:vAlign w:val="bottom"/>
          </w:tcPr>
          <w:p>
            <w:pPr>
              <w:ind w:left="220"/>
              <w:spacing w:after="0"/>
              <w:rPr>
                <w:sz w:val="20"/>
                <w:szCs w:val="20"/>
                <w:color w:val="auto"/>
              </w:rPr>
            </w:pPr>
            <w:r>
              <w:rPr>
                <w:rFonts w:ascii="Arial" w:cs="Arial" w:eastAsia="Arial" w:hAnsi="Arial"/>
                <w:sz w:val="18"/>
                <w:szCs w:val="18"/>
                <w:color w:val="auto"/>
              </w:rPr>
              <w:t>Papua New Guinea</w:t>
            </w:r>
          </w:p>
        </w:tc>
        <w:tc>
          <w:tcPr>
            <w:tcW w:w="2220" w:type="dxa"/>
            <w:vAlign w:val="bottom"/>
          </w:tcPr>
          <w:p>
            <w:pPr>
              <w:ind w:left="660"/>
              <w:spacing w:after="0"/>
              <w:rPr>
                <w:sz w:val="20"/>
                <w:szCs w:val="20"/>
                <w:color w:val="auto"/>
              </w:rPr>
            </w:pPr>
            <w:r>
              <w:rPr>
                <w:rFonts w:ascii="Arial" w:cs="Arial" w:eastAsia="Arial" w:hAnsi="Arial"/>
                <w:sz w:val="18"/>
                <w:szCs w:val="18"/>
                <w:color w:val="auto"/>
              </w:rPr>
              <w:t>Uzbekistan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Central African Republic</w:t>
            </w:r>
          </w:p>
        </w:tc>
        <w:tc>
          <w:tcPr>
            <w:tcW w:w="3020" w:type="dxa"/>
            <w:vAlign w:val="bottom"/>
          </w:tcPr>
          <w:p>
            <w:pPr>
              <w:ind w:left="500"/>
              <w:spacing w:after="0"/>
              <w:rPr>
                <w:sz w:val="20"/>
                <w:szCs w:val="20"/>
                <w:color w:val="auto"/>
              </w:rPr>
            </w:pPr>
            <w:r>
              <w:rPr>
                <w:rFonts w:ascii="Arial" w:cs="Arial" w:eastAsia="Arial" w:hAnsi="Arial"/>
                <w:sz w:val="18"/>
                <w:szCs w:val="18"/>
                <w:color w:val="auto"/>
              </w:rPr>
              <w:t>Israel</w:t>
            </w:r>
          </w:p>
        </w:tc>
        <w:tc>
          <w:tcPr>
            <w:tcW w:w="2320" w:type="dxa"/>
            <w:vAlign w:val="bottom"/>
          </w:tcPr>
          <w:p>
            <w:pPr>
              <w:ind w:left="220"/>
              <w:spacing w:after="0"/>
              <w:rPr>
                <w:sz w:val="20"/>
                <w:szCs w:val="20"/>
                <w:color w:val="auto"/>
              </w:rPr>
            </w:pPr>
            <w:r>
              <w:rPr>
                <w:rFonts w:ascii="Arial" w:cs="Arial" w:eastAsia="Arial" w:hAnsi="Arial"/>
                <w:sz w:val="18"/>
                <w:szCs w:val="18"/>
                <w:color w:val="auto"/>
              </w:rPr>
              <w:t>Peru</w:t>
            </w:r>
          </w:p>
        </w:tc>
        <w:tc>
          <w:tcPr>
            <w:tcW w:w="2220" w:type="dxa"/>
            <w:vAlign w:val="bottom"/>
          </w:tcPr>
          <w:p>
            <w:pPr>
              <w:ind w:left="660"/>
              <w:spacing w:after="0"/>
              <w:rPr>
                <w:sz w:val="20"/>
                <w:szCs w:val="20"/>
                <w:color w:val="auto"/>
              </w:rPr>
            </w:pPr>
            <w:r>
              <w:rPr>
                <w:rFonts w:ascii="Arial" w:cs="Arial" w:eastAsia="Arial" w:hAnsi="Arial"/>
                <w:sz w:val="18"/>
                <w:szCs w:val="18"/>
                <w:color w:val="auto"/>
              </w:rPr>
              <w:t>Viet Nam</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Chile</w:t>
            </w:r>
          </w:p>
        </w:tc>
        <w:tc>
          <w:tcPr>
            <w:tcW w:w="3020" w:type="dxa"/>
            <w:vAlign w:val="bottom"/>
          </w:tcPr>
          <w:p>
            <w:pPr>
              <w:ind w:left="500"/>
              <w:spacing w:after="0"/>
              <w:rPr>
                <w:sz w:val="20"/>
                <w:szCs w:val="20"/>
                <w:color w:val="auto"/>
              </w:rPr>
            </w:pPr>
            <w:r>
              <w:rPr>
                <w:rFonts w:ascii="Arial" w:cs="Arial" w:eastAsia="Arial" w:hAnsi="Arial"/>
                <w:sz w:val="18"/>
                <w:szCs w:val="18"/>
                <w:color w:val="auto"/>
              </w:rPr>
              <w:t>Italy</w:t>
            </w:r>
          </w:p>
        </w:tc>
        <w:tc>
          <w:tcPr>
            <w:tcW w:w="2320" w:type="dxa"/>
            <w:vAlign w:val="bottom"/>
          </w:tcPr>
          <w:p>
            <w:pPr>
              <w:ind w:left="220"/>
              <w:spacing w:after="0"/>
              <w:rPr>
                <w:sz w:val="20"/>
                <w:szCs w:val="20"/>
                <w:color w:val="auto"/>
              </w:rPr>
            </w:pPr>
            <w:r>
              <w:rPr>
                <w:rFonts w:ascii="Arial" w:cs="Arial" w:eastAsia="Arial" w:hAnsi="Arial"/>
                <w:sz w:val="18"/>
                <w:szCs w:val="18"/>
                <w:color w:val="auto"/>
              </w:rPr>
              <w:t>Philippines</w:t>
            </w:r>
          </w:p>
        </w:tc>
        <w:tc>
          <w:tcPr>
            <w:tcW w:w="2220" w:type="dxa"/>
            <w:vAlign w:val="bottom"/>
          </w:tcPr>
          <w:p>
            <w:pPr>
              <w:ind w:left="660"/>
              <w:spacing w:after="0"/>
              <w:rPr>
                <w:sz w:val="20"/>
                <w:szCs w:val="20"/>
                <w:color w:val="auto"/>
              </w:rPr>
            </w:pPr>
            <w:r>
              <w:rPr>
                <w:rFonts w:ascii="Arial" w:cs="Arial" w:eastAsia="Arial" w:hAnsi="Arial"/>
                <w:sz w:val="18"/>
                <w:szCs w:val="18"/>
                <w:color w:val="auto"/>
              </w:rPr>
              <w:t>Zambia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China</w:t>
            </w:r>
          </w:p>
        </w:tc>
        <w:tc>
          <w:tcPr>
            <w:tcW w:w="3020" w:type="dxa"/>
            <w:vAlign w:val="bottom"/>
          </w:tcPr>
          <w:p>
            <w:pPr>
              <w:ind w:left="500"/>
              <w:spacing w:after="0"/>
              <w:rPr>
                <w:sz w:val="20"/>
                <w:szCs w:val="20"/>
                <w:color w:val="auto"/>
              </w:rPr>
            </w:pPr>
            <w:r>
              <w:rPr>
                <w:rFonts w:ascii="Arial" w:cs="Arial" w:eastAsia="Arial" w:hAnsi="Arial"/>
                <w:sz w:val="18"/>
                <w:szCs w:val="18"/>
                <w:color w:val="auto"/>
              </w:rPr>
              <w:t>Japan</w:t>
            </w:r>
          </w:p>
        </w:tc>
        <w:tc>
          <w:tcPr>
            <w:tcW w:w="2320" w:type="dxa"/>
            <w:vAlign w:val="bottom"/>
          </w:tcPr>
          <w:p>
            <w:pPr>
              <w:ind w:left="220"/>
              <w:spacing w:after="0"/>
              <w:rPr>
                <w:sz w:val="20"/>
                <w:szCs w:val="20"/>
                <w:color w:val="auto"/>
              </w:rPr>
            </w:pPr>
            <w:r>
              <w:rPr>
                <w:rFonts w:ascii="Arial" w:cs="Arial" w:eastAsia="Arial" w:hAnsi="Arial"/>
                <w:sz w:val="18"/>
                <w:szCs w:val="18"/>
                <w:color w:val="auto"/>
              </w:rPr>
              <w:t>Poland</w:t>
            </w:r>
          </w:p>
        </w:tc>
        <w:tc>
          <w:tcPr>
            <w:tcW w:w="2220" w:type="dxa"/>
            <w:vAlign w:val="bottom"/>
          </w:tcPr>
          <w:p>
            <w:pPr>
              <w:ind w:left="660"/>
              <w:spacing w:after="0"/>
              <w:rPr>
                <w:sz w:val="20"/>
                <w:szCs w:val="20"/>
                <w:color w:val="auto"/>
              </w:rPr>
            </w:pPr>
            <w:r>
              <w:rPr>
                <w:rFonts w:ascii="Arial" w:cs="Arial" w:eastAsia="Arial" w:hAnsi="Arial"/>
                <w:sz w:val="18"/>
                <w:szCs w:val="18"/>
                <w:color w:val="auto"/>
              </w:rPr>
              <w:t>Zimbabwe</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Colombia</w:t>
            </w:r>
          </w:p>
        </w:tc>
        <w:tc>
          <w:tcPr>
            <w:tcW w:w="3020" w:type="dxa"/>
            <w:vAlign w:val="bottom"/>
          </w:tcPr>
          <w:p>
            <w:pPr>
              <w:ind w:left="500"/>
              <w:spacing w:after="0"/>
              <w:rPr>
                <w:sz w:val="20"/>
                <w:szCs w:val="20"/>
                <w:color w:val="auto"/>
              </w:rPr>
            </w:pPr>
            <w:r>
              <w:rPr>
                <w:rFonts w:ascii="Arial" w:cs="Arial" w:eastAsia="Arial" w:hAnsi="Arial"/>
                <w:sz w:val="18"/>
                <w:szCs w:val="18"/>
                <w:color w:val="auto"/>
              </w:rPr>
              <w:t>Jersey</w:t>
            </w:r>
          </w:p>
        </w:tc>
        <w:tc>
          <w:tcPr>
            <w:tcW w:w="2320" w:type="dxa"/>
            <w:vAlign w:val="bottom"/>
          </w:tcPr>
          <w:p>
            <w:pPr>
              <w:ind w:left="220"/>
              <w:spacing w:after="0"/>
              <w:rPr>
                <w:sz w:val="20"/>
                <w:szCs w:val="20"/>
                <w:color w:val="auto"/>
              </w:rPr>
            </w:pPr>
            <w:r>
              <w:rPr>
                <w:rFonts w:ascii="Arial" w:cs="Arial" w:eastAsia="Arial" w:hAnsi="Arial"/>
                <w:sz w:val="18"/>
                <w:szCs w:val="18"/>
                <w:color w:val="auto"/>
              </w:rPr>
              <w:t>Portugal</w:t>
            </w:r>
          </w:p>
        </w:tc>
        <w:tc>
          <w:tcPr>
            <w:tcW w:w="2220" w:type="dxa"/>
            <w:vAlign w:val="bottom"/>
          </w:tcPr>
          <w:p>
            <w:pPr>
              <w:spacing w:after="0"/>
              <w:rPr>
                <w:sz w:val="18"/>
                <w:szCs w:val="18"/>
                <w:color w:val="auto"/>
              </w:rPr>
            </w:pPr>
          </w:p>
        </w:tc>
      </w:tr>
      <w:tr>
        <w:trPr>
          <w:trHeight w:val="356"/>
        </w:trPr>
        <w:tc>
          <w:tcPr>
            <w:tcW w:w="2700" w:type="dxa"/>
            <w:vAlign w:val="bottom"/>
          </w:tcPr>
          <w:p>
            <w:pPr>
              <w:spacing w:after="0"/>
              <w:rPr>
                <w:sz w:val="20"/>
                <w:szCs w:val="20"/>
                <w:color w:val="auto"/>
              </w:rPr>
            </w:pPr>
            <w:r>
              <w:rPr>
                <w:rFonts w:ascii="Arial" w:cs="Arial" w:eastAsia="Arial" w:hAnsi="Arial"/>
                <w:sz w:val="18"/>
                <w:szCs w:val="18"/>
                <w:color w:val="auto"/>
              </w:rPr>
              <w:t>Congo</w:t>
            </w:r>
          </w:p>
        </w:tc>
        <w:tc>
          <w:tcPr>
            <w:tcW w:w="3020" w:type="dxa"/>
            <w:vAlign w:val="bottom"/>
          </w:tcPr>
          <w:p>
            <w:pPr>
              <w:ind w:left="500"/>
              <w:spacing w:after="0"/>
              <w:rPr>
                <w:sz w:val="20"/>
                <w:szCs w:val="20"/>
                <w:color w:val="auto"/>
              </w:rPr>
            </w:pPr>
            <w:r>
              <w:rPr>
                <w:rFonts w:ascii="Arial" w:cs="Arial" w:eastAsia="Arial" w:hAnsi="Arial"/>
                <w:sz w:val="18"/>
                <w:szCs w:val="18"/>
                <w:color w:val="auto"/>
              </w:rPr>
              <w:t>Kazakhstan</w:t>
            </w:r>
          </w:p>
        </w:tc>
        <w:tc>
          <w:tcPr>
            <w:tcW w:w="2320" w:type="dxa"/>
            <w:vAlign w:val="bottom"/>
          </w:tcPr>
          <w:p>
            <w:pPr>
              <w:ind w:left="220"/>
              <w:spacing w:after="0"/>
              <w:rPr>
                <w:sz w:val="20"/>
                <w:szCs w:val="20"/>
                <w:color w:val="auto"/>
              </w:rPr>
            </w:pPr>
            <w:r>
              <w:rPr>
                <w:rFonts w:ascii="Arial" w:cs="Arial" w:eastAsia="Arial" w:hAnsi="Arial"/>
                <w:sz w:val="18"/>
                <w:szCs w:val="18"/>
                <w:color w:val="auto"/>
              </w:rPr>
              <w:t>Russian Federation</w:t>
            </w:r>
            <w:r>
              <w:rPr>
                <w:rFonts w:ascii="Arial" w:cs="Arial" w:eastAsia="Arial" w:hAnsi="Arial"/>
                <w:sz w:val="26"/>
                <w:szCs w:val="26"/>
                <w:color w:val="auto"/>
                <w:vertAlign w:val="superscript"/>
              </w:rPr>
              <w:t>2</w:t>
            </w:r>
          </w:p>
        </w:tc>
        <w:tc>
          <w:tcPr>
            <w:tcW w:w="2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 w:lineRule="exact"/>
        <w:rPr>
          <w:sz w:val="20"/>
          <w:szCs w:val="20"/>
          <w:color w:val="auto"/>
        </w:rPr>
      </w:pPr>
    </w:p>
    <w:p>
      <w:pPr>
        <w:ind w:left="444" w:hanging="444"/>
        <w:spacing w:after="0" w:line="207" w:lineRule="auto"/>
        <w:tabs>
          <w:tab w:leader="none" w:pos="44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68 ot of 87 smelters are conformant, 14 are under RMI due diligence review, active or outreach required. The reimaging 5 are non-conformant and flagging will be done down the supply chain.</w:t>
      </w:r>
    </w:p>
    <w:p>
      <w:pPr>
        <w:jc w:val="both"/>
        <w:ind w:left="444" w:right="160" w:hanging="444"/>
        <w:spacing w:after="0" w:line="225" w:lineRule="auto"/>
        <w:tabs>
          <w:tab w:leader="none" w:pos="444"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Smelters are several layers down the supply chain and the sourcing from their mines were started much earlier than when orders were placed for assembly. After the invasion of Ukraine, the mines are identified as high-r risk. The smelters sourcing from these mines will be non-conformant and flagging will be done down the supply chain for these smelters within the CMR campaign program.</w:t>
      </w:r>
    </w:p>
    <w:p>
      <w:pPr>
        <w:sectPr>
          <w:pgSz w:w="11900" w:h="16838" w:orient="portrait"/>
          <w:cols w:equalWidth="0" w:num="1">
            <w:col w:w="10984"/>
          </w:cols>
          <w:pgMar w:left="436" w:top="904"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320040</wp:posOffset>
            </wp:positionV>
            <wp:extent cx="58293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82930" cy="171450"/>
                    </a:xfrm>
                    <a:prstGeom prst="rect">
                      <a:avLst/>
                    </a:prstGeom>
                    <a:noFill/>
                  </pic:spPr>
                </pic:pic>
              </a:graphicData>
            </a:graphic>
          </wp:anchor>
        </w:drawing>
        <w:t>Appendix C: CMRT Declaration Rejection/Approval Criteria</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tables map the Assent Sustainability Platform’s status outputs and CMRT logic structure when determining supplier conflict mineral statuses as displayed on the dashboard. Using this table, and referencing the CMRT questions listed above, users will be able to determine what answers were provided by their suppliers to earn their conflict minerals statuses.</w:t>
      </w:r>
    </w:p>
    <w:p>
      <w:pPr>
        <w:sectPr>
          <w:pgSz w:w="11900" w:h="16838" w:orient="portrait"/>
          <w:cols w:equalWidth="0" w:num="1">
            <w:col w:w="10940"/>
          </w:cols>
          <w:pgMar w:left="440" w:top="904" w:right="51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Supplier Status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Description</w:t>
      </w:r>
    </w:p>
    <w:p>
      <w:pPr>
        <w:spacing w:after="0" w:line="33" w:lineRule="exact"/>
        <w:rPr>
          <w:sz w:val="20"/>
          <w:szCs w:val="20"/>
          <w:color w:val="auto"/>
        </w:rPr>
      </w:pPr>
    </w:p>
    <w:p>
      <w:pPr>
        <w:sectPr>
          <w:pgSz w:w="11900" w:h="16838" w:orient="portrait"/>
          <w:cols w:equalWidth="0" w:num="2">
            <w:col w:w="1040" w:space="720"/>
            <w:col w:w="9180"/>
          </w:cols>
          <w:pgMar w:left="4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Not Submitted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CMRT has not been submitted by the supplier</w:t>
      </w:r>
    </w:p>
    <w:p>
      <w:pPr>
        <w:spacing w:after="0" w:line="111" w:lineRule="exact"/>
        <w:rPr>
          <w:sz w:val="20"/>
          <w:szCs w:val="20"/>
          <w:color w:val="auto"/>
        </w:rPr>
      </w:pPr>
    </w:p>
    <w:p>
      <w:pPr>
        <w:sectPr>
          <w:pgSz w:w="11900" w:h="16838" w:orient="portrait"/>
          <w:cols w:equalWidth="0" w:num="2">
            <w:col w:w="1060" w:space="700"/>
            <w:col w:w="9180"/>
          </w:cols>
          <w:pgMar w:left="4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CMRT has been submitted, and is valid and complete</w:t>
      </w:r>
    </w:p>
    <w:p>
      <w:pPr>
        <w:spacing w:after="0" w:line="140" w:lineRule="exact"/>
        <w:rPr>
          <w:sz w:val="20"/>
          <w:szCs w:val="20"/>
          <w:color w:val="auto"/>
        </w:rPr>
      </w:pPr>
    </w:p>
    <w:p>
      <w:pPr>
        <w:sectPr>
          <w:pgSz w:w="11900" w:h="16838" w:orient="portrait"/>
          <w:cols w:equalWidth="0" w:num="2">
            <w:col w:w="1040" w:space="720"/>
            <w:col w:w="9180"/>
          </w:cols>
          <w:pgMar w:left="4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Incomplete</w:t>
      </w:r>
    </w:p>
    <w:p>
      <w:pPr>
        <w:spacing w:after="0" w:line="20" w:lineRule="exact"/>
        <w:rPr>
          <w:sz w:val="20"/>
          <w:szCs w:val="20"/>
          <w:color w:val="auto"/>
        </w:rPr>
      </w:pPr>
      <w:r>
        <w:rPr>
          <w:sz w:val="20"/>
          <w:szCs w:val="20"/>
          <w:color w:val="auto"/>
        </w:rPr>
        <w:br w:type="column"/>
      </w:r>
    </w:p>
    <w:p>
      <w:pPr>
        <w:jc w:val="center"/>
        <w:ind w:right="860"/>
        <w:spacing w:after="0"/>
        <w:rPr>
          <w:sz w:val="20"/>
          <w:szCs w:val="20"/>
          <w:color w:val="auto"/>
        </w:rPr>
      </w:pPr>
      <w:r>
        <w:rPr>
          <w:rFonts w:ascii="Arial" w:cs="Arial" w:eastAsia="Arial" w:hAnsi="Arial"/>
          <w:sz w:val="16"/>
          <w:szCs w:val="16"/>
          <w:color w:val="auto"/>
        </w:rPr>
        <w:t>A supplier with parts associated to them has submitted a partially completed Product-Level or User-Defined CMRT</w:t>
      </w:r>
    </w:p>
    <w:p>
      <w:pPr>
        <w:spacing w:after="0" w:line="140" w:lineRule="exact"/>
        <w:rPr>
          <w:sz w:val="20"/>
          <w:szCs w:val="20"/>
          <w:color w:val="auto"/>
        </w:rPr>
      </w:pPr>
    </w:p>
    <w:p>
      <w:pPr>
        <w:sectPr>
          <w:pgSz w:w="11900" w:h="16838" w:orient="portrait"/>
          <w:cols w:equalWidth="0" w:num="2">
            <w:col w:w="1040" w:space="720"/>
            <w:col w:w="9180"/>
          </w:cols>
          <w:pgMar w:left="4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Invalid Submission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CMRT has been submitted and deemed invalid based on contradicting responses in the template</w:t>
      </w:r>
    </w:p>
    <w:p>
      <w:pPr>
        <w:spacing w:after="0" w:line="140" w:lineRule="exact"/>
        <w:rPr>
          <w:sz w:val="20"/>
          <w:szCs w:val="20"/>
          <w:color w:val="auto"/>
        </w:rPr>
      </w:pPr>
    </w:p>
    <w:p>
      <w:pPr>
        <w:sectPr>
          <w:pgSz w:w="11900" w:h="16838" w:orient="portrait"/>
          <w:cols w:equalWidth="0" w:num="2">
            <w:col w:w="1400" w:space="360"/>
            <w:col w:w="9180"/>
          </w:cols>
          <w:pgMar w:left="440" w:top="904" w:right="519" w:bottom="1440" w:gutter="0" w:footer="0" w:header="0"/>
          <w:type w:val="continuous"/>
        </w:sectPr>
      </w:pPr>
    </w:p>
    <w:p>
      <w:pPr>
        <w:spacing w:after="0"/>
        <w:rPr>
          <w:sz w:val="20"/>
          <w:szCs w:val="20"/>
          <w:color w:val="auto"/>
        </w:rPr>
      </w:pPr>
      <w:r>
        <w:rPr>
          <w:rFonts w:ascii="Arial" w:cs="Arial" w:eastAsia="Arial" w:hAnsi="Arial"/>
          <w:sz w:val="16"/>
          <w:szCs w:val="16"/>
          <w:color w:val="auto"/>
        </w:rPr>
        <w:t>Out of Scope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supplier is out of scope for conflict minerals and does not need to be contacted</w:t>
      </w:r>
    </w:p>
    <w:sectPr>
      <w:pgSz w:w="11900" w:h="16838" w:orient="portrait"/>
      <w:cols w:equalWidth="0" w:num="2">
        <w:col w:w="1040" w:space="720"/>
        <w:col w:w="9180"/>
      </w:cols>
      <w:pgMar w:left="440" w:top="90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2023-05-31T15:10:02Z</dcterms:created>
  <dcterms:modified xsi:type="dcterms:W3CDTF">2023-05-31T15:10:02Z</dcterms:modified>
</cp:coreProperties>
</file>