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1525905</wp:posOffset>
            </wp:positionH>
            <wp:positionV relativeFrom="page">
              <wp:posOffset>427990</wp:posOffset>
            </wp:positionV>
            <wp:extent cx="450342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503420" cy="6350"/>
                    </a:xfrm>
                    <a:prstGeom prst="rect">
                      <a:avLst/>
                    </a:prstGeom>
                    <a:noFill/>
                  </pic:spPr>
                </pic:pic>
              </a:graphicData>
            </a:graphic>
          </wp:anchor>
        </w:drawing>
        <w:drawing>
          <wp:anchor simplePos="0" relativeHeight="251657728" behindDoc="1" locked="0" layoutInCell="0" allowOverlap="1">
            <wp:simplePos x="0" y="0"/>
            <wp:positionH relativeFrom="page">
              <wp:posOffset>1525905</wp:posOffset>
            </wp:positionH>
            <wp:positionV relativeFrom="page">
              <wp:posOffset>476250</wp:posOffset>
            </wp:positionV>
            <wp:extent cx="4503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503420" cy="6350"/>
                    </a:xfrm>
                    <a:prstGeom prst="rect">
                      <a:avLst/>
                    </a:prstGeom>
                    <a:noFill/>
                  </pic:spPr>
                </pic:pic>
              </a:graphicData>
            </a:graphic>
          </wp:anchor>
        </w:drawing>
        <w:t>UNITED STATES</w:t>
      </w:r>
    </w:p>
    <w:p>
      <w:pPr>
        <w:spacing w:after="0" w:line="33" w:lineRule="exact"/>
        <w:rPr>
          <w:sz w:val="24"/>
          <w:szCs w:val="24"/>
          <w:color w:val="auto"/>
        </w:rPr>
      </w:pPr>
    </w:p>
    <w:p>
      <w:pPr>
        <w:jc w:val="center"/>
        <w:ind w:right="-1060"/>
        <w:spacing w:after="0"/>
        <w:rPr>
          <w:sz w:val="20"/>
          <w:szCs w:val="20"/>
          <w:color w:val="auto"/>
        </w:rPr>
      </w:pPr>
      <w:r>
        <w:rPr>
          <w:rFonts w:ascii="Arial" w:cs="Arial" w:eastAsia="Arial" w:hAnsi="Arial"/>
          <w:sz w:val="20"/>
          <w:szCs w:val="20"/>
          <w:b w:val="1"/>
          <w:bCs w:val="1"/>
          <w:color w:val="auto"/>
        </w:rPr>
        <w:t>SECURITIES AND EXCHANGE COMMISSION</w:t>
      </w:r>
    </w:p>
    <w:p>
      <w:pPr>
        <w:spacing w:after="0" w:line="18" w:lineRule="exact"/>
        <w:rPr>
          <w:sz w:val="24"/>
          <w:szCs w:val="24"/>
          <w:color w:val="auto"/>
        </w:rPr>
      </w:pPr>
    </w:p>
    <w:p>
      <w:pPr>
        <w:ind w:left="466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3058795</wp:posOffset>
            </wp:positionH>
            <wp:positionV relativeFrom="paragraph">
              <wp:posOffset>227965</wp:posOffset>
            </wp:positionV>
            <wp:extent cx="9804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0440" cy="635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4980"/>
        <w:spacing w:after="0"/>
        <w:rPr>
          <w:sz w:val="20"/>
          <w:szCs w:val="20"/>
          <w:color w:val="auto"/>
        </w:rPr>
      </w:pPr>
      <w:r>
        <w:rPr>
          <w:rFonts w:ascii="Arial" w:cs="Arial" w:eastAsia="Arial" w:hAnsi="Arial"/>
          <w:sz w:val="20"/>
          <w:szCs w:val="20"/>
          <w:b w:val="1"/>
          <w:bCs w:val="1"/>
          <w:color w:val="auto"/>
        </w:rPr>
        <w:t>FORM 6-K/A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3058795</wp:posOffset>
            </wp:positionH>
            <wp:positionV relativeFrom="paragraph">
              <wp:posOffset>133985</wp:posOffset>
            </wp:positionV>
            <wp:extent cx="9804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0440" cy="635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060"/>
        <w:spacing w:after="0"/>
        <w:rPr>
          <w:sz w:val="20"/>
          <w:szCs w:val="20"/>
          <w:color w:val="auto"/>
        </w:rPr>
      </w:pPr>
      <w:r>
        <w:rPr>
          <w:rFonts w:ascii="Arial" w:cs="Arial" w:eastAsia="Arial" w:hAnsi="Arial"/>
          <w:sz w:val="13"/>
          <w:szCs w:val="13"/>
          <w:b w:val="1"/>
          <w:bCs w:val="1"/>
          <w:color w:val="auto"/>
        </w:rPr>
        <w:t>REPORT OF FOREIGN PRIVATE ISSUER PURSUANT TO RULE 13a-16 OR 15d-16</w:t>
      </w:r>
    </w:p>
    <w:p>
      <w:pPr>
        <w:spacing w:after="0" w:line="29"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UNDER THE SECURITIES EXCHANGE ACT OF 1934</w:t>
      </w:r>
    </w:p>
    <w:p>
      <w:pPr>
        <w:spacing w:after="0" w:line="174" w:lineRule="exact"/>
        <w:rPr>
          <w:sz w:val="24"/>
          <w:szCs w:val="24"/>
          <w:color w:val="auto"/>
        </w:rPr>
      </w:pPr>
    </w:p>
    <w:p>
      <w:pPr>
        <w:ind w:left="4760"/>
        <w:spacing w:after="0"/>
        <w:rPr>
          <w:sz w:val="20"/>
          <w:szCs w:val="20"/>
          <w:color w:val="auto"/>
        </w:rPr>
      </w:pPr>
      <w:r>
        <w:rPr>
          <w:rFonts w:ascii="Arial" w:cs="Arial" w:eastAsia="Arial" w:hAnsi="Arial"/>
          <w:sz w:val="11"/>
          <w:szCs w:val="11"/>
          <w:b w:val="1"/>
          <w:bCs w:val="1"/>
          <w:color w:val="auto"/>
        </w:rPr>
        <w:t>For the month of September 2023</w:t>
      </w:r>
    </w:p>
    <w:p>
      <w:pPr>
        <w:spacing w:after="0" w:line="188" w:lineRule="exact"/>
        <w:rPr>
          <w:sz w:val="24"/>
          <w:szCs w:val="24"/>
          <w:color w:val="auto"/>
        </w:rPr>
      </w:pPr>
    </w:p>
    <w:p>
      <w:pPr>
        <w:ind w:left="4680"/>
        <w:spacing w:after="0"/>
        <w:rPr>
          <w:sz w:val="20"/>
          <w:szCs w:val="20"/>
          <w:color w:val="auto"/>
        </w:rPr>
      </w:pPr>
      <w:r>
        <w:rPr>
          <w:rFonts w:ascii="Arial" w:cs="Arial" w:eastAsia="Arial" w:hAnsi="Arial"/>
          <w:sz w:val="11"/>
          <w:szCs w:val="11"/>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3058795</wp:posOffset>
            </wp:positionH>
            <wp:positionV relativeFrom="paragraph">
              <wp:posOffset>125095</wp:posOffset>
            </wp:positionV>
            <wp:extent cx="9804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0440" cy="635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340"/>
        <w:spacing w:after="0"/>
        <w:rPr>
          <w:sz w:val="20"/>
          <w:szCs w:val="20"/>
          <w:color w:val="auto"/>
        </w:rPr>
      </w:pPr>
      <w:r>
        <w:rPr>
          <w:rFonts w:ascii="Arial" w:cs="Arial" w:eastAsia="Arial" w:hAnsi="Arial"/>
          <w:sz w:val="27"/>
          <w:szCs w:val="27"/>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3058795</wp:posOffset>
            </wp:positionH>
            <wp:positionV relativeFrom="paragraph">
              <wp:posOffset>133985</wp:posOffset>
            </wp:positionV>
            <wp:extent cx="9804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0440" cy="635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4960"/>
        <w:spacing w:after="0"/>
        <w:rPr>
          <w:sz w:val="20"/>
          <w:szCs w:val="20"/>
          <w:color w:val="auto"/>
        </w:rPr>
      </w:pPr>
      <w:r>
        <w:rPr>
          <w:rFonts w:ascii="Arial" w:cs="Arial" w:eastAsia="Arial" w:hAnsi="Arial"/>
          <w:sz w:val="11"/>
          <w:szCs w:val="11"/>
          <w:b w:val="1"/>
          <w:bCs w:val="1"/>
          <w:color w:val="auto"/>
        </w:rPr>
        <w:t>Assar Gabrielssons Väg 9</w:t>
      </w:r>
    </w:p>
    <w:p>
      <w:pPr>
        <w:spacing w:after="0" w:line="21" w:lineRule="exact"/>
        <w:rPr>
          <w:sz w:val="24"/>
          <w:szCs w:val="24"/>
          <w:color w:val="auto"/>
        </w:rPr>
      </w:pPr>
    </w:p>
    <w:p>
      <w:pPr>
        <w:ind w:left="4960"/>
        <w:spacing w:after="0"/>
        <w:rPr>
          <w:sz w:val="20"/>
          <w:szCs w:val="20"/>
          <w:color w:val="auto"/>
        </w:rPr>
      </w:pPr>
      <w:r>
        <w:rPr>
          <w:rFonts w:ascii="Arial" w:cs="Arial" w:eastAsia="Arial" w:hAnsi="Arial"/>
          <w:sz w:val="11"/>
          <w:szCs w:val="11"/>
          <w:b w:val="1"/>
          <w:bCs w:val="1"/>
          <w:color w:val="auto"/>
        </w:rPr>
        <w:t>405 31 Göteborg, Sweden</w:t>
      </w:r>
    </w:p>
    <w:p>
      <w:pPr>
        <w:spacing w:after="0" w:line="16" w:lineRule="exact"/>
        <w:rPr>
          <w:sz w:val="24"/>
          <w:szCs w:val="24"/>
          <w:color w:val="auto"/>
        </w:rPr>
      </w:pPr>
    </w:p>
    <w:p>
      <w:pPr>
        <w:ind w:left="4860"/>
        <w:spacing w:after="0"/>
        <w:rPr>
          <w:sz w:val="20"/>
          <w:szCs w:val="20"/>
          <w:color w:val="auto"/>
        </w:rPr>
      </w:pPr>
      <w:r>
        <w:rPr>
          <w:rFonts w:ascii="Arial" w:cs="Arial" w:eastAsia="Arial" w:hAnsi="Arial"/>
          <w:sz w:val="9"/>
          <w:szCs w:val="9"/>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3058795</wp:posOffset>
            </wp:positionH>
            <wp:positionV relativeFrom="paragraph">
              <wp:posOffset>118745</wp:posOffset>
            </wp:positionV>
            <wp:extent cx="9804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0440" cy="6350"/>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files or will file annual reports under cover of Form 20-F or Form 40-F.</w:t>
      </w:r>
    </w:p>
    <w:p>
      <w:pPr>
        <w:spacing w:after="0" w:line="169" w:lineRule="exact"/>
        <w:rPr>
          <w:sz w:val="24"/>
          <w:szCs w:val="24"/>
          <w:color w:val="auto"/>
        </w:rPr>
      </w:pPr>
    </w:p>
    <w:p>
      <w:pPr>
        <w:ind w:left="4900"/>
        <w:spacing w:after="0" w:line="127" w:lineRule="exact"/>
        <w:tabs>
          <w:tab w:leader="none" w:pos="5620" w:val="left"/>
        </w:tabs>
        <w:rPr>
          <w:sz w:val="20"/>
          <w:szCs w:val="20"/>
          <w:color w:val="auto"/>
        </w:rPr>
      </w:pPr>
      <w:r>
        <w:rPr>
          <w:rFonts w:ascii="Arial" w:cs="Arial" w:eastAsia="Arial" w:hAnsi="Arial"/>
          <w:sz w:val="11"/>
          <w:szCs w:val="11"/>
          <w:color w:val="auto"/>
        </w:rPr>
        <w:t xml:space="preserve">Form 20-F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Form 40-F </w:t>
      </w:r>
      <w:r>
        <w:rPr>
          <w:rFonts w:ascii="MS PGothic" w:cs="MS PGothic" w:eastAsia="MS PGothic" w:hAnsi="MS PGothic"/>
          <w:sz w:val="10"/>
          <w:szCs w:val="10"/>
          <w:color w:val="auto"/>
        </w:rPr>
        <w:t>☐</w:t>
      </w:r>
    </w:p>
    <w:p>
      <w:pPr>
        <w:spacing w:after="0" w:line="188"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if the registrant is submitting the Form 6-K in paper as permitted by Regulation S-T Rule 101(b)(1): </w:t>
      </w:r>
      <w:r>
        <w:rPr>
          <w:rFonts w:ascii="MS PGothic" w:cs="MS PGothic" w:eastAsia="MS PGothic" w:hAnsi="MS PGothic"/>
          <w:sz w:val="11"/>
          <w:szCs w:val="11"/>
          <w:color w:val="auto"/>
        </w:rPr>
        <w:t>☐</w:t>
      </w:r>
    </w:p>
    <w:p>
      <w:pPr>
        <w:spacing w:after="0" w:line="198"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if the registrant is submitting the Form 6-K in paper as permitted by Regulation S-T Rule 101(b)(7):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1297305</wp:posOffset>
            </wp:positionH>
            <wp:positionV relativeFrom="paragraph">
              <wp:posOffset>135890</wp:posOffset>
            </wp:positionV>
            <wp:extent cx="45034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03420" cy="635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184150</wp:posOffset>
            </wp:positionV>
            <wp:extent cx="45034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03420" cy="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560"/>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-52705</wp:posOffset>
            </wp:positionH>
            <wp:positionV relativeFrom="paragraph">
              <wp:posOffset>43180</wp:posOffset>
            </wp:positionV>
            <wp:extent cx="719772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0099"/>
          </w:cols>
          <w:pgMar w:left="360" w:top="966" w:right="1440"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3"/>
          <w:szCs w:val="13"/>
          <w:b w:val="1"/>
          <w:bCs w:val="1"/>
          <w:color w:val="auto"/>
        </w:rPr>
        <w:t>INFORMATION CONTAINED IN THIS REPORT ON FORM 6-K/A</w:t>
      </w:r>
    </w:p>
    <w:p>
      <w:pPr>
        <w:spacing w:after="0" w:line="160"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This Amendment to the Form 6-K of Polestar Automotive Holdings UK PLC (“Polestar”), filed on August 31, 2023 (the “Original 6-K”), is being filed solely to provide Polestar’s Unaudited Condensed Consolidated Financial Statements as of June 30, 2023 and for the Three and Six Months Ended June 30, 2023 and 2022 (the “Financial Statements”) using interactive data files in inline eXtensible Business Reporting Language (iXBRL), as attached to this Form 6-K as Exhibit 99.1. The Financial Statements were previously provided without iXBRL as Exhibit 99.3 to the Original 6-K.</w:t>
      </w:r>
    </w:p>
    <w:p>
      <w:pPr>
        <w:spacing w:after="0" w:line="138"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The information contained in Exhibit 99.1 shall be deemed to be incorporated by reference into Polestar’s registration statement on Form S-8 (File No: 333-267146) and registration statement on Form F-3 (File No. 333-266101) and to be a part thereof from the date on which this report is submitted, to the extent not superseded by documents or reports subsequently filed or furnished.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19772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120"/>
          </w:cols>
          <w:pgMar w:left="300" w:top="62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5"/>
        </w:trPr>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80" w:type="dxa"/>
            <w:vAlign w:val="bottom"/>
          </w:tcPr>
          <w:p>
            <w:pPr>
              <w:ind w:left="2520"/>
              <w:spacing w:after="0"/>
              <w:rPr>
                <w:sz w:val="20"/>
                <w:szCs w:val="20"/>
                <w:color w:val="auto"/>
              </w:rPr>
            </w:pPr>
            <w:r>
              <w:rPr>
                <w:rFonts w:ascii="Arial" w:cs="Arial" w:eastAsia="Arial" w:hAnsi="Arial"/>
                <w:sz w:val="13"/>
                <w:szCs w:val="13"/>
                <w:b w:val="1"/>
                <w:bCs w:val="1"/>
                <w:color w:val="auto"/>
              </w:rPr>
              <w:t>EXHIBIT INDEX</w:t>
            </w:r>
          </w:p>
        </w:tc>
      </w:tr>
      <w:tr>
        <w:trPr>
          <w:trHeight w:val="324"/>
        </w:trPr>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No.</w:t>
            </w:r>
          </w:p>
        </w:tc>
        <w:tc>
          <w:tcPr>
            <w:tcW w:w="80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7"/>
              </w:rPr>
              <w:t>Description of Exhibit</w:t>
            </w:r>
          </w:p>
        </w:tc>
        <w:tc>
          <w:tcPr>
            <w:tcW w:w="6080" w:type="dxa"/>
            <w:vAlign w:val="bottom"/>
          </w:tcPr>
          <w:p>
            <w:pPr>
              <w:spacing w:after="0"/>
              <w:rPr>
                <w:sz w:val="24"/>
                <w:szCs w:val="24"/>
                <w:color w:val="auto"/>
              </w:rPr>
            </w:pPr>
          </w:p>
        </w:tc>
      </w:tr>
      <w:tr>
        <w:trPr>
          <w:trHeight w:val="171"/>
        </w:trPr>
        <w:tc>
          <w:tcPr>
            <w:tcW w:w="640" w:type="dxa"/>
            <w:vAlign w:val="bottom"/>
          </w:tcPr>
          <w:p>
            <w:pPr>
              <w:spacing w:after="0"/>
              <w:rPr>
                <w:sz w:val="20"/>
                <w:szCs w:val="20"/>
                <w:color w:val="auto"/>
              </w:rPr>
            </w:pPr>
            <w:r>
              <w:rPr>
                <w:rFonts w:ascii="Arial" w:cs="Arial" w:eastAsia="Arial" w:hAnsi="Arial"/>
                <w:sz w:val="13"/>
                <w:szCs w:val="13"/>
                <w:color w:val="auto"/>
              </w:rPr>
              <w:t>99.1</w:t>
            </w:r>
          </w:p>
        </w:tc>
        <w:tc>
          <w:tcPr>
            <w:tcW w:w="800" w:type="dxa"/>
            <w:vAlign w:val="bottom"/>
          </w:tcPr>
          <w:p>
            <w:pPr>
              <w:spacing w:after="0"/>
              <w:rPr>
                <w:sz w:val="14"/>
                <w:szCs w:val="14"/>
                <w:color w:val="auto"/>
              </w:rPr>
            </w:pPr>
          </w:p>
        </w:tc>
        <w:tc>
          <w:tcPr>
            <w:tcW w:w="7280" w:type="dxa"/>
            <w:vAlign w:val="bottom"/>
            <w:gridSpan w:val="2"/>
          </w:tcPr>
          <w:p>
            <w:pPr>
              <w:spacing w:after="0"/>
              <w:rPr>
                <w:sz w:val="20"/>
                <w:szCs w:val="20"/>
                <w:color w:val="auto"/>
              </w:rPr>
            </w:pPr>
            <w:r>
              <w:rPr>
                <w:rFonts w:ascii="Arial" w:cs="Arial" w:eastAsia="Arial" w:hAnsi="Arial"/>
                <w:sz w:val="13"/>
                <w:szCs w:val="13"/>
                <w:color w:val="auto"/>
                <w:w w:val="86"/>
              </w:rPr>
              <w:t>Unaudited Condensed Consolidated Financial Statements as of June 30, 2023 and for the Three and Six months ended June 30, 2023 and 2022.</w:t>
            </w:r>
          </w:p>
        </w:tc>
      </w:tr>
      <w:tr>
        <w:trPr>
          <w:trHeight w:val="162"/>
        </w:trPr>
        <w:tc>
          <w:tcPr>
            <w:tcW w:w="1440" w:type="dxa"/>
            <w:vAlign w:val="bottom"/>
            <w:gridSpan w:val="2"/>
          </w:tcPr>
          <w:p>
            <w:pPr>
              <w:spacing w:after="0"/>
              <w:rPr>
                <w:sz w:val="20"/>
                <w:szCs w:val="20"/>
                <w:color w:val="auto"/>
              </w:rPr>
            </w:pPr>
            <w:r>
              <w:rPr>
                <w:rFonts w:ascii="Arial" w:cs="Arial" w:eastAsia="Arial" w:hAnsi="Arial"/>
                <w:sz w:val="13"/>
                <w:szCs w:val="13"/>
                <w:color w:val="auto"/>
              </w:rPr>
              <w:t>101.INS</w:t>
            </w:r>
          </w:p>
        </w:tc>
        <w:tc>
          <w:tcPr>
            <w:tcW w:w="7280" w:type="dxa"/>
            <w:vAlign w:val="bottom"/>
            <w:gridSpan w:val="2"/>
          </w:tcPr>
          <w:p>
            <w:pPr>
              <w:spacing w:after="0"/>
              <w:rPr>
                <w:sz w:val="20"/>
                <w:szCs w:val="20"/>
                <w:color w:val="auto"/>
              </w:rPr>
            </w:pPr>
            <w:r>
              <w:rPr>
                <w:rFonts w:ascii="Arial" w:cs="Arial" w:eastAsia="Arial" w:hAnsi="Arial"/>
                <w:sz w:val="13"/>
                <w:szCs w:val="13"/>
                <w:color w:val="auto"/>
              </w:rPr>
              <w:t>XBRL Instance Document.</w:t>
            </w:r>
          </w:p>
        </w:tc>
      </w:tr>
      <w:tr>
        <w:trPr>
          <w:trHeight w:val="162"/>
        </w:trPr>
        <w:tc>
          <w:tcPr>
            <w:tcW w:w="1440" w:type="dxa"/>
            <w:vAlign w:val="bottom"/>
            <w:gridSpan w:val="2"/>
          </w:tcPr>
          <w:p>
            <w:pPr>
              <w:spacing w:after="0"/>
              <w:rPr>
                <w:sz w:val="20"/>
                <w:szCs w:val="20"/>
                <w:color w:val="auto"/>
              </w:rPr>
            </w:pPr>
            <w:r>
              <w:rPr>
                <w:rFonts w:ascii="Arial" w:cs="Arial" w:eastAsia="Arial" w:hAnsi="Arial"/>
                <w:sz w:val="13"/>
                <w:szCs w:val="13"/>
                <w:color w:val="auto"/>
              </w:rPr>
              <w:t>101.SCH</w:t>
            </w:r>
          </w:p>
        </w:tc>
        <w:tc>
          <w:tcPr>
            <w:tcW w:w="7280" w:type="dxa"/>
            <w:vAlign w:val="bottom"/>
            <w:gridSpan w:val="2"/>
          </w:tcPr>
          <w:p>
            <w:pPr>
              <w:spacing w:after="0"/>
              <w:rPr>
                <w:sz w:val="20"/>
                <w:szCs w:val="20"/>
                <w:color w:val="auto"/>
              </w:rPr>
            </w:pPr>
            <w:r>
              <w:rPr>
                <w:rFonts w:ascii="Arial" w:cs="Arial" w:eastAsia="Arial" w:hAnsi="Arial"/>
                <w:sz w:val="13"/>
                <w:szCs w:val="13"/>
                <w:color w:val="auto"/>
              </w:rPr>
              <w:t>XBRL Taxonomy Extension Schema Document.</w:t>
            </w:r>
          </w:p>
        </w:tc>
      </w:tr>
      <w:tr>
        <w:trPr>
          <w:trHeight w:val="162"/>
        </w:trPr>
        <w:tc>
          <w:tcPr>
            <w:tcW w:w="1440" w:type="dxa"/>
            <w:vAlign w:val="bottom"/>
            <w:gridSpan w:val="2"/>
          </w:tcPr>
          <w:p>
            <w:pPr>
              <w:spacing w:after="0"/>
              <w:rPr>
                <w:sz w:val="20"/>
                <w:szCs w:val="20"/>
                <w:color w:val="auto"/>
              </w:rPr>
            </w:pPr>
            <w:r>
              <w:rPr>
                <w:rFonts w:ascii="Arial" w:cs="Arial" w:eastAsia="Arial" w:hAnsi="Arial"/>
                <w:sz w:val="13"/>
                <w:szCs w:val="13"/>
                <w:color w:val="auto"/>
              </w:rPr>
              <w:t>101.CAL</w:t>
            </w:r>
          </w:p>
        </w:tc>
        <w:tc>
          <w:tcPr>
            <w:tcW w:w="7280" w:type="dxa"/>
            <w:vAlign w:val="bottom"/>
            <w:gridSpan w:val="2"/>
          </w:tcPr>
          <w:p>
            <w:pPr>
              <w:spacing w:after="0"/>
              <w:rPr>
                <w:sz w:val="20"/>
                <w:szCs w:val="20"/>
                <w:color w:val="auto"/>
              </w:rPr>
            </w:pPr>
            <w:r>
              <w:rPr>
                <w:rFonts w:ascii="Arial" w:cs="Arial" w:eastAsia="Arial" w:hAnsi="Arial"/>
                <w:sz w:val="13"/>
                <w:szCs w:val="13"/>
                <w:color w:val="auto"/>
              </w:rPr>
              <w:t>XBRL Taxonomy Extension Calculation Linkbase Document.</w:t>
            </w:r>
          </w:p>
        </w:tc>
      </w:tr>
      <w:tr>
        <w:trPr>
          <w:trHeight w:val="162"/>
        </w:trPr>
        <w:tc>
          <w:tcPr>
            <w:tcW w:w="1440" w:type="dxa"/>
            <w:vAlign w:val="bottom"/>
            <w:gridSpan w:val="2"/>
          </w:tcPr>
          <w:p>
            <w:pPr>
              <w:spacing w:after="0"/>
              <w:rPr>
                <w:sz w:val="20"/>
                <w:szCs w:val="20"/>
                <w:color w:val="auto"/>
              </w:rPr>
            </w:pPr>
            <w:r>
              <w:rPr>
                <w:rFonts w:ascii="Arial" w:cs="Arial" w:eastAsia="Arial" w:hAnsi="Arial"/>
                <w:sz w:val="13"/>
                <w:szCs w:val="13"/>
                <w:color w:val="auto"/>
              </w:rPr>
              <w:t>101.DEF</w:t>
            </w:r>
          </w:p>
        </w:tc>
        <w:tc>
          <w:tcPr>
            <w:tcW w:w="7280" w:type="dxa"/>
            <w:vAlign w:val="bottom"/>
            <w:gridSpan w:val="2"/>
          </w:tcPr>
          <w:p>
            <w:pPr>
              <w:spacing w:after="0"/>
              <w:rPr>
                <w:sz w:val="20"/>
                <w:szCs w:val="20"/>
                <w:color w:val="auto"/>
              </w:rPr>
            </w:pPr>
            <w:r>
              <w:rPr>
                <w:rFonts w:ascii="Arial" w:cs="Arial" w:eastAsia="Arial" w:hAnsi="Arial"/>
                <w:sz w:val="13"/>
                <w:szCs w:val="13"/>
                <w:color w:val="auto"/>
              </w:rPr>
              <w:t>XBRL Taxonomy Extension Definition Linkbase Document.</w:t>
            </w:r>
          </w:p>
        </w:tc>
      </w:tr>
      <w:tr>
        <w:trPr>
          <w:trHeight w:val="162"/>
        </w:trPr>
        <w:tc>
          <w:tcPr>
            <w:tcW w:w="1440" w:type="dxa"/>
            <w:vAlign w:val="bottom"/>
            <w:gridSpan w:val="2"/>
          </w:tcPr>
          <w:p>
            <w:pPr>
              <w:spacing w:after="0"/>
              <w:rPr>
                <w:sz w:val="20"/>
                <w:szCs w:val="20"/>
                <w:color w:val="auto"/>
              </w:rPr>
            </w:pPr>
            <w:r>
              <w:rPr>
                <w:rFonts w:ascii="Arial" w:cs="Arial" w:eastAsia="Arial" w:hAnsi="Arial"/>
                <w:sz w:val="13"/>
                <w:szCs w:val="13"/>
                <w:color w:val="auto"/>
              </w:rPr>
              <w:t>101.LAB</w:t>
            </w:r>
          </w:p>
        </w:tc>
        <w:tc>
          <w:tcPr>
            <w:tcW w:w="7280" w:type="dxa"/>
            <w:vAlign w:val="bottom"/>
            <w:gridSpan w:val="2"/>
          </w:tcPr>
          <w:p>
            <w:pPr>
              <w:spacing w:after="0"/>
              <w:rPr>
                <w:sz w:val="20"/>
                <w:szCs w:val="20"/>
                <w:color w:val="auto"/>
              </w:rPr>
            </w:pPr>
            <w:r>
              <w:rPr>
                <w:rFonts w:ascii="Arial" w:cs="Arial" w:eastAsia="Arial" w:hAnsi="Arial"/>
                <w:sz w:val="13"/>
                <w:szCs w:val="13"/>
                <w:color w:val="auto"/>
              </w:rPr>
              <w:t>XBRL Taxonomy Extension Label Linkbase Document.</w:t>
            </w:r>
          </w:p>
        </w:tc>
      </w:tr>
      <w:tr>
        <w:trPr>
          <w:trHeight w:val="162"/>
        </w:trPr>
        <w:tc>
          <w:tcPr>
            <w:tcW w:w="1440" w:type="dxa"/>
            <w:vAlign w:val="bottom"/>
            <w:gridSpan w:val="2"/>
          </w:tcPr>
          <w:p>
            <w:pPr>
              <w:spacing w:after="0"/>
              <w:rPr>
                <w:sz w:val="20"/>
                <w:szCs w:val="20"/>
                <w:color w:val="auto"/>
              </w:rPr>
            </w:pPr>
            <w:r>
              <w:rPr>
                <w:rFonts w:ascii="Arial" w:cs="Arial" w:eastAsia="Arial" w:hAnsi="Arial"/>
                <w:sz w:val="13"/>
                <w:szCs w:val="13"/>
                <w:color w:val="auto"/>
              </w:rPr>
              <w:t>101.PRE</w:t>
            </w:r>
          </w:p>
        </w:tc>
        <w:tc>
          <w:tcPr>
            <w:tcW w:w="7280" w:type="dxa"/>
            <w:vAlign w:val="bottom"/>
            <w:gridSpan w:val="2"/>
          </w:tcPr>
          <w:p>
            <w:pPr>
              <w:spacing w:after="0"/>
              <w:rPr>
                <w:sz w:val="20"/>
                <w:szCs w:val="20"/>
                <w:color w:val="auto"/>
              </w:rPr>
            </w:pPr>
            <w:r>
              <w:rPr>
                <w:rFonts w:ascii="Arial" w:cs="Arial" w:eastAsia="Arial" w:hAnsi="Arial"/>
                <w:sz w:val="13"/>
                <w:szCs w:val="13"/>
                <w:color w:val="auto"/>
              </w:rPr>
              <w:t>XBRL Taxonomy Extension Presentation Linkbase Document.</w:t>
            </w:r>
          </w:p>
        </w:tc>
      </w:tr>
    </w:tbl>
    <w:p>
      <w:pPr>
        <w:spacing w:after="0" w:line="1" w:lineRule="exact"/>
        <w:rPr>
          <w:sz w:val="20"/>
          <w:szCs w:val="20"/>
          <w:color w:val="auto"/>
        </w:rPr>
      </w:pPr>
    </w:p>
    <w:p>
      <w:pPr>
        <w:ind w:left="5620" w:right="4079" w:hanging="5611"/>
        <w:spacing w:after="0" w:line="935" w:lineRule="auto"/>
        <w:tabs>
          <w:tab w:leader="none" w:pos="1447" w:val="left"/>
        </w:tabs>
        <w:numPr>
          <w:ilvl w:val="0"/>
          <w:numId w:val="1"/>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contained in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-217170</wp:posOffset>
            </wp:positionV>
            <wp:extent cx="719772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0159"/>
          </w:cols>
          <w:pgMar w:left="300" w:top="622" w:right="1440" w:bottom="1440" w:gutter="0" w:footer="0" w:header="0"/>
        </w:sectPr>
      </w:pPr>
    </w:p>
    <w:bookmarkStart w:id="3" w:name="page4"/>
    <w:bookmarkEnd w:id="3"/>
    <w:p>
      <w:pPr>
        <w:ind w:left="5260"/>
        <w:spacing w:after="0"/>
        <w:rPr>
          <w:sz w:val="20"/>
          <w:szCs w:val="20"/>
          <w:color w:val="auto"/>
        </w:rPr>
      </w:pPr>
      <w:r>
        <w:rPr>
          <w:rFonts w:ascii="Arial" w:cs="Arial" w:eastAsia="Arial" w:hAnsi="Arial"/>
          <w:sz w:val="13"/>
          <w:szCs w:val="13"/>
          <w:color w:val="auto"/>
        </w:rPr>
        <w:t>SIGNATURES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620"/>
        <w:spacing w:after="0"/>
        <w:rPr>
          <w:sz w:val="20"/>
          <w:szCs w:val="20"/>
          <w:color w:val="auto"/>
        </w:rPr>
      </w:pPr>
      <w:r>
        <w:rPr>
          <w:rFonts w:ascii="Arial" w:cs="Arial" w:eastAsia="Arial" w:hAnsi="Arial"/>
          <w:sz w:val="13"/>
          <w:szCs w:val="13"/>
          <w:color w:val="auto"/>
        </w:rPr>
        <w:t>POLESTAR AUTOMOTIVE HOLDING UK PLC</w:t>
      </w:r>
    </w:p>
    <w:p>
      <w:pPr>
        <w:spacing w:after="0" w:line="156" w:lineRule="exact"/>
        <w:rPr>
          <w:sz w:val="20"/>
          <w:szCs w:val="20"/>
          <w:color w:val="auto"/>
        </w:rPr>
      </w:pPr>
    </w:p>
    <w:p>
      <w:pPr>
        <w:ind w:left="3620"/>
        <w:spacing w:after="0"/>
        <w:rPr>
          <w:sz w:val="20"/>
          <w:szCs w:val="20"/>
          <w:color w:val="auto"/>
        </w:rPr>
      </w:pPr>
      <w:r>
        <w:rPr>
          <w:rFonts w:ascii="Arial" w:cs="Arial" w:eastAsia="Arial" w:hAnsi="Arial"/>
          <w:sz w:val="13"/>
          <w:szCs w:val="13"/>
          <w:color w:val="auto"/>
        </w:rPr>
        <w:t>Date: September 14, 2023</w:t>
      </w:r>
    </w:p>
    <w:p>
      <w:pPr>
        <w:spacing w:after="0" w:line="156" w:lineRule="exact"/>
        <w:rPr>
          <w:sz w:val="20"/>
          <w:szCs w:val="20"/>
          <w:color w:val="auto"/>
        </w:rPr>
      </w:pPr>
    </w:p>
    <w:p>
      <w:pPr>
        <w:ind w:left="3620"/>
        <w:spacing w:after="0"/>
        <w:tabs>
          <w:tab w:leader="none" w:pos="39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/s/ Thomas Ingenlath</w:t>
      </w:r>
    </w:p>
    <w:p>
      <w:pPr>
        <w:ind w:left="3620"/>
        <w:spacing w:after="0" w:line="235" w:lineRule="auto"/>
        <w:rPr>
          <w:sz w:val="20"/>
          <w:szCs w:val="20"/>
          <w:color w:val="auto"/>
        </w:rPr>
      </w:pPr>
      <w:r>
        <w:rPr>
          <w:rFonts w:ascii="Arial" w:cs="Arial" w:eastAsia="Arial" w:hAnsi="Arial"/>
          <w:sz w:val="13"/>
          <w:szCs w:val="13"/>
          <w:color w:val="auto"/>
        </w:rPr>
        <w:t>Name: Thomas Ingenlath</w:t>
      </w:r>
    </w:p>
    <w:p>
      <w:pPr>
        <w:ind w:left="3620"/>
        <w:spacing w:after="0"/>
        <w:tabs>
          <w:tab w:leader="none" w:pos="4020" w:val="left"/>
        </w:tabs>
        <w:rPr>
          <w:sz w:val="20"/>
          <w:szCs w:val="20"/>
          <w:color w:val="auto"/>
        </w:rPr>
      </w:pPr>
      <w:r>
        <w:rPr>
          <w:rFonts w:ascii="Arial" w:cs="Arial" w:eastAsia="Arial" w:hAnsi="Arial"/>
          <w:sz w:val="13"/>
          <w:szCs w:val="13"/>
          <w:color w:val="auto"/>
        </w:rPr>
        <w:t>Title:</w:t>
        <w:tab/>
        <w:t>Chief Executive Officer</w:t>
      </w:r>
    </w:p>
    <w:p>
      <w:pPr>
        <w:spacing w:after="0" w:line="146" w:lineRule="exact"/>
        <w:rPr>
          <w:sz w:val="20"/>
          <w:szCs w:val="20"/>
          <w:color w:val="auto"/>
        </w:rPr>
      </w:pPr>
    </w:p>
    <w:p>
      <w:pPr>
        <w:ind w:left="3620"/>
        <w:spacing w:after="0"/>
        <w:tabs>
          <w:tab w:leader="none" w:pos="39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/s/ Johan Malmqvist</w:t>
      </w:r>
    </w:p>
    <w:p>
      <w:pPr>
        <w:ind w:left="3620"/>
        <w:spacing w:after="0" w:line="219" w:lineRule="auto"/>
        <w:rPr>
          <w:sz w:val="20"/>
          <w:szCs w:val="20"/>
          <w:color w:val="auto"/>
        </w:rPr>
      </w:pPr>
      <w:r>
        <w:rPr>
          <w:rFonts w:ascii="Arial" w:cs="Arial" w:eastAsia="Arial" w:hAnsi="Arial"/>
          <w:sz w:val="13"/>
          <w:szCs w:val="13"/>
          <w:color w:val="auto"/>
        </w:rPr>
        <w:t>Name: Johan Malmqvist</w:t>
      </w:r>
    </w:p>
    <w:p>
      <w:pPr>
        <w:spacing w:after="0" w:line="1" w:lineRule="exact"/>
        <w:rPr>
          <w:sz w:val="20"/>
          <w:szCs w:val="20"/>
          <w:color w:val="auto"/>
        </w:rPr>
      </w:pPr>
    </w:p>
    <w:p>
      <w:pPr>
        <w:ind w:left="3620"/>
        <w:spacing w:after="0"/>
        <w:tabs>
          <w:tab w:leader="none" w:pos="4020" w:val="left"/>
        </w:tabs>
        <w:rPr>
          <w:sz w:val="20"/>
          <w:szCs w:val="20"/>
          <w:color w:val="auto"/>
        </w:rPr>
      </w:pPr>
      <w:r>
        <w:rPr>
          <w:rFonts w:ascii="Arial" w:cs="Arial" w:eastAsia="Arial" w:hAnsi="Arial"/>
          <w:sz w:val="13"/>
          <w:szCs w:val="13"/>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159"/>
          </w:cols>
          <w:pgMar w:left="300" w:top="626"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t>The Polestar Group</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Unaudited Condensed Consolidated Financial Statements as of June 30, 2023 and for the Three and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43180</wp:posOffset>
            </wp:positionV>
            <wp:extent cx="719772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9019"/>
          </w:cols>
          <w:pgMar w:left="1440" w:top="116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5"/>
        </w:trPr>
        <w:tc>
          <w:tcPr>
            <w:tcW w:w="9420" w:type="dxa"/>
            <w:vAlign w:val="bottom"/>
          </w:tcPr>
          <w:p>
            <w:pPr>
              <w:ind w:left="3180"/>
              <w:spacing w:after="0"/>
              <w:rPr>
                <w:sz w:val="20"/>
                <w:szCs w:val="20"/>
                <w:color w:val="auto"/>
              </w:rPr>
            </w:pPr>
            <w:r>
              <w:rPr>
                <w:rFonts w:ascii="Arial" w:cs="Arial" w:eastAsia="Arial" w:hAnsi="Arial"/>
                <w:sz w:val="13"/>
                <w:szCs w:val="13"/>
                <w:b w:val="1"/>
                <w:bCs w:val="1"/>
                <w:color w:val="auto"/>
              </w:rPr>
              <w:t>INDEX TO UNAUDITED CONDENSED CONSOLIDATED FINANCIAL STATEMENTS</w:t>
            </w:r>
          </w:p>
        </w:tc>
        <w:tc>
          <w:tcPr>
            <w:tcW w:w="1880" w:type="dxa"/>
            <w:vAlign w:val="bottom"/>
          </w:tcPr>
          <w:p>
            <w:pPr>
              <w:spacing w:after="0"/>
              <w:rPr>
                <w:sz w:val="14"/>
                <w:szCs w:val="14"/>
                <w:color w:val="auto"/>
              </w:rPr>
            </w:pPr>
          </w:p>
        </w:tc>
      </w:tr>
      <w:tr>
        <w:trPr>
          <w:trHeight w:val="343"/>
        </w:trPr>
        <w:tc>
          <w:tcPr>
            <w:tcW w:w="9420" w:type="dxa"/>
            <w:vAlign w:val="bottom"/>
          </w:tcPr>
          <w:p>
            <w:pPr>
              <w:spacing w:after="0"/>
              <w:rPr>
                <w:sz w:val="24"/>
                <w:szCs w:val="24"/>
                <w:color w:val="auto"/>
              </w:rPr>
            </w:pPr>
          </w:p>
        </w:tc>
        <w:tc>
          <w:tcPr>
            <w:tcW w:w="1880" w:type="dxa"/>
            <w:vAlign w:val="bottom"/>
          </w:tcPr>
          <w:p>
            <w:pPr>
              <w:jc w:val="right"/>
              <w:ind w:right="216"/>
              <w:spacing w:after="0"/>
              <w:rPr>
                <w:sz w:val="20"/>
                <w:szCs w:val="20"/>
                <w:color w:val="auto"/>
              </w:rPr>
            </w:pPr>
            <w:r>
              <w:rPr>
                <w:rFonts w:ascii="Arial" w:cs="Arial" w:eastAsia="Arial" w:hAnsi="Arial"/>
                <w:sz w:val="13"/>
                <w:szCs w:val="13"/>
                <w:b w:val="1"/>
                <w:bCs w:val="1"/>
                <w:color w:val="auto"/>
              </w:rPr>
              <w:t>Page</w:t>
            </w:r>
          </w:p>
        </w:tc>
      </w:tr>
      <w:tr>
        <w:trPr>
          <w:trHeight w:val="200"/>
        </w:trPr>
        <w:tc>
          <w:tcPr>
            <w:tcW w:w="9420" w:type="dxa"/>
            <w:vAlign w:val="bottom"/>
          </w:tcPr>
          <w:p>
            <w:pPr>
              <w:spacing w:after="0"/>
              <w:rPr>
                <w:sz w:val="20"/>
                <w:szCs w:val="20"/>
                <w:color w:val="auto"/>
              </w:rPr>
            </w:pPr>
            <w:r>
              <w:rPr>
                <w:rFonts w:ascii="Arial" w:cs="Arial" w:eastAsia="Arial" w:hAnsi="Arial"/>
                <w:sz w:val="13"/>
                <w:szCs w:val="13"/>
                <w:color w:val="auto"/>
              </w:rPr>
              <w:t>Unaudited Condensed Consolidated Statement of Loss and Comprehensive Loss for the Three and Six months ended June 30, 2023 and 2022</w:t>
            </w:r>
          </w:p>
        </w:tc>
        <w:tc>
          <w:tcPr>
            <w:tcW w:w="1880" w:type="dxa"/>
            <w:vAlign w:val="bottom"/>
          </w:tcPr>
          <w:p>
            <w:pPr>
              <w:jc w:val="right"/>
              <w:ind w:right="216"/>
              <w:spacing w:after="0"/>
              <w:rPr>
                <w:sz w:val="20"/>
                <w:szCs w:val="20"/>
                <w:color w:val="auto"/>
              </w:rPr>
            </w:pPr>
            <w:r>
              <w:rPr>
                <w:rFonts w:ascii="Arial" w:cs="Arial" w:eastAsia="Arial" w:hAnsi="Arial"/>
                <w:sz w:val="13"/>
                <w:szCs w:val="13"/>
                <w:color w:val="auto"/>
              </w:rPr>
              <w:t>3</w:t>
            </w:r>
          </w:p>
        </w:tc>
      </w:tr>
      <w:tr>
        <w:trPr>
          <w:trHeight w:val="210"/>
        </w:trPr>
        <w:tc>
          <w:tcPr>
            <w:tcW w:w="9420" w:type="dxa"/>
            <w:vAlign w:val="bottom"/>
          </w:tcPr>
          <w:p>
            <w:pPr>
              <w:spacing w:after="0"/>
              <w:rPr>
                <w:sz w:val="20"/>
                <w:szCs w:val="20"/>
                <w:color w:val="auto"/>
              </w:rPr>
            </w:pPr>
            <w:r>
              <w:rPr>
                <w:rFonts w:ascii="Arial" w:cs="Arial" w:eastAsia="Arial" w:hAnsi="Arial"/>
                <w:sz w:val="13"/>
                <w:szCs w:val="13"/>
                <w:color w:val="auto"/>
              </w:rPr>
              <w:t>Unaudited Condensed Consolidated Statement of Financial Position as of June 30, 2023 and December 31, 2022</w:t>
            </w:r>
          </w:p>
        </w:tc>
        <w:tc>
          <w:tcPr>
            <w:tcW w:w="1880" w:type="dxa"/>
            <w:vAlign w:val="bottom"/>
          </w:tcPr>
          <w:p>
            <w:pPr>
              <w:jc w:val="right"/>
              <w:ind w:right="216"/>
              <w:spacing w:after="0"/>
              <w:rPr>
                <w:sz w:val="20"/>
                <w:szCs w:val="20"/>
                <w:color w:val="auto"/>
              </w:rPr>
            </w:pPr>
            <w:r>
              <w:rPr>
                <w:rFonts w:ascii="Arial" w:cs="Arial" w:eastAsia="Arial" w:hAnsi="Arial"/>
                <w:sz w:val="13"/>
                <w:szCs w:val="13"/>
                <w:color w:val="auto"/>
              </w:rPr>
              <w:t>4</w:t>
            </w:r>
          </w:p>
        </w:tc>
      </w:tr>
      <w:tr>
        <w:trPr>
          <w:trHeight w:val="210"/>
        </w:trPr>
        <w:tc>
          <w:tcPr>
            <w:tcW w:w="9420" w:type="dxa"/>
            <w:vAlign w:val="bottom"/>
          </w:tcPr>
          <w:p>
            <w:pPr>
              <w:spacing w:after="0"/>
              <w:rPr>
                <w:sz w:val="20"/>
                <w:szCs w:val="20"/>
                <w:color w:val="auto"/>
              </w:rPr>
            </w:pPr>
            <w:r>
              <w:rPr>
                <w:rFonts w:ascii="Arial" w:cs="Arial" w:eastAsia="Arial" w:hAnsi="Arial"/>
                <w:sz w:val="13"/>
                <w:szCs w:val="13"/>
                <w:color w:val="auto"/>
              </w:rPr>
              <w:t>Unaudited Condensed Consolidated Statement of Cash Flows for the Six months ended June 30, 2023 and 2022</w:t>
            </w:r>
          </w:p>
        </w:tc>
        <w:tc>
          <w:tcPr>
            <w:tcW w:w="1880" w:type="dxa"/>
            <w:vAlign w:val="bottom"/>
          </w:tcPr>
          <w:p>
            <w:pPr>
              <w:jc w:val="right"/>
              <w:ind w:right="216"/>
              <w:spacing w:after="0"/>
              <w:rPr>
                <w:sz w:val="20"/>
                <w:szCs w:val="20"/>
                <w:color w:val="auto"/>
              </w:rPr>
            </w:pPr>
            <w:r>
              <w:rPr>
                <w:rFonts w:ascii="Arial" w:cs="Arial" w:eastAsia="Arial" w:hAnsi="Arial"/>
                <w:sz w:val="13"/>
                <w:szCs w:val="13"/>
                <w:color w:val="auto"/>
              </w:rPr>
              <w:t>5</w:t>
            </w:r>
          </w:p>
        </w:tc>
      </w:tr>
      <w:tr>
        <w:trPr>
          <w:trHeight w:val="210"/>
        </w:trPr>
        <w:tc>
          <w:tcPr>
            <w:tcW w:w="9420" w:type="dxa"/>
            <w:vAlign w:val="bottom"/>
          </w:tcPr>
          <w:p>
            <w:pPr>
              <w:spacing w:after="0"/>
              <w:rPr>
                <w:sz w:val="20"/>
                <w:szCs w:val="20"/>
                <w:color w:val="auto"/>
              </w:rPr>
            </w:pPr>
            <w:r>
              <w:rPr>
                <w:rFonts w:ascii="Arial" w:cs="Arial" w:eastAsia="Arial" w:hAnsi="Arial"/>
                <w:sz w:val="13"/>
                <w:szCs w:val="13"/>
                <w:color w:val="auto"/>
              </w:rPr>
              <w:t>Unaudited Condensed Consolidated Statement of Changes in Equity for the Six months ended June 30, 2023 and 2022</w:t>
            </w:r>
          </w:p>
        </w:tc>
        <w:tc>
          <w:tcPr>
            <w:tcW w:w="1880" w:type="dxa"/>
            <w:vAlign w:val="bottom"/>
          </w:tcPr>
          <w:p>
            <w:pPr>
              <w:jc w:val="right"/>
              <w:ind w:right="216"/>
              <w:spacing w:after="0"/>
              <w:rPr>
                <w:sz w:val="20"/>
                <w:szCs w:val="20"/>
                <w:color w:val="auto"/>
              </w:rPr>
            </w:pPr>
            <w:r>
              <w:rPr>
                <w:rFonts w:ascii="Arial" w:cs="Arial" w:eastAsia="Arial" w:hAnsi="Arial"/>
                <w:sz w:val="13"/>
                <w:szCs w:val="13"/>
                <w:color w:val="auto"/>
              </w:rPr>
              <w:t>6</w:t>
            </w:r>
          </w:p>
        </w:tc>
      </w:tr>
      <w:tr>
        <w:trPr>
          <w:trHeight w:val="210"/>
        </w:trPr>
        <w:tc>
          <w:tcPr>
            <w:tcW w:w="9420" w:type="dxa"/>
            <w:vAlign w:val="bottom"/>
          </w:tcPr>
          <w:p>
            <w:pPr>
              <w:spacing w:after="0"/>
              <w:rPr>
                <w:sz w:val="20"/>
                <w:szCs w:val="20"/>
                <w:color w:val="auto"/>
              </w:rPr>
            </w:pPr>
            <w:r>
              <w:rPr>
                <w:rFonts w:ascii="Arial" w:cs="Arial" w:eastAsia="Arial" w:hAnsi="Arial"/>
                <w:sz w:val="13"/>
                <w:szCs w:val="13"/>
                <w:color w:val="auto"/>
              </w:rPr>
              <w:t>Notes to Unaudited Condensed Consolidated Financial Statements</w:t>
            </w:r>
          </w:p>
        </w:tc>
        <w:tc>
          <w:tcPr>
            <w:tcW w:w="1880" w:type="dxa"/>
            <w:vAlign w:val="bottom"/>
          </w:tcPr>
          <w:p>
            <w:pPr>
              <w:jc w:val="right"/>
              <w:ind w:right="216"/>
              <w:spacing w:after="0"/>
              <w:rPr>
                <w:sz w:val="20"/>
                <w:szCs w:val="20"/>
                <w:color w:val="auto"/>
              </w:rPr>
            </w:pPr>
            <w:r>
              <w:rPr>
                <w:rFonts w:ascii="Arial" w:cs="Arial" w:eastAsia="Arial" w:hAnsi="Arial"/>
                <w:sz w:val="13"/>
                <w:szCs w:val="13"/>
                <w:color w:val="auto"/>
              </w:rPr>
              <w:t>7 - 19</w:t>
            </w:r>
          </w:p>
        </w:tc>
      </w:tr>
      <w:tr>
        <w:trPr>
          <w:trHeight w:val="810"/>
        </w:trPr>
        <w:tc>
          <w:tcPr>
            <w:tcW w:w="9420" w:type="dxa"/>
            <w:vAlign w:val="bottom"/>
          </w:tcPr>
          <w:p>
            <w:pPr>
              <w:ind w:left="5620"/>
              <w:spacing w:after="0"/>
              <w:rPr>
                <w:sz w:val="20"/>
                <w:szCs w:val="20"/>
                <w:color w:val="auto"/>
              </w:rPr>
            </w:pPr>
            <w:r>
              <w:rPr>
                <w:rFonts w:ascii="Arial" w:cs="Arial" w:eastAsia="Arial" w:hAnsi="Arial"/>
                <w:sz w:val="13"/>
                <w:szCs w:val="13"/>
                <w:color w:val="auto"/>
              </w:rPr>
              <w:t>2</w:t>
            </w:r>
          </w:p>
        </w:tc>
        <w:tc>
          <w:tcPr>
            <w:tcW w:w="1880" w:type="dxa"/>
            <w:vAlign w:val="bottom"/>
          </w:tcPr>
          <w:p>
            <w:pPr>
              <w:spacing w:after="0"/>
              <w:rPr>
                <w:sz w:val="24"/>
                <w:szCs w:val="24"/>
                <w:color w:val="auto"/>
              </w:rPr>
            </w:pPr>
          </w:p>
        </w:tc>
      </w:tr>
      <w:tr>
        <w:trPr>
          <w:trHeight w:val="76"/>
        </w:trPr>
        <w:tc>
          <w:tcPr>
            <w:tcW w:w="942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-24130</wp:posOffset>
            </wp:positionV>
            <wp:extent cx="3175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6" w:name="page7"/>
    <w:bookmarkEnd w:id="6"/>
    <w:p>
      <w:pPr>
        <w:ind w:left="4500"/>
        <w:spacing w:after="0"/>
        <w:rPr>
          <w:sz w:val="20"/>
          <w:szCs w:val="20"/>
          <w:color w:val="auto"/>
        </w:rPr>
      </w:pPr>
      <w:r>
        <w:rPr>
          <w:rFonts w:ascii="Arial" w:cs="Arial" w:eastAsia="Arial" w:hAnsi="Arial"/>
          <w:sz w:val="13"/>
          <w:szCs w:val="13"/>
          <w:color w:val="auto"/>
        </w:rPr>
        <w:t>Polestar Automotive Holding UK PLC</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Unaudited Condensed Consolidated Statement of Loss and Comprehensive Loss</w:t>
      </w:r>
    </w:p>
    <w:p>
      <w:pPr>
        <w:spacing w:after="0" w:line="3" w:lineRule="exact"/>
        <w:rPr>
          <w:sz w:val="20"/>
          <w:szCs w:val="20"/>
          <w:color w:val="auto"/>
        </w:rPr>
      </w:pPr>
    </w:p>
    <w:p>
      <w:pPr>
        <w:ind w:left="3260"/>
        <w:spacing w:after="0"/>
        <w:rPr>
          <w:sz w:val="20"/>
          <w:szCs w:val="20"/>
          <w:color w:val="auto"/>
        </w:rPr>
      </w:pPr>
      <w:r>
        <w:rPr>
          <w:rFonts w:ascii="Arial" w:cs="Arial" w:eastAsia="Arial" w:hAnsi="Arial"/>
          <w:sz w:val="13"/>
          <w:szCs w:val="13"/>
          <w:color w:val="auto"/>
        </w:rPr>
        <w:t>(in thousands of U.S. dollars except per share data and unless otherwise stated)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Consolidated Statement of Loss</w:t>
            </w:r>
          </w:p>
        </w:tc>
        <w:tc>
          <w:tcPr>
            <w:tcW w:w="500" w:type="dxa"/>
            <w:vAlign w:val="bottom"/>
            <w:tcBorders>
              <w:bottom w:val="single" w:sz="8" w:color="DBDBDB"/>
            </w:tcBorders>
            <w:shd w:val="clear" w:color="auto" w:fill="DBDBDB"/>
          </w:tcPr>
          <w:p>
            <w:pPr>
              <w:spacing w:after="0"/>
              <w:rPr>
                <w:sz w:val="18"/>
                <w:szCs w:val="18"/>
                <w:color w:val="auto"/>
              </w:rPr>
            </w:pPr>
          </w:p>
        </w:tc>
        <w:tc>
          <w:tcPr>
            <w:tcW w:w="244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3"/>
                <w:szCs w:val="13"/>
                <w:b w:val="1"/>
                <w:bCs w:val="1"/>
                <w:color w:val="auto"/>
                <w:w w:val="98"/>
              </w:rPr>
              <w:t>For the three months ended June 30,</w:t>
            </w:r>
          </w:p>
        </w:tc>
        <w:tc>
          <w:tcPr>
            <w:tcW w:w="2340" w:type="dxa"/>
            <w:vAlign w:val="bottom"/>
            <w:tcBorders>
              <w:bottom w:val="single" w:sz="8" w:color="DBDBDB"/>
            </w:tcBorders>
            <w:gridSpan w:val="2"/>
            <w:shd w:val="clear" w:color="auto" w:fill="DBDBDB"/>
          </w:tcPr>
          <w:p>
            <w:pPr>
              <w:jc w:val="right"/>
              <w:ind w:right="176"/>
              <w:spacing w:after="0"/>
              <w:rPr>
                <w:sz w:val="20"/>
                <w:szCs w:val="20"/>
                <w:color w:val="auto"/>
              </w:rPr>
            </w:pPr>
            <w:r>
              <w:rPr>
                <w:rFonts w:ascii="Arial" w:cs="Arial" w:eastAsia="Arial" w:hAnsi="Arial"/>
                <w:sz w:val="13"/>
                <w:szCs w:val="13"/>
                <w:b w:val="1"/>
                <w:bCs w:val="1"/>
                <w:color w:val="auto"/>
                <w:w w:val="97"/>
              </w:rPr>
              <w:t>For the six months ended June 30,</w:t>
            </w:r>
          </w:p>
        </w:tc>
      </w:tr>
      <w:tr>
        <w:trPr>
          <w:trHeight w:val="171"/>
        </w:trPr>
        <w:tc>
          <w:tcPr>
            <w:tcW w:w="5240" w:type="dxa"/>
            <w:vAlign w:val="bottom"/>
          </w:tcPr>
          <w:p>
            <w:pPr>
              <w:spacing w:after="0"/>
              <w:rPr>
                <w:sz w:val="14"/>
                <w:szCs w:val="14"/>
                <w:color w:val="auto"/>
              </w:rPr>
            </w:pPr>
          </w:p>
        </w:tc>
        <w:tc>
          <w:tcPr>
            <w:tcW w:w="5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Note</w:t>
            </w:r>
          </w:p>
        </w:tc>
        <w:tc>
          <w:tcPr>
            <w:tcW w:w="1400" w:type="dxa"/>
            <w:vAlign w:val="bottom"/>
            <w:tcBorders>
              <w:top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2023</w:t>
            </w:r>
          </w:p>
        </w:tc>
        <w:tc>
          <w:tcPr>
            <w:tcW w:w="960" w:type="dxa"/>
            <w:vAlign w:val="bottom"/>
            <w:tcBorders>
              <w:top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1380" w:type="dxa"/>
            <w:vAlign w:val="bottom"/>
            <w:tcBorders>
              <w:top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2023</w:t>
            </w:r>
          </w:p>
        </w:tc>
        <w:tc>
          <w:tcPr>
            <w:tcW w:w="960" w:type="dxa"/>
            <w:vAlign w:val="bottom"/>
            <w:tcBorders>
              <w:top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29"/>
        </w:trPr>
        <w:tc>
          <w:tcPr>
            <w:tcW w:w="5240" w:type="dxa"/>
            <w:vAlign w:val="bottom"/>
            <w:tcBorders>
              <w:bottom w:val="single" w:sz="8" w:color="DBDBDB"/>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9"/>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Revenue</w:t>
            </w:r>
          </w:p>
        </w:tc>
        <w:tc>
          <w:tcPr>
            <w:tcW w:w="50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2</w:t>
            </w: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685,247</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589,070</w:t>
            </w:r>
          </w:p>
        </w:tc>
        <w:tc>
          <w:tcPr>
            <w:tcW w:w="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ind w:right="196"/>
              <w:spacing w:after="0"/>
              <w:rPr>
                <w:sz w:val="20"/>
                <w:szCs w:val="20"/>
                <w:color w:val="auto"/>
              </w:rPr>
            </w:pPr>
            <w:r>
              <w:rPr>
                <w:rFonts w:ascii="Arial" w:cs="Arial" w:eastAsia="Arial" w:hAnsi="Arial"/>
                <w:sz w:val="13"/>
                <w:szCs w:val="13"/>
                <w:color w:val="auto"/>
              </w:rPr>
              <w:t>1,231,265</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1,041,297</w:t>
            </w:r>
          </w:p>
        </w:tc>
      </w:tr>
      <w:tr>
        <w:trPr>
          <w:trHeight w:val="181"/>
        </w:trPr>
        <w:tc>
          <w:tcPr>
            <w:tcW w:w="524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500" w:type="dxa"/>
            <w:vAlign w:val="bottom"/>
          </w:tcPr>
          <w:p>
            <w:pPr>
              <w:spacing w:after="0"/>
              <w:rPr>
                <w:sz w:val="15"/>
                <w:szCs w:val="15"/>
                <w:color w:val="auto"/>
              </w:rPr>
            </w:pPr>
          </w:p>
        </w:tc>
        <w:tc>
          <w:tcPr>
            <w:tcW w:w="1400" w:type="dxa"/>
            <w:vAlign w:val="bottom"/>
          </w:tcPr>
          <w:p>
            <w:pPr>
              <w:jc w:val="right"/>
              <w:ind w:right="176"/>
              <w:spacing w:after="0"/>
              <w:rPr>
                <w:sz w:val="20"/>
                <w:szCs w:val="20"/>
                <w:color w:val="auto"/>
              </w:rPr>
            </w:pPr>
            <w:r>
              <w:rPr>
                <w:rFonts w:ascii="Arial" w:cs="Arial" w:eastAsia="Arial" w:hAnsi="Arial"/>
                <w:sz w:val="13"/>
                <w:szCs w:val="13"/>
                <w:color w:val="auto"/>
              </w:rPr>
              <w:t>(686,057)</w:t>
            </w:r>
          </w:p>
        </w:tc>
        <w:tc>
          <w:tcPr>
            <w:tcW w:w="960" w:type="dxa"/>
            <w:vAlign w:val="bottom"/>
          </w:tcPr>
          <w:p>
            <w:pPr>
              <w:jc w:val="right"/>
              <w:spacing w:after="0"/>
              <w:rPr>
                <w:sz w:val="20"/>
                <w:szCs w:val="20"/>
                <w:color w:val="auto"/>
              </w:rPr>
            </w:pPr>
            <w:r>
              <w:rPr>
                <w:rFonts w:ascii="Arial" w:cs="Arial" w:eastAsia="Arial" w:hAnsi="Arial"/>
                <w:sz w:val="13"/>
                <w:szCs w:val="13"/>
                <w:color w:val="auto"/>
              </w:rPr>
              <w:t>(528,389)</w:t>
            </w:r>
          </w:p>
        </w:tc>
        <w:tc>
          <w:tcPr>
            <w:tcW w:w="80" w:type="dxa"/>
            <w:vAlign w:val="bottom"/>
          </w:tcPr>
          <w:p>
            <w:pPr>
              <w:spacing w:after="0"/>
              <w:rPr>
                <w:sz w:val="15"/>
                <w:szCs w:val="15"/>
                <w:color w:val="auto"/>
              </w:rPr>
            </w:pPr>
          </w:p>
        </w:tc>
        <w:tc>
          <w:tcPr>
            <w:tcW w:w="1380" w:type="dxa"/>
            <w:vAlign w:val="bottom"/>
          </w:tcPr>
          <w:p>
            <w:pPr>
              <w:jc w:val="right"/>
              <w:ind w:right="176"/>
              <w:spacing w:after="0"/>
              <w:rPr>
                <w:sz w:val="20"/>
                <w:szCs w:val="20"/>
                <w:color w:val="auto"/>
              </w:rPr>
            </w:pPr>
            <w:r>
              <w:rPr>
                <w:rFonts w:ascii="Arial" w:cs="Arial" w:eastAsia="Arial" w:hAnsi="Arial"/>
                <w:sz w:val="13"/>
                <w:szCs w:val="13"/>
                <w:color w:val="auto"/>
              </w:rPr>
              <w:t>(1,213,654)</w:t>
            </w:r>
          </w:p>
        </w:tc>
        <w:tc>
          <w:tcPr>
            <w:tcW w:w="960" w:type="dxa"/>
            <w:vAlign w:val="bottom"/>
          </w:tcPr>
          <w:p>
            <w:pPr>
              <w:jc w:val="right"/>
              <w:spacing w:after="0"/>
              <w:rPr>
                <w:sz w:val="20"/>
                <w:szCs w:val="20"/>
                <w:color w:val="auto"/>
              </w:rPr>
            </w:pPr>
            <w:r>
              <w:rPr>
                <w:rFonts w:ascii="Arial" w:cs="Arial" w:eastAsia="Arial" w:hAnsi="Arial"/>
                <w:sz w:val="13"/>
                <w:szCs w:val="13"/>
                <w:color w:val="auto"/>
              </w:rPr>
              <w:t>(987,881)</w:t>
            </w:r>
          </w:p>
        </w:tc>
      </w:tr>
      <w:tr>
        <w:trPr>
          <w:trHeight w:val="29"/>
        </w:trPr>
        <w:tc>
          <w:tcPr>
            <w:tcW w:w="5240" w:type="dxa"/>
            <w:vAlign w:val="bottom"/>
            <w:tcBorders>
              <w:bottom w:val="single" w:sz="8" w:color="DBDBDB"/>
            </w:tcBorders>
          </w:tcPr>
          <w:p>
            <w:pPr>
              <w:spacing w:after="0"/>
              <w:rPr>
                <w:sz w:val="2"/>
                <w:szCs w:val="2"/>
                <w:color w:val="auto"/>
              </w:rPr>
            </w:pPr>
          </w:p>
        </w:tc>
        <w:tc>
          <w:tcPr>
            <w:tcW w:w="5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9"/>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Gross profit/(loss)</w:t>
            </w:r>
          </w:p>
        </w:tc>
        <w:tc>
          <w:tcPr>
            <w:tcW w:w="500" w:type="dxa"/>
            <w:vAlign w:val="bottom"/>
            <w:tcBorders>
              <w:bottom w:val="single" w:sz="8" w:color="DBDBDB"/>
            </w:tcBorders>
            <w:shd w:val="clear" w:color="auto" w:fill="DBDBDB"/>
          </w:tcPr>
          <w:p>
            <w:pPr>
              <w:spacing w:after="0"/>
              <w:rPr>
                <w:sz w:val="17"/>
                <w:szCs w:val="17"/>
                <w:color w:val="auto"/>
              </w:rPr>
            </w:pPr>
          </w:p>
        </w:tc>
        <w:tc>
          <w:tcPr>
            <w:tcW w:w="140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b w:val="1"/>
                <w:bCs w:val="1"/>
                <w:color w:val="auto"/>
              </w:rPr>
              <w:t>(810)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60,681</w:t>
            </w:r>
          </w:p>
        </w:tc>
        <w:tc>
          <w:tcPr>
            <w:tcW w:w="8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96"/>
              <w:spacing w:after="0"/>
              <w:rPr>
                <w:sz w:val="20"/>
                <w:szCs w:val="20"/>
                <w:color w:val="auto"/>
              </w:rPr>
            </w:pPr>
            <w:r>
              <w:rPr>
                <w:rFonts w:ascii="Arial" w:cs="Arial" w:eastAsia="Arial" w:hAnsi="Arial"/>
                <w:sz w:val="13"/>
                <w:szCs w:val="13"/>
                <w:b w:val="1"/>
                <w:bCs w:val="1"/>
                <w:color w:val="auto"/>
              </w:rPr>
              <w:t>17,611</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53,416</w:t>
            </w:r>
          </w:p>
        </w:tc>
      </w:tr>
      <w:tr>
        <w:trPr>
          <w:trHeight w:val="171"/>
        </w:trPr>
        <w:tc>
          <w:tcPr>
            <w:tcW w:w="5240" w:type="dxa"/>
            <w:vAlign w:val="bottom"/>
          </w:tcPr>
          <w:p>
            <w:pPr>
              <w:ind w:left="20"/>
              <w:spacing w:after="0"/>
              <w:rPr>
                <w:sz w:val="20"/>
                <w:szCs w:val="20"/>
                <w:color w:val="auto"/>
              </w:rPr>
            </w:pPr>
            <w:r>
              <w:rPr>
                <w:rFonts w:ascii="Arial" w:cs="Arial" w:eastAsia="Arial" w:hAnsi="Arial"/>
                <w:sz w:val="13"/>
                <w:szCs w:val="13"/>
                <w:color w:val="auto"/>
              </w:rPr>
              <w:t>Selling, general and administrative expense</w:t>
            </w:r>
          </w:p>
        </w:tc>
        <w:tc>
          <w:tcPr>
            <w:tcW w:w="500" w:type="dxa"/>
            <w:vAlign w:val="bottom"/>
          </w:tcPr>
          <w:p>
            <w:pPr>
              <w:jc w:val="right"/>
              <w:ind w:right="276"/>
              <w:spacing w:after="0"/>
              <w:rPr>
                <w:sz w:val="20"/>
                <w:szCs w:val="20"/>
                <w:color w:val="auto"/>
              </w:rPr>
            </w:pPr>
            <w:r>
              <w:rPr>
                <w:rFonts w:ascii="Arial" w:cs="Arial" w:eastAsia="Arial" w:hAnsi="Arial"/>
                <w:sz w:val="13"/>
                <w:szCs w:val="13"/>
                <w:color w:val="auto"/>
              </w:rPr>
              <w:t>3</w:t>
            </w:r>
          </w:p>
        </w:tc>
        <w:tc>
          <w:tcPr>
            <w:tcW w:w="140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color w:val="auto"/>
              </w:rPr>
              <w:t>(259,627)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(234,227)</w:t>
            </w:r>
          </w:p>
        </w:tc>
        <w:tc>
          <w:tcPr>
            <w:tcW w:w="80" w:type="dxa"/>
            <w:vAlign w:val="bottom"/>
          </w:tcPr>
          <w:p>
            <w:pPr>
              <w:spacing w:after="0"/>
              <w:rPr>
                <w:sz w:val="14"/>
                <w:szCs w:val="14"/>
                <w:color w:val="auto"/>
              </w:rPr>
            </w:pPr>
          </w:p>
        </w:tc>
        <w:tc>
          <w:tcPr>
            <w:tcW w:w="138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color w:val="auto"/>
              </w:rPr>
              <w:t>(448,632)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(446,781)</w:t>
            </w:r>
          </w:p>
        </w:tc>
      </w:tr>
      <w:tr>
        <w:trPr>
          <w:trHeight w:val="29"/>
        </w:trPr>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Research and development expense</w:t>
            </w:r>
          </w:p>
        </w:tc>
        <w:tc>
          <w:tcPr>
            <w:tcW w:w="50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3</w:t>
            </w:r>
          </w:p>
        </w:tc>
        <w:tc>
          <w:tcPr>
            <w:tcW w:w="140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color w:val="auto"/>
              </w:rPr>
              <w:t>(45,610)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(66,670)</w:t>
            </w:r>
          </w:p>
        </w:tc>
        <w:tc>
          <w:tcPr>
            <w:tcW w:w="8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color w:val="auto"/>
              </w:rPr>
              <w:t>(81,311)</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(98,755)</w:t>
            </w:r>
          </w:p>
        </w:tc>
      </w:tr>
      <w:tr>
        <w:trPr>
          <w:trHeight w:val="181"/>
        </w:trPr>
        <w:tc>
          <w:tcPr>
            <w:tcW w:w="5240" w:type="dxa"/>
            <w:vAlign w:val="bottom"/>
          </w:tcPr>
          <w:p>
            <w:pPr>
              <w:ind w:left="20"/>
              <w:spacing w:after="0"/>
              <w:rPr>
                <w:sz w:val="20"/>
                <w:szCs w:val="20"/>
                <w:color w:val="auto"/>
              </w:rPr>
            </w:pPr>
            <w:r>
              <w:rPr>
                <w:rFonts w:ascii="Arial" w:cs="Arial" w:eastAsia="Arial" w:hAnsi="Arial"/>
                <w:sz w:val="13"/>
                <w:szCs w:val="13"/>
                <w:color w:val="auto"/>
              </w:rPr>
              <w:t>Other operating income (expense), net</w:t>
            </w:r>
          </w:p>
        </w:tc>
        <w:tc>
          <w:tcPr>
            <w:tcW w:w="500" w:type="dxa"/>
            <w:vAlign w:val="bottom"/>
          </w:tcPr>
          <w:p>
            <w:pPr>
              <w:spacing w:after="0"/>
              <w:rPr>
                <w:sz w:val="15"/>
                <w:szCs w:val="15"/>
                <w:color w:val="auto"/>
              </w:rPr>
            </w:pP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31,697</w:t>
            </w:r>
          </w:p>
        </w:tc>
        <w:tc>
          <w:tcPr>
            <w:tcW w:w="960" w:type="dxa"/>
            <w:vAlign w:val="bottom"/>
          </w:tcPr>
          <w:p>
            <w:pPr>
              <w:jc w:val="right"/>
              <w:spacing w:after="0"/>
              <w:rPr>
                <w:sz w:val="20"/>
                <w:szCs w:val="20"/>
                <w:color w:val="auto"/>
              </w:rPr>
            </w:pPr>
            <w:r>
              <w:rPr>
                <w:rFonts w:ascii="Arial" w:cs="Arial" w:eastAsia="Arial" w:hAnsi="Arial"/>
                <w:sz w:val="13"/>
                <w:szCs w:val="13"/>
                <w:color w:val="auto"/>
              </w:rPr>
              <w:t>(14,733)</w:t>
            </w:r>
          </w:p>
        </w:tc>
        <w:tc>
          <w:tcPr>
            <w:tcW w:w="80" w:type="dxa"/>
            <w:vAlign w:val="bottom"/>
          </w:tcPr>
          <w:p>
            <w:pPr>
              <w:spacing w:after="0"/>
              <w:rPr>
                <w:sz w:val="15"/>
                <w:szCs w:val="15"/>
                <w:color w:val="auto"/>
              </w:rPr>
            </w:pPr>
          </w:p>
        </w:tc>
        <w:tc>
          <w:tcPr>
            <w:tcW w:w="1380" w:type="dxa"/>
            <w:vAlign w:val="bottom"/>
          </w:tcPr>
          <w:p>
            <w:pPr>
              <w:jc w:val="right"/>
              <w:ind w:right="196"/>
              <w:spacing w:after="0"/>
              <w:rPr>
                <w:sz w:val="20"/>
                <w:szCs w:val="20"/>
                <w:color w:val="auto"/>
              </w:rPr>
            </w:pPr>
            <w:r>
              <w:rPr>
                <w:rFonts w:ascii="Arial" w:cs="Arial" w:eastAsia="Arial" w:hAnsi="Arial"/>
                <w:sz w:val="13"/>
                <w:szCs w:val="13"/>
                <w:color w:val="auto"/>
              </w:rPr>
              <w:t>38,581</w:t>
            </w:r>
          </w:p>
        </w:tc>
        <w:tc>
          <w:tcPr>
            <w:tcW w:w="960" w:type="dxa"/>
            <w:vAlign w:val="bottom"/>
          </w:tcPr>
          <w:p>
            <w:pPr>
              <w:jc w:val="right"/>
              <w:spacing w:after="0"/>
              <w:rPr>
                <w:sz w:val="20"/>
                <w:szCs w:val="20"/>
                <w:color w:val="auto"/>
              </w:rPr>
            </w:pPr>
            <w:r>
              <w:rPr>
                <w:rFonts w:ascii="Arial" w:cs="Arial" w:eastAsia="Arial" w:hAnsi="Arial"/>
                <w:sz w:val="13"/>
                <w:szCs w:val="13"/>
                <w:color w:val="auto"/>
              </w:rPr>
              <w:t>(20,742)</w:t>
            </w:r>
          </w:p>
        </w:tc>
      </w:tr>
      <w:tr>
        <w:trPr>
          <w:trHeight w:val="29"/>
        </w:trPr>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Listing expense</w:t>
            </w:r>
          </w:p>
        </w:tc>
        <w:tc>
          <w:tcPr>
            <w:tcW w:w="50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8</w:t>
            </w: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(372,318)</w:t>
            </w:r>
          </w:p>
        </w:tc>
        <w:tc>
          <w:tcPr>
            <w:tcW w:w="8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ind w:right="19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(372,318)</w:t>
            </w:r>
          </w:p>
        </w:tc>
      </w:tr>
      <w:tr>
        <w:trPr>
          <w:trHeight w:val="171"/>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Operating loss</w:t>
            </w:r>
          </w:p>
        </w:tc>
        <w:tc>
          <w:tcPr>
            <w:tcW w:w="500" w:type="dxa"/>
            <w:vAlign w:val="bottom"/>
          </w:tcPr>
          <w:p>
            <w:pPr>
              <w:spacing w:after="0"/>
              <w:rPr>
                <w:sz w:val="14"/>
                <w:szCs w:val="14"/>
                <w:color w:val="auto"/>
              </w:rPr>
            </w:pPr>
          </w:p>
        </w:tc>
        <w:tc>
          <w:tcPr>
            <w:tcW w:w="140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(274,350)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(627,267)</w:t>
            </w:r>
          </w:p>
        </w:tc>
        <w:tc>
          <w:tcPr>
            <w:tcW w:w="80" w:type="dxa"/>
            <w:vAlign w:val="bottom"/>
          </w:tcPr>
          <w:p>
            <w:pPr>
              <w:spacing w:after="0"/>
              <w:rPr>
                <w:sz w:val="14"/>
                <w:szCs w:val="14"/>
                <w:color w:val="auto"/>
              </w:rPr>
            </w:pPr>
          </w:p>
        </w:tc>
        <w:tc>
          <w:tcPr>
            <w:tcW w:w="138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(473,751)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(885,180)</w:t>
            </w:r>
          </w:p>
        </w:tc>
      </w:tr>
      <w:tr>
        <w:trPr>
          <w:trHeight w:val="29"/>
        </w:trPr>
        <w:tc>
          <w:tcPr>
            <w:tcW w:w="5240" w:type="dxa"/>
            <w:vAlign w:val="bottom"/>
            <w:tcBorders>
              <w:bottom w:val="single" w:sz="8" w:color="DBDBDB"/>
            </w:tcBorders>
          </w:tcPr>
          <w:p>
            <w:pPr>
              <w:spacing w:after="0"/>
              <w:rPr>
                <w:sz w:val="2"/>
                <w:szCs w:val="2"/>
                <w:color w:val="auto"/>
              </w:rPr>
            </w:pPr>
          </w:p>
        </w:tc>
        <w:tc>
          <w:tcPr>
            <w:tcW w:w="5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9"/>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Finance income</w:t>
            </w:r>
          </w:p>
        </w:tc>
        <w:tc>
          <w:tcPr>
            <w:tcW w:w="50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7,037</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434</w:t>
            </w:r>
          </w:p>
        </w:tc>
        <w:tc>
          <w:tcPr>
            <w:tcW w:w="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ind w:right="196"/>
              <w:spacing w:after="0"/>
              <w:rPr>
                <w:sz w:val="20"/>
                <w:szCs w:val="20"/>
                <w:color w:val="auto"/>
              </w:rPr>
            </w:pPr>
            <w:r>
              <w:rPr>
                <w:rFonts w:ascii="Arial" w:cs="Arial" w:eastAsia="Arial" w:hAnsi="Arial"/>
                <w:sz w:val="13"/>
                <w:szCs w:val="13"/>
                <w:color w:val="auto"/>
              </w:rPr>
              <w:t>12,489</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774</w:t>
            </w:r>
          </w:p>
        </w:tc>
      </w:tr>
      <w:tr>
        <w:trPr>
          <w:trHeight w:val="181"/>
        </w:trPr>
        <w:tc>
          <w:tcPr>
            <w:tcW w:w="5240" w:type="dxa"/>
            <w:vAlign w:val="bottom"/>
          </w:tcPr>
          <w:p>
            <w:pPr>
              <w:ind w:left="20"/>
              <w:spacing w:after="0"/>
              <w:rPr>
                <w:sz w:val="20"/>
                <w:szCs w:val="20"/>
                <w:color w:val="auto"/>
              </w:rPr>
            </w:pPr>
            <w:r>
              <w:rPr>
                <w:rFonts w:ascii="Arial" w:cs="Arial" w:eastAsia="Arial" w:hAnsi="Arial"/>
                <w:sz w:val="13"/>
                <w:szCs w:val="13"/>
                <w:color w:val="auto"/>
              </w:rPr>
              <w:t>Finance expense</w:t>
            </w:r>
          </w:p>
        </w:tc>
        <w:tc>
          <w:tcPr>
            <w:tcW w:w="500" w:type="dxa"/>
            <w:vAlign w:val="bottom"/>
          </w:tcPr>
          <w:p>
            <w:pPr>
              <w:spacing w:after="0"/>
              <w:rPr>
                <w:sz w:val="15"/>
                <w:szCs w:val="15"/>
                <w:color w:val="auto"/>
              </w:rPr>
            </w:pPr>
          </w:p>
        </w:tc>
        <w:tc>
          <w:tcPr>
            <w:tcW w:w="1400" w:type="dxa"/>
            <w:vAlign w:val="bottom"/>
          </w:tcPr>
          <w:p>
            <w:pPr>
              <w:jc w:val="right"/>
              <w:ind w:right="176"/>
              <w:spacing w:after="0"/>
              <w:rPr>
                <w:sz w:val="20"/>
                <w:szCs w:val="20"/>
                <w:color w:val="auto"/>
              </w:rPr>
            </w:pPr>
            <w:r>
              <w:rPr>
                <w:rFonts w:ascii="Arial" w:cs="Arial" w:eastAsia="Arial" w:hAnsi="Arial"/>
                <w:sz w:val="13"/>
                <w:szCs w:val="13"/>
                <w:color w:val="auto"/>
              </w:rPr>
              <w:t>(64,436)</w:t>
            </w:r>
          </w:p>
        </w:tc>
        <w:tc>
          <w:tcPr>
            <w:tcW w:w="960" w:type="dxa"/>
            <w:vAlign w:val="bottom"/>
          </w:tcPr>
          <w:p>
            <w:pPr>
              <w:jc w:val="right"/>
              <w:spacing w:after="0"/>
              <w:rPr>
                <w:sz w:val="20"/>
                <w:szCs w:val="20"/>
                <w:color w:val="auto"/>
              </w:rPr>
            </w:pPr>
            <w:r>
              <w:rPr>
                <w:rFonts w:ascii="Arial" w:cs="Arial" w:eastAsia="Arial" w:hAnsi="Arial"/>
                <w:sz w:val="13"/>
                <w:szCs w:val="13"/>
                <w:color w:val="auto"/>
              </w:rPr>
              <w:t>(38,908)</w:t>
            </w:r>
          </w:p>
        </w:tc>
        <w:tc>
          <w:tcPr>
            <w:tcW w:w="80" w:type="dxa"/>
            <w:vAlign w:val="bottom"/>
          </w:tcPr>
          <w:p>
            <w:pPr>
              <w:spacing w:after="0"/>
              <w:rPr>
                <w:sz w:val="15"/>
                <w:szCs w:val="15"/>
                <w:color w:val="auto"/>
              </w:rPr>
            </w:pPr>
          </w:p>
        </w:tc>
        <w:tc>
          <w:tcPr>
            <w:tcW w:w="1380" w:type="dxa"/>
            <w:vAlign w:val="bottom"/>
          </w:tcPr>
          <w:p>
            <w:pPr>
              <w:jc w:val="right"/>
              <w:ind w:right="176"/>
              <w:spacing w:after="0"/>
              <w:rPr>
                <w:sz w:val="20"/>
                <w:szCs w:val="20"/>
                <w:color w:val="auto"/>
              </w:rPr>
            </w:pPr>
            <w:r>
              <w:rPr>
                <w:rFonts w:ascii="Arial" w:cs="Arial" w:eastAsia="Arial" w:hAnsi="Arial"/>
                <w:sz w:val="13"/>
                <w:szCs w:val="13"/>
                <w:color w:val="auto"/>
              </w:rPr>
              <w:t>(90,516)</w:t>
            </w:r>
          </w:p>
        </w:tc>
        <w:tc>
          <w:tcPr>
            <w:tcW w:w="960" w:type="dxa"/>
            <w:vAlign w:val="bottom"/>
          </w:tcPr>
          <w:p>
            <w:pPr>
              <w:jc w:val="right"/>
              <w:spacing w:after="0"/>
              <w:rPr>
                <w:sz w:val="20"/>
                <w:szCs w:val="20"/>
                <w:color w:val="auto"/>
              </w:rPr>
            </w:pPr>
            <w:r>
              <w:rPr>
                <w:rFonts w:ascii="Arial" w:cs="Arial" w:eastAsia="Arial" w:hAnsi="Arial"/>
                <w:sz w:val="13"/>
                <w:szCs w:val="13"/>
                <w:color w:val="auto"/>
              </w:rPr>
              <w:t>(51,427)</w:t>
            </w:r>
          </w:p>
        </w:tc>
      </w:tr>
      <w:tr>
        <w:trPr>
          <w:trHeight w:val="29"/>
        </w:trPr>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Fair value change - Earn-out rights</w:t>
            </w:r>
          </w:p>
        </w:tc>
        <w:tc>
          <w:tcPr>
            <w:tcW w:w="50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8</w:t>
            </w: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26,800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418,707</w:t>
            </w:r>
          </w:p>
        </w:tc>
        <w:tc>
          <w:tcPr>
            <w:tcW w:w="8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ind w:right="196"/>
              <w:spacing w:after="0"/>
              <w:rPr>
                <w:sz w:val="20"/>
                <w:szCs w:val="20"/>
                <w:color w:val="auto"/>
              </w:rPr>
            </w:pPr>
            <w:r>
              <w:rPr>
                <w:rFonts w:ascii="Arial" w:cs="Arial" w:eastAsia="Arial" w:hAnsi="Arial"/>
                <w:sz w:val="13"/>
                <w:szCs w:val="13"/>
                <w:color w:val="auto"/>
              </w:rPr>
              <w:t>232,995</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418,707</w:t>
            </w:r>
          </w:p>
        </w:tc>
      </w:tr>
      <w:tr>
        <w:trPr>
          <w:trHeight w:val="181"/>
        </w:trPr>
        <w:tc>
          <w:tcPr>
            <w:tcW w:w="5240" w:type="dxa"/>
            <w:vAlign w:val="bottom"/>
          </w:tcPr>
          <w:p>
            <w:pPr>
              <w:ind w:left="20"/>
              <w:spacing w:after="0"/>
              <w:rPr>
                <w:sz w:val="20"/>
                <w:szCs w:val="20"/>
                <w:color w:val="auto"/>
              </w:rPr>
            </w:pPr>
            <w:r>
              <w:rPr>
                <w:rFonts w:ascii="Arial" w:cs="Arial" w:eastAsia="Arial" w:hAnsi="Arial"/>
                <w:sz w:val="13"/>
                <w:szCs w:val="13"/>
                <w:color w:val="auto"/>
              </w:rPr>
              <w:t>Fair value change - Class C Shares</w:t>
            </w:r>
          </w:p>
        </w:tc>
        <w:tc>
          <w:tcPr>
            <w:tcW w:w="500" w:type="dxa"/>
            <w:vAlign w:val="bottom"/>
          </w:tcPr>
          <w:p>
            <w:pPr>
              <w:jc w:val="right"/>
              <w:ind w:right="276"/>
              <w:spacing w:after="0"/>
              <w:rPr>
                <w:sz w:val="20"/>
                <w:szCs w:val="20"/>
                <w:color w:val="auto"/>
              </w:rPr>
            </w:pPr>
            <w:r>
              <w:rPr>
                <w:rFonts w:ascii="Arial" w:cs="Arial" w:eastAsia="Arial" w:hAnsi="Arial"/>
                <w:sz w:val="13"/>
                <w:szCs w:val="13"/>
                <w:color w:val="auto"/>
              </w:rPr>
              <w:t>8</w:t>
            </w: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3,500</w:t>
            </w:r>
          </w:p>
        </w:tc>
        <w:tc>
          <w:tcPr>
            <w:tcW w:w="960" w:type="dxa"/>
            <w:vAlign w:val="bottom"/>
          </w:tcPr>
          <w:p>
            <w:pPr>
              <w:jc w:val="right"/>
              <w:spacing w:after="0"/>
              <w:rPr>
                <w:sz w:val="20"/>
                <w:szCs w:val="20"/>
                <w:color w:val="auto"/>
              </w:rPr>
            </w:pPr>
            <w:r>
              <w:rPr>
                <w:rFonts w:ascii="Arial" w:cs="Arial" w:eastAsia="Arial" w:hAnsi="Arial"/>
                <w:sz w:val="13"/>
                <w:szCs w:val="13"/>
                <w:color w:val="auto"/>
              </w:rPr>
              <w:t>21,531</w:t>
            </w:r>
          </w:p>
        </w:tc>
        <w:tc>
          <w:tcPr>
            <w:tcW w:w="80" w:type="dxa"/>
            <w:vAlign w:val="bottom"/>
          </w:tcPr>
          <w:p>
            <w:pPr>
              <w:spacing w:after="0"/>
              <w:rPr>
                <w:sz w:val="15"/>
                <w:szCs w:val="15"/>
                <w:color w:val="auto"/>
              </w:rPr>
            </w:pPr>
          </w:p>
        </w:tc>
        <w:tc>
          <w:tcPr>
            <w:tcW w:w="1380" w:type="dxa"/>
            <w:vAlign w:val="bottom"/>
          </w:tcPr>
          <w:p>
            <w:pPr>
              <w:jc w:val="right"/>
              <w:ind w:right="196"/>
              <w:spacing w:after="0"/>
              <w:rPr>
                <w:sz w:val="20"/>
                <w:szCs w:val="20"/>
                <w:color w:val="auto"/>
              </w:rPr>
            </w:pPr>
            <w:r>
              <w:rPr>
                <w:rFonts w:ascii="Arial" w:cs="Arial" w:eastAsia="Arial" w:hAnsi="Arial"/>
                <w:sz w:val="13"/>
                <w:szCs w:val="13"/>
                <w:color w:val="auto"/>
              </w:rPr>
              <w:t>10,750</w:t>
            </w:r>
          </w:p>
        </w:tc>
        <w:tc>
          <w:tcPr>
            <w:tcW w:w="960" w:type="dxa"/>
            <w:vAlign w:val="bottom"/>
          </w:tcPr>
          <w:p>
            <w:pPr>
              <w:jc w:val="right"/>
              <w:spacing w:after="0"/>
              <w:rPr>
                <w:sz w:val="20"/>
                <w:szCs w:val="20"/>
                <w:color w:val="auto"/>
              </w:rPr>
            </w:pPr>
            <w:r>
              <w:rPr>
                <w:rFonts w:ascii="Arial" w:cs="Arial" w:eastAsia="Arial" w:hAnsi="Arial"/>
                <w:sz w:val="13"/>
                <w:szCs w:val="13"/>
                <w:color w:val="auto"/>
              </w:rPr>
              <w:t>21,531</w:t>
            </w:r>
          </w:p>
        </w:tc>
      </w:tr>
      <w:tr>
        <w:trPr>
          <w:trHeight w:val="29"/>
        </w:trPr>
        <w:tc>
          <w:tcPr>
            <w:tcW w:w="5240" w:type="dxa"/>
            <w:vAlign w:val="bottom"/>
            <w:tcBorders>
              <w:bottom w:val="single" w:sz="8" w:color="DBDBDB"/>
            </w:tcBorders>
          </w:tcPr>
          <w:p>
            <w:pPr>
              <w:spacing w:after="0"/>
              <w:rPr>
                <w:sz w:val="2"/>
                <w:szCs w:val="2"/>
                <w:color w:val="auto"/>
              </w:rPr>
            </w:pPr>
          </w:p>
        </w:tc>
        <w:tc>
          <w:tcPr>
            <w:tcW w:w="5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9"/>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Loss before income taxes</w:t>
            </w:r>
          </w:p>
        </w:tc>
        <w:tc>
          <w:tcPr>
            <w:tcW w:w="500" w:type="dxa"/>
            <w:vAlign w:val="bottom"/>
            <w:tcBorders>
              <w:bottom w:val="single" w:sz="8" w:color="DBDBDB"/>
            </w:tcBorders>
            <w:shd w:val="clear" w:color="auto" w:fill="DBDBDB"/>
          </w:tcPr>
          <w:p>
            <w:pPr>
              <w:spacing w:after="0"/>
              <w:rPr>
                <w:sz w:val="17"/>
                <w:szCs w:val="17"/>
                <w:color w:val="auto"/>
              </w:rPr>
            </w:pPr>
          </w:p>
        </w:tc>
        <w:tc>
          <w:tcPr>
            <w:tcW w:w="140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b w:val="1"/>
                <w:bCs w:val="1"/>
                <w:color w:val="auto"/>
              </w:rPr>
              <w:t>(301,449)</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(225,503)</w:t>
            </w:r>
          </w:p>
        </w:tc>
        <w:tc>
          <w:tcPr>
            <w:tcW w:w="8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b w:val="1"/>
                <w:bCs w:val="1"/>
                <w:color w:val="auto"/>
              </w:rPr>
              <w:t>(308,033)</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(495,595)</w:t>
            </w:r>
          </w:p>
        </w:tc>
      </w:tr>
      <w:tr>
        <w:trPr>
          <w:trHeight w:val="171"/>
        </w:trPr>
        <w:tc>
          <w:tcPr>
            <w:tcW w:w="524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500" w:type="dxa"/>
            <w:vAlign w:val="bottom"/>
          </w:tcPr>
          <w:p>
            <w:pPr>
              <w:spacing w:after="0"/>
              <w:rPr>
                <w:sz w:val="14"/>
                <w:szCs w:val="14"/>
                <w:color w:val="auto"/>
              </w:rPr>
            </w:pPr>
          </w:p>
        </w:tc>
        <w:tc>
          <w:tcPr>
            <w:tcW w:w="140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color w:val="auto"/>
              </w:rPr>
              <w:t>(2,608)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(2,741)</w:t>
            </w:r>
          </w:p>
        </w:tc>
        <w:tc>
          <w:tcPr>
            <w:tcW w:w="80" w:type="dxa"/>
            <w:vAlign w:val="bottom"/>
          </w:tcPr>
          <w:p>
            <w:pPr>
              <w:spacing w:after="0"/>
              <w:rPr>
                <w:sz w:val="14"/>
                <w:szCs w:val="14"/>
                <w:color w:val="auto"/>
              </w:rPr>
            </w:pPr>
          </w:p>
        </w:tc>
        <w:tc>
          <w:tcPr>
            <w:tcW w:w="138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color w:val="auto"/>
              </w:rPr>
              <w:t>(5,002)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(7,139)</w:t>
            </w:r>
          </w:p>
        </w:tc>
      </w:tr>
      <w:tr>
        <w:trPr>
          <w:trHeight w:val="29"/>
        </w:trPr>
        <w:tc>
          <w:tcPr>
            <w:tcW w:w="5240" w:type="dxa"/>
            <w:vAlign w:val="bottom"/>
            <w:tcBorders>
              <w:bottom w:val="single" w:sz="8" w:color="DBDBDB"/>
            </w:tcBorders>
          </w:tcPr>
          <w:p>
            <w:pPr>
              <w:spacing w:after="0"/>
              <w:rPr>
                <w:sz w:val="2"/>
                <w:szCs w:val="2"/>
                <w:color w:val="auto"/>
              </w:rPr>
            </w:pPr>
          </w:p>
        </w:tc>
        <w:tc>
          <w:tcPr>
            <w:tcW w:w="5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9"/>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Net loss</w:t>
            </w:r>
          </w:p>
        </w:tc>
        <w:tc>
          <w:tcPr>
            <w:tcW w:w="500" w:type="dxa"/>
            <w:vAlign w:val="bottom"/>
            <w:tcBorders>
              <w:bottom w:val="single" w:sz="8" w:color="DBDBDB"/>
            </w:tcBorders>
            <w:shd w:val="clear" w:color="auto" w:fill="DBDBDB"/>
          </w:tcPr>
          <w:p>
            <w:pPr>
              <w:spacing w:after="0"/>
              <w:rPr>
                <w:sz w:val="17"/>
                <w:szCs w:val="17"/>
                <w:color w:val="auto"/>
              </w:rPr>
            </w:pPr>
          </w:p>
        </w:tc>
        <w:tc>
          <w:tcPr>
            <w:tcW w:w="140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b w:val="1"/>
                <w:bCs w:val="1"/>
                <w:color w:val="auto"/>
              </w:rPr>
              <w:t>(304,057)</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(228,244)</w:t>
            </w:r>
          </w:p>
        </w:tc>
        <w:tc>
          <w:tcPr>
            <w:tcW w:w="8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b w:val="1"/>
                <w:bCs w:val="1"/>
                <w:color w:val="auto"/>
              </w:rPr>
              <w:t>(313,035)</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(502,734)</w:t>
            </w:r>
          </w:p>
        </w:tc>
      </w:tr>
      <w:tr>
        <w:trPr>
          <w:trHeight w:val="161"/>
        </w:trPr>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90"/>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Net loss per share (in U.S. dollars)</w:t>
            </w:r>
          </w:p>
        </w:tc>
        <w:tc>
          <w:tcPr>
            <w:tcW w:w="50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5</w:t>
            </w:r>
          </w:p>
        </w:tc>
        <w:tc>
          <w:tcPr>
            <w:tcW w:w="14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r>
      <w:tr>
        <w:trPr>
          <w:trHeight w:val="181"/>
        </w:trPr>
        <w:tc>
          <w:tcPr>
            <w:tcW w:w="5240" w:type="dxa"/>
            <w:vAlign w:val="bottom"/>
          </w:tcPr>
          <w:p>
            <w:pPr>
              <w:ind w:left="100"/>
              <w:spacing w:after="0"/>
              <w:rPr>
                <w:sz w:val="20"/>
                <w:szCs w:val="20"/>
                <w:color w:val="auto"/>
              </w:rPr>
            </w:pPr>
            <w:r>
              <w:rPr>
                <w:rFonts w:ascii="Arial" w:cs="Arial" w:eastAsia="Arial" w:hAnsi="Arial"/>
                <w:sz w:val="13"/>
                <w:szCs w:val="13"/>
                <w:color w:val="auto"/>
              </w:rPr>
              <w:t>Basic and diluted</w:t>
            </w:r>
          </w:p>
        </w:tc>
        <w:tc>
          <w:tcPr>
            <w:tcW w:w="500" w:type="dxa"/>
            <w:vAlign w:val="bottom"/>
          </w:tcPr>
          <w:p>
            <w:pPr>
              <w:spacing w:after="0"/>
              <w:rPr>
                <w:sz w:val="15"/>
                <w:szCs w:val="15"/>
                <w:color w:val="auto"/>
              </w:rPr>
            </w:pPr>
          </w:p>
        </w:tc>
        <w:tc>
          <w:tcPr>
            <w:tcW w:w="1400" w:type="dxa"/>
            <w:vAlign w:val="bottom"/>
          </w:tcPr>
          <w:p>
            <w:pPr>
              <w:jc w:val="right"/>
              <w:ind w:right="176"/>
              <w:spacing w:after="0"/>
              <w:rPr>
                <w:sz w:val="20"/>
                <w:szCs w:val="20"/>
                <w:color w:val="auto"/>
              </w:rPr>
            </w:pPr>
            <w:r>
              <w:rPr>
                <w:rFonts w:ascii="Arial" w:cs="Arial" w:eastAsia="Arial" w:hAnsi="Arial"/>
                <w:sz w:val="13"/>
                <w:szCs w:val="13"/>
                <w:color w:val="auto"/>
              </w:rPr>
              <w:t>(0.14)</w:t>
            </w:r>
          </w:p>
        </w:tc>
        <w:tc>
          <w:tcPr>
            <w:tcW w:w="960" w:type="dxa"/>
            <w:vAlign w:val="bottom"/>
          </w:tcPr>
          <w:p>
            <w:pPr>
              <w:jc w:val="right"/>
              <w:spacing w:after="0"/>
              <w:rPr>
                <w:sz w:val="20"/>
                <w:szCs w:val="20"/>
                <w:color w:val="auto"/>
              </w:rPr>
            </w:pPr>
            <w:r>
              <w:rPr>
                <w:rFonts w:ascii="Arial" w:cs="Arial" w:eastAsia="Arial" w:hAnsi="Arial"/>
                <w:sz w:val="13"/>
                <w:szCs w:val="13"/>
                <w:color w:val="auto"/>
              </w:rPr>
              <w:t>(0.12)</w:t>
            </w:r>
          </w:p>
        </w:tc>
        <w:tc>
          <w:tcPr>
            <w:tcW w:w="80" w:type="dxa"/>
            <w:vAlign w:val="bottom"/>
          </w:tcPr>
          <w:p>
            <w:pPr>
              <w:spacing w:after="0"/>
              <w:rPr>
                <w:sz w:val="15"/>
                <w:szCs w:val="15"/>
                <w:color w:val="auto"/>
              </w:rPr>
            </w:pPr>
          </w:p>
        </w:tc>
        <w:tc>
          <w:tcPr>
            <w:tcW w:w="1380" w:type="dxa"/>
            <w:vAlign w:val="bottom"/>
          </w:tcPr>
          <w:p>
            <w:pPr>
              <w:jc w:val="right"/>
              <w:ind w:right="176"/>
              <w:spacing w:after="0"/>
              <w:rPr>
                <w:sz w:val="20"/>
                <w:szCs w:val="20"/>
                <w:color w:val="auto"/>
              </w:rPr>
            </w:pPr>
            <w:r>
              <w:rPr>
                <w:rFonts w:ascii="Arial" w:cs="Arial" w:eastAsia="Arial" w:hAnsi="Arial"/>
                <w:sz w:val="13"/>
                <w:szCs w:val="13"/>
                <w:color w:val="auto"/>
              </w:rPr>
              <w:t>(0.15)</w:t>
            </w:r>
          </w:p>
        </w:tc>
        <w:tc>
          <w:tcPr>
            <w:tcW w:w="960" w:type="dxa"/>
            <w:vAlign w:val="bottom"/>
          </w:tcPr>
          <w:p>
            <w:pPr>
              <w:jc w:val="right"/>
              <w:spacing w:after="0"/>
              <w:rPr>
                <w:sz w:val="20"/>
                <w:szCs w:val="20"/>
                <w:color w:val="auto"/>
              </w:rPr>
            </w:pPr>
            <w:r>
              <w:rPr>
                <w:rFonts w:ascii="Arial" w:cs="Arial" w:eastAsia="Arial" w:hAnsi="Arial"/>
                <w:sz w:val="13"/>
                <w:szCs w:val="13"/>
                <w:color w:val="auto"/>
              </w:rPr>
              <w:t>(0.26)</w:t>
            </w:r>
          </w:p>
        </w:tc>
      </w:tr>
      <w:tr>
        <w:trPr>
          <w:trHeight w:val="29"/>
        </w:trPr>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1"/>
        </w:trPr>
        <w:tc>
          <w:tcPr>
            <w:tcW w:w="524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r>
      <w:tr>
        <w:trPr>
          <w:trHeight w:val="181"/>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Consolidated Statement of Comprehensive Loss</w:t>
            </w: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9"/>
        </w:trPr>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1"/>
        </w:trPr>
        <w:tc>
          <w:tcPr>
            <w:tcW w:w="524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r>
      <w:tr>
        <w:trPr>
          <w:trHeight w:val="181"/>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Net loss</w:t>
            </w:r>
          </w:p>
        </w:tc>
        <w:tc>
          <w:tcPr>
            <w:tcW w:w="500" w:type="dxa"/>
            <w:vAlign w:val="bottom"/>
          </w:tcPr>
          <w:p>
            <w:pPr>
              <w:spacing w:after="0"/>
              <w:rPr>
                <w:sz w:val="15"/>
                <w:szCs w:val="15"/>
                <w:color w:val="auto"/>
              </w:rPr>
            </w:pPr>
          </w:p>
        </w:tc>
        <w:tc>
          <w:tcPr>
            <w:tcW w:w="1400" w:type="dxa"/>
            <w:vAlign w:val="bottom"/>
          </w:tcPr>
          <w:p>
            <w:pPr>
              <w:jc w:val="right"/>
              <w:ind w:right="176"/>
              <w:spacing w:after="0"/>
              <w:rPr>
                <w:sz w:val="20"/>
                <w:szCs w:val="20"/>
                <w:color w:val="auto"/>
              </w:rPr>
            </w:pPr>
            <w:r>
              <w:rPr>
                <w:rFonts w:ascii="Arial" w:cs="Arial" w:eastAsia="Arial" w:hAnsi="Arial"/>
                <w:sz w:val="13"/>
                <w:szCs w:val="13"/>
                <w:b w:val="1"/>
                <w:bCs w:val="1"/>
                <w:color w:val="auto"/>
              </w:rPr>
              <w:t>(304,057)</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(228,244)</w:t>
            </w:r>
          </w:p>
        </w:tc>
        <w:tc>
          <w:tcPr>
            <w:tcW w:w="80" w:type="dxa"/>
            <w:vAlign w:val="bottom"/>
          </w:tcPr>
          <w:p>
            <w:pPr>
              <w:spacing w:after="0"/>
              <w:rPr>
                <w:sz w:val="15"/>
                <w:szCs w:val="15"/>
                <w:color w:val="auto"/>
              </w:rPr>
            </w:pPr>
          </w:p>
        </w:tc>
        <w:tc>
          <w:tcPr>
            <w:tcW w:w="1380" w:type="dxa"/>
            <w:vAlign w:val="bottom"/>
          </w:tcPr>
          <w:p>
            <w:pPr>
              <w:jc w:val="right"/>
              <w:ind w:right="176"/>
              <w:spacing w:after="0"/>
              <w:rPr>
                <w:sz w:val="20"/>
                <w:szCs w:val="20"/>
                <w:color w:val="auto"/>
              </w:rPr>
            </w:pPr>
            <w:r>
              <w:rPr>
                <w:rFonts w:ascii="Arial" w:cs="Arial" w:eastAsia="Arial" w:hAnsi="Arial"/>
                <w:sz w:val="13"/>
                <w:szCs w:val="13"/>
                <w:b w:val="1"/>
                <w:bCs w:val="1"/>
                <w:color w:val="auto"/>
              </w:rPr>
              <w:t>(313,035)</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(502,734)</w:t>
            </w:r>
          </w:p>
        </w:tc>
      </w:tr>
      <w:tr>
        <w:trPr>
          <w:trHeight w:val="29"/>
        </w:trPr>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Other comprehensive income/(loss):</w:t>
            </w:r>
          </w:p>
        </w:tc>
        <w:tc>
          <w:tcPr>
            <w:tcW w:w="5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r>
      <w:tr>
        <w:trPr>
          <w:trHeight w:val="181"/>
        </w:trPr>
        <w:tc>
          <w:tcPr>
            <w:tcW w:w="5240" w:type="dxa"/>
            <w:vAlign w:val="bottom"/>
          </w:tcPr>
          <w:p>
            <w:pPr>
              <w:ind w:left="20"/>
              <w:spacing w:after="0"/>
              <w:rPr>
                <w:sz w:val="20"/>
                <w:szCs w:val="20"/>
                <w:color w:val="auto"/>
              </w:rPr>
            </w:pPr>
            <w:r>
              <w:rPr>
                <w:rFonts w:ascii="Arial" w:cs="Arial" w:eastAsia="Arial" w:hAnsi="Arial"/>
                <w:sz w:val="13"/>
                <w:szCs w:val="13"/>
                <w:color w:val="auto"/>
              </w:rPr>
              <w:t>Items that may be subsequently reclassified to the Consolidated Statement of Loss:</w:t>
            </w: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9"/>
        </w:trPr>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52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Exchange rate differences from translation of foreign operations</w:t>
            </w:r>
          </w:p>
        </w:tc>
        <w:tc>
          <w:tcPr>
            <w:tcW w:w="500" w:type="dxa"/>
            <w:vAlign w:val="bottom"/>
            <w:tcBorders>
              <w:bottom w:val="single" w:sz="8" w:color="DBDBDB"/>
            </w:tcBorders>
            <w:shd w:val="clear" w:color="auto" w:fill="DBDBDB"/>
          </w:tcPr>
          <w:p>
            <w:pPr>
              <w:spacing w:after="0"/>
              <w:rPr>
                <w:sz w:val="18"/>
                <w:szCs w:val="18"/>
                <w:color w:val="auto"/>
              </w:rPr>
            </w:pPr>
          </w:p>
        </w:tc>
        <w:tc>
          <w:tcPr>
            <w:tcW w:w="140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color w:val="auto"/>
              </w:rPr>
              <w:t>(27,206)</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13,304</w:t>
            </w:r>
          </w:p>
        </w:tc>
        <w:tc>
          <w:tcPr>
            <w:tcW w:w="8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color w:val="auto"/>
              </w:rPr>
              <w:t>(26,735)</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10,659</w:t>
            </w:r>
          </w:p>
        </w:tc>
      </w:tr>
      <w:tr>
        <w:trPr>
          <w:trHeight w:val="171"/>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Total other comprehensive income/(loss)</w:t>
            </w:r>
          </w:p>
        </w:tc>
        <w:tc>
          <w:tcPr>
            <w:tcW w:w="500" w:type="dxa"/>
            <w:vAlign w:val="bottom"/>
          </w:tcPr>
          <w:p>
            <w:pPr>
              <w:spacing w:after="0"/>
              <w:rPr>
                <w:sz w:val="14"/>
                <w:szCs w:val="14"/>
                <w:color w:val="auto"/>
              </w:rPr>
            </w:pPr>
          </w:p>
        </w:tc>
        <w:tc>
          <w:tcPr>
            <w:tcW w:w="140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(27,206)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13,304</w:t>
            </w:r>
          </w:p>
        </w:tc>
        <w:tc>
          <w:tcPr>
            <w:tcW w:w="80" w:type="dxa"/>
            <w:vAlign w:val="bottom"/>
          </w:tcPr>
          <w:p>
            <w:pPr>
              <w:spacing w:after="0"/>
              <w:rPr>
                <w:sz w:val="14"/>
                <w:szCs w:val="14"/>
                <w:color w:val="auto"/>
              </w:rPr>
            </w:pPr>
          </w:p>
        </w:tc>
        <w:tc>
          <w:tcPr>
            <w:tcW w:w="138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(26,735)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10,659</w:t>
            </w:r>
          </w:p>
        </w:tc>
      </w:tr>
      <w:tr>
        <w:trPr>
          <w:trHeight w:val="29"/>
        </w:trPr>
        <w:tc>
          <w:tcPr>
            <w:tcW w:w="5240" w:type="dxa"/>
            <w:vAlign w:val="bottom"/>
            <w:tcBorders>
              <w:bottom w:val="single" w:sz="8" w:color="DBDBDB"/>
            </w:tcBorders>
          </w:tcPr>
          <w:p>
            <w:pPr>
              <w:spacing w:after="0"/>
              <w:rPr>
                <w:sz w:val="2"/>
                <w:szCs w:val="2"/>
                <w:color w:val="auto"/>
              </w:rPr>
            </w:pPr>
          </w:p>
        </w:tc>
        <w:tc>
          <w:tcPr>
            <w:tcW w:w="5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9"/>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 comprehensive loss</w:t>
            </w:r>
          </w:p>
        </w:tc>
        <w:tc>
          <w:tcPr>
            <w:tcW w:w="50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b w:val="1"/>
                <w:bCs w:val="1"/>
                <w:color w:val="auto"/>
              </w:rPr>
              <w:t>(331,263)</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(214,940)</w:t>
            </w:r>
          </w:p>
        </w:tc>
        <w:tc>
          <w:tcPr>
            <w:tcW w:w="8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b w:val="1"/>
                <w:bCs w:val="1"/>
                <w:color w:val="auto"/>
              </w:rPr>
              <w:t>(339,770)</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(492,075)</w:t>
            </w:r>
          </w:p>
        </w:tc>
      </w:tr>
      <w:tr>
        <w:trPr>
          <w:trHeight w:val="20"/>
        </w:trPr>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49530</wp:posOffset>
            </wp:positionV>
            <wp:extent cx="719772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0520"/>
          </w:cols>
          <w:pgMar w:left="680" w:top="579" w:right="6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3"/>
          <w:szCs w:val="13"/>
          <w:color w:val="auto"/>
        </w:rPr>
        <w:t>Unaudited Condensed Consolidated Statement of Financial Position</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thousands of U.S. dollars unless otherwise stated)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40" w:type="dxa"/>
            <w:vAlign w:val="bottom"/>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jc w:val="right"/>
              <w:ind w:right="76"/>
              <w:spacing w:after="0"/>
              <w:rPr>
                <w:sz w:val="20"/>
                <w:szCs w:val="20"/>
                <w:color w:val="auto"/>
              </w:rPr>
            </w:pPr>
            <w:r>
              <w:rPr>
                <w:rFonts w:ascii="Arial" w:cs="Arial" w:eastAsia="Arial" w:hAnsi="Arial"/>
                <w:sz w:val="13"/>
                <w:szCs w:val="13"/>
                <w:b w:val="1"/>
                <w:bCs w:val="1"/>
                <w:color w:val="auto"/>
              </w:rPr>
              <w:t>Note</w:t>
            </w:r>
          </w:p>
        </w:tc>
        <w:tc>
          <w:tcPr>
            <w:tcW w:w="1140" w:type="dxa"/>
            <w:vAlign w:val="bottom"/>
            <w:tcBorders>
              <w:bottom w:val="single" w:sz="8" w:color="auto"/>
            </w:tcBorders>
            <w:shd w:val="clear" w:color="auto" w:fill="DBDBDB"/>
          </w:tcPr>
          <w:p>
            <w:pPr>
              <w:jc w:val="right"/>
              <w:ind w:right="136"/>
              <w:spacing w:after="0"/>
              <w:rPr>
                <w:sz w:val="20"/>
                <w:szCs w:val="20"/>
                <w:color w:val="auto"/>
              </w:rPr>
            </w:pPr>
            <w:r>
              <w:rPr>
                <w:rFonts w:ascii="Arial" w:cs="Arial" w:eastAsia="Arial" w:hAnsi="Arial"/>
                <w:sz w:val="13"/>
                <w:szCs w:val="13"/>
                <w:b w:val="1"/>
                <w:bCs w:val="1"/>
                <w:color w:val="auto"/>
              </w:rPr>
              <w:t>June 30, 2023</w:t>
            </w:r>
          </w:p>
        </w:tc>
        <w:tc>
          <w:tcPr>
            <w:tcW w:w="1160" w:type="dxa"/>
            <w:vAlign w:val="bottom"/>
            <w:tcBorders>
              <w:bottom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w w:val="90"/>
              </w:rPr>
              <w:t>December 31, 2022</w:t>
            </w:r>
          </w:p>
        </w:tc>
      </w:tr>
      <w:tr>
        <w:trPr>
          <w:trHeight w:val="161"/>
        </w:trPr>
        <w:tc>
          <w:tcPr>
            <w:tcW w:w="744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9"/>
        </w:trPr>
        <w:tc>
          <w:tcPr>
            <w:tcW w:w="7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74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Non-current assets</w:t>
            </w:r>
          </w:p>
        </w:tc>
        <w:tc>
          <w:tcPr>
            <w:tcW w:w="5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r>
      <w:tr>
        <w:trPr>
          <w:trHeight w:val="181"/>
        </w:trPr>
        <w:tc>
          <w:tcPr>
            <w:tcW w:w="7440" w:type="dxa"/>
            <w:vAlign w:val="bottom"/>
          </w:tcPr>
          <w:p>
            <w:pPr>
              <w:ind w:left="80"/>
              <w:spacing w:after="0"/>
              <w:rPr>
                <w:sz w:val="20"/>
                <w:szCs w:val="20"/>
                <w:color w:val="auto"/>
              </w:rPr>
            </w:pPr>
            <w:r>
              <w:rPr>
                <w:rFonts w:ascii="Arial" w:cs="Arial" w:eastAsia="Arial" w:hAnsi="Arial"/>
                <w:sz w:val="13"/>
                <w:szCs w:val="13"/>
                <w:color w:val="auto"/>
              </w:rPr>
              <w:t>Intangible assets and goodwill</w:t>
            </w:r>
          </w:p>
        </w:tc>
        <w:tc>
          <w:tcPr>
            <w:tcW w:w="520" w:type="dxa"/>
            <w:vAlign w:val="bottom"/>
          </w:tcPr>
          <w:p>
            <w:pPr>
              <w:jc w:val="right"/>
              <w:ind w:right="296"/>
              <w:spacing w:after="0"/>
              <w:rPr>
                <w:sz w:val="20"/>
                <w:szCs w:val="20"/>
                <w:color w:val="auto"/>
              </w:rPr>
            </w:pPr>
            <w:r>
              <w:rPr>
                <w:rFonts w:ascii="Arial" w:cs="Arial" w:eastAsia="Arial" w:hAnsi="Arial"/>
                <w:sz w:val="13"/>
                <w:szCs w:val="13"/>
                <w:color w:val="auto"/>
              </w:rPr>
              <w:t>6</w:t>
            </w:r>
          </w:p>
        </w:tc>
        <w:tc>
          <w:tcPr>
            <w:tcW w:w="1140" w:type="dxa"/>
            <w:vAlign w:val="bottom"/>
          </w:tcPr>
          <w:p>
            <w:pPr>
              <w:jc w:val="right"/>
              <w:spacing w:after="0"/>
              <w:rPr>
                <w:sz w:val="20"/>
                <w:szCs w:val="20"/>
                <w:color w:val="auto"/>
              </w:rPr>
            </w:pPr>
            <w:r>
              <w:rPr>
                <w:rFonts w:ascii="Arial" w:cs="Arial" w:eastAsia="Arial" w:hAnsi="Arial"/>
                <w:sz w:val="13"/>
                <w:szCs w:val="13"/>
                <w:color w:val="auto"/>
              </w:rPr>
              <w:t>1,466,317</w:t>
            </w:r>
          </w:p>
        </w:tc>
        <w:tc>
          <w:tcPr>
            <w:tcW w:w="1160" w:type="dxa"/>
            <w:vAlign w:val="bottom"/>
          </w:tcPr>
          <w:p>
            <w:pPr>
              <w:jc w:val="right"/>
              <w:spacing w:after="0"/>
              <w:rPr>
                <w:sz w:val="20"/>
                <w:szCs w:val="20"/>
                <w:color w:val="auto"/>
              </w:rPr>
            </w:pPr>
            <w:r>
              <w:rPr>
                <w:rFonts w:ascii="Arial" w:cs="Arial" w:eastAsia="Arial" w:hAnsi="Arial"/>
                <w:sz w:val="13"/>
                <w:szCs w:val="13"/>
                <w:color w:val="auto"/>
              </w:rPr>
              <w:t>1,396,477</w:t>
            </w:r>
          </w:p>
        </w:tc>
      </w:tr>
      <w:tr>
        <w:trPr>
          <w:trHeight w:val="29"/>
        </w:trPr>
        <w:tc>
          <w:tcPr>
            <w:tcW w:w="7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744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Property, plant, and equipment</w:t>
            </w:r>
          </w:p>
        </w:tc>
        <w:tc>
          <w:tcPr>
            <w:tcW w:w="5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254,462</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258,048</w:t>
            </w:r>
          </w:p>
        </w:tc>
      </w:tr>
      <w:tr>
        <w:trPr>
          <w:trHeight w:val="181"/>
        </w:trPr>
        <w:tc>
          <w:tcPr>
            <w:tcW w:w="7440" w:type="dxa"/>
            <w:vAlign w:val="bottom"/>
          </w:tcPr>
          <w:p>
            <w:pPr>
              <w:ind w:left="80"/>
              <w:spacing w:after="0"/>
              <w:rPr>
                <w:sz w:val="20"/>
                <w:szCs w:val="20"/>
                <w:color w:val="auto"/>
              </w:rPr>
            </w:pPr>
            <w:r>
              <w:rPr>
                <w:rFonts w:ascii="Arial" w:cs="Arial" w:eastAsia="Arial" w:hAnsi="Arial"/>
                <w:sz w:val="13"/>
                <w:szCs w:val="13"/>
                <w:color w:val="auto"/>
              </w:rPr>
              <w:t>Vehicles under operating leases</w:t>
            </w:r>
          </w:p>
        </w:tc>
        <w:tc>
          <w:tcPr>
            <w:tcW w:w="520" w:type="dxa"/>
            <w:vAlign w:val="bottom"/>
          </w:tcPr>
          <w:p>
            <w:pPr>
              <w:jc w:val="right"/>
              <w:ind w:right="296"/>
              <w:spacing w:after="0"/>
              <w:rPr>
                <w:sz w:val="20"/>
                <w:szCs w:val="20"/>
                <w:color w:val="auto"/>
              </w:rPr>
            </w:pPr>
            <w:r>
              <w:rPr>
                <w:rFonts w:ascii="Arial" w:cs="Arial" w:eastAsia="Arial" w:hAnsi="Arial"/>
                <w:sz w:val="13"/>
                <w:szCs w:val="13"/>
                <w:color w:val="auto"/>
              </w:rPr>
              <w:t>4</w:t>
            </w:r>
          </w:p>
        </w:tc>
        <w:tc>
          <w:tcPr>
            <w:tcW w:w="1140" w:type="dxa"/>
            <w:vAlign w:val="bottom"/>
          </w:tcPr>
          <w:p>
            <w:pPr>
              <w:jc w:val="right"/>
              <w:spacing w:after="0"/>
              <w:rPr>
                <w:sz w:val="20"/>
                <w:szCs w:val="20"/>
                <w:color w:val="auto"/>
              </w:rPr>
            </w:pPr>
            <w:r>
              <w:rPr>
                <w:rFonts w:ascii="Arial" w:cs="Arial" w:eastAsia="Arial" w:hAnsi="Arial"/>
                <w:sz w:val="13"/>
                <w:szCs w:val="13"/>
                <w:color w:val="auto"/>
              </w:rPr>
              <w:t>103,116</w:t>
            </w:r>
          </w:p>
        </w:tc>
        <w:tc>
          <w:tcPr>
            <w:tcW w:w="1160" w:type="dxa"/>
            <w:vAlign w:val="bottom"/>
          </w:tcPr>
          <w:p>
            <w:pPr>
              <w:jc w:val="right"/>
              <w:spacing w:after="0"/>
              <w:rPr>
                <w:sz w:val="20"/>
                <w:szCs w:val="20"/>
                <w:color w:val="auto"/>
              </w:rPr>
            </w:pPr>
            <w:r>
              <w:rPr>
                <w:rFonts w:ascii="Arial" w:cs="Arial" w:eastAsia="Arial" w:hAnsi="Arial"/>
                <w:sz w:val="13"/>
                <w:szCs w:val="13"/>
                <w:color w:val="auto"/>
              </w:rPr>
              <w:t>92,198</w:t>
            </w:r>
          </w:p>
        </w:tc>
      </w:tr>
      <w:tr>
        <w:trPr>
          <w:trHeight w:val="29"/>
        </w:trPr>
        <w:tc>
          <w:tcPr>
            <w:tcW w:w="7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744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Other non-current assets</w:t>
            </w:r>
          </w:p>
        </w:tc>
        <w:tc>
          <w:tcPr>
            <w:tcW w:w="5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4,575</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5,306</w:t>
            </w:r>
          </w:p>
        </w:tc>
      </w:tr>
      <w:tr>
        <w:trPr>
          <w:trHeight w:val="181"/>
        </w:trPr>
        <w:tc>
          <w:tcPr>
            <w:tcW w:w="7440" w:type="dxa"/>
            <w:vAlign w:val="bottom"/>
          </w:tcPr>
          <w:p>
            <w:pPr>
              <w:ind w:left="80"/>
              <w:spacing w:after="0"/>
              <w:rPr>
                <w:sz w:val="20"/>
                <w:szCs w:val="20"/>
                <w:color w:val="auto"/>
              </w:rPr>
            </w:pPr>
            <w:r>
              <w:rPr>
                <w:rFonts w:ascii="Arial" w:cs="Arial" w:eastAsia="Arial" w:hAnsi="Arial"/>
                <w:sz w:val="13"/>
                <w:szCs w:val="13"/>
                <w:color w:val="auto"/>
              </w:rPr>
              <w:t>Deferred tax asset</w:t>
            </w:r>
          </w:p>
        </w:tc>
        <w:tc>
          <w:tcPr>
            <w:tcW w:w="5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17,581</w:t>
            </w:r>
          </w:p>
        </w:tc>
        <w:tc>
          <w:tcPr>
            <w:tcW w:w="1160" w:type="dxa"/>
            <w:vAlign w:val="bottom"/>
          </w:tcPr>
          <w:p>
            <w:pPr>
              <w:jc w:val="right"/>
              <w:spacing w:after="0"/>
              <w:rPr>
                <w:sz w:val="20"/>
                <w:szCs w:val="20"/>
                <w:color w:val="auto"/>
              </w:rPr>
            </w:pPr>
            <w:r>
              <w:rPr>
                <w:rFonts w:ascii="Arial" w:cs="Arial" w:eastAsia="Arial" w:hAnsi="Arial"/>
                <w:sz w:val="13"/>
                <w:szCs w:val="13"/>
                <w:color w:val="auto"/>
              </w:rPr>
              <w:t>7,755</w:t>
            </w:r>
          </w:p>
        </w:tc>
      </w:tr>
      <w:tr>
        <w:trPr>
          <w:trHeight w:val="29"/>
        </w:trPr>
        <w:tc>
          <w:tcPr>
            <w:tcW w:w="7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744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Other investments</w:t>
            </w:r>
          </w:p>
        </w:tc>
        <w:tc>
          <w:tcPr>
            <w:tcW w:w="52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color w:val="auto"/>
              </w:rPr>
              <w:t>7</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2,248</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2,333</w:t>
            </w:r>
          </w:p>
        </w:tc>
      </w:tr>
      <w:tr>
        <w:trPr>
          <w:trHeight w:val="20"/>
        </w:trPr>
        <w:tc>
          <w:tcPr>
            <w:tcW w:w="7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60" w:type="dxa"/>
            <w:vAlign w:val="bottom"/>
          </w:tcPr>
          <w:p>
            <w:pPr>
              <w:spacing w:after="0"/>
              <w:rPr>
                <w:sz w:val="20"/>
                <w:szCs w:val="20"/>
                <w:color w:val="auto"/>
              </w:rPr>
            </w:pPr>
            <w:r>
              <w:rPr>
                <w:rFonts w:ascii="Arial" w:cs="Arial" w:eastAsia="Arial" w:hAnsi="Arial"/>
                <w:sz w:val="13"/>
                <w:szCs w:val="13"/>
                <w:b w:val="1"/>
                <w:bCs w:val="1"/>
                <w:color w:val="auto"/>
              </w:rPr>
              <w:t>Total non-current assets</w:t>
            </w:r>
          </w:p>
        </w:tc>
        <w:tc>
          <w:tcPr>
            <w:tcW w:w="3300" w:type="dxa"/>
            <w:vAlign w:val="bottom"/>
          </w:tcPr>
          <w:p>
            <w:pPr>
              <w:spacing w:after="0"/>
              <w:rPr>
                <w:sz w:val="14"/>
                <w:szCs w:val="14"/>
                <w:color w:val="auto"/>
              </w:rPr>
            </w:pPr>
          </w:p>
        </w:tc>
        <w:tc>
          <w:tcPr>
            <w:tcW w:w="1420" w:type="dxa"/>
            <w:vAlign w:val="bottom"/>
          </w:tcPr>
          <w:p>
            <w:pPr>
              <w:jc w:val="right"/>
              <w:ind w:right="276"/>
              <w:spacing w:after="0"/>
              <w:rPr>
                <w:sz w:val="20"/>
                <w:szCs w:val="20"/>
                <w:color w:val="auto"/>
              </w:rPr>
            </w:pPr>
            <w:r>
              <w:rPr>
                <w:rFonts w:ascii="Arial" w:cs="Arial" w:eastAsia="Arial" w:hAnsi="Arial"/>
                <w:sz w:val="13"/>
                <w:szCs w:val="13"/>
                <w:b w:val="1"/>
                <w:bCs w:val="1"/>
                <w:color w:val="auto"/>
              </w:rPr>
              <w:t>1,848,299</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1,762,117</w:t>
            </w:r>
          </w:p>
        </w:tc>
      </w:tr>
      <w:tr>
        <w:trPr>
          <w:trHeight w:val="29"/>
        </w:trPr>
        <w:tc>
          <w:tcPr>
            <w:tcW w:w="4660" w:type="dxa"/>
            <w:vAlign w:val="bottom"/>
            <w:tcBorders>
              <w:bottom w:val="single" w:sz="8" w:color="DBDBDB"/>
            </w:tcBorders>
          </w:tcPr>
          <w:p>
            <w:pPr>
              <w:spacing w:after="0"/>
              <w:rPr>
                <w:sz w:val="2"/>
                <w:szCs w:val="2"/>
                <w:color w:val="auto"/>
              </w:rPr>
            </w:pPr>
          </w:p>
        </w:tc>
        <w:tc>
          <w:tcPr>
            <w:tcW w:w="3300" w:type="dxa"/>
            <w:vAlign w:val="bottom"/>
            <w:tcBorders>
              <w:bottom w:val="single" w:sz="8" w:color="DBDBDB"/>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0"/>
        </w:trPr>
        <w:tc>
          <w:tcPr>
            <w:tcW w:w="46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Current assets</w:t>
            </w:r>
          </w:p>
        </w:tc>
        <w:tc>
          <w:tcPr>
            <w:tcW w:w="3300" w:type="dxa"/>
            <w:vAlign w:val="bottom"/>
            <w:tcBorders>
              <w:bottom w:val="single" w:sz="8" w:color="DBDBDB"/>
            </w:tcBorders>
            <w:shd w:val="clear" w:color="auto" w:fill="DBDBDB"/>
          </w:tcPr>
          <w:p>
            <w:pPr>
              <w:spacing w:after="0"/>
              <w:rPr>
                <w:sz w:val="14"/>
                <w:szCs w:val="14"/>
                <w:color w:val="auto"/>
              </w:rPr>
            </w:pPr>
          </w:p>
        </w:tc>
        <w:tc>
          <w:tcPr>
            <w:tcW w:w="142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r>
      <w:tr>
        <w:trPr>
          <w:trHeight w:val="181"/>
        </w:trPr>
        <w:tc>
          <w:tcPr>
            <w:tcW w:w="466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3300" w:type="dxa"/>
            <w:vAlign w:val="bottom"/>
          </w:tcPr>
          <w:p>
            <w:pPr>
              <w:spacing w:after="0"/>
              <w:rPr>
                <w:sz w:val="15"/>
                <w:szCs w:val="15"/>
                <w:color w:val="auto"/>
              </w:rPr>
            </w:pPr>
          </w:p>
        </w:tc>
        <w:tc>
          <w:tcPr>
            <w:tcW w:w="1420" w:type="dxa"/>
            <w:vAlign w:val="bottom"/>
          </w:tcPr>
          <w:p>
            <w:pPr>
              <w:jc w:val="right"/>
              <w:ind w:right="276"/>
              <w:spacing w:after="0"/>
              <w:rPr>
                <w:sz w:val="20"/>
                <w:szCs w:val="20"/>
                <w:color w:val="auto"/>
              </w:rPr>
            </w:pPr>
            <w:r>
              <w:rPr>
                <w:rFonts w:ascii="Arial" w:cs="Arial" w:eastAsia="Arial" w:hAnsi="Arial"/>
                <w:sz w:val="13"/>
                <w:szCs w:val="13"/>
                <w:color w:val="auto"/>
              </w:rPr>
              <w:t>1,057,412</w:t>
            </w:r>
          </w:p>
        </w:tc>
        <w:tc>
          <w:tcPr>
            <w:tcW w:w="880" w:type="dxa"/>
            <w:vAlign w:val="bottom"/>
          </w:tcPr>
          <w:p>
            <w:pPr>
              <w:jc w:val="right"/>
              <w:spacing w:after="0"/>
              <w:rPr>
                <w:sz w:val="20"/>
                <w:szCs w:val="20"/>
                <w:color w:val="auto"/>
              </w:rPr>
            </w:pPr>
            <w:r>
              <w:rPr>
                <w:rFonts w:ascii="Arial" w:cs="Arial" w:eastAsia="Arial" w:hAnsi="Arial"/>
                <w:sz w:val="13"/>
                <w:szCs w:val="13"/>
                <w:color w:val="auto"/>
              </w:rPr>
              <w:t>973,877</w:t>
            </w:r>
          </w:p>
        </w:tc>
      </w:tr>
      <w:tr>
        <w:trPr>
          <w:trHeight w:val="29"/>
        </w:trPr>
        <w:tc>
          <w:tcPr>
            <w:tcW w:w="4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46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Trade receivables</w:t>
            </w:r>
          </w:p>
        </w:tc>
        <w:tc>
          <w:tcPr>
            <w:tcW w:w="330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196,133</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246,107</w:t>
            </w:r>
          </w:p>
        </w:tc>
      </w:tr>
      <w:tr>
        <w:trPr>
          <w:trHeight w:val="181"/>
        </w:trPr>
        <w:tc>
          <w:tcPr>
            <w:tcW w:w="4660" w:type="dxa"/>
            <w:vAlign w:val="bottom"/>
          </w:tcPr>
          <w:p>
            <w:pPr>
              <w:ind w:left="80"/>
              <w:spacing w:after="0"/>
              <w:rPr>
                <w:sz w:val="20"/>
                <w:szCs w:val="20"/>
                <w:color w:val="auto"/>
              </w:rPr>
            </w:pPr>
            <w:r>
              <w:rPr>
                <w:rFonts w:ascii="Arial" w:cs="Arial" w:eastAsia="Arial" w:hAnsi="Arial"/>
                <w:sz w:val="13"/>
                <w:szCs w:val="13"/>
                <w:color w:val="auto"/>
              </w:rPr>
              <w:t>Trade receivables - related parties</w:t>
            </w:r>
          </w:p>
        </w:tc>
        <w:tc>
          <w:tcPr>
            <w:tcW w:w="3300" w:type="dxa"/>
            <w:vAlign w:val="bottom"/>
          </w:tcPr>
          <w:p>
            <w:pPr>
              <w:ind w:left="2860"/>
              <w:spacing w:after="0"/>
              <w:rPr>
                <w:sz w:val="20"/>
                <w:szCs w:val="20"/>
                <w:color w:val="auto"/>
              </w:rPr>
            </w:pPr>
            <w:r>
              <w:rPr>
                <w:rFonts w:ascii="Arial" w:cs="Arial" w:eastAsia="Arial" w:hAnsi="Arial"/>
                <w:sz w:val="13"/>
                <w:szCs w:val="13"/>
                <w:color w:val="auto"/>
              </w:rPr>
              <w:t>11</w:t>
            </w:r>
          </w:p>
        </w:tc>
        <w:tc>
          <w:tcPr>
            <w:tcW w:w="1420" w:type="dxa"/>
            <w:vAlign w:val="bottom"/>
          </w:tcPr>
          <w:p>
            <w:pPr>
              <w:jc w:val="right"/>
              <w:ind w:right="276"/>
              <w:spacing w:after="0"/>
              <w:rPr>
                <w:sz w:val="20"/>
                <w:szCs w:val="20"/>
                <w:color w:val="auto"/>
              </w:rPr>
            </w:pPr>
            <w:r>
              <w:rPr>
                <w:rFonts w:ascii="Arial" w:cs="Arial" w:eastAsia="Arial" w:hAnsi="Arial"/>
                <w:sz w:val="13"/>
                <w:szCs w:val="13"/>
                <w:color w:val="auto"/>
              </w:rPr>
              <w:t>90,053</w:t>
            </w:r>
          </w:p>
        </w:tc>
        <w:tc>
          <w:tcPr>
            <w:tcW w:w="880" w:type="dxa"/>
            <w:vAlign w:val="bottom"/>
          </w:tcPr>
          <w:p>
            <w:pPr>
              <w:jc w:val="right"/>
              <w:spacing w:after="0"/>
              <w:rPr>
                <w:sz w:val="20"/>
                <w:szCs w:val="20"/>
                <w:color w:val="auto"/>
              </w:rPr>
            </w:pPr>
            <w:r>
              <w:rPr>
                <w:rFonts w:ascii="Arial" w:cs="Arial" w:eastAsia="Arial" w:hAnsi="Arial"/>
                <w:sz w:val="13"/>
                <w:szCs w:val="13"/>
                <w:color w:val="auto"/>
              </w:rPr>
              <w:t>74,996</w:t>
            </w:r>
          </w:p>
        </w:tc>
      </w:tr>
      <w:tr>
        <w:trPr>
          <w:trHeight w:val="29"/>
        </w:trPr>
        <w:tc>
          <w:tcPr>
            <w:tcW w:w="4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46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Accrued income - related parties</w:t>
            </w:r>
          </w:p>
        </w:tc>
        <w:tc>
          <w:tcPr>
            <w:tcW w:w="3300" w:type="dxa"/>
            <w:vAlign w:val="bottom"/>
            <w:tcBorders>
              <w:bottom w:val="single" w:sz="8" w:color="DBDBDB"/>
            </w:tcBorders>
            <w:shd w:val="clear" w:color="auto" w:fill="DBDBDB"/>
          </w:tcPr>
          <w:p>
            <w:pPr>
              <w:ind w:left="2860"/>
              <w:spacing w:after="0"/>
              <w:rPr>
                <w:sz w:val="20"/>
                <w:szCs w:val="20"/>
                <w:color w:val="auto"/>
              </w:rPr>
            </w:pPr>
            <w:r>
              <w:rPr>
                <w:rFonts w:ascii="Arial" w:cs="Arial" w:eastAsia="Arial" w:hAnsi="Arial"/>
                <w:sz w:val="13"/>
                <w:szCs w:val="13"/>
                <w:color w:val="auto"/>
              </w:rPr>
              <w:t>11</w:t>
            </w:r>
          </w:p>
        </w:tc>
        <w:tc>
          <w:tcPr>
            <w:tcW w:w="142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13,010</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49,060</w:t>
            </w:r>
          </w:p>
        </w:tc>
      </w:tr>
      <w:tr>
        <w:trPr>
          <w:trHeight w:val="181"/>
        </w:trPr>
        <w:tc>
          <w:tcPr>
            <w:tcW w:w="4660" w:type="dxa"/>
            <w:vAlign w:val="bottom"/>
          </w:tcPr>
          <w:p>
            <w:pPr>
              <w:ind w:left="80"/>
              <w:spacing w:after="0"/>
              <w:rPr>
                <w:sz w:val="20"/>
                <w:szCs w:val="20"/>
                <w:color w:val="auto"/>
              </w:rPr>
            </w:pPr>
            <w:r>
              <w:rPr>
                <w:rFonts w:ascii="Arial" w:cs="Arial" w:eastAsia="Arial" w:hAnsi="Arial"/>
                <w:sz w:val="13"/>
                <w:szCs w:val="13"/>
                <w:color w:val="auto"/>
              </w:rPr>
              <w:t>Inventories</w:t>
            </w:r>
          </w:p>
        </w:tc>
        <w:tc>
          <w:tcPr>
            <w:tcW w:w="3300" w:type="dxa"/>
            <w:vAlign w:val="bottom"/>
          </w:tcPr>
          <w:p>
            <w:pPr>
              <w:spacing w:after="0"/>
              <w:rPr>
                <w:sz w:val="15"/>
                <w:szCs w:val="15"/>
                <w:color w:val="auto"/>
              </w:rPr>
            </w:pPr>
          </w:p>
        </w:tc>
        <w:tc>
          <w:tcPr>
            <w:tcW w:w="1420" w:type="dxa"/>
            <w:vAlign w:val="bottom"/>
          </w:tcPr>
          <w:p>
            <w:pPr>
              <w:jc w:val="right"/>
              <w:ind w:right="276"/>
              <w:spacing w:after="0"/>
              <w:rPr>
                <w:sz w:val="20"/>
                <w:szCs w:val="20"/>
                <w:color w:val="auto"/>
              </w:rPr>
            </w:pPr>
            <w:r>
              <w:rPr>
                <w:rFonts w:ascii="Arial" w:cs="Arial" w:eastAsia="Arial" w:hAnsi="Arial"/>
                <w:sz w:val="13"/>
                <w:szCs w:val="13"/>
                <w:color w:val="auto"/>
              </w:rPr>
              <w:t>867,499</w:t>
            </w:r>
          </w:p>
        </w:tc>
        <w:tc>
          <w:tcPr>
            <w:tcW w:w="880" w:type="dxa"/>
            <w:vAlign w:val="bottom"/>
          </w:tcPr>
          <w:p>
            <w:pPr>
              <w:jc w:val="right"/>
              <w:spacing w:after="0"/>
              <w:rPr>
                <w:sz w:val="20"/>
                <w:szCs w:val="20"/>
                <w:color w:val="auto"/>
              </w:rPr>
            </w:pPr>
            <w:r>
              <w:rPr>
                <w:rFonts w:ascii="Arial" w:cs="Arial" w:eastAsia="Arial" w:hAnsi="Arial"/>
                <w:sz w:val="13"/>
                <w:szCs w:val="13"/>
                <w:color w:val="auto"/>
              </w:rPr>
              <w:t>658,559</w:t>
            </w:r>
          </w:p>
        </w:tc>
      </w:tr>
      <w:tr>
        <w:trPr>
          <w:trHeight w:val="29"/>
        </w:trPr>
        <w:tc>
          <w:tcPr>
            <w:tcW w:w="4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46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Current tax assets</w:t>
            </w:r>
          </w:p>
        </w:tc>
        <w:tc>
          <w:tcPr>
            <w:tcW w:w="330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8,889</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7,184</w:t>
            </w:r>
          </w:p>
        </w:tc>
      </w:tr>
      <w:tr>
        <w:trPr>
          <w:trHeight w:val="181"/>
        </w:trPr>
        <w:tc>
          <w:tcPr>
            <w:tcW w:w="4660" w:type="dxa"/>
            <w:vAlign w:val="bottom"/>
          </w:tcPr>
          <w:p>
            <w:pPr>
              <w:ind w:left="80"/>
              <w:spacing w:after="0"/>
              <w:rPr>
                <w:sz w:val="20"/>
                <w:szCs w:val="20"/>
                <w:color w:val="auto"/>
              </w:rPr>
            </w:pPr>
            <w:r>
              <w:rPr>
                <w:rFonts w:ascii="Arial" w:cs="Arial" w:eastAsia="Arial" w:hAnsi="Arial"/>
                <w:sz w:val="13"/>
                <w:szCs w:val="13"/>
                <w:color w:val="auto"/>
              </w:rPr>
              <w:t>Assets held for sale</w:t>
            </w:r>
          </w:p>
        </w:tc>
        <w:tc>
          <w:tcPr>
            <w:tcW w:w="3300" w:type="dxa"/>
            <w:vAlign w:val="bottom"/>
          </w:tcPr>
          <w:p>
            <w:pPr>
              <w:ind w:left="2860"/>
              <w:spacing w:after="0"/>
              <w:rPr>
                <w:sz w:val="20"/>
                <w:szCs w:val="20"/>
                <w:color w:val="auto"/>
              </w:rPr>
            </w:pPr>
            <w:r>
              <w:rPr>
                <w:rFonts w:ascii="Arial" w:cs="Arial" w:eastAsia="Arial" w:hAnsi="Arial"/>
                <w:sz w:val="11"/>
                <w:szCs w:val="11"/>
                <w:color w:val="auto"/>
              </w:rPr>
              <w:t>12</w:t>
            </w:r>
          </w:p>
        </w:tc>
        <w:tc>
          <w:tcPr>
            <w:tcW w:w="1420" w:type="dxa"/>
            <w:vAlign w:val="bottom"/>
          </w:tcPr>
          <w:p>
            <w:pPr>
              <w:jc w:val="right"/>
              <w:ind w:right="276"/>
              <w:spacing w:after="0"/>
              <w:rPr>
                <w:sz w:val="20"/>
                <w:szCs w:val="20"/>
                <w:color w:val="auto"/>
              </w:rPr>
            </w:pPr>
            <w:r>
              <w:rPr>
                <w:rFonts w:ascii="Arial" w:cs="Arial" w:eastAsia="Arial" w:hAnsi="Arial"/>
                <w:sz w:val="13"/>
                <w:szCs w:val="13"/>
                <w:color w:val="auto"/>
              </w:rPr>
              <w:t>53,094</w:t>
            </w:r>
          </w:p>
        </w:tc>
        <w:tc>
          <w:tcPr>
            <w:tcW w:w="880" w:type="dxa"/>
            <w:vAlign w:val="bottom"/>
          </w:tcPr>
          <w:p>
            <w:pPr>
              <w:jc w:val="right"/>
              <w:spacing w:after="0"/>
              <w:rPr>
                <w:sz w:val="20"/>
                <w:szCs w:val="20"/>
                <w:color w:val="auto"/>
              </w:rPr>
            </w:pPr>
            <w:r>
              <w:rPr>
                <w:rFonts w:ascii="Arial" w:cs="Arial" w:eastAsia="Arial" w:hAnsi="Arial"/>
                <w:sz w:val="11"/>
                <w:szCs w:val="11"/>
                <w:color w:val="auto"/>
              </w:rPr>
              <w:t>63,224</w:t>
            </w:r>
          </w:p>
        </w:tc>
      </w:tr>
      <w:tr>
        <w:trPr>
          <w:trHeight w:val="29"/>
        </w:trPr>
        <w:tc>
          <w:tcPr>
            <w:tcW w:w="4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46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Other current assets</w:t>
            </w:r>
          </w:p>
        </w:tc>
        <w:tc>
          <w:tcPr>
            <w:tcW w:w="330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jc w:val="right"/>
              <w:ind w:right="276"/>
              <w:spacing w:after="0"/>
              <w:rPr>
                <w:sz w:val="20"/>
                <w:szCs w:val="20"/>
                <w:color w:val="auto"/>
              </w:rPr>
            </w:pPr>
            <w:r>
              <w:rPr>
                <w:rFonts w:ascii="Arial" w:cs="Arial" w:eastAsia="Arial" w:hAnsi="Arial"/>
                <w:sz w:val="13"/>
                <w:szCs w:val="13"/>
                <w:color w:val="auto"/>
              </w:rPr>
              <w:t>120,856</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107,327</w:t>
            </w:r>
          </w:p>
        </w:tc>
      </w:tr>
      <w:tr>
        <w:trPr>
          <w:trHeight w:val="20"/>
        </w:trPr>
        <w:tc>
          <w:tcPr>
            <w:tcW w:w="4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tcPr>
          <w:p>
            <w:pPr>
              <w:spacing w:after="0"/>
              <w:rPr>
                <w:sz w:val="20"/>
                <w:szCs w:val="20"/>
                <w:color w:val="auto"/>
              </w:rPr>
            </w:pPr>
            <w:r>
              <w:rPr>
                <w:rFonts w:ascii="Arial" w:cs="Arial" w:eastAsia="Arial" w:hAnsi="Arial"/>
                <w:sz w:val="13"/>
                <w:szCs w:val="13"/>
                <w:b w:val="1"/>
                <w:bCs w:val="1"/>
                <w:color w:val="auto"/>
              </w:rPr>
              <w:t>Total current assets</w:t>
            </w:r>
          </w:p>
        </w:tc>
        <w:tc>
          <w:tcPr>
            <w:tcW w:w="2900" w:type="dxa"/>
            <w:vAlign w:val="bottom"/>
          </w:tcPr>
          <w:p>
            <w:pPr>
              <w:spacing w:after="0"/>
              <w:rPr>
                <w:sz w:val="14"/>
                <w:szCs w:val="14"/>
                <w:color w:val="auto"/>
              </w:rPr>
            </w:pPr>
          </w:p>
        </w:tc>
        <w:tc>
          <w:tcPr>
            <w:tcW w:w="1400" w:type="dxa"/>
            <w:vAlign w:val="bottom"/>
          </w:tcPr>
          <w:p>
            <w:pPr>
              <w:jc w:val="right"/>
              <w:ind w:right="256"/>
              <w:spacing w:after="0"/>
              <w:rPr>
                <w:sz w:val="20"/>
                <w:szCs w:val="20"/>
                <w:color w:val="auto"/>
              </w:rPr>
            </w:pPr>
            <w:r>
              <w:rPr>
                <w:rFonts w:ascii="Arial" w:cs="Arial" w:eastAsia="Arial" w:hAnsi="Arial"/>
                <w:sz w:val="13"/>
                <w:szCs w:val="13"/>
                <w:b w:val="1"/>
                <w:bCs w:val="1"/>
                <w:color w:val="auto"/>
              </w:rPr>
              <w:t>2,406,946</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2,180,334</w:t>
            </w:r>
          </w:p>
        </w:tc>
      </w:tr>
      <w:tr>
        <w:trPr>
          <w:trHeight w:val="29"/>
        </w:trPr>
        <w:tc>
          <w:tcPr>
            <w:tcW w:w="5060" w:type="dxa"/>
            <w:vAlign w:val="bottom"/>
            <w:tcBorders>
              <w:bottom w:val="single" w:sz="8" w:color="DBDBDB"/>
            </w:tcBorders>
          </w:tcPr>
          <w:p>
            <w:pPr>
              <w:spacing w:after="0"/>
              <w:rPr>
                <w:sz w:val="2"/>
                <w:szCs w:val="2"/>
                <w:color w:val="auto"/>
              </w:rPr>
            </w:pPr>
          </w:p>
        </w:tc>
        <w:tc>
          <w:tcPr>
            <w:tcW w:w="29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50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 assets</w:t>
            </w:r>
          </w:p>
        </w:tc>
        <w:tc>
          <w:tcPr>
            <w:tcW w:w="2900" w:type="dxa"/>
            <w:vAlign w:val="bottom"/>
            <w:tcBorders>
              <w:bottom w:val="single" w:sz="8" w:color="DBDBDB"/>
            </w:tcBorders>
            <w:shd w:val="clear" w:color="auto" w:fill="DBDBDB"/>
          </w:tcPr>
          <w:p>
            <w:pPr>
              <w:spacing w:after="0"/>
              <w:rPr>
                <w:sz w:val="17"/>
                <w:szCs w:val="17"/>
                <w:color w:val="auto"/>
              </w:rPr>
            </w:pPr>
          </w:p>
        </w:tc>
        <w:tc>
          <w:tcPr>
            <w:tcW w:w="1400" w:type="dxa"/>
            <w:vAlign w:val="bottom"/>
            <w:tcBorders>
              <w:bottom w:val="single" w:sz="8" w:color="DBDBDB"/>
            </w:tcBorders>
            <w:shd w:val="clear" w:color="auto" w:fill="DBDBDB"/>
          </w:tcPr>
          <w:p>
            <w:pPr>
              <w:jc w:val="right"/>
              <w:ind w:right="256"/>
              <w:spacing w:after="0"/>
              <w:rPr>
                <w:sz w:val="20"/>
                <w:szCs w:val="20"/>
                <w:color w:val="auto"/>
              </w:rPr>
            </w:pPr>
            <w:r>
              <w:rPr>
                <w:rFonts w:ascii="Arial" w:cs="Arial" w:eastAsia="Arial" w:hAnsi="Arial"/>
                <w:sz w:val="13"/>
                <w:szCs w:val="13"/>
                <w:b w:val="1"/>
                <w:bCs w:val="1"/>
                <w:color w:val="auto"/>
              </w:rPr>
              <w:t>4,255,245</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3,942,451</w:t>
            </w:r>
          </w:p>
        </w:tc>
      </w:tr>
      <w:tr>
        <w:trPr>
          <w:trHeight w:val="161"/>
        </w:trPr>
        <w:tc>
          <w:tcPr>
            <w:tcW w:w="5060" w:type="dxa"/>
            <w:vAlign w:val="bottom"/>
          </w:tcPr>
          <w:p>
            <w:pPr>
              <w:spacing w:after="0"/>
              <w:rPr>
                <w:sz w:val="20"/>
                <w:szCs w:val="20"/>
                <w:color w:val="auto"/>
              </w:rPr>
            </w:pPr>
            <w:r>
              <w:rPr>
                <w:rFonts w:ascii="Arial" w:cs="Arial" w:eastAsia="Arial" w:hAnsi="Arial"/>
                <w:sz w:val="13"/>
                <w:szCs w:val="13"/>
                <w:b w:val="1"/>
                <w:bCs w:val="1"/>
                <w:color w:val="auto"/>
              </w:rPr>
              <w:t>Equity</w:t>
            </w:r>
          </w:p>
        </w:tc>
        <w:tc>
          <w:tcPr>
            <w:tcW w:w="29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Share capital</w:t>
            </w:r>
          </w:p>
        </w:tc>
        <w:tc>
          <w:tcPr>
            <w:tcW w:w="29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(21,167)</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(21,165)</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Other contributed capital</w:t>
            </w:r>
          </w:p>
        </w:tc>
        <w:tc>
          <w:tcPr>
            <w:tcW w:w="2900" w:type="dxa"/>
            <w:vAlign w:val="bottom"/>
          </w:tcPr>
          <w:p>
            <w:pPr>
              <w:spacing w:after="0"/>
              <w:rPr>
                <w:sz w:val="15"/>
                <w:szCs w:val="15"/>
                <w:color w:val="auto"/>
              </w:rPr>
            </w:pP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(3,586,888)</w:t>
            </w:r>
          </w:p>
        </w:tc>
        <w:tc>
          <w:tcPr>
            <w:tcW w:w="900" w:type="dxa"/>
            <w:vAlign w:val="bottom"/>
          </w:tcPr>
          <w:p>
            <w:pPr>
              <w:jc w:val="right"/>
              <w:spacing w:after="0"/>
              <w:rPr>
                <w:sz w:val="20"/>
                <w:szCs w:val="20"/>
                <w:color w:val="auto"/>
              </w:rPr>
            </w:pPr>
            <w:r>
              <w:rPr>
                <w:rFonts w:ascii="Arial" w:cs="Arial" w:eastAsia="Arial" w:hAnsi="Arial"/>
                <w:sz w:val="13"/>
                <w:szCs w:val="13"/>
                <w:color w:val="auto"/>
              </w:rPr>
              <w:t>(3,584,232)</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Foreign currency translation reserve</w:t>
            </w:r>
          </w:p>
        </w:tc>
        <w:tc>
          <w:tcPr>
            <w:tcW w:w="29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256"/>
              <w:spacing w:after="0"/>
              <w:rPr>
                <w:sz w:val="20"/>
                <w:szCs w:val="20"/>
                <w:color w:val="auto"/>
              </w:rPr>
            </w:pPr>
            <w:r>
              <w:rPr>
                <w:rFonts w:ascii="Arial" w:cs="Arial" w:eastAsia="Arial" w:hAnsi="Arial"/>
                <w:sz w:val="13"/>
                <w:szCs w:val="13"/>
                <w:color w:val="auto"/>
              </w:rPr>
              <w:t>39,000</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12,265</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Accumulated deficit</w:t>
            </w:r>
          </w:p>
        </w:tc>
        <w:tc>
          <w:tcPr>
            <w:tcW w:w="2900" w:type="dxa"/>
            <w:vAlign w:val="bottom"/>
          </w:tcPr>
          <w:p>
            <w:pPr>
              <w:spacing w:after="0"/>
              <w:rPr>
                <w:sz w:val="15"/>
                <w:szCs w:val="15"/>
                <w:color w:val="auto"/>
              </w:rPr>
            </w:pPr>
          </w:p>
        </w:tc>
        <w:tc>
          <w:tcPr>
            <w:tcW w:w="1400" w:type="dxa"/>
            <w:vAlign w:val="bottom"/>
          </w:tcPr>
          <w:p>
            <w:pPr>
              <w:jc w:val="right"/>
              <w:ind w:right="256"/>
              <w:spacing w:after="0"/>
              <w:rPr>
                <w:sz w:val="20"/>
                <w:szCs w:val="20"/>
                <w:color w:val="auto"/>
              </w:rPr>
            </w:pPr>
            <w:r>
              <w:rPr>
                <w:rFonts w:ascii="Arial" w:cs="Arial" w:eastAsia="Arial" w:hAnsi="Arial"/>
                <w:sz w:val="13"/>
                <w:szCs w:val="13"/>
                <w:color w:val="auto"/>
              </w:rPr>
              <w:t>4,039,810</w:t>
            </w:r>
          </w:p>
        </w:tc>
        <w:tc>
          <w:tcPr>
            <w:tcW w:w="900" w:type="dxa"/>
            <w:vAlign w:val="bottom"/>
          </w:tcPr>
          <w:p>
            <w:pPr>
              <w:jc w:val="right"/>
              <w:spacing w:after="0"/>
              <w:rPr>
                <w:sz w:val="20"/>
                <w:szCs w:val="20"/>
                <w:color w:val="auto"/>
              </w:rPr>
            </w:pPr>
            <w:r>
              <w:rPr>
                <w:rFonts w:ascii="Arial" w:cs="Arial" w:eastAsia="Arial" w:hAnsi="Arial"/>
                <w:sz w:val="13"/>
                <w:szCs w:val="13"/>
                <w:color w:val="auto"/>
              </w:rPr>
              <w:t>3,726,775</w:t>
            </w:r>
          </w:p>
        </w:tc>
      </w:tr>
      <w:tr>
        <w:trPr>
          <w:trHeight w:val="29"/>
        </w:trPr>
        <w:tc>
          <w:tcPr>
            <w:tcW w:w="5060" w:type="dxa"/>
            <w:vAlign w:val="bottom"/>
            <w:tcBorders>
              <w:bottom w:val="single" w:sz="8" w:color="DBDBDB"/>
            </w:tcBorders>
          </w:tcPr>
          <w:p>
            <w:pPr>
              <w:spacing w:after="0"/>
              <w:rPr>
                <w:sz w:val="2"/>
                <w:szCs w:val="2"/>
                <w:color w:val="auto"/>
              </w:rPr>
            </w:pPr>
          </w:p>
        </w:tc>
        <w:tc>
          <w:tcPr>
            <w:tcW w:w="29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50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 equity</w:t>
            </w:r>
          </w:p>
        </w:tc>
        <w:tc>
          <w:tcPr>
            <w:tcW w:w="2900" w:type="dxa"/>
            <w:vAlign w:val="bottom"/>
            <w:tcBorders>
              <w:bottom w:val="single" w:sz="8" w:color="DBDBDB"/>
            </w:tcBorders>
            <w:shd w:val="clear" w:color="auto" w:fill="DBDBDB"/>
          </w:tcPr>
          <w:p>
            <w:pPr>
              <w:ind w:left="2460"/>
              <w:spacing w:after="0"/>
              <w:rPr>
                <w:sz w:val="20"/>
                <w:szCs w:val="20"/>
                <w:color w:val="auto"/>
              </w:rPr>
            </w:pPr>
            <w:r>
              <w:rPr>
                <w:rFonts w:ascii="Arial" w:cs="Arial" w:eastAsia="Arial" w:hAnsi="Arial"/>
                <w:sz w:val="11"/>
                <w:szCs w:val="11"/>
                <w:color w:val="auto"/>
              </w:rPr>
              <w:t>9</w:t>
            </w:r>
          </w:p>
        </w:tc>
        <w:tc>
          <w:tcPr>
            <w:tcW w:w="1400" w:type="dxa"/>
            <w:vAlign w:val="bottom"/>
            <w:tcBorders>
              <w:bottom w:val="single" w:sz="8" w:color="DBDBDB"/>
            </w:tcBorders>
            <w:shd w:val="clear" w:color="auto" w:fill="DBDBDB"/>
          </w:tcPr>
          <w:p>
            <w:pPr>
              <w:jc w:val="right"/>
              <w:ind w:right="256"/>
              <w:spacing w:after="0"/>
              <w:rPr>
                <w:sz w:val="20"/>
                <w:szCs w:val="20"/>
                <w:color w:val="auto"/>
              </w:rPr>
            </w:pPr>
            <w:r>
              <w:rPr>
                <w:rFonts w:ascii="Arial" w:cs="Arial" w:eastAsia="Arial" w:hAnsi="Arial"/>
                <w:sz w:val="13"/>
                <w:szCs w:val="13"/>
                <w:b w:val="1"/>
                <w:bCs w:val="1"/>
                <w:color w:val="auto"/>
              </w:rPr>
              <w:t>470,755</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133,643</w:t>
            </w:r>
          </w:p>
        </w:tc>
      </w:tr>
      <w:tr>
        <w:trPr>
          <w:trHeight w:val="161"/>
        </w:trPr>
        <w:tc>
          <w:tcPr>
            <w:tcW w:w="506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29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Non-current liabilities</w:t>
            </w:r>
          </w:p>
        </w:tc>
        <w:tc>
          <w:tcPr>
            <w:tcW w:w="29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spacing w:after="0"/>
              <w:rPr>
                <w:sz w:val="16"/>
                <w:szCs w:val="16"/>
                <w:color w:val="auto"/>
              </w:rPr>
            </w:pP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Non-current contract liabilities</w:t>
            </w:r>
          </w:p>
        </w:tc>
        <w:tc>
          <w:tcPr>
            <w:tcW w:w="2900" w:type="dxa"/>
            <w:vAlign w:val="bottom"/>
          </w:tcPr>
          <w:p>
            <w:pPr>
              <w:ind w:left="2460"/>
              <w:spacing w:after="0"/>
              <w:rPr>
                <w:sz w:val="20"/>
                <w:szCs w:val="20"/>
                <w:color w:val="auto"/>
              </w:rPr>
            </w:pPr>
            <w:r>
              <w:rPr>
                <w:rFonts w:ascii="Arial" w:cs="Arial" w:eastAsia="Arial" w:hAnsi="Arial"/>
                <w:sz w:val="11"/>
                <w:szCs w:val="11"/>
                <w:color w:val="auto"/>
              </w:rPr>
              <w:t>2</w:t>
            </w: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(58,267)</w:t>
            </w:r>
          </w:p>
        </w:tc>
        <w:tc>
          <w:tcPr>
            <w:tcW w:w="900" w:type="dxa"/>
            <w:vAlign w:val="bottom"/>
          </w:tcPr>
          <w:p>
            <w:pPr>
              <w:jc w:val="right"/>
              <w:spacing w:after="0"/>
              <w:rPr>
                <w:sz w:val="20"/>
                <w:szCs w:val="20"/>
                <w:color w:val="auto"/>
              </w:rPr>
            </w:pPr>
            <w:r>
              <w:rPr>
                <w:rFonts w:ascii="Arial" w:cs="Arial" w:eastAsia="Arial" w:hAnsi="Arial"/>
                <w:sz w:val="13"/>
                <w:szCs w:val="13"/>
                <w:color w:val="auto"/>
              </w:rPr>
              <w:t>(50,252)</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Deferred tax liabilities</w:t>
            </w:r>
          </w:p>
        </w:tc>
        <w:tc>
          <w:tcPr>
            <w:tcW w:w="29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(458)</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(476)</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Other non-current provisions</w:t>
            </w:r>
          </w:p>
        </w:tc>
        <w:tc>
          <w:tcPr>
            <w:tcW w:w="2900" w:type="dxa"/>
            <w:vAlign w:val="bottom"/>
          </w:tcPr>
          <w:p>
            <w:pPr>
              <w:spacing w:after="0"/>
              <w:rPr>
                <w:sz w:val="15"/>
                <w:szCs w:val="15"/>
                <w:color w:val="auto"/>
              </w:rPr>
            </w:pP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(103,646)</w:t>
            </w:r>
          </w:p>
        </w:tc>
        <w:tc>
          <w:tcPr>
            <w:tcW w:w="900" w:type="dxa"/>
            <w:vAlign w:val="bottom"/>
          </w:tcPr>
          <w:p>
            <w:pPr>
              <w:jc w:val="right"/>
              <w:spacing w:after="0"/>
              <w:rPr>
                <w:sz w:val="20"/>
                <w:szCs w:val="20"/>
                <w:color w:val="auto"/>
              </w:rPr>
            </w:pPr>
            <w:r>
              <w:rPr>
                <w:rFonts w:ascii="Arial" w:cs="Arial" w:eastAsia="Arial" w:hAnsi="Arial"/>
                <w:sz w:val="13"/>
                <w:szCs w:val="13"/>
                <w:color w:val="auto"/>
              </w:rPr>
              <w:t>(73,985)</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Other non-current liabilities</w:t>
            </w:r>
          </w:p>
        </w:tc>
        <w:tc>
          <w:tcPr>
            <w:tcW w:w="29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(50,039)</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(14,753)</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Earn-out liability</w:t>
            </w:r>
          </w:p>
        </w:tc>
        <w:tc>
          <w:tcPr>
            <w:tcW w:w="2900" w:type="dxa"/>
            <w:vAlign w:val="bottom"/>
          </w:tcPr>
          <w:p>
            <w:pPr>
              <w:ind w:left="2460"/>
              <w:spacing w:after="0"/>
              <w:rPr>
                <w:sz w:val="20"/>
                <w:szCs w:val="20"/>
                <w:color w:val="auto"/>
              </w:rPr>
            </w:pPr>
            <w:r>
              <w:rPr>
                <w:rFonts w:ascii="Arial" w:cs="Arial" w:eastAsia="Arial" w:hAnsi="Arial"/>
                <w:sz w:val="11"/>
                <w:szCs w:val="11"/>
                <w:color w:val="auto"/>
              </w:rPr>
              <w:t>7, 8</w:t>
            </w: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(365,575)</w:t>
            </w:r>
          </w:p>
        </w:tc>
        <w:tc>
          <w:tcPr>
            <w:tcW w:w="900" w:type="dxa"/>
            <w:vAlign w:val="bottom"/>
          </w:tcPr>
          <w:p>
            <w:pPr>
              <w:jc w:val="right"/>
              <w:spacing w:after="0"/>
              <w:rPr>
                <w:sz w:val="20"/>
                <w:szCs w:val="20"/>
                <w:color w:val="auto"/>
              </w:rPr>
            </w:pPr>
            <w:r>
              <w:rPr>
                <w:rFonts w:ascii="Arial" w:cs="Arial" w:eastAsia="Arial" w:hAnsi="Arial"/>
                <w:sz w:val="13"/>
                <w:szCs w:val="13"/>
                <w:color w:val="auto"/>
              </w:rPr>
              <w:t>(598,570)</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Other non-current interest-bearing liabilities</w:t>
            </w:r>
          </w:p>
        </w:tc>
        <w:tc>
          <w:tcPr>
            <w:tcW w:w="2900" w:type="dxa"/>
            <w:vAlign w:val="bottom"/>
            <w:tcBorders>
              <w:bottom w:val="single" w:sz="8" w:color="DBDBDB"/>
            </w:tcBorders>
            <w:shd w:val="clear" w:color="auto" w:fill="DBDBDB"/>
          </w:tcPr>
          <w:p>
            <w:pPr>
              <w:ind w:left="2460"/>
              <w:spacing w:after="0"/>
              <w:rPr>
                <w:sz w:val="20"/>
                <w:szCs w:val="20"/>
                <w:color w:val="auto"/>
              </w:rPr>
            </w:pPr>
            <w:r>
              <w:rPr>
                <w:rFonts w:ascii="Arial" w:cs="Arial" w:eastAsia="Arial" w:hAnsi="Arial"/>
                <w:sz w:val="11"/>
                <w:szCs w:val="11"/>
                <w:color w:val="auto"/>
              </w:rPr>
              <w:t>4</w:t>
            </w: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(75,793)</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(85,556)</w:t>
            </w:r>
          </w:p>
        </w:tc>
      </w:tr>
      <w:tr>
        <w:trPr>
          <w:trHeight w:val="171"/>
        </w:trPr>
        <w:tc>
          <w:tcPr>
            <w:tcW w:w="5060" w:type="dxa"/>
            <w:vAlign w:val="bottom"/>
          </w:tcPr>
          <w:p>
            <w:pPr>
              <w:spacing w:after="0"/>
              <w:rPr>
                <w:sz w:val="20"/>
                <w:szCs w:val="20"/>
                <w:color w:val="auto"/>
              </w:rPr>
            </w:pPr>
            <w:r>
              <w:rPr>
                <w:rFonts w:ascii="Arial" w:cs="Arial" w:eastAsia="Arial" w:hAnsi="Arial"/>
                <w:sz w:val="13"/>
                <w:szCs w:val="13"/>
                <w:b w:val="1"/>
                <w:bCs w:val="1"/>
                <w:color w:val="auto"/>
              </w:rPr>
              <w:t>Total non-current liabilities</w:t>
            </w:r>
          </w:p>
        </w:tc>
        <w:tc>
          <w:tcPr>
            <w:tcW w:w="2900" w:type="dxa"/>
            <w:vAlign w:val="bottom"/>
          </w:tcPr>
          <w:p>
            <w:pPr>
              <w:spacing w:after="0"/>
              <w:rPr>
                <w:sz w:val="14"/>
                <w:szCs w:val="14"/>
                <w:color w:val="auto"/>
              </w:rPr>
            </w:pPr>
          </w:p>
        </w:tc>
        <w:tc>
          <w:tcPr>
            <w:tcW w:w="1400" w:type="dxa"/>
            <w:vAlign w:val="bottom"/>
            <w:tcBorders>
              <w:top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(653,778)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(823,592)</w:t>
            </w:r>
          </w:p>
        </w:tc>
      </w:tr>
      <w:tr>
        <w:trPr>
          <w:trHeight w:val="29"/>
        </w:trPr>
        <w:tc>
          <w:tcPr>
            <w:tcW w:w="5060" w:type="dxa"/>
            <w:vAlign w:val="bottom"/>
            <w:tcBorders>
              <w:bottom w:val="single" w:sz="8" w:color="DBDBDB"/>
            </w:tcBorders>
          </w:tcPr>
          <w:p>
            <w:pPr>
              <w:spacing w:after="0"/>
              <w:rPr>
                <w:sz w:val="2"/>
                <w:szCs w:val="2"/>
                <w:color w:val="auto"/>
              </w:rPr>
            </w:pPr>
          </w:p>
        </w:tc>
        <w:tc>
          <w:tcPr>
            <w:tcW w:w="29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0"/>
        </w:trPr>
        <w:tc>
          <w:tcPr>
            <w:tcW w:w="50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Current liabilities</w:t>
            </w:r>
          </w:p>
        </w:tc>
        <w:tc>
          <w:tcPr>
            <w:tcW w:w="2900" w:type="dxa"/>
            <w:vAlign w:val="bottom"/>
            <w:tcBorders>
              <w:bottom w:val="single" w:sz="8" w:color="DBDBDB"/>
            </w:tcBorders>
            <w:shd w:val="clear" w:color="auto" w:fill="DBDBDB"/>
          </w:tcPr>
          <w:p>
            <w:pPr>
              <w:spacing w:after="0"/>
              <w:rPr>
                <w:sz w:val="14"/>
                <w:szCs w:val="14"/>
                <w:color w:val="auto"/>
              </w:rPr>
            </w:pPr>
          </w:p>
        </w:tc>
        <w:tc>
          <w:tcPr>
            <w:tcW w:w="14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Trade payables</w:t>
            </w:r>
          </w:p>
        </w:tc>
        <w:tc>
          <w:tcPr>
            <w:tcW w:w="2900" w:type="dxa"/>
            <w:vAlign w:val="bottom"/>
          </w:tcPr>
          <w:p>
            <w:pPr>
              <w:spacing w:after="0"/>
              <w:rPr>
                <w:sz w:val="15"/>
                <w:szCs w:val="15"/>
                <w:color w:val="auto"/>
              </w:rPr>
            </w:pP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(97,632)</w:t>
            </w:r>
          </w:p>
        </w:tc>
        <w:tc>
          <w:tcPr>
            <w:tcW w:w="900" w:type="dxa"/>
            <w:vAlign w:val="bottom"/>
          </w:tcPr>
          <w:p>
            <w:pPr>
              <w:jc w:val="right"/>
              <w:spacing w:after="0"/>
              <w:rPr>
                <w:sz w:val="20"/>
                <w:szCs w:val="20"/>
                <w:color w:val="auto"/>
              </w:rPr>
            </w:pPr>
            <w:r>
              <w:rPr>
                <w:rFonts w:ascii="Arial" w:cs="Arial" w:eastAsia="Arial" w:hAnsi="Arial"/>
                <w:sz w:val="13"/>
                <w:szCs w:val="13"/>
                <w:color w:val="auto"/>
              </w:rPr>
              <w:t>(98,458)</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Trade payables - related parties</w:t>
            </w:r>
          </w:p>
        </w:tc>
        <w:tc>
          <w:tcPr>
            <w:tcW w:w="2900" w:type="dxa"/>
            <w:vAlign w:val="bottom"/>
            <w:tcBorders>
              <w:bottom w:val="single" w:sz="8" w:color="DBDBDB"/>
            </w:tcBorders>
            <w:shd w:val="clear" w:color="auto" w:fill="DBDBDB"/>
          </w:tcPr>
          <w:p>
            <w:pPr>
              <w:ind w:left="2460"/>
              <w:spacing w:after="0"/>
              <w:rPr>
                <w:sz w:val="20"/>
                <w:szCs w:val="20"/>
                <w:color w:val="auto"/>
              </w:rPr>
            </w:pPr>
            <w:r>
              <w:rPr>
                <w:rFonts w:ascii="Arial" w:cs="Arial" w:eastAsia="Arial" w:hAnsi="Arial"/>
                <w:sz w:val="11"/>
                <w:szCs w:val="11"/>
                <w:color w:val="auto"/>
              </w:rPr>
              <w:t>11</w:t>
            </w: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(824,000)</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(957,497)</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Accrued expenses - related parties</w:t>
            </w:r>
          </w:p>
        </w:tc>
        <w:tc>
          <w:tcPr>
            <w:tcW w:w="2900" w:type="dxa"/>
            <w:vAlign w:val="bottom"/>
          </w:tcPr>
          <w:p>
            <w:pPr>
              <w:ind w:left="2460"/>
              <w:spacing w:after="0"/>
              <w:rPr>
                <w:sz w:val="20"/>
                <w:szCs w:val="20"/>
                <w:color w:val="auto"/>
              </w:rPr>
            </w:pPr>
            <w:r>
              <w:rPr>
                <w:rFonts w:ascii="Arial" w:cs="Arial" w:eastAsia="Arial" w:hAnsi="Arial"/>
                <w:sz w:val="11"/>
                <w:szCs w:val="11"/>
                <w:color w:val="auto"/>
              </w:rPr>
              <w:t>11</w:t>
            </w: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(148,041)</w:t>
            </w:r>
          </w:p>
        </w:tc>
        <w:tc>
          <w:tcPr>
            <w:tcW w:w="900" w:type="dxa"/>
            <w:vAlign w:val="bottom"/>
          </w:tcPr>
          <w:p>
            <w:pPr>
              <w:jc w:val="right"/>
              <w:spacing w:after="0"/>
              <w:rPr>
                <w:sz w:val="20"/>
                <w:szCs w:val="20"/>
                <w:color w:val="auto"/>
              </w:rPr>
            </w:pPr>
            <w:r>
              <w:rPr>
                <w:rFonts w:ascii="Arial" w:cs="Arial" w:eastAsia="Arial" w:hAnsi="Arial"/>
                <w:sz w:val="13"/>
                <w:szCs w:val="13"/>
                <w:color w:val="auto"/>
              </w:rPr>
              <w:t>(164,902)</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Advance payments from customers</w:t>
            </w:r>
          </w:p>
        </w:tc>
        <w:tc>
          <w:tcPr>
            <w:tcW w:w="29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(42,847)</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(40,869)</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Current provisions</w:t>
            </w:r>
          </w:p>
        </w:tc>
        <w:tc>
          <w:tcPr>
            <w:tcW w:w="2900" w:type="dxa"/>
            <w:vAlign w:val="bottom"/>
          </w:tcPr>
          <w:p>
            <w:pPr>
              <w:spacing w:after="0"/>
              <w:rPr>
                <w:sz w:val="15"/>
                <w:szCs w:val="15"/>
                <w:color w:val="auto"/>
              </w:rPr>
            </w:pP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(60,208)</w:t>
            </w:r>
          </w:p>
        </w:tc>
        <w:tc>
          <w:tcPr>
            <w:tcW w:w="900" w:type="dxa"/>
            <w:vAlign w:val="bottom"/>
          </w:tcPr>
          <w:p>
            <w:pPr>
              <w:jc w:val="right"/>
              <w:spacing w:after="0"/>
              <w:rPr>
                <w:sz w:val="20"/>
                <w:szCs w:val="20"/>
                <w:color w:val="auto"/>
              </w:rPr>
            </w:pPr>
            <w:r>
              <w:rPr>
                <w:rFonts w:ascii="Arial" w:cs="Arial" w:eastAsia="Arial" w:hAnsi="Arial"/>
                <w:sz w:val="13"/>
                <w:szCs w:val="13"/>
                <w:color w:val="auto"/>
              </w:rPr>
              <w:t>(74,907)</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Liabilities to credit institutions</w:t>
            </w:r>
          </w:p>
        </w:tc>
        <w:tc>
          <w:tcPr>
            <w:tcW w:w="2900" w:type="dxa"/>
            <w:vAlign w:val="bottom"/>
            <w:tcBorders>
              <w:bottom w:val="single" w:sz="8" w:color="DBDBDB"/>
            </w:tcBorders>
            <w:shd w:val="clear" w:color="auto" w:fill="DBDBDB"/>
          </w:tcPr>
          <w:p>
            <w:pPr>
              <w:ind w:left="2460"/>
              <w:spacing w:after="0"/>
              <w:rPr>
                <w:sz w:val="20"/>
                <w:szCs w:val="20"/>
                <w:color w:val="auto"/>
              </w:rPr>
            </w:pPr>
            <w:r>
              <w:rPr>
                <w:rFonts w:ascii="Arial" w:cs="Arial" w:eastAsia="Arial" w:hAnsi="Arial"/>
                <w:sz w:val="11"/>
                <w:szCs w:val="11"/>
                <w:color w:val="auto"/>
              </w:rPr>
              <w:t>10</w:t>
            </w: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(1,623,433)</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(1,328,752)</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Current tax liabilities</w:t>
            </w:r>
          </w:p>
        </w:tc>
        <w:tc>
          <w:tcPr>
            <w:tcW w:w="2900" w:type="dxa"/>
            <w:vAlign w:val="bottom"/>
          </w:tcPr>
          <w:p>
            <w:pPr>
              <w:spacing w:after="0"/>
              <w:rPr>
                <w:sz w:val="15"/>
                <w:szCs w:val="15"/>
                <w:color w:val="auto"/>
              </w:rPr>
            </w:pP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(15,767)</w:t>
            </w:r>
          </w:p>
        </w:tc>
        <w:tc>
          <w:tcPr>
            <w:tcW w:w="900" w:type="dxa"/>
            <w:vAlign w:val="bottom"/>
          </w:tcPr>
          <w:p>
            <w:pPr>
              <w:jc w:val="right"/>
              <w:spacing w:after="0"/>
              <w:rPr>
                <w:sz w:val="20"/>
                <w:szCs w:val="20"/>
                <w:color w:val="auto"/>
              </w:rPr>
            </w:pPr>
            <w:r>
              <w:rPr>
                <w:rFonts w:ascii="Arial" w:cs="Arial" w:eastAsia="Arial" w:hAnsi="Arial"/>
                <w:sz w:val="13"/>
                <w:szCs w:val="13"/>
                <w:color w:val="auto"/>
              </w:rPr>
              <w:t>(10,617)</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Interest-bearing current liabilities</w:t>
            </w:r>
          </w:p>
        </w:tc>
        <w:tc>
          <w:tcPr>
            <w:tcW w:w="2900" w:type="dxa"/>
            <w:vAlign w:val="bottom"/>
            <w:tcBorders>
              <w:bottom w:val="single" w:sz="8" w:color="DBDBDB"/>
            </w:tcBorders>
            <w:shd w:val="clear" w:color="auto" w:fill="DBDBDB"/>
          </w:tcPr>
          <w:p>
            <w:pPr>
              <w:ind w:left="2460"/>
              <w:spacing w:after="0"/>
              <w:rPr>
                <w:sz w:val="20"/>
                <w:szCs w:val="20"/>
                <w:color w:val="auto"/>
              </w:rPr>
            </w:pPr>
            <w:r>
              <w:rPr>
                <w:rFonts w:ascii="Arial" w:cs="Arial" w:eastAsia="Arial" w:hAnsi="Arial"/>
                <w:sz w:val="13"/>
                <w:szCs w:val="13"/>
                <w:color w:val="auto"/>
              </w:rPr>
              <w:t>4</w:t>
            </w: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(27,658)</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(21,545)</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Interest-bearing current liabilities - related parties</w:t>
            </w:r>
          </w:p>
        </w:tc>
        <w:tc>
          <w:tcPr>
            <w:tcW w:w="2900" w:type="dxa"/>
            <w:vAlign w:val="bottom"/>
          </w:tcPr>
          <w:p>
            <w:pPr>
              <w:ind w:left="2460"/>
              <w:spacing w:after="0"/>
              <w:rPr>
                <w:sz w:val="20"/>
                <w:szCs w:val="20"/>
                <w:color w:val="auto"/>
              </w:rPr>
            </w:pPr>
            <w:r>
              <w:rPr>
                <w:rFonts w:ascii="Arial" w:cs="Arial" w:eastAsia="Arial" w:hAnsi="Arial"/>
                <w:sz w:val="11"/>
                <w:szCs w:val="11"/>
                <w:color w:val="auto"/>
              </w:rPr>
              <w:t>11</w:t>
            </w: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(779,283)</w:t>
            </w:r>
          </w:p>
        </w:tc>
        <w:tc>
          <w:tcPr>
            <w:tcW w:w="900" w:type="dxa"/>
            <w:vAlign w:val="bottom"/>
          </w:tcPr>
          <w:p>
            <w:pPr>
              <w:jc w:val="right"/>
              <w:spacing w:after="0"/>
              <w:rPr>
                <w:sz w:val="20"/>
                <w:szCs w:val="20"/>
                <w:color w:val="auto"/>
              </w:rPr>
            </w:pPr>
            <w:r>
              <w:rPr>
                <w:rFonts w:ascii="Arial" w:cs="Arial" w:eastAsia="Arial" w:hAnsi="Arial"/>
                <w:sz w:val="13"/>
                <w:szCs w:val="13"/>
                <w:color w:val="auto"/>
              </w:rPr>
              <w:t>(16,690)</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Current contract liabilities</w:t>
            </w:r>
          </w:p>
        </w:tc>
        <w:tc>
          <w:tcPr>
            <w:tcW w:w="2900" w:type="dxa"/>
            <w:vAlign w:val="bottom"/>
            <w:tcBorders>
              <w:bottom w:val="single" w:sz="8" w:color="DBDBDB"/>
            </w:tcBorders>
            <w:shd w:val="clear" w:color="auto" w:fill="DBDBDB"/>
          </w:tcPr>
          <w:p>
            <w:pPr>
              <w:ind w:left="2460"/>
              <w:spacing w:after="0"/>
              <w:rPr>
                <w:sz w:val="20"/>
                <w:szCs w:val="20"/>
                <w:color w:val="auto"/>
              </w:rPr>
            </w:pPr>
            <w:r>
              <w:rPr>
                <w:rFonts w:ascii="Arial" w:cs="Arial" w:eastAsia="Arial" w:hAnsi="Arial"/>
                <w:sz w:val="11"/>
                <w:szCs w:val="11"/>
                <w:color w:val="auto"/>
              </w:rPr>
              <w:t>2</w:t>
            </w: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(61,642)</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(46,217)</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Class C Shares liability</w:t>
            </w:r>
          </w:p>
        </w:tc>
        <w:tc>
          <w:tcPr>
            <w:tcW w:w="2900" w:type="dxa"/>
            <w:vAlign w:val="bottom"/>
          </w:tcPr>
          <w:p>
            <w:pPr>
              <w:ind w:left="2460"/>
              <w:spacing w:after="0"/>
              <w:rPr>
                <w:sz w:val="20"/>
                <w:szCs w:val="20"/>
                <w:color w:val="auto"/>
              </w:rPr>
            </w:pPr>
            <w:r>
              <w:rPr>
                <w:rFonts w:ascii="Arial" w:cs="Arial" w:eastAsia="Arial" w:hAnsi="Arial"/>
                <w:sz w:val="11"/>
                <w:szCs w:val="11"/>
                <w:color w:val="auto"/>
              </w:rPr>
              <w:t>7, 8</w:t>
            </w: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(17,250)</w:t>
            </w:r>
          </w:p>
        </w:tc>
        <w:tc>
          <w:tcPr>
            <w:tcW w:w="900" w:type="dxa"/>
            <w:vAlign w:val="bottom"/>
          </w:tcPr>
          <w:p>
            <w:pPr>
              <w:jc w:val="right"/>
              <w:spacing w:after="0"/>
              <w:rPr>
                <w:sz w:val="20"/>
                <w:szCs w:val="20"/>
                <w:color w:val="auto"/>
              </w:rPr>
            </w:pPr>
            <w:r>
              <w:rPr>
                <w:rFonts w:ascii="Arial" w:cs="Arial" w:eastAsia="Arial" w:hAnsi="Arial"/>
                <w:sz w:val="13"/>
                <w:szCs w:val="13"/>
                <w:color w:val="auto"/>
              </w:rPr>
              <w:t>(28,000)</w:t>
            </w:r>
          </w:p>
        </w:tc>
      </w:tr>
      <w:tr>
        <w:trPr>
          <w:trHeight w:val="29"/>
        </w:trPr>
        <w:tc>
          <w:tcPr>
            <w:tcW w:w="50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506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Other current liabilities</w:t>
            </w:r>
          </w:p>
        </w:tc>
        <w:tc>
          <w:tcPr>
            <w:tcW w:w="290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(342,189)</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(393,790)</w:t>
            </w:r>
          </w:p>
        </w:tc>
      </w:tr>
      <w:tr>
        <w:trPr>
          <w:trHeight w:val="181"/>
        </w:trPr>
        <w:tc>
          <w:tcPr>
            <w:tcW w:w="5060" w:type="dxa"/>
            <w:vAlign w:val="bottom"/>
          </w:tcPr>
          <w:p>
            <w:pPr>
              <w:ind w:left="80"/>
              <w:spacing w:after="0"/>
              <w:rPr>
                <w:sz w:val="20"/>
                <w:szCs w:val="20"/>
                <w:color w:val="auto"/>
              </w:rPr>
            </w:pPr>
            <w:r>
              <w:rPr>
                <w:rFonts w:ascii="Arial" w:cs="Arial" w:eastAsia="Arial" w:hAnsi="Arial"/>
                <w:sz w:val="13"/>
                <w:szCs w:val="13"/>
                <w:color w:val="auto"/>
              </w:rPr>
              <w:t>Other current liabilities - related parties</w:t>
            </w:r>
          </w:p>
        </w:tc>
        <w:tc>
          <w:tcPr>
            <w:tcW w:w="2900" w:type="dxa"/>
            <w:vAlign w:val="bottom"/>
          </w:tcPr>
          <w:p>
            <w:pPr>
              <w:ind w:left="2460"/>
              <w:spacing w:after="0"/>
              <w:rPr>
                <w:sz w:val="20"/>
                <w:szCs w:val="20"/>
                <w:color w:val="auto"/>
              </w:rPr>
            </w:pPr>
            <w:r>
              <w:rPr>
                <w:rFonts w:ascii="Arial" w:cs="Arial" w:eastAsia="Arial" w:hAnsi="Arial"/>
                <w:sz w:val="11"/>
                <w:szCs w:val="11"/>
                <w:color w:val="auto"/>
              </w:rPr>
              <w:t>11</w:t>
            </w:r>
          </w:p>
        </w:tc>
        <w:tc>
          <w:tcPr>
            <w:tcW w:w="1400" w:type="dxa"/>
            <w:vAlign w:val="bottom"/>
          </w:tcPr>
          <w:p>
            <w:pPr>
              <w:jc w:val="right"/>
              <w:ind w:right="216"/>
              <w:spacing w:after="0"/>
              <w:rPr>
                <w:sz w:val="20"/>
                <w:szCs w:val="20"/>
                <w:color w:val="auto"/>
              </w:rPr>
            </w:pPr>
            <w:r>
              <w:rPr>
                <w:rFonts w:ascii="Arial" w:cs="Arial" w:eastAsia="Arial" w:hAnsi="Arial"/>
                <w:sz w:val="13"/>
                <w:szCs w:val="13"/>
                <w:color w:val="auto"/>
              </w:rPr>
              <w:t>(32,272)</w:t>
            </w:r>
          </w:p>
        </w:tc>
        <w:tc>
          <w:tcPr>
            <w:tcW w:w="900" w:type="dxa"/>
            <w:vAlign w:val="bottom"/>
          </w:tcPr>
          <w:p>
            <w:pPr>
              <w:jc w:val="right"/>
              <w:spacing w:after="0"/>
              <w:rPr>
                <w:sz w:val="20"/>
                <w:szCs w:val="20"/>
                <w:color w:val="auto"/>
              </w:rPr>
            </w:pPr>
            <w:r>
              <w:rPr>
                <w:rFonts w:ascii="Arial" w:cs="Arial" w:eastAsia="Arial" w:hAnsi="Arial"/>
                <w:sz w:val="13"/>
                <w:szCs w:val="13"/>
                <w:color w:val="auto"/>
              </w:rPr>
              <w:t>(70,258)</w:t>
            </w:r>
          </w:p>
        </w:tc>
      </w:tr>
      <w:tr>
        <w:trPr>
          <w:trHeight w:val="29"/>
        </w:trPr>
        <w:tc>
          <w:tcPr>
            <w:tcW w:w="5060" w:type="dxa"/>
            <w:vAlign w:val="bottom"/>
            <w:tcBorders>
              <w:bottom w:val="single" w:sz="8" w:color="DBDBDB"/>
            </w:tcBorders>
          </w:tcPr>
          <w:p>
            <w:pPr>
              <w:spacing w:after="0"/>
              <w:rPr>
                <w:sz w:val="2"/>
                <w:szCs w:val="2"/>
                <w:color w:val="auto"/>
              </w:rPr>
            </w:pPr>
          </w:p>
        </w:tc>
        <w:tc>
          <w:tcPr>
            <w:tcW w:w="29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50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 current liabilities</w:t>
            </w:r>
          </w:p>
        </w:tc>
        <w:tc>
          <w:tcPr>
            <w:tcW w:w="2900" w:type="dxa"/>
            <w:vAlign w:val="bottom"/>
            <w:tcBorders>
              <w:bottom w:val="single" w:sz="8" w:color="DBDBDB"/>
            </w:tcBorders>
            <w:shd w:val="clear" w:color="auto" w:fill="DBDBDB"/>
          </w:tcPr>
          <w:p>
            <w:pPr>
              <w:spacing w:after="0"/>
              <w:rPr>
                <w:sz w:val="17"/>
                <w:szCs w:val="17"/>
                <w:color w:val="auto"/>
              </w:rPr>
            </w:pP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b w:val="1"/>
                <w:bCs w:val="1"/>
                <w:color w:val="auto"/>
              </w:rPr>
              <w:t>(4,072,222)</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(3,252,502)</w:t>
            </w:r>
          </w:p>
        </w:tc>
      </w:tr>
      <w:tr>
        <w:trPr>
          <w:trHeight w:val="171"/>
        </w:trPr>
        <w:tc>
          <w:tcPr>
            <w:tcW w:w="5060" w:type="dxa"/>
            <w:vAlign w:val="bottom"/>
          </w:tcPr>
          <w:p>
            <w:pPr>
              <w:spacing w:after="0"/>
              <w:rPr>
                <w:sz w:val="20"/>
                <w:szCs w:val="20"/>
                <w:color w:val="auto"/>
              </w:rPr>
            </w:pPr>
            <w:r>
              <w:rPr>
                <w:rFonts w:ascii="Arial" w:cs="Arial" w:eastAsia="Arial" w:hAnsi="Arial"/>
                <w:sz w:val="13"/>
                <w:szCs w:val="13"/>
                <w:b w:val="1"/>
                <w:bCs w:val="1"/>
                <w:color w:val="auto"/>
              </w:rPr>
              <w:t>Total liabilities</w:t>
            </w:r>
          </w:p>
        </w:tc>
        <w:tc>
          <w:tcPr>
            <w:tcW w:w="2900" w:type="dxa"/>
            <w:vAlign w:val="bottom"/>
          </w:tcPr>
          <w:p>
            <w:pPr>
              <w:spacing w:after="0"/>
              <w:rPr>
                <w:sz w:val="14"/>
                <w:szCs w:val="14"/>
                <w:color w:val="auto"/>
              </w:rPr>
            </w:pPr>
          </w:p>
        </w:tc>
        <w:tc>
          <w:tcPr>
            <w:tcW w:w="1400" w:type="dxa"/>
            <w:vAlign w:val="bottom"/>
            <w:tcBorders>
              <w:top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(4,726,000)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(4,076,094)</w:t>
            </w:r>
          </w:p>
        </w:tc>
      </w:tr>
      <w:tr>
        <w:trPr>
          <w:trHeight w:val="29"/>
        </w:trPr>
        <w:tc>
          <w:tcPr>
            <w:tcW w:w="5060" w:type="dxa"/>
            <w:vAlign w:val="bottom"/>
            <w:tcBorders>
              <w:bottom w:val="single" w:sz="8" w:color="DBDBDB"/>
            </w:tcBorders>
          </w:tcPr>
          <w:p>
            <w:pPr>
              <w:spacing w:after="0"/>
              <w:rPr>
                <w:sz w:val="2"/>
                <w:szCs w:val="2"/>
                <w:color w:val="auto"/>
              </w:rPr>
            </w:pPr>
          </w:p>
        </w:tc>
        <w:tc>
          <w:tcPr>
            <w:tcW w:w="290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9"/>
        </w:trPr>
        <w:tc>
          <w:tcPr>
            <w:tcW w:w="50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 equity and liabilities</w:t>
            </w:r>
          </w:p>
        </w:tc>
        <w:tc>
          <w:tcPr>
            <w:tcW w:w="290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b w:val="1"/>
                <w:bCs w:val="1"/>
                <w:color w:val="auto"/>
              </w:rPr>
              <w:t>(4,255,245)</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(3,942,451)</w:t>
            </w:r>
          </w:p>
        </w:tc>
      </w:tr>
      <w:tr>
        <w:trPr>
          <w:trHeight w:val="20"/>
        </w:trPr>
        <w:tc>
          <w:tcPr>
            <w:tcW w:w="5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49530</wp:posOffset>
            </wp:positionV>
            <wp:extent cx="719772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0260"/>
          </w:cols>
          <w:pgMar w:left="820" w:top="579" w:right="819" w:bottom="1440" w:gutter="0" w:footer="0" w:header="0"/>
        </w:sectPr>
      </w:pPr>
    </w:p>
    <w:bookmarkStart w:id="8" w:name="page9"/>
    <w:bookmarkEnd w:id="8"/>
    <w:p>
      <w:pPr>
        <w:ind w:left="3740"/>
        <w:spacing w:after="0"/>
        <w:rPr>
          <w:sz w:val="20"/>
          <w:szCs w:val="20"/>
          <w:color w:val="auto"/>
        </w:rPr>
      </w:pPr>
      <w:r>
        <w:rPr>
          <w:rFonts w:ascii="Arial" w:cs="Arial" w:eastAsia="Arial" w:hAnsi="Arial"/>
          <w:sz w:val="13"/>
          <w:szCs w:val="13"/>
          <w:color w:val="auto"/>
        </w:rPr>
        <w:t>Polestar Automotive Holding UK PLC</w:t>
      </w:r>
    </w:p>
    <w:p>
      <w:pPr>
        <w:jc w:val="right"/>
        <w:ind w:right="1159"/>
        <w:spacing w:after="0"/>
        <w:rPr>
          <w:sz w:val="20"/>
          <w:szCs w:val="20"/>
          <w:color w:val="auto"/>
        </w:rPr>
      </w:pPr>
      <w:r>
        <w:rPr>
          <w:rFonts w:ascii="Arial" w:cs="Arial" w:eastAsia="Arial" w:hAnsi="Arial"/>
          <w:sz w:val="13"/>
          <w:szCs w:val="13"/>
          <w:color w:val="auto"/>
        </w:rPr>
        <w:t>Unaudited Condensed Consolidated Statement of Cash Flows</w:t>
      </w:r>
    </w:p>
    <w:p>
      <w:pPr>
        <w:spacing w:after="0" w:line="2"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124460</wp:posOffset>
            </wp:positionV>
            <wp:extent cx="4952365"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52365" cy="13335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396875</wp:posOffset>
            </wp:positionV>
            <wp:extent cx="4952365"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Cash flows from operating activities</w:t>
      </w:r>
    </w:p>
    <w:p>
      <w:pPr>
        <w:spacing w:after="0" w:line="6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Adjustments to reconcile net loss to net cash flows:</w:t>
      </w:r>
    </w:p>
    <w:p>
      <w:pPr>
        <w:spacing w:after="0" w:line="6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Warranties</w:t>
      </w:r>
    </w:p>
    <w:p>
      <w:pPr>
        <w:spacing w:after="0" w:line="6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Inventory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Finance income</w:t>
      </w:r>
    </w:p>
    <w:p>
      <w:pPr>
        <w:spacing w:after="0" w:line="6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Fair value change - Earn-out rights</w:t>
      </w:r>
    </w:p>
    <w:p>
      <w:pPr>
        <w:spacing w:after="0" w:line="6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Fair value change - Class 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Listing expense</w:t>
      </w:r>
    </w:p>
    <w:p>
      <w:pPr>
        <w:spacing w:after="0" w:line="6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Other non-cash expense (income)</w:t>
      </w:r>
    </w:p>
    <w:p>
      <w:pPr>
        <w:spacing w:after="0" w:line="6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Inventories</w:t>
      </w:r>
    </w:p>
    <w:p>
      <w:pPr>
        <w:spacing w:after="0" w:line="6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Trade receivables, prepaid expenses and other assets</w:t>
      </w:r>
    </w:p>
    <w:p>
      <w:pPr>
        <w:spacing w:after="0" w:line="60" w:lineRule="exact"/>
        <w:rPr>
          <w:sz w:val="20"/>
          <w:szCs w:val="20"/>
          <w:color w:val="auto"/>
        </w:rPr>
      </w:pPr>
    </w:p>
    <w:p>
      <w:pPr>
        <w:ind w:left="2500"/>
        <w:spacing w:after="0"/>
        <w:rPr>
          <w:sz w:val="20"/>
          <w:szCs w:val="20"/>
          <w:color w:val="auto"/>
        </w:rPr>
      </w:pPr>
      <w:r>
        <w:rPr>
          <w:rFonts w:ascii="Arial" w:cs="Arial" w:eastAsia="Arial" w:hAnsi="Arial"/>
          <w:sz w:val="13"/>
          <w:szCs w:val="13"/>
          <w:color w:val="auto"/>
        </w:rPr>
        <w:t>Trade payables,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Interest received</w:t>
      </w:r>
    </w:p>
    <w:p>
      <w:pPr>
        <w:spacing w:after="0" w:line="6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Taxes paid</w:t>
      </w:r>
    </w:p>
    <w:p>
      <w:pPr>
        <w:spacing w:after="0" w:line="56"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34290</wp:posOffset>
            </wp:positionV>
            <wp:extent cx="4952365" cy="133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50"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6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Additions to intangible assets</w:t>
      </w:r>
    </w:p>
    <w:p>
      <w:pPr>
        <w:spacing w:after="0" w:line="6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Additions to other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Proceeds from the sale of property, plant and equipment</w:t>
      </w:r>
    </w:p>
    <w:p>
      <w:pPr>
        <w:spacing w:after="0" w:line="56"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34290</wp:posOffset>
            </wp:positionV>
            <wp:extent cx="4952365" cy="133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50"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64"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Proceeds from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Principal repayments of short-term borrowings</w:t>
      </w:r>
    </w:p>
    <w:p>
      <w:pPr>
        <w:spacing w:after="0" w:line="6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Principal repayments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3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52365" cy="133350"/>
                    </a:xfrm>
                    <a:prstGeom prst="rect">
                      <a:avLst/>
                    </a:prstGeom>
                    <a:noFill/>
                  </pic:spPr>
                </pic:pic>
              </a:graphicData>
            </a:graphic>
          </wp:anchor>
        </w:drawing>
      </w:r>
    </w:p>
    <w:p>
      <w:pPr>
        <w:spacing w:after="0" w:line="4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Proceeds from the issuance of share capital and other contributed capital</w:t>
      </w:r>
    </w:p>
    <w:p>
      <w:pPr>
        <w:spacing w:after="0" w:line="6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52365" cy="139065"/>
                    </a:xfrm>
                    <a:prstGeom prst="rect">
                      <a:avLst/>
                    </a:prstGeom>
                    <a:noFill/>
                  </pic:spPr>
                </pic:pic>
              </a:graphicData>
            </a:graphic>
          </wp:anchor>
        </w:drawing>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Cash provided by financing activities</w:t>
      </w:r>
    </w:p>
    <w:p>
      <w:pPr>
        <w:spacing w:after="0" w:line="83"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Effect of foreign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25400</wp:posOffset>
            </wp:positionV>
            <wp:extent cx="4952365" cy="139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52365" cy="139065"/>
                    </a:xfrm>
                    <a:prstGeom prst="rect">
                      <a:avLst/>
                    </a:prstGeom>
                    <a:noFill/>
                  </pic:spPr>
                </pic:pic>
              </a:graphicData>
            </a:graphic>
          </wp:anchor>
        </w:drawing>
      </w:r>
    </w:p>
    <w:p>
      <w:pPr>
        <w:spacing w:after="0" w:line="36"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Net increase in cash and cash equivalents</w:t>
      </w:r>
    </w:p>
    <w:p>
      <w:pPr>
        <w:spacing w:after="0" w:line="79"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27940</wp:posOffset>
            </wp:positionV>
            <wp:extent cx="4952365" cy="139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2365" cy="139065"/>
                    </a:xfrm>
                    <a:prstGeom prst="rect">
                      <a:avLst/>
                    </a:prstGeom>
                    <a:noFill/>
                  </pic:spPr>
                </pic:pic>
              </a:graphicData>
            </a:graphic>
          </wp:anchor>
        </w:drawing>
      </w:r>
    </w:p>
    <w:p>
      <w:pPr>
        <w:spacing w:after="0" w:line="50"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 these Unaudited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19772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9" w:name="page10"/>
    <w:bookmarkEnd w:id="9"/>
    <w:p>
      <w:pPr>
        <w:ind w:left="4820"/>
        <w:spacing w:after="0"/>
        <w:rPr>
          <w:sz w:val="20"/>
          <w:szCs w:val="20"/>
          <w:color w:val="auto"/>
        </w:rPr>
      </w:pPr>
      <w:r>
        <w:rPr>
          <w:rFonts w:ascii="Arial" w:cs="Arial" w:eastAsia="Arial" w:hAnsi="Arial"/>
          <w:sz w:val="13"/>
          <w:szCs w:val="13"/>
          <w:color w:val="auto"/>
        </w:rPr>
        <w:t>Polestar Automotive Holding UK PLC</w:t>
      </w:r>
    </w:p>
    <w:p>
      <w:pPr>
        <w:ind w:left="3840"/>
        <w:spacing w:after="0" w:line="229" w:lineRule="auto"/>
        <w:rPr>
          <w:sz w:val="20"/>
          <w:szCs w:val="20"/>
          <w:color w:val="auto"/>
        </w:rPr>
      </w:pPr>
      <w:r>
        <w:rPr>
          <w:rFonts w:ascii="Arial" w:cs="Arial" w:eastAsia="Arial" w:hAnsi="Arial"/>
          <w:sz w:val="13"/>
          <w:szCs w:val="13"/>
          <w:color w:val="auto"/>
        </w:rPr>
        <w:t>Unaudited Condensed Consolidated Statement of Changes in Equity</w:t>
      </w:r>
    </w:p>
    <w:p>
      <w:pPr>
        <w:jc w:val="center"/>
        <w:spacing w:after="0"/>
        <w:rPr>
          <w:sz w:val="20"/>
          <w:szCs w:val="20"/>
          <w:color w:val="auto"/>
        </w:rPr>
      </w:pPr>
      <w:r>
        <w:rPr>
          <w:rFonts w:ascii="Arial" w:cs="Arial" w:eastAsia="Arial" w:hAnsi="Arial"/>
          <w:sz w:val="13"/>
          <w:szCs w:val="13"/>
          <w:color w:val="auto"/>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121920</wp:posOffset>
            </wp:positionV>
            <wp:extent cx="4013200" cy="3171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13200" cy="317182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c>
          <w:tcPr>
            <w:tcW w:w="1220" w:type="dxa"/>
            <w:vAlign w:val="bottom"/>
            <w:shd w:val="clear" w:color="auto" w:fill="DBDBDB"/>
          </w:tcPr>
          <w:p>
            <w:pPr>
              <w:jc w:val="center"/>
              <w:spacing w:after="0"/>
              <w:rPr>
                <w:sz w:val="20"/>
                <w:szCs w:val="20"/>
                <w:color w:val="auto"/>
              </w:rPr>
            </w:pPr>
            <w:r>
              <w:rPr>
                <w:rFonts w:ascii="Arial" w:cs="Arial" w:eastAsia="Arial" w:hAnsi="Arial"/>
                <w:sz w:val="13"/>
                <w:szCs w:val="13"/>
                <w:b w:val="1"/>
                <w:bCs w:val="1"/>
                <w:color w:val="auto"/>
                <w:w w:val="91"/>
              </w:rPr>
              <w:t>Other contributed</w:t>
            </w:r>
          </w:p>
        </w:tc>
        <w:tc>
          <w:tcPr>
            <w:tcW w:w="1280" w:type="dxa"/>
            <w:vAlign w:val="bottom"/>
            <w:shd w:val="clear" w:color="auto" w:fill="DBDBDB"/>
          </w:tcPr>
          <w:p>
            <w:pPr>
              <w:jc w:val="right"/>
              <w:ind w:right="36"/>
              <w:spacing w:after="0"/>
              <w:rPr>
                <w:sz w:val="20"/>
                <w:szCs w:val="20"/>
                <w:color w:val="auto"/>
              </w:rPr>
            </w:pPr>
            <w:r>
              <w:rPr>
                <w:rFonts w:ascii="Arial" w:cs="Arial" w:eastAsia="Arial" w:hAnsi="Arial"/>
                <w:sz w:val="13"/>
                <w:szCs w:val="13"/>
                <w:b w:val="1"/>
                <w:bCs w:val="1"/>
                <w:color w:val="auto"/>
                <w:w w:val="91"/>
              </w:rPr>
              <w:t>Currency translation</w:t>
            </w:r>
          </w:p>
        </w:tc>
        <w:tc>
          <w:tcPr>
            <w:tcW w:w="148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r>
      <w:tr>
        <w:trPr>
          <w:trHeight w:val="175"/>
        </w:trPr>
        <w:tc>
          <w:tcPr>
            <w:tcW w:w="4300" w:type="dxa"/>
            <w:vAlign w:val="bottom"/>
            <w:shd w:val="clear" w:color="auto" w:fill="DBDBDB"/>
          </w:tcPr>
          <w:p>
            <w:pPr>
              <w:spacing w:after="0"/>
              <w:rPr>
                <w:sz w:val="15"/>
                <w:szCs w:val="15"/>
                <w:color w:val="auto"/>
              </w:rPr>
            </w:pPr>
          </w:p>
        </w:tc>
        <w:tc>
          <w:tcPr>
            <w:tcW w:w="6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b w:val="1"/>
                <w:bCs w:val="1"/>
                <w:color w:val="auto"/>
              </w:rPr>
              <w:t>Note</w:t>
            </w:r>
          </w:p>
        </w:tc>
        <w:tc>
          <w:tcPr>
            <w:tcW w:w="124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3"/>
                <w:szCs w:val="13"/>
                <w:b w:val="1"/>
                <w:bCs w:val="1"/>
                <w:color w:val="auto"/>
              </w:rPr>
              <w:t>Share capital</w:t>
            </w:r>
          </w:p>
        </w:tc>
        <w:tc>
          <w:tcPr>
            <w:tcW w:w="12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1280" w:type="dxa"/>
            <w:vAlign w:val="bottom"/>
            <w:tcBorders>
              <w:bottom w:val="single" w:sz="8" w:color="auto"/>
            </w:tcBorders>
            <w:shd w:val="clear" w:color="auto" w:fill="DBDBDB"/>
          </w:tcPr>
          <w:p>
            <w:pPr>
              <w:jc w:val="right"/>
              <w:ind w:right="416"/>
              <w:spacing w:after="0"/>
              <w:rPr>
                <w:sz w:val="20"/>
                <w:szCs w:val="20"/>
                <w:color w:val="auto"/>
              </w:rPr>
            </w:pPr>
            <w:r>
              <w:rPr>
                <w:rFonts w:ascii="Arial" w:cs="Arial" w:eastAsia="Arial" w:hAnsi="Arial"/>
                <w:sz w:val="13"/>
                <w:szCs w:val="13"/>
                <w:b w:val="1"/>
                <w:bCs w:val="1"/>
                <w:color w:val="auto"/>
              </w:rPr>
              <w:t>reserve</w:t>
            </w:r>
          </w:p>
        </w:tc>
        <w:tc>
          <w:tcPr>
            <w:tcW w:w="1480" w:type="dxa"/>
            <w:vAlign w:val="bottom"/>
            <w:tcBorders>
              <w:bottom w:val="single" w:sz="8" w:color="auto"/>
            </w:tcBorders>
            <w:shd w:val="clear" w:color="auto" w:fill="DBDBDB"/>
          </w:tcPr>
          <w:p>
            <w:pPr>
              <w:jc w:val="right"/>
              <w:ind w:right="276"/>
              <w:spacing w:after="0"/>
              <w:rPr>
                <w:sz w:val="20"/>
                <w:szCs w:val="20"/>
                <w:color w:val="auto"/>
              </w:rPr>
            </w:pPr>
            <w:r>
              <w:rPr>
                <w:rFonts w:ascii="Arial" w:cs="Arial" w:eastAsia="Arial" w:hAnsi="Arial"/>
                <w:sz w:val="13"/>
                <w:szCs w:val="13"/>
                <w:b w:val="1"/>
                <w:bCs w:val="1"/>
                <w:color w:val="auto"/>
                <w:w w:val="90"/>
              </w:rPr>
              <w:t>Accumulated deficit</w:t>
            </w:r>
          </w:p>
        </w:tc>
        <w:tc>
          <w:tcPr>
            <w:tcW w:w="1040" w:type="dxa"/>
            <w:vAlign w:val="bottom"/>
            <w:tcBorders>
              <w:bottom w:val="single" w:sz="8" w:color="auto"/>
            </w:tcBorders>
            <w:shd w:val="clear" w:color="auto" w:fill="DBDBDB"/>
          </w:tcPr>
          <w:p>
            <w:pPr>
              <w:jc w:val="right"/>
              <w:ind w:right="416"/>
              <w:spacing w:after="0"/>
              <w:rPr>
                <w:sz w:val="20"/>
                <w:szCs w:val="20"/>
                <w:color w:val="auto"/>
              </w:rPr>
            </w:pPr>
            <w:r>
              <w:rPr>
                <w:rFonts w:ascii="Arial" w:cs="Arial" w:eastAsia="Arial" w:hAnsi="Arial"/>
                <w:sz w:val="13"/>
                <w:szCs w:val="13"/>
                <w:b w:val="1"/>
                <w:bCs w:val="1"/>
                <w:color w:val="auto"/>
              </w:rPr>
              <w:t>Total</w:t>
            </w:r>
          </w:p>
        </w:tc>
      </w:tr>
      <w:tr>
        <w:trPr>
          <w:trHeight w:val="180"/>
        </w:trPr>
        <w:tc>
          <w:tcPr>
            <w:tcW w:w="4900" w:type="dxa"/>
            <w:vAlign w:val="bottom"/>
            <w:gridSpan w:val="2"/>
          </w:tcPr>
          <w:p>
            <w:pPr>
              <w:ind w:left="20"/>
              <w:spacing w:after="0"/>
              <w:rPr>
                <w:sz w:val="20"/>
                <w:szCs w:val="20"/>
                <w:color w:val="auto"/>
              </w:rPr>
            </w:pPr>
            <w:r>
              <w:rPr>
                <w:rFonts w:ascii="Arial" w:cs="Arial" w:eastAsia="Arial" w:hAnsi="Arial"/>
                <w:sz w:val="13"/>
                <w:szCs w:val="13"/>
                <w:color w:val="auto"/>
              </w:rPr>
              <w:t>Balance as of January 1, 2022</w:t>
            </w:r>
          </w:p>
        </w:tc>
        <w:tc>
          <w:tcPr>
            <w:tcW w:w="1240" w:type="dxa"/>
            <w:vAlign w:val="bottom"/>
          </w:tcPr>
          <w:p>
            <w:pPr>
              <w:jc w:val="right"/>
              <w:spacing w:after="0"/>
              <w:rPr>
                <w:sz w:val="20"/>
                <w:szCs w:val="20"/>
                <w:color w:val="auto"/>
              </w:rPr>
            </w:pPr>
            <w:r>
              <w:rPr>
                <w:rFonts w:ascii="Arial" w:cs="Arial" w:eastAsia="Arial" w:hAnsi="Arial"/>
                <w:sz w:val="13"/>
                <w:szCs w:val="13"/>
                <w:color w:val="auto"/>
              </w:rPr>
              <w:t>(1,865,909)</w:t>
            </w:r>
          </w:p>
        </w:tc>
        <w:tc>
          <w:tcPr>
            <w:tcW w:w="1220" w:type="dxa"/>
            <w:vAlign w:val="bottom"/>
          </w:tcPr>
          <w:p>
            <w:pPr>
              <w:jc w:val="right"/>
              <w:spacing w:after="0"/>
              <w:rPr>
                <w:sz w:val="20"/>
                <w:szCs w:val="20"/>
                <w:color w:val="auto"/>
              </w:rPr>
            </w:pPr>
            <w:r>
              <w:rPr>
                <w:rFonts w:ascii="Arial" w:cs="Arial" w:eastAsia="Arial" w:hAnsi="Arial"/>
                <w:sz w:val="13"/>
                <w:szCs w:val="13"/>
                <w:color w:val="auto"/>
              </w:rPr>
              <w:t>(35,231)</w:t>
            </w:r>
          </w:p>
        </w:tc>
        <w:tc>
          <w:tcPr>
            <w:tcW w:w="1280" w:type="dxa"/>
            <w:vAlign w:val="bottom"/>
          </w:tcPr>
          <w:p>
            <w:pPr>
              <w:jc w:val="right"/>
              <w:ind w:right="36"/>
              <w:spacing w:after="0"/>
              <w:rPr>
                <w:sz w:val="20"/>
                <w:szCs w:val="20"/>
                <w:color w:val="auto"/>
              </w:rPr>
            </w:pPr>
            <w:r>
              <w:rPr>
                <w:rFonts w:ascii="Arial" w:cs="Arial" w:eastAsia="Arial" w:hAnsi="Arial"/>
                <w:sz w:val="13"/>
                <w:szCs w:val="13"/>
                <w:color w:val="auto"/>
              </w:rPr>
              <w:t>16,784</w:t>
            </w:r>
          </w:p>
        </w:tc>
        <w:tc>
          <w:tcPr>
            <w:tcW w:w="1480" w:type="dxa"/>
            <w:vAlign w:val="bottom"/>
          </w:tcPr>
          <w:p>
            <w:pPr>
              <w:jc w:val="right"/>
              <w:ind w:right="216"/>
              <w:spacing w:after="0"/>
              <w:rPr>
                <w:sz w:val="20"/>
                <w:szCs w:val="20"/>
                <w:color w:val="auto"/>
              </w:rPr>
            </w:pPr>
            <w:r>
              <w:rPr>
                <w:rFonts w:ascii="Arial" w:cs="Arial" w:eastAsia="Arial" w:hAnsi="Arial"/>
                <w:sz w:val="13"/>
                <w:szCs w:val="13"/>
                <w:color w:val="auto"/>
              </w:rPr>
              <w:t>1,761,860</w:t>
            </w:r>
          </w:p>
        </w:tc>
        <w:tc>
          <w:tcPr>
            <w:tcW w:w="1040" w:type="dxa"/>
            <w:vAlign w:val="bottom"/>
          </w:tcPr>
          <w:p>
            <w:pPr>
              <w:jc w:val="right"/>
              <w:spacing w:after="0"/>
              <w:rPr>
                <w:sz w:val="20"/>
                <w:szCs w:val="20"/>
                <w:color w:val="auto"/>
              </w:rPr>
            </w:pPr>
            <w:r>
              <w:rPr>
                <w:rFonts w:ascii="Arial" w:cs="Arial" w:eastAsia="Arial" w:hAnsi="Arial"/>
                <w:sz w:val="13"/>
                <w:szCs w:val="13"/>
                <w:color w:val="auto"/>
              </w:rPr>
              <w:t>(122,496)</w:t>
            </w:r>
          </w:p>
        </w:tc>
      </w:tr>
      <w:tr>
        <w:trPr>
          <w:trHeight w:val="29"/>
        </w:trPr>
        <w:tc>
          <w:tcPr>
            <w:tcW w:w="4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0"/>
        </w:trPr>
        <w:tc>
          <w:tcPr>
            <w:tcW w:w="49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1240" w:type="dxa"/>
            <w:vAlign w:val="bottom"/>
            <w:tcBorders>
              <w:bottom w:val="single" w:sz="8" w:color="DBDBDB"/>
            </w:tcBorders>
            <w:shd w:val="clear" w:color="auto" w:fill="DBDBDB"/>
          </w:tcPr>
          <w:p>
            <w:pPr>
              <w:ind w:left="102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DBDBDB"/>
            </w:tcBorders>
            <w:shd w:val="clear" w:color="auto" w:fill="DBDBDB"/>
          </w:tcPr>
          <w:p>
            <w:pPr>
              <w:ind w:left="102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color w:val="auto"/>
              </w:rPr>
              <w:t>502,734</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502,734</w:t>
            </w:r>
          </w:p>
        </w:tc>
      </w:tr>
      <w:tr>
        <w:trPr>
          <w:trHeight w:val="181"/>
        </w:trPr>
        <w:tc>
          <w:tcPr>
            <w:tcW w:w="490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w:t>
            </w:r>
          </w:p>
        </w:tc>
        <w:tc>
          <w:tcPr>
            <w:tcW w:w="1240" w:type="dxa"/>
            <w:vAlign w:val="bottom"/>
          </w:tcPr>
          <w:p>
            <w:pPr>
              <w:ind w:left="1020"/>
              <w:spacing w:after="0"/>
              <w:rPr>
                <w:sz w:val="20"/>
                <w:szCs w:val="20"/>
                <w:color w:val="auto"/>
              </w:rPr>
            </w:pPr>
            <w:r>
              <w:rPr>
                <w:rFonts w:ascii="Arial" w:cs="Arial" w:eastAsia="Arial" w:hAnsi="Arial"/>
                <w:sz w:val="13"/>
                <w:szCs w:val="13"/>
                <w:color w:val="auto"/>
              </w:rPr>
              <w:t>—</w:t>
            </w:r>
          </w:p>
        </w:tc>
        <w:tc>
          <w:tcPr>
            <w:tcW w:w="1220" w:type="dxa"/>
            <w:vAlign w:val="bottom"/>
          </w:tcPr>
          <w:p>
            <w:pPr>
              <w:ind w:left="102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(10,659)</w:t>
            </w:r>
          </w:p>
        </w:tc>
        <w:tc>
          <w:tcPr>
            <w:tcW w:w="148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(10,659)</w:t>
            </w: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 comprehensive loss</w:t>
            </w:r>
          </w:p>
        </w:tc>
        <w:tc>
          <w:tcPr>
            <w:tcW w:w="1540" w:type="dxa"/>
            <w:vAlign w:val="bottom"/>
            <w:tcBorders>
              <w:bottom w:val="single" w:sz="8" w:color="DBDBDB"/>
            </w:tcBorders>
            <w:shd w:val="clear" w:color="auto" w:fill="DBDBDB"/>
          </w:tcPr>
          <w:p>
            <w:pPr>
              <w:spacing w:after="0"/>
              <w:rPr>
                <w:sz w:val="19"/>
                <w:szCs w:val="19"/>
                <w:color w:val="auto"/>
              </w:rPr>
            </w:pPr>
          </w:p>
        </w:tc>
        <w:tc>
          <w:tcPr>
            <w:tcW w:w="156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DBDBDB"/>
            </w:tcBorders>
            <w:shd w:val="clear" w:color="auto" w:fill="DBDBDB"/>
          </w:tcPr>
          <w:p>
            <w:pPr>
              <w:jc w:val="right"/>
              <w:ind w:right="316"/>
              <w:spacing w:after="0"/>
              <w:rPr>
                <w:sz w:val="20"/>
                <w:szCs w:val="20"/>
                <w:color w:val="auto"/>
              </w:rPr>
            </w:pPr>
            <w:r>
              <w:rPr>
                <w:rFonts w:ascii="Arial" w:cs="Arial" w:eastAsia="Arial" w:hAnsi="Arial"/>
                <w:sz w:val="13"/>
                <w:szCs w:val="13"/>
                <w:b w:val="1"/>
                <w:bCs w:val="1"/>
                <w:color w:val="auto"/>
              </w:rPr>
              <w:t>(10,659)</w:t>
            </w:r>
          </w:p>
        </w:tc>
        <w:tc>
          <w:tcPr>
            <w:tcW w:w="1280" w:type="dxa"/>
            <w:vAlign w:val="bottom"/>
            <w:tcBorders>
              <w:bottom w:val="single" w:sz="8" w:color="DBDBDB"/>
            </w:tcBorders>
            <w:shd w:val="clear" w:color="auto" w:fill="DBDBDB"/>
          </w:tcPr>
          <w:p>
            <w:pPr>
              <w:jc w:val="right"/>
              <w:ind w:right="336"/>
              <w:spacing w:after="0"/>
              <w:rPr>
                <w:sz w:val="20"/>
                <w:szCs w:val="20"/>
                <w:color w:val="auto"/>
              </w:rPr>
            </w:pPr>
            <w:r>
              <w:rPr>
                <w:rFonts w:ascii="Arial" w:cs="Arial" w:eastAsia="Arial" w:hAnsi="Arial"/>
                <w:sz w:val="13"/>
                <w:szCs w:val="13"/>
                <w:b w:val="1"/>
                <w:bCs w:val="1"/>
                <w:color w:val="auto"/>
              </w:rPr>
              <w:t>502,734</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492,075</w:t>
            </w:r>
          </w:p>
        </w:tc>
      </w:tr>
      <w:tr>
        <w:trPr>
          <w:trHeight w:val="161"/>
        </w:trPr>
        <w:tc>
          <w:tcPr>
            <w:tcW w:w="3300" w:type="dxa"/>
            <w:vAlign w:val="bottom"/>
          </w:tcPr>
          <w:p>
            <w:pPr>
              <w:ind w:left="20"/>
              <w:spacing w:after="0"/>
              <w:rPr>
                <w:sz w:val="20"/>
                <w:szCs w:val="20"/>
                <w:color w:val="auto"/>
              </w:rPr>
            </w:pPr>
            <w:r>
              <w:rPr>
                <w:rFonts w:ascii="Arial" w:cs="Arial" w:eastAsia="Arial" w:hAnsi="Arial"/>
                <w:sz w:val="13"/>
                <w:szCs w:val="13"/>
                <w:color w:val="auto"/>
              </w:rPr>
              <w:t>Merger with Gores Guggenheim, Inc.</w:t>
            </w:r>
          </w:p>
        </w:tc>
        <w:tc>
          <w:tcPr>
            <w:tcW w:w="1540" w:type="dxa"/>
            <w:vAlign w:val="bottom"/>
          </w:tcPr>
          <w:p>
            <w:pPr>
              <w:jc w:val="right"/>
              <w:ind w:right="316"/>
              <w:spacing w:after="0"/>
              <w:rPr>
                <w:sz w:val="20"/>
                <w:szCs w:val="20"/>
                <w:color w:val="auto"/>
              </w:rPr>
            </w:pPr>
            <w:r>
              <w:rPr>
                <w:rFonts w:ascii="Arial" w:cs="Arial" w:eastAsia="Arial" w:hAnsi="Arial"/>
                <w:sz w:val="13"/>
                <w:szCs w:val="13"/>
                <w:color w:val="auto"/>
              </w:rPr>
              <w:t>8</w:t>
            </w:r>
          </w:p>
        </w:tc>
        <w:tc>
          <w:tcPr>
            <w:tcW w:w="15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9"/>
        </w:trPr>
        <w:tc>
          <w:tcPr>
            <w:tcW w:w="3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3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Changes in the consolidated group</w:t>
            </w:r>
          </w:p>
        </w:tc>
        <w:tc>
          <w:tcPr>
            <w:tcW w:w="1540" w:type="dxa"/>
            <w:vAlign w:val="bottom"/>
            <w:tcBorders>
              <w:bottom w:val="single" w:sz="8" w:color="DBDBDB"/>
            </w:tcBorders>
            <w:shd w:val="clear" w:color="auto" w:fill="DBDBDB"/>
          </w:tcPr>
          <w:p>
            <w:pPr>
              <w:spacing w:after="0"/>
              <w:rPr>
                <w:sz w:val="16"/>
                <w:szCs w:val="16"/>
                <w:color w:val="auto"/>
              </w:rPr>
            </w:pPr>
          </w:p>
        </w:tc>
        <w:tc>
          <w:tcPr>
            <w:tcW w:w="156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color w:val="auto"/>
              </w:rPr>
              <w:t>1,846,472</w:t>
            </w:r>
          </w:p>
        </w:tc>
        <w:tc>
          <w:tcPr>
            <w:tcW w:w="134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(1,846,472)</w:t>
            </w:r>
          </w:p>
        </w:tc>
        <w:tc>
          <w:tcPr>
            <w:tcW w:w="122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color w:val="auto"/>
              </w:rPr>
              <w:t>(1,512)</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(1,512)</w:t>
            </w:r>
          </w:p>
        </w:tc>
      </w:tr>
      <w:tr>
        <w:trPr>
          <w:trHeight w:val="181"/>
        </w:trPr>
        <w:tc>
          <w:tcPr>
            <w:tcW w:w="3300" w:type="dxa"/>
            <w:vAlign w:val="bottom"/>
          </w:tcPr>
          <w:p>
            <w:pPr>
              <w:ind w:left="100"/>
              <w:spacing w:after="0"/>
              <w:rPr>
                <w:sz w:val="20"/>
                <w:szCs w:val="20"/>
                <w:color w:val="auto"/>
              </w:rPr>
            </w:pPr>
            <w:r>
              <w:rPr>
                <w:rFonts w:ascii="Arial" w:cs="Arial" w:eastAsia="Arial" w:hAnsi="Arial"/>
                <w:sz w:val="13"/>
                <w:szCs w:val="13"/>
                <w:color w:val="auto"/>
              </w:rPr>
              <w:t>Issuance of Volvo Cars Preference Shares</w:t>
            </w:r>
          </w:p>
        </w:tc>
        <w:tc>
          <w:tcPr>
            <w:tcW w:w="1540" w:type="dxa"/>
            <w:vAlign w:val="bottom"/>
          </w:tcPr>
          <w:p>
            <w:pPr>
              <w:spacing w:after="0"/>
              <w:rPr>
                <w:sz w:val="15"/>
                <w:szCs w:val="15"/>
                <w:color w:val="auto"/>
              </w:rPr>
            </w:pPr>
          </w:p>
        </w:tc>
        <w:tc>
          <w:tcPr>
            <w:tcW w:w="1560" w:type="dxa"/>
            <w:vAlign w:val="bottom"/>
          </w:tcPr>
          <w:p>
            <w:pPr>
              <w:jc w:val="right"/>
              <w:ind w:right="256"/>
              <w:spacing w:after="0"/>
              <w:rPr>
                <w:sz w:val="20"/>
                <w:szCs w:val="20"/>
                <w:color w:val="auto"/>
              </w:rPr>
            </w:pPr>
            <w:r>
              <w:rPr>
                <w:rFonts w:ascii="Arial" w:cs="Arial" w:eastAsia="Arial" w:hAnsi="Arial"/>
                <w:sz w:val="13"/>
                <w:szCs w:val="13"/>
                <w:color w:val="auto"/>
              </w:rPr>
              <w:t>(589)</w:t>
            </w:r>
          </w:p>
        </w:tc>
        <w:tc>
          <w:tcPr>
            <w:tcW w:w="1340" w:type="dxa"/>
            <w:vAlign w:val="bottom"/>
          </w:tcPr>
          <w:p>
            <w:pPr>
              <w:jc w:val="right"/>
              <w:ind w:right="356"/>
              <w:spacing w:after="0"/>
              <w:rPr>
                <w:sz w:val="20"/>
                <w:szCs w:val="20"/>
                <w:color w:val="auto"/>
              </w:rPr>
            </w:pPr>
            <w:r>
              <w:rPr>
                <w:rFonts w:ascii="Arial" w:cs="Arial" w:eastAsia="Arial" w:hAnsi="Arial"/>
                <w:sz w:val="13"/>
                <w:szCs w:val="13"/>
                <w:color w:val="auto"/>
              </w:rPr>
              <w:t>(588,237)</w:t>
            </w:r>
          </w:p>
        </w:tc>
        <w:tc>
          <w:tcPr>
            <w:tcW w:w="12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(588,826)</w:t>
            </w:r>
          </w:p>
        </w:tc>
      </w:tr>
      <w:tr>
        <w:trPr>
          <w:trHeight w:val="29"/>
        </w:trPr>
        <w:tc>
          <w:tcPr>
            <w:tcW w:w="3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3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Issuance to Convertible Note holders</w:t>
            </w:r>
          </w:p>
        </w:tc>
        <w:tc>
          <w:tcPr>
            <w:tcW w:w="1540" w:type="dxa"/>
            <w:vAlign w:val="bottom"/>
            <w:tcBorders>
              <w:bottom w:val="single" w:sz="8" w:color="DBDBDB"/>
            </w:tcBorders>
            <w:shd w:val="clear" w:color="auto" w:fill="DBDBDB"/>
          </w:tcPr>
          <w:p>
            <w:pPr>
              <w:spacing w:after="0"/>
              <w:rPr>
                <w:sz w:val="16"/>
                <w:szCs w:val="16"/>
                <w:color w:val="auto"/>
              </w:rPr>
            </w:pPr>
          </w:p>
        </w:tc>
        <w:tc>
          <w:tcPr>
            <w:tcW w:w="1560" w:type="dxa"/>
            <w:vAlign w:val="bottom"/>
            <w:tcBorders>
              <w:bottom w:val="single" w:sz="8" w:color="DBDBDB"/>
            </w:tcBorders>
            <w:shd w:val="clear" w:color="auto" w:fill="DBDBDB"/>
          </w:tcPr>
          <w:p>
            <w:pPr>
              <w:jc w:val="right"/>
              <w:ind w:right="256"/>
              <w:spacing w:after="0"/>
              <w:rPr>
                <w:sz w:val="20"/>
                <w:szCs w:val="20"/>
                <w:color w:val="auto"/>
              </w:rPr>
            </w:pPr>
            <w:r>
              <w:rPr>
                <w:rFonts w:ascii="Arial" w:cs="Arial" w:eastAsia="Arial" w:hAnsi="Arial"/>
                <w:sz w:val="13"/>
                <w:szCs w:val="13"/>
                <w:color w:val="auto"/>
              </w:rPr>
              <w:t>(43)</w:t>
            </w:r>
          </w:p>
        </w:tc>
        <w:tc>
          <w:tcPr>
            <w:tcW w:w="1340" w:type="dxa"/>
            <w:vAlign w:val="bottom"/>
            <w:tcBorders>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color w:val="auto"/>
              </w:rPr>
              <w:t>43</w:t>
            </w:r>
          </w:p>
        </w:tc>
        <w:tc>
          <w:tcPr>
            <w:tcW w:w="122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DBDBDB"/>
            </w:tcBorders>
            <w:shd w:val="clear" w:color="auto" w:fill="DBDBDB"/>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81"/>
        </w:trPr>
        <w:tc>
          <w:tcPr>
            <w:tcW w:w="3300" w:type="dxa"/>
            <w:vAlign w:val="bottom"/>
          </w:tcPr>
          <w:p>
            <w:pPr>
              <w:ind w:left="100"/>
              <w:spacing w:after="0"/>
              <w:rPr>
                <w:sz w:val="20"/>
                <w:szCs w:val="20"/>
                <w:color w:val="auto"/>
              </w:rPr>
            </w:pPr>
            <w:r>
              <w:rPr>
                <w:rFonts w:ascii="Arial" w:cs="Arial" w:eastAsia="Arial" w:hAnsi="Arial"/>
                <w:sz w:val="13"/>
                <w:szCs w:val="13"/>
                <w:color w:val="auto"/>
              </w:rPr>
              <w:t>Issuance to PIPE investors</w:t>
            </w:r>
          </w:p>
        </w:tc>
        <w:tc>
          <w:tcPr>
            <w:tcW w:w="1540" w:type="dxa"/>
            <w:vAlign w:val="bottom"/>
          </w:tcPr>
          <w:p>
            <w:pPr>
              <w:spacing w:after="0"/>
              <w:rPr>
                <w:sz w:val="15"/>
                <w:szCs w:val="15"/>
                <w:color w:val="auto"/>
              </w:rPr>
            </w:pPr>
          </w:p>
        </w:tc>
        <w:tc>
          <w:tcPr>
            <w:tcW w:w="1560" w:type="dxa"/>
            <w:vAlign w:val="bottom"/>
          </w:tcPr>
          <w:p>
            <w:pPr>
              <w:jc w:val="right"/>
              <w:ind w:right="256"/>
              <w:spacing w:after="0"/>
              <w:rPr>
                <w:sz w:val="20"/>
                <w:szCs w:val="20"/>
                <w:color w:val="auto"/>
              </w:rPr>
            </w:pPr>
            <w:r>
              <w:rPr>
                <w:rFonts w:ascii="Arial" w:cs="Arial" w:eastAsia="Arial" w:hAnsi="Arial"/>
                <w:sz w:val="13"/>
                <w:szCs w:val="13"/>
                <w:color w:val="auto"/>
              </w:rPr>
              <w:t>(265)</w:t>
            </w:r>
          </w:p>
        </w:tc>
        <w:tc>
          <w:tcPr>
            <w:tcW w:w="1340" w:type="dxa"/>
            <w:vAlign w:val="bottom"/>
          </w:tcPr>
          <w:p>
            <w:pPr>
              <w:jc w:val="right"/>
              <w:ind w:right="356"/>
              <w:spacing w:after="0"/>
              <w:rPr>
                <w:sz w:val="20"/>
                <w:szCs w:val="20"/>
                <w:color w:val="auto"/>
              </w:rPr>
            </w:pPr>
            <w:r>
              <w:rPr>
                <w:rFonts w:ascii="Arial" w:cs="Arial" w:eastAsia="Arial" w:hAnsi="Arial"/>
                <w:sz w:val="13"/>
                <w:szCs w:val="13"/>
                <w:color w:val="auto"/>
              </w:rPr>
              <w:t>(249,735)</w:t>
            </w:r>
          </w:p>
        </w:tc>
        <w:tc>
          <w:tcPr>
            <w:tcW w:w="12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(250,000)</w:t>
            </w:r>
          </w:p>
        </w:tc>
      </w:tr>
      <w:tr>
        <w:trPr>
          <w:trHeight w:val="29"/>
        </w:trPr>
        <w:tc>
          <w:tcPr>
            <w:tcW w:w="3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3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Issuance to GGI shareholders</w:t>
            </w:r>
          </w:p>
        </w:tc>
        <w:tc>
          <w:tcPr>
            <w:tcW w:w="1540" w:type="dxa"/>
            <w:vAlign w:val="bottom"/>
            <w:tcBorders>
              <w:bottom w:val="single" w:sz="8" w:color="DBDBDB"/>
            </w:tcBorders>
            <w:shd w:val="clear" w:color="auto" w:fill="DBDBDB"/>
          </w:tcPr>
          <w:p>
            <w:pPr>
              <w:spacing w:after="0"/>
              <w:rPr>
                <w:sz w:val="16"/>
                <w:szCs w:val="16"/>
                <w:color w:val="auto"/>
              </w:rPr>
            </w:pPr>
          </w:p>
        </w:tc>
        <w:tc>
          <w:tcPr>
            <w:tcW w:w="1560" w:type="dxa"/>
            <w:vAlign w:val="bottom"/>
            <w:tcBorders>
              <w:bottom w:val="single" w:sz="8" w:color="DBDBDB"/>
            </w:tcBorders>
            <w:shd w:val="clear" w:color="auto" w:fill="DBDBDB"/>
          </w:tcPr>
          <w:p>
            <w:pPr>
              <w:jc w:val="right"/>
              <w:ind w:right="256"/>
              <w:spacing w:after="0"/>
              <w:rPr>
                <w:sz w:val="20"/>
                <w:szCs w:val="20"/>
                <w:color w:val="auto"/>
              </w:rPr>
            </w:pPr>
            <w:r>
              <w:rPr>
                <w:rFonts w:ascii="Arial" w:cs="Arial" w:eastAsia="Arial" w:hAnsi="Arial"/>
                <w:sz w:val="13"/>
                <w:szCs w:val="13"/>
                <w:color w:val="auto"/>
              </w:rPr>
              <w:t>(822)</w:t>
            </w:r>
          </w:p>
        </w:tc>
        <w:tc>
          <w:tcPr>
            <w:tcW w:w="134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(521,285)</w:t>
            </w:r>
          </w:p>
        </w:tc>
        <w:tc>
          <w:tcPr>
            <w:tcW w:w="122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DBDBDB"/>
            </w:tcBorders>
            <w:shd w:val="clear" w:color="auto" w:fill="DBDBDB"/>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(522,107)</w:t>
            </w:r>
          </w:p>
        </w:tc>
      </w:tr>
      <w:tr>
        <w:trPr>
          <w:trHeight w:val="181"/>
        </w:trPr>
        <w:tc>
          <w:tcPr>
            <w:tcW w:w="3300" w:type="dxa"/>
            <w:vAlign w:val="bottom"/>
          </w:tcPr>
          <w:p>
            <w:pPr>
              <w:ind w:left="100"/>
              <w:spacing w:after="0"/>
              <w:rPr>
                <w:sz w:val="20"/>
                <w:szCs w:val="20"/>
                <w:color w:val="auto"/>
              </w:rPr>
            </w:pPr>
            <w:r>
              <w:rPr>
                <w:rFonts w:ascii="Arial" w:cs="Arial" w:eastAsia="Arial" w:hAnsi="Arial"/>
                <w:sz w:val="13"/>
                <w:szCs w:val="13"/>
                <w:color w:val="auto"/>
              </w:rPr>
              <w:t>Listing expense</w:t>
            </w:r>
          </w:p>
        </w:tc>
        <w:tc>
          <w:tcPr>
            <w:tcW w:w="1540" w:type="dxa"/>
            <w:vAlign w:val="bottom"/>
          </w:tcPr>
          <w:p>
            <w:pPr>
              <w:spacing w:after="0"/>
              <w:rPr>
                <w:sz w:val="15"/>
                <w:szCs w:val="15"/>
                <w:color w:val="auto"/>
              </w:rPr>
            </w:pP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56"/>
              <w:spacing w:after="0"/>
              <w:rPr>
                <w:sz w:val="20"/>
                <w:szCs w:val="20"/>
                <w:color w:val="auto"/>
              </w:rPr>
            </w:pPr>
            <w:r>
              <w:rPr>
                <w:rFonts w:ascii="Arial" w:cs="Arial" w:eastAsia="Arial" w:hAnsi="Arial"/>
                <w:sz w:val="13"/>
                <w:szCs w:val="13"/>
                <w:color w:val="auto"/>
              </w:rPr>
              <w:t>(372,318)</w:t>
            </w:r>
          </w:p>
        </w:tc>
        <w:tc>
          <w:tcPr>
            <w:tcW w:w="12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(372,318)</w:t>
            </w:r>
          </w:p>
        </w:tc>
      </w:tr>
      <w:tr>
        <w:trPr>
          <w:trHeight w:val="29"/>
        </w:trPr>
        <w:tc>
          <w:tcPr>
            <w:tcW w:w="3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3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3"/>
                <w:szCs w:val="13"/>
                <w:color w:val="auto"/>
              </w:rPr>
              <w:t>Transaction costs</w:t>
            </w:r>
          </w:p>
        </w:tc>
        <w:tc>
          <w:tcPr>
            <w:tcW w:w="1540" w:type="dxa"/>
            <w:vAlign w:val="bottom"/>
            <w:tcBorders>
              <w:bottom w:val="single" w:sz="8" w:color="DBDBDB"/>
            </w:tcBorders>
            <w:shd w:val="clear" w:color="auto" w:fill="DBDBDB"/>
          </w:tcPr>
          <w:p>
            <w:pPr>
              <w:spacing w:after="0"/>
              <w:rPr>
                <w:sz w:val="16"/>
                <w:szCs w:val="16"/>
                <w:color w:val="auto"/>
              </w:rPr>
            </w:pPr>
          </w:p>
        </w:tc>
        <w:tc>
          <w:tcPr>
            <w:tcW w:w="156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color w:val="auto"/>
              </w:rPr>
              <w:t>38,903</w:t>
            </w:r>
          </w:p>
        </w:tc>
        <w:tc>
          <w:tcPr>
            <w:tcW w:w="122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DBDBDB"/>
            </w:tcBorders>
            <w:shd w:val="clear" w:color="auto" w:fill="DBDBDB"/>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38,903</w:t>
            </w:r>
          </w:p>
        </w:tc>
      </w:tr>
      <w:tr>
        <w:trPr>
          <w:trHeight w:val="181"/>
        </w:trPr>
        <w:tc>
          <w:tcPr>
            <w:tcW w:w="3300" w:type="dxa"/>
            <w:vAlign w:val="bottom"/>
          </w:tcPr>
          <w:p>
            <w:pPr>
              <w:ind w:left="100"/>
              <w:spacing w:after="0"/>
              <w:rPr>
                <w:sz w:val="20"/>
                <w:szCs w:val="20"/>
                <w:color w:val="auto"/>
              </w:rPr>
            </w:pPr>
            <w:r>
              <w:rPr>
                <w:rFonts w:ascii="Arial" w:cs="Arial" w:eastAsia="Arial" w:hAnsi="Arial"/>
                <w:sz w:val="13"/>
                <w:szCs w:val="13"/>
                <w:color w:val="auto"/>
              </w:rPr>
              <w:t>Earn-out rights</w:t>
            </w:r>
          </w:p>
        </w:tc>
        <w:tc>
          <w:tcPr>
            <w:tcW w:w="1540" w:type="dxa"/>
            <w:vAlign w:val="bottom"/>
          </w:tcPr>
          <w:p>
            <w:pPr>
              <w:spacing w:after="0"/>
              <w:rPr>
                <w:sz w:val="15"/>
                <w:szCs w:val="15"/>
                <w:color w:val="auto"/>
              </w:rPr>
            </w:pP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36"/>
              <w:spacing w:after="0"/>
              <w:rPr>
                <w:sz w:val="20"/>
                <w:szCs w:val="20"/>
                <w:color w:val="auto"/>
              </w:rPr>
            </w:pPr>
            <w:r>
              <w:rPr>
                <w:rFonts w:ascii="Arial" w:cs="Arial" w:eastAsia="Arial" w:hAnsi="Arial"/>
                <w:sz w:val="13"/>
                <w:szCs w:val="13"/>
                <w:color w:val="auto"/>
              </w:rPr>
              <w:t>1,500,638</w:t>
            </w:r>
          </w:p>
        </w:tc>
        <w:tc>
          <w:tcPr>
            <w:tcW w:w="920" w:type="dxa"/>
            <w:vAlign w:val="bottom"/>
          </w:tcPr>
          <w:p>
            <w:pPr>
              <w:jc w:val="right"/>
              <w:spacing w:after="0"/>
              <w:rPr>
                <w:sz w:val="20"/>
                <w:szCs w:val="20"/>
                <w:color w:val="auto"/>
              </w:rPr>
            </w:pPr>
            <w:r>
              <w:rPr>
                <w:rFonts w:ascii="Arial" w:cs="Arial" w:eastAsia="Arial" w:hAnsi="Arial"/>
                <w:sz w:val="13"/>
                <w:szCs w:val="13"/>
                <w:color w:val="auto"/>
              </w:rPr>
              <w:t>1,500,638</w:t>
            </w:r>
          </w:p>
        </w:tc>
      </w:tr>
      <w:tr>
        <w:trPr>
          <w:trHeight w:val="29"/>
        </w:trPr>
        <w:tc>
          <w:tcPr>
            <w:tcW w:w="3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Equity-settled share-based payment</w:t>
            </w:r>
          </w:p>
        </w:tc>
        <w:tc>
          <w:tcPr>
            <w:tcW w:w="1540" w:type="dxa"/>
            <w:vAlign w:val="bottom"/>
            <w:tcBorders>
              <w:bottom w:val="single" w:sz="8" w:color="DBDBDB"/>
            </w:tcBorders>
            <w:shd w:val="clear" w:color="auto" w:fill="DBDBDB"/>
          </w:tcPr>
          <w:p>
            <w:pPr>
              <w:jc w:val="right"/>
              <w:ind w:right="316"/>
              <w:spacing w:after="0"/>
              <w:rPr>
                <w:sz w:val="20"/>
                <w:szCs w:val="20"/>
                <w:color w:val="auto"/>
              </w:rPr>
            </w:pPr>
            <w:r>
              <w:rPr>
                <w:rFonts w:ascii="Arial" w:cs="Arial" w:eastAsia="Arial" w:hAnsi="Arial"/>
                <w:sz w:val="13"/>
                <w:szCs w:val="13"/>
                <w:color w:val="auto"/>
              </w:rPr>
              <w:t>3</w:t>
            </w:r>
          </w:p>
        </w:tc>
        <w:tc>
          <w:tcPr>
            <w:tcW w:w="156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(4,342)</w:t>
            </w:r>
          </w:p>
        </w:tc>
        <w:tc>
          <w:tcPr>
            <w:tcW w:w="122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DBDBDB"/>
            </w:tcBorders>
            <w:shd w:val="clear" w:color="auto" w:fill="DBDBDB"/>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(4,342)</w:t>
            </w:r>
          </w:p>
        </w:tc>
      </w:tr>
      <w:tr>
        <w:trPr>
          <w:trHeight w:val="171"/>
        </w:trPr>
        <w:tc>
          <w:tcPr>
            <w:tcW w:w="330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2022</w:t>
            </w:r>
          </w:p>
        </w:tc>
        <w:tc>
          <w:tcPr>
            <w:tcW w:w="1540" w:type="dxa"/>
            <w:vAlign w:val="bottom"/>
          </w:tcPr>
          <w:p>
            <w:pPr>
              <w:spacing w:after="0"/>
              <w:rPr>
                <w:sz w:val="14"/>
                <w:szCs w:val="14"/>
                <w:color w:val="auto"/>
              </w:rPr>
            </w:pPr>
          </w:p>
        </w:tc>
        <w:tc>
          <w:tcPr>
            <w:tcW w:w="156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(21,156)</w:t>
            </w:r>
          </w:p>
        </w:tc>
        <w:tc>
          <w:tcPr>
            <w:tcW w:w="134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(3,578,674)</w:t>
            </w:r>
          </w:p>
        </w:tc>
        <w:tc>
          <w:tcPr>
            <w:tcW w:w="122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6,125</w:t>
            </w:r>
          </w:p>
        </w:tc>
        <w:tc>
          <w:tcPr>
            <w:tcW w:w="1280" w:type="dxa"/>
            <w:vAlign w:val="bottom"/>
            <w:tcBorders>
              <w:top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3,763,720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170,015</w:t>
            </w:r>
          </w:p>
        </w:tc>
      </w:tr>
      <w:tr>
        <w:trPr>
          <w:trHeight w:val="29"/>
        </w:trPr>
        <w:tc>
          <w:tcPr>
            <w:tcW w:w="3300" w:type="dxa"/>
            <w:vAlign w:val="bottom"/>
            <w:tcBorders>
              <w:bottom w:val="single" w:sz="8" w:color="DBDBDB"/>
            </w:tcBorders>
          </w:tcPr>
          <w:p>
            <w:pPr>
              <w:spacing w:after="0"/>
              <w:rPr>
                <w:sz w:val="2"/>
                <w:szCs w:val="2"/>
                <w:color w:val="auto"/>
              </w:rPr>
            </w:pPr>
          </w:p>
        </w:tc>
        <w:tc>
          <w:tcPr>
            <w:tcW w:w="1540" w:type="dxa"/>
            <w:vAlign w:val="bottom"/>
            <w:tcBorders>
              <w:bottom w:val="single" w:sz="8" w:color="DBDBDB"/>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1"/>
        </w:trPr>
        <w:tc>
          <w:tcPr>
            <w:tcW w:w="3300" w:type="dxa"/>
            <w:vAlign w:val="bottom"/>
            <w:shd w:val="clear" w:color="auto" w:fill="DBDBDB"/>
          </w:tcPr>
          <w:p>
            <w:pPr>
              <w:spacing w:after="0"/>
              <w:rPr>
                <w:sz w:val="14"/>
                <w:szCs w:val="14"/>
                <w:color w:val="auto"/>
              </w:rPr>
            </w:pPr>
          </w:p>
        </w:tc>
        <w:tc>
          <w:tcPr>
            <w:tcW w:w="154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c>
          <w:tcPr>
            <w:tcW w:w="122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r>
      <w:tr>
        <w:trPr>
          <w:trHeight w:val="181"/>
        </w:trPr>
        <w:tc>
          <w:tcPr>
            <w:tcW w:w="3300" w:type="dxa"/>
            <w:vAlign w:val="bottom"/>
          </w:tcPr>
          <w:p>
            <w:pPr>
              <w:ind w:left="20"/>
              <w:spacing w:after="0"/>
              <w:rPr>
                <w:sz w:val="20"/>
                <w:szCs w:val="20"/>
                <w:color w:val="auto"/>
              </w:rPr>
            </w:pPr>
            <w:r>
              <w:rPr>
                <w:rFonts w:ascii="Arial" w:cs="Arial" w:eastAsia="Arial" w:hAnsi="Arial"/>
                <w:sz w:val="13"/>
                <w:szCs w:val="13"/>
                <w:color w:val="auto"/>
              </w:rPr>
              <w:t>Balance as of January 1, 2023</w:t>
            </w:r>
          </w:p>
        </w:tc>
        <w:tc>
          <w:tcPr>
            <w:tcW w:w="1540" w:type="dxa"/>
            <w:vAlign w:val="bottom"/>
          </w:tcPr>
          <w:p>
            <w:pPr>
              <w:spacing w:after="0"/>
              <w:rPr>
                <w:sz w:val="15"/>
                <w:szCs w:val="15"/>
                <w:color w:val="auto"/>
              </w:rPr>
            </w:pPr>
          </w:p>
        </w:tc>
        <w:tc>
          <w:tcPr>
            <w:tcW w:w="1560" w:type="dxa"/>
            <w:vAlign w:val="bottom"/>
          </w:tcPr>
          <w:p>
            <w:pPr>
              <w:jc w:val="right"/>
              <w:ind w:right="256"/>
              <w:spacing w:after="0"/>
              <w:rPr>
                <w:sz w:val="20"/>
                <w:szCs w:val="20"/>
                <w:color w:val="auto"/>
              </w:rPr>
            </w:pPr>
            <w:r>
              <w:rPr>
                <w:rFonts w:ascii="Arial" w:cs="Arial" w:eastAsia="Arial" w:hAnsi="Arial"/>
                <w:sz w:val="13"/>
                <w:szCs w:val="13"/>
                <w:color w:val="auto"/>
              </w:rPr>
              <w:t>(21,165)</w:t>
            </w:r>
          </w:p>
        </w:tc>
        <w:tc>
          <w:tcPr>
            <w:tcW w:w="1340" w:type="dxa"/>
            <w:vAlign w:val="bottom"/>
          </w:tcPr>
          <w:p>
            <w:pPr>
              <w:jc w:val="right"/>
              <w:ind w:right="356"/>
              <w:spacing w:after="0"/>
              <w:rPr>
                <w:sz w:val="20"/>
                <w:szCs w:val="20"/>
                <w:color w:val="auto"/>
              </w:rPr>
            </w:pPr>
            <w:r>
              <w:rPr>
                <w:rFonts w:ascii="Arial" w:cs="Arial" w:eastAsia="Arial" w:hAnsi="Arial"/>
                <w:sz w:val="13"/>
                <w:szCs w:val="13"/>
                <w:color w:val="auto"/>
              </w:rPr>
              <w:t>(3,584,232)</w:t>
            </w:r>
          </w:p>
        </w:tc>
        <w:tc>
          <w:tcPr>
            <w:tcW w:w="1220" w:type="dxa"/>
            <w:vAlign w:val="bottom"/>
          </w:tcPr>
          <w:p>
            <w:pPr>
              <w:jc w:val="right"/>
              <w:ind w:right="356"/>
              <w:spacing w:after="0"/>
              <w:rPr>
                <w:sz w:val="20"/>
                <w:szCs w:val="20"/>
                <w:color w:val="auto"/>
              </w:rPr>
            </w:pPr>
            <w:r>
              <w:rPr>
                <w:rFonts w:ascii="Arial" w:cs="Arial" w:eastAsia="Arial" w:hAnsi="Arial"/>
                <w:sz w:val="13"/>
                <w:szCs w:val="13"/>
                <w:color w:val="auto"/>
              </w:rPr>
              <w:t>12,265</w:t>
            </w:r>
          </w:p>
        </w:tc>
        <w:tc>
          <w:tcPr>
            <w:tcW w:w="1280" w:type="dxa"/>
            <w:vAlign w:val="bottom"/>
          </w:tcPr>
          <w:p>
            <w:pPr>
              <w:jc w:val="right"/>
              <w:ind w:right="336"/>
              <w:spacing w:after="0"/>
              <w:rPr>
                <w:sz w:val="20"/>
                <w:szCs w:val="20"/>
                <w:color w:val="auto"/>
              </w:rPr>
            </w:pPr>
            <w:r>
              <w:rPr>
                <w:rFonts w:ascii="Arial" w:cs="Arial" w:eastAsia="Arial" w:hAnsi="Arial"/>
                <w:sz w:val="13"/>
                <w:szCs w:val="13"/>
                <w:color w:val="auto"/>
              </w:rPr>
              <w:t>3,726,775</w:t>
            </w:r>
          </w:p>
        </w:tc>
        <w:tc>
          <w:tcPr>
            <w:tcW w:w="920" w:type="dxa"/>
            <w:vAlign w:val="bottom"/>
          </w:tcPr>
          <w:p>
            <w:pPr>
              <w:jc w:val="right"/>
              <w:spacing w:after="0"/>
              <w:rPr>
                <w:sz w:val="20"/>
                <w:szCs w:val="20"/>
                <w:color w:val="auto"/>
              </w:rPr>
            </w:pPr>
            <w:r>
              <w:rPr>
                <w:rFonts w:ascii="Arial" w:cs="Arial" w:eastAsia="Arial" w:hAnsi="Arial"/>
                <w:sz w:val="13"/>
                <w:szCs w:val="13"/>
                <w:color w:val="auto"/>
              </w:rPr>
              <w:t>133,643</w:t>
            </w:r>
          </w:p>
        </w:tc>
      </w:tr>
      <w:tr>
        <w:trPr>
          <w:trHeight w:val="29"/>
        </w:trPr>
        <w:tc>
          <w:tcPr>
            <w:tcW w:w="3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Net loss</w:t>
            </w:r>
          </w:p>
        </w:tc>
        <w:tc>
          <w:tcPr>
            <w:tcW w:w="1540" w:type="dxa"/>
            <w:vAlign w:val="bottom"/>
            <w:tcBorders>
              <w:bottom w:val="single" w:sz="8" w:color="DBDBDB"/>
            </w:tcBorders>
            <w:shd w:val="clear" w:color="auto" w:fill="DBDBDB"/>
          </w:tcPr>
          <w:p>
            <w:pPr>
              <w:spacing w:after="0"/>
              <w:rPr>
                <w:sz w:val="16"/>
                <w:szCs w:val="16"/>
                <w:color w:val="auto"/>
              </w:rPr>
            </w:pPr>
          </w:p>
        </w:tc>
        <w:tc>
          <w:tcPr>
            <w:tcW w:w="156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DBDBDB"/>
            </w:tcBorders>
            <w:shd w:val="clear" w:color="auto" w:fill="DBDBDB"/>
          </w:tcPr>
          <w:p>
            <w:pPr>
              <w:jc w:val="right"/>
              <w:ind w:right="336"/>
              <w:spacing w:after="0"/>
              <w:rPr>
                <w:sz w:val="20"/>
                <w:szCs w:val="20"/>
                <w:color w:val="auto"/>
              </w:rPr>
            </w:pPr>
            <w:r>
              <w:rPr>
                <w:rFonts w:ascii="Arial" w:cs="Arial" w:eastAsia="Arial" w:hAnsi="Arial"/>
                <w:sz w:val="13"/>
                <w:szCs w:val="13"/>
                <w:color w:val="auto"/>
              </w:rPr>
              <w:t>313,035</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313,035</w:t>
            </w:r>
          </w:p>
        </w:tc>
      </w:tr>
      <w:tr>
        <w:trPr>
          <w:trHeight w:val="181"/>
        </w:trPr>
        <w:tc>
          <w:tcPr>
            <w:tcW w:w="330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540" w:type="dxa"/>
            <w:vAlign w:val="bottom"/>
          </w:tcPr>
          <w:p>
            <w:pPr>
              <w:spacing w:after="0"/>
              <w:rPr>
                <w:sz w:val="15"/>
                <w:szCs w:val="15"/>
                <w:color w:val="auto"/>
              </w:rPr>
            </w:pPr>
          </w:p>
        </w:tc>
        <w:tc>
          <w:tcPr>
            <w:tcW w:w="15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56"/>
              <w:spacing w:after="0"/>
              <w:rPr>
                <w:sz w:val="20"/>
                <w:szCs w:val="20"/>
                <w:color w:val="auto"/>
              </w:rPr>
            </w:pPr>
            <w:r>
              <w:rPr>
                <w:rFonts w:ascii="Arial" w:cs="Arial" w:eastAsia="Arial" w:hAnsi="Arial"/>
                <w:sz w:val="13"/>
                <w:szCs w:val="13"/>
                <w:color w:val="auto"/>
              </w:rPr>
              <w:t>26,735</w:t>
            </w:r>
          </w:p>
        </w:tc>
        <w:tc>
          <w:tcPr>
            <w:tcW w:w="12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26,735</w:t>
            </w:r>
          </w:p>
        </w:tc>
      </w:tr>
      <w:tr>
        <w:trPr>
          <w:trHeight w:val="29"/>
        </w:trPr>
        <w:tc>
          <w:tcPr>
            <w:tcW w:w="3300" w:type="dxa"/>
            <w:vAlign w:val="bottom"/>
            <w:tcBorders>
              <w:bottom w:val="single" w:sz="8" w:color="DBDBDB"/>
            </w:tcBorders>
          </w:tcPr>
          <w:p>
            <w:pPr>
              <w:spacing w:after="0"/>
              <w:rPr>
                <w:sz w:val="2"/>
                <w:szCs w:val="2"/>
                <w:color w:val="auto"/>
              </w:rPr>
            </w:pPr>
          </w:p>
        </w:tc>
        <w:tc>
          <w:tcPr>
            <w:tcW w:w="1540" w:type="dxa"/>
            <w:vAlign w:val="bottom"/>
            <w:tcBorders>
              <w:bottom w:val="single" w:sz="8" w:color="DBDBDB"/>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9"/>
        </w:trPr>
        <w:tc>
          <w:tcPr>
            <w:tcW w:w="3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 comprehensive loss</w:t>
            </w:r>
          </w:p>
        </w:tc>
        <w:tc>
          <w:tcPr>
            <w:tcW w:w="1540" w:type="dxa"/>
            <w:vAlign w:val="bottom"/>
            <w:tcBorders>
              <w:bottom w:val="single" w:sz="8" w:color="DBDBDB"/>
            </w:tcBorders>
            <w:shd w:val="clear" w:color="auto" w:fill="DBDBDB"/>
          </w:tcPr>
          <w:p>
            <w:pPr>
              <w:spacing w:after="0"/>
              <w:rPr>
                <w:sz w:val="17"/>
                <w:szCs w:val="17"/>
                <w:color w:val="auto"/>
              </w:rPr>
            </w:pPr>
          </w:p>
        </w:tc>
        <w:tc>
          <w:tcPr>
            <w:tcW w:w="156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DBDBDB"/>
            </w:tcBorders>
            <w:shd w:val="clear" w:color="auto" w:fill="DBDBDB"/>
          </w:tcPr>
          <w:p>
            <w:pPr>
              <w:jc w:val="right"/>
              <w:ind w:right="356"/>
              <w:spacing w:after="0"/>
              <w:rPr>
                <w:sz w:val="20"/>
                <w:szCs w:val="20"/>
                <w:color w:val="auto"/>
              </w:rPr>
            </w:pPr>
            <w:r>
              <w:rPr>
                <w:rFonts w:ascii="Arial" w:cs="Arial" w:eastAsia="Arial" w:hAnsi="Arial"/>
                <w:sz w:val="13"/>
                <w:szCs w:val="13"/>
                <w:b w:val="1"/>
                <w:bCs w:val="1"/>
                <w:color w:val="auto"/>
              </w:rPr>
              <w:t>26,735</w:t>
            </w:r>
          </w:p>
        </w:tc>
        <w:tc>
          <w:tcPr>
            <w:tcW w:w="1280" w:type="dxa"/>
            <w:vAlign w:val="bottom"/>
            <w:tcBorders>
              <w:bottom w:val="single" w:sz="8" w:color="DBDBDB"/>
            </w:tcBorders>
            <w:shd w:val="clear" w:color="auto" w:fill="DBDBDB"/>
          </w:tcPr>
          <w:p>
            <w:pPr>
              <w:jc w:val="right"/>
              <w:ind w:right="336"/>
              <w:spacing w:after="0"/>
              <w:rPr>
                <w:sz w:val="20"/>
                <w:szCs w:val="20"/>
                <w:color w:val="auto"/>
              </w:rPr>
            </w:pPr>
            <w:r>
              <w:rPr>
                <w:rFonts w:ascii="Arial" w:cs="Arial" w:eastAsia="Arial" w:hAnsi="Arial"/>
                <w:sz w:val="13"/>
                <w:szCs w:val="13"/>
                <w:b w:val="1"/>
                <w:bCs w:val="1"/>
                <w:color w:val="auto"/>
              </w:rPr>
              <w:t>313,035</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339,770</w:t>
            </w:r>
          </w:p>
        </w:tc>
      </w:tr>
      <w:tr>
        <w:trPr>
          <w:trHeight w:val="171"/>
        </w:trPr>
        <w:tc>
          <w:tcPr>
            <w:tcW w:w="3300" w:type="dxa"/>
            <w:vAlign w:val="bottom"/>
          </w:tcPr>
          <w:p>
            <w:pPr>
              <w:ind w:left="20"/>
              <w:spacing w:after="0"/>
              <w:rPr>
                <w:sz w:val="20"/>
                <w:szCs w:val="20"/>
                <w:color w:val="auto"/>
              </w:rPr>
            </w:pPr>
            <w:r>
              <w:rPr>
                <w:rFonts w:ascii="Arial" w:cs="Arial" w:eastAsia="Arial" w:hAnsi="Arial"/>
                <w:sz w:val="13"/>
                <w:szCs w:val="13"/>
                <w:color w:val="auto"/>
              </w:rPr>
              <w:t>Equity-settled share-based payment</w:t>
            </w:r>
          </w:p>
        </w:tc>
        <w:tc>
          <w:tcPr>
            <w:tcW w:w="1540" w:type="dxa"/>
            <w:vAlign w:val="bottom"/>
          </w:tcPr>
          <w:p>
            <w:pPr>
              <w:jc w:val="right"/>
              <w:ind w:right="316"/>
              <w:spacing w:after="0"/>
              <w:rPr>
                <w:sz w:val="20"/>
                <w:szCs w:val="20"/>
                <w:color w:val="auto"/>
              </w:rPr>
            </w:pPr>
            <w:r>
              <w:rPr>
                <w:rFonts w:ascii="Arial" w:cs="Arial" w:eastAsia="Arial" w:hAnsi="Arial"/>
                <w:sz w:val="13"/>
                <w:szCs w:val="13"/>
                <w:color w:val="auto"/>
              </w:rPr>
              <w:t>3</w:t>
            </w:r>
          </w:p>
        </w:tc>
        <w:tc>
          <w:tcPr>
            <w:tcW w:w="156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color w:val="auto"/>
              </w:rPr>
              <w:t>(2)</w:t>
            </w:r>
          </w:p>
        </w:tc>
        <w:tc>
          <w:tcPr>
            <w:tcW w:w="134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(2,656)</w:t>
            </w:r>
          </w:p>
        </w:tc>
        <w:tc>
          <w:tcPr>
            <w:tcW w:w="1220" w:type="dxa"/>
            <w:vAlign w:val="bottom"/>
            <w:tcBorders>
              <w:top w:val="single" w:sz="8" w:color="auto"/>
            </w:tcBorders>
          </w:tcPr>
          <w:p>
            <w:pPr>
              <w:jc w:val="right"/>
              <w:ind w:right="356"/>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(2,658)</w:t>
            </w:r>
          </w:p>
        </w:tc>
      </w:tr>
      <w:tr>
        <w:trPr>
          <w:trHeight w:val="29"/>
        </w:trPr>
        <w:tc>
          <w:tcPr>
            <w:tcW w:w="3300" w:type="dxa"/>
            <w:vAlign w:val="bottom"/>
            <w:tcBorders>
              <w:bottom w:val="single" w:sz="8" w:color="DBDBDB"/>
            </w:tcBorders>
          </w:tcPr>
          <w:p>
            <w:pPr>
              <w:spacing w:after="0"/>
              <w:rPr>
                <w:sz w:val="2"/>
                <w:szCs w:val="2"/>
                <w:color w:val="auto"/>
              </w:rPr>
            </w:pPr>
          </w:p>
        </w:tc>
        <w:tc>
          <w:tcPr>
            <w:tcW w:w="1540" w:type="dxa"/>
            <w:vAlign w:val="bottom"/>
            <w:tcBorders>
              <w:bottom w:val="single" w:sz="8" w:color="DBDBDB"/>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1"/>
        </w:trPr>
        <w:tc>
          <w:tcPr>
            <w:tcW w:w="330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1540" w:type="dxa"/>
            <w:vAlign w:val="bottom"/>
            <w:shd w:val="clear" w:color="auto" w:fill="DBDBDB"/>
          </w:tcPr>
          <w:p>
            <w:pPr>
              <w:spacing w:after="0"/>
              <w:rPr>
                <w:sz w:val="14"/>
                <w:szCs w:val="14"/>
                <w:color w:val="auto"/>
              </w:rPr>
            </w:pPr>
          </w:p>
        </w:tc>
        <w:tc>
          <w:tcPr>
            <w:tcW w:w="1560" w:type="dxa"/>
            <w:vAlign w:val="bottom"/>
            <w:shd w:val="clear" w:color="auto" w:fill="DBDBDB"/>
          </w:tcPr>
          <w:p>
            <w:pPr>
              <w:jc w:val="right"/>
              <w:ind w:right="256"/>
              <w:spacing w:after="0"/>
              <w:rPr>
                <w:sz w:val="20"/>
                <w:szCs w:val="20"/>
                <w:color w:val="auto"/>
              </w:rPr>
            </w:pPr>
            <w:r>
              <w:rPr>
                <w:rFonts w:ascii="Arial" w:cs="Arial" w:eastAsia="Arial" w:hAnsi="Arial"/>
                <w:sz w:val="13"/>
                <w:szCs w:val="13"/>
                <w:b w:val="1"/>
                <w:bCs w:val="1"/>
                <w:color w:val="auto"/>
              </w:rPr>
              <w:t>(21,167)</w:t>
            </w:r>
          </w:p>
        </w:tc>
        <w:tc>
          <w:tcPr>
            <w:tcW w:w="1340" w:type="dxa"/>
            <w:vAlign w:val="bottom"/>
            <w:shd w:val="clear" w:color="auto" w:fill="DBDBDB"/>
          </w:tcPr>
          <w:p>
            <w:pPr>
              <w:jc w:val="right"/>
              <w:ind w:right="356"/>
              <w:spacing w:after="0"/>
              <w:rPr>
                <w:sz w:val="20"/>
                <w:szCs w:val="20"/>
                <w:color w:val="auto"/>
              </w:rPr>
            </w:pPr>
            <w:r>
              <w:rPr>
                <w:rFonts w:ascii="Arial" w:cs="Arial" w:eastAsia="Arial" w:hAnsi="Arial"/>
                <w:sz w:val="13"/>
                <w:szCs w:val="13"/>
                <w:b w:val="1"/>
                <w:bCs w:val="1"/>
                <w:color w:val="auto"/>
              </w:rPr>
              <w:t>(3,586,888)</w:t>
            </w:r>
          </w:p>
        </w:tc>
        <w:tc>
          <w:tcPr>
            <w:tcW w:w="1220" w:type="dxa"/>
            <w:vAlign w:val="bottom"/>
            <w:shd w:val="clear" w:color="auto" w:fill="DBDBDB"/>
          </w:tcPr>
          <w:p>
            <w:pPr>
              <w:jc w:val="right"/>
              <w:ind w:right="356"/>
              <w:spacing w:after="0"/>
              <w:rPr>
                <w:sz w:val="20"/>
                <w:szCs w:val="20"/>
                <w:color w:val="auto"/>
              </w:rPr>
            </w:pPr>
            <w:r>
              <w:rPr>
                <w:rFonts w:ascii="Arial" w:cs="Arial" w:eastAsia="Arial" w:hAnsi="Arial"/>
                <w:sz w:val="13"/>
                <w:szCs w:val="13"/>
                <w:b w:val="1"/>
                <w:bCs w:val="1"/>
                <w:color w:val="auto"/>
              </w:rPr>
              <w:t>39,000</w:t>
            </w:r>
          </w:p>
        </w:tc>
        <w:tc>
          <w:tcPr>
            <w:tcW w:w="1280" w:type="dxa"/>
            <w:vAlign w:val="bottom"/>
            <w:shd w:val="clear" w:color="auto" w:fill="DBDBDB"/>
          </w:tcPr>
          <w:p>
            <w:pPr>
              <w:jc w:val="right"/>
              <w:ind w:right="336"/>
              <w:spacing w:after="0"/>
              <w:rPr>
                <w:sz w:val="20"/>
                <w:szCs w:val="20"/>
                <w:color w:val="auto"/>
              </w:rPr>
            </w:pPr>
            <w:r>
              <w:rPr>
                <w:rFonts w:ascii="Arial" w:cs="Arial" w:eastAsia="Arial" w:hAnsi="Arial"/>
                <w:sz w:val="13"/>
                <w:szCs w:val="13"/>
                <w:b w:val="1"/>
                <w:bCs w:val="1"/>
                <w:color w:val="auto"/>
              </w:rPr>
              <w:t>4,039,810</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b w:val="1"/>
                <w:bCs w:val="1"/>
                <w:color w:val="auto"/>
              </w:rPr>
              <w:t>470,755</w:t>
            </w:r>
          </w:p>
        </w:tc>
      </w:tr>
      <w:tr>
        <w:trPr>
          <w:trHeight w:val="29"/>
        </w:trPr>
        <w:tc>
          <w:tcPr>
            <w:tcW w:w="330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34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920" w:type="dxa"/>
            <w:vAlign w:val="bottom"/>
            <w:shd w:val="clear" w:color="auto" w:fill="DBDBDB"/>
          </w:tcPr>
          <w:p>
            <w:pPr>
              <w:spacing w:after="0"/>
              <w:rPr>
                <w:sz w:val="2"/>
                <w:szCs w:val="2"/>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49530</wp:posOffset>
            </wp:positionV>
            <wp:extent cx="719772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160"/>
          </w:cols>
          <w:pgMar w:left="360" w:top="563"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1"/>
          <w:szCs w:val="11"/>
          <w:color w:val="B6B6B6"/>
        </w:rPr>
        <w:t>Notes to the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color w:val="B6B6B6"/>
        </w:rPr>
        <w:t>(in thousands of U.S. dollars unless otherwise stated)</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Significant accounting policies and judgements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information</w:t>
      </w:r>
    </w:p>
    <w:p>
      <w:pPr>
        <w:spacing w:after="0" w:line="64" w:lineRule="exact"/>
        <w:rPr>
          <w:sz w:val="20"/>
          <w:szCs w:val="20"/>
          <w:color w:val="auto"/>
        </w:rPr>
      </w:pPr>
    </w:p>
    <w:p>
      <w:pPr>
        <w:jc w:val="both"/>
        <w:ind w:right="20"/>
        <w:spacing w:after="0" w:line="247" w:lineRule="auto"/>
        <w:rPr>
          <w:sz w:val="20"/>
          <w:szCs w:val="20"/>
          <w:color w:val="auto"/>
        </w:rPr>
      </w:pPr>
      <w:r>
        <w:rPr>
          <w:rFonts w:ascii="Arial" w:cs="Arial" w:eastAsia="Arial" w:hAnsi="Arial"/>
          <w:sz w:val="11"/>
          <w:szCs w:val="11"/>
          <w:color w:val="auto"/>
        </w:rPr>
        <w:t>Polestar Automotive Holding UK PLC (formerly known as Polestar Automotive Holding UK Limited) (the “Parent”),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and selling of vehicles, technology solutions, and services related to battery electric vehicles. Polestar Group has a presence in 27 markets across Europe, North America, and Asia. Polestar Group has its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management headquarters located at Assar Gabrielssons väg 9, 418 78 Göteborg, Sweden.</w:t>
      </w:r>
    </w:p>
    <w:p>
      <w:pPr>
        <w:spacing w:after="0" w:line="41" w:lineRule="exact"/>
        <w:rPr>
          <w:sz w:val="20"/>
          <w:szCs w:val="20"/>
          <w:color w:val="auto"/>
        </w:rPr>
      </w:pPr>
    </w:p>
    <w:p>
      <w:pPr>
        <w:jc w:val="both"/>
        <w:ind w:right="20"/>
        <w:spacing w:after="0" w:line="228" w:lineRule="auto"/>
        <w:rPr>
          <w:sz w:val="20"/>
          <w:szCs w:val="20"/>
          <w:color w:val="auto"/>
        </w:rPr>
      </w:pPr>
      <w:r>
        <w:rPr>
          <w:rFonts w:ascii="Arial" w:cs="Arial" w:eastAsia="Arial" w:hAnsi="Arial"/>
          <w:sz w:val="13"/>
          <w:szCs w:val="13"/>
          <w:color w:val="auto"/>
        </w:rPr>
        <w:t>As of June 30, 2023, related parties own 88.3% of the Group. Of related party ownership, Snita Holding B.V. owns 48.3%, PSD Investment Limited owns 39.2%, and various other entities own 0.8%. The remaining 11.7% of the Group is owned by external investors.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preparation</w:t>
      </w:r>
    </w:p>
    <w:p>
      <w:pPr>
        <w:spacing w:after="0" w:line="55"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 xml:space="preserve">The Unaudited Condensed Consolidated Financial Statements in this interim report of Polestar Group are prepared in accordance with International Accounting Standards (“IAS”) 34, </w:t>
      </w:r>
      <w:r>
        <w:rPr>
          <w:rFonts w:ascii="Arial" w:cs="Arial" w:eastAsia="Arial" w:hAnsi="Arial"/>
          <w:sz w:val="11"/>
          <w:szCs w:val="11"/>
          <w:i w:val="1"/>
          <w:iCs w:val="1"/>
          <w:color w:val="auto"/>
        </w:rPr>
        <w:t>Interim Financial Reporting</w:t>
      </w:r>
      <w:r>
        <w:rPr>
          <w:rFonts w:ascii="Arial" w:cs="Arial" w:eastAsia="Arial" w:hAnsi="Arial"/>
          <w:sz w:val="11"/>
          <w:szCs w:val="11"/>
          <w:color w:val="auto"/>
        </w:rPr>
        <w:t xml:space="preserve"> (“IAS 34”), as adopted by the International Accounting Standards Board (“IASB”). The Unaudited Condensed Consolidated Financial Statements have been prepared on the historical cost basis, except for the revaluation of</w:t>
      </w:r>
    </w:p>
    <w:p>
      <w:pPr>
        <w:spacing w:after="0" w:line="1" w:lineRule="exact"/>
        <w:rPr>
          <w:sz w:val="20"/>
          <w:szCs w:val="20"/>
          <w:color w:val="auto"/>
        </w:rPr>
      </w:pPr>
    </w:p>
    <w:p>
      <w:pPr>
        <w:jc w:val="both"/>
        <w:ind w:right="20"/>
        <w:spacing w:after="0" w:line="282" w:lineRule="auto"/>
        <w:rPr>
          <w:sz w:val="20"/>
          <w:szCs w:val="20"/>
          <w:color w:val="auto"/>
        </w:rPr>
      </w:pPr>
      <w:r>
        <w:rPr>
          <w:rFonts w:ascii="Arial" w:cs="Arial" w:eastAsia="Arial" w:hAnsi="Arial"/>
          <w:sz w:val="11"/>
          <w:szCs w:val="11"/>
          <w:color w:val="auto"/>
        </w:rPr>
        <w:t>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This interim report is prepared in the presentation currency, U.S. Dollar (“USD”). All amounts are stated in thousands of USD (“TUSD”), unless otherwise stated.</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Periods discussed prior to June 23, 2022 represent the operations of Polestar Automotive Holding Limited and its consolidated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Going concern</w:t>
      </w:r>
    </w:p>
    <w:p>
      <w:pPr>
        <w:spacing w:after="0" w:line="55" w:lineRule="exact"/>
        <w:rPr>
          <w:sz w:val="20"/>
          <w:szCs w:val="20"/>
          <w:color w:val="auto"/>
        </w:rPr>
      </w:pPr>
    </w:p>
    <w:p>
      <w:pPr>
        <w:jc w:val="both"/>
        <w:ind w:right="20"/>
        <w:spacing w:after="0" w:line="236" w:lineRule="auto"/>
        <w:rPr>
          <w:sz w:val="20"/>
          <w:szCs w:val="20"/>
          <w:color w:val="auto"/>
        </w:rPr>
      </w:pPr>
      <w:r>
        <w:rPr>
          <w:rFonts w:ascii="Arial" w:cs="Arial" w:eastAsia="Arial" w:hAnsi="Arial"/>
          <w:sz w:val="13"/>
          <w:szCs w:val="13"/>
          <w:color w:val="auto"/>
        </w:rPr>
        <w:t>Polestar Group’s Unaudited Condensed Consolidated Financial Statements have been prepared on a basis that assumes Polestar Group will continue as a going concern and the ordinary course of business will continue in alignment with Management’s 2024-2028 business plan.</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Unaudited Condensed Consolidated Financial Statements was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used in performing this assessment.</w:t>
      </w:r>
    </w:p>
    <w:p>
      <w:pPr>
        <w:spacing w:after="0" w:line="41"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Historically, Polestar Group has financed its operations primarily through short-term working capital loan arrangements with credit institutions (i.e., 12 months or less), contributions from shareholders, credit facilities from related parties, and extended trade credit from related parties. Since inception, Polestar Group has generated recurring net losses and negative operating and investing cash flows. Net losses for the three months ended June</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1"/>
          <w:szCs w:val="11"/>
          <w:color w:val="auto"/>
        </w:rPr>
        <w:t>30, 2023 and 2022 amounted to $304,057 and $228,244, respectively. Net losses for the six months ended June 30, 2023 and 2022 amounted to $313,035 and $502,734, respectively. Negative operating and investing cash flows for the six months ended June 30, 2023 and 2022 amounted to $941,828 and $916,331, respectively.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40"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Management’s 2024-2028 business plan indicates that Polestar Group depends on additional financing that is expected to be funded via a combination of new short-term working capital loan arrangements, long-term loan arrangements, credit facilities from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3"/>
          <w:szCs w:val="13"/>
          <w:color w:val="auto"/>
        </w:rPr>
        <w:t>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Adoption of new and revised standards</w:t>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In May 2023, the IASB issued amendments to IAS 12, </w:t>
      </w:r>
      <w:r>
        <w:rPr>
          <w:rFonts w:ascii="Arial" w:cs="Arial" w:eastAsia="Arial" w:hAnsi="Arial"/>
          <w:sz w:val="11"/>
          <w:szCs w:val="11"/>
          <w:i w:val="1"/>
          <w:iCs w:val="1"/>
          <w:color w:val="auto"/>
        </w:rPr>
        <w:t>Income taxes: International Tax Reform – Pillar Two Model Rules</w:t>
      </w:r>
      <w:r>
        <w:rPr>
          <w:rFonts w:ascii="Arial" w:cs="Arial" w:eastAsia="Arial" w:hAnsi="Arial"/>
          <w:sz w:val="11"/>
          <w:szCs w:val="11"/>
          <w:color w:val="auto"/>
        </w:rPr>
        <w:t xml:space="preserve">, to clarify the application of IAS 12, </w:t>
      </w:r>
      <w:r>
        <w:rPr>
          <w:rFonts w:ascii="Arial" w:cs="Arial" w:eastAsia="Arial" w:hAnsi="Arial"/>
          <w:sz w:val="11"/>
          <w:szCs w:val="11"/>
          <w:i w:val="1"/>
          <w:iCs w:val="1"/>
          <w:color w:val="auto"/>
        </w:rPr>
        <w:t>Income Taxes</w:t>
      </w:r>
      <w:r>
        <w:rPr>
          <w:rFonts w:ascii="Arial" w:cs="Arial" w:eastAsia="Arial" w:hAnsi="Arial"/>
          <w:sz w:val="11"/>
          <w:szCs w:val="11"/>
          <w:color w:val="auto"/>
        </w:rPr>
        <w:t>, to income taxes arising from tax law enacted or</w:t>
      </w:r>
    </w:p>
    <w:p>
      <w:pPr>
        <w:spacing w:after="0" w:line="17" w:lineRule="exact"/>
        <w:rPr>
          <w:sz w:val="20"/>
          <w:szCs w:val="20"/>
          <w:color w:val="auto"/>
        </w:rPr>
      </w:pPr>
    </w:p>
    <w:p>
      <w:pPr>
        <w:jc w:val="both"/>
        <w:ind w:right="20"/>
        <w:spacing w:after="0" w:line="241" w:lineRule="auto"/>
        <w:rPr>
          <w:sz w:val="20"/>
          <w:szCs w:val="20"/>
          <w:color w:val="auto"/>
        </w:rPr>
      </w:pPr>
      <w:r>
        <w:rPr>
          <w:rFonts w:ascii="Arial" w:cs="Arial" w:eastAsia="Arial" w:hAnsi="Arial"/>
          <w:sz w:val="11"/>
          <w:szCs w:val="11"/>
          <w:color w:val="auto"/>
        </w:rPr>
        <w:t>substantively enacted to implement the Organization for Economic Co-operation and Development (OECD)/G20 Inclusive Framework on Base Erosion and Profit Shifting (BEPS) Pillar Two model rules (Pillar Two income taxes). The amendments introduce: (i) a mandatory temporary exception to the accounting for deferred taxes arising from the jurisdictional implementation of the Pillar Two model rules, which was effective immediately upon issuance of the amendment, and (ii) disclosure requirements for affected entities to help users of the financial statements better understand an entity’s exposure to Pillar Two income taxes arising from</w:t>
      </w:r>
    </w:p>
    <w:p>
      <w:pPr>
        <w:jc w:val="both"/>
        <w:ind w:right="20"/>
        <w:spacing w:after="0" w:line="220" w:lineRule="auto"/>
        <w:rPr>
          <w:sz w:val="20"/>
          <w:szCs w:val="20"/>
          <w:color w:val="auto"/>
        </w:rPr>
      </w:pPr>
      <w:r>
        <w:rPr>
          <w:rFonts w:ascii="Arial" w:cs="Arial" w:eastAsia="Arial" w:hAnsi="Arial"/>
          <w:sz w:val="13"/>
          <w:szCs w:val="13"/>
          <w:color w:val="auto"/>
        </w:rPr>
        <w:t>that legislation, particularly before the effective date of the Pillar Two model rules, which apply for annual reporting periods beginning on or after January 1, 2023, but not for any interim periods ending on or before December 31,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19772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1"/>
          <w:szCs w:val="11"/>
          <w:color w:val="B6B6B6"/>
        </w:rPr>
        <w:t>Notes to the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color w:val="B6B6B6"/>
        </w:rPr>
        <w:t>(in thousands of U.S. dollars unless otherwise stated)</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 xml:space="preserve">For a detailed assessment of the Group’s adoption of other new and revised standards, refer to </w:t>
      </w:r>
      <w:r>
        <w:rPr>
          <w:rFonts w:ascii="Arial" w:cs="Arial" w:eastAsia="Arial" w:hAnsi="Arial"/>
          <w:sz w:val="11"/>
          <w:szCs w:val="11"/>
          <w:i w:val="1"/>
          <w:iCs w:val="1"/>
          <w:color w:val="auto"/>
        </w:rPr>
        <w:t>Note 1 - Significant accounting policies and judgments</w:t>
      </w:r>
      <w:r>
        <w:rPr>
          <w:rFonts w:ascii="Arial" w:cs="Arial" w:eastAsia="Arial" w:hAnsi="Arial"/>
          <w:sz w:val="11"/>
          <w:szCs w:val="11"/>
          <w:color w:val="auto"/>
        </w:rPr>
        <w:t xml:space="preserve"> of the Consolidated Financial Statements for Polestar Automotive Holding Limited, as of December 31, 2022, and 2021, and for the three years ended December 31, 2022, that were included in the Form 20-F filed with the United States Securities and Exchange Commission (“SEC”) on</w:t>
      </w:r>
    </w:p>
    <w:p>
      <w:pPr>
        <w:spacing w:after="0" w:line="236" w:lineRule="auto"/>
        <w:rPr>
          <w:sz w:val="20"/>
          <w:szCs w:val="20"/>
          <w:color w:val="auto"/>
        </w:rPr>
      </w:pPr>
      <w:r>
        <w:rPr>
          <w:rFonts w:ascii="Arial" w:cs="Arial" w:eastAsia="Arial" w:hAnsi="Arial"/>
          <w:sz w:val="11"/>
          <w:szCs w:val="11"/>
          <w:color w:val="auto"/>
        </w:rPr>
        <w:t>April 14, 2023. Management has concluded the adoption of new and revised accounting pronouncements has not or will not have a material impact on the Group’s Unaudited Condensed Consolidated Financial Statements.</w:t>
      </w:r>
    </w:p>
    <w:p>
      <w:pPr>
        <w:spacing w:after="0"/>
        <w:rPr>
          <w:sz w:val="20"/>
          <w:szCs w:val="20"/>
          <w:color w:val="auto"/>
        </w:rPr>
      </w:pPr>
      <w:r>
        <w:rPr>
          <w:rFonts w:ascii="Arial" w:cs="Arial" w:eastAsia="Arial" w:hAnsi="Arial"/>
          <w:sz w:val="11"/>
          <w:szCs w:val="11"/>
          <w:color w:val="auto"/>
        </w:rPr>
        <w:t>The adoptions of accounting pronouncements issued, but not effective, for the six months ended June 30, 2023, will not have a material impact on the Group’s Unaudited Condensed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Presentation, basis of consolidation, segment reporting, and foreign currency</w:t>
      </w:r>
    </w:p>
    <w:p>
      <w:pPr>
        <w:spacing w:after="0" w:line="64"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 xml:space="preserve">For a detailed description of the Group’s presentation, basis of consolidation, segment reporting, and foreign currency, including currency risk, refer to </w:t>
      </w:r>
      <w:r>
        <w:rPr>
          <w:rFonts w:ascii="Arial" w:cs="Arial" w:eastAsia="Arial" w:hAnsi="Arial"/>
          <w:sz w:val="12"/>
          <w:szCs w:val="12"/>
          <w:i w:val="1"/>
          <w:iCs w:val="1"/>
          <w:color w:val="auto"/>
        </w:rPr>
        <w:t>Note 1 - Significant accounting policies and judgements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Note 2 -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Financial risk management </w:t>
      </w:r>
      <w:r>
        <w:rPr>
          <w:rFonts w:ascii="Arial" w:cs="Arial" w:eastAsia="Arial" w:hAnsi="Arial"/>
          <w:sz w:val="12"/>
          <w:szCs w:val="12"/>
          <w:color w:val="auto"/>
        </w:rPr>
        <w:t>of the Consolidated Financial Statements for Polestar Automotive Holding UK PLC, as of December 31, 2022 and 2021, and for the three years ended December 31, 2022, that were included in</w:t>
      </w:r>
      <w:r>
        <w:rPr>
          <w:rFonts w:ascii="Arial" w:cs="Arial" w:eastAsia="Arial" w:hAnsi="Arial"/>
          <w:sz w:val="12"/>
          <w:szCs w:val="12"/>
          <w:i w:val="1"/>
          <w:iCs w:val="1"/>
          <w:color w:val="auto"/>
        </w:rPr>
        <w:t xml:space="preserve"> </w:t>
      </w:r>
      <w:r>
        <w:rPr>
          <w:rFonts w:ascii="Arial" w:cs="Arial" w:eastAsia="Arial" w:hAnsi="Arial"/>
          <w:sz w:val="12"/>
          <w:szCs w:val="12"/>
          <w:color w:val="auto"/>
        </w:rPr>
        <w:t>the Form 20-F filed with the SEC on April 14, 2023. There are no changes for the periods presented in these Unaudited Condensed Consolidated Financial Statements.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show the breakdown of the Group’s revenue from external customers and non-current assets by geographical location where the Polestar company recognizing the revenue is located:</w:t>
      </w:r>
    </w:p>
    <w:p>
      <w:pPr>
        <w:spacing w:after="0" w:line="100" w:lineRule="exact"/>
        <w:rPr>
          <w:sz w:val="20"/>
          <w:szCs w:val="20"/>
          <w:color w:val="auto"/>
        </w:rPr>
      </w:pPr>
    </w:p>
    <w:tbl>
      <w:tblPr>
        <w:tblLayout w:type="fixed"/>
        <w:tblInd w:w="1340" w:type="dxa"/>
        <w:tblCellMar>
          <w:top w:w="0" w:type="dxa"/>
          <w:left w:w="0" w:type="dxa"/>
          <w:bottom w:w="0" w:type="dxa"/>
          <w:right w:w="0" w:type="dxa"/>
        </w:tblCellMar>
      </w:tblPr>
      <w:tr>
        <w:trPr>
          <w:trHeight w:val="159"/>
        </w:trPr>
        <w:tc>
          <w:tcPr>
            <w:tcW w:w="462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980" w:type="dxa"/>
            <w:vAlign w:val="bottom"/>
            <w:gridSpan w:val="4"/>
            <w:shd w:val="clear" w:color="auto" w:fill="DBDBDB"/>
          </w:tcPr>
          <w:p>
            <w:pPr>
              <w:spacing w:after="0"/>
              <w:rPr>
                <w:sz w:val="20"/>
                <w:szCs w:val="20"/>
                <w:color w:val="auto"/>
              </w:rPr>
            </w:pPr>
            <w:r>
              <w:rPr>
                <w:rFonts w:ascii="Arial" w:cs="Arial" w:eastAsia="Arial" w:hAnsi="Arial"/>
                <w:sz w:val="13"/>
                <w:szCs w:val="13"/>
                <w:b w:val="1"/>
                <w:bCs w:val="1"/>
                <w:color w:val="auto"/>
                <w:w w:val="95"/>
              </w:rPr>
              <w:t>For the three months ended June</w:t>
            </w:r>
          </w:p>
        </w:tc>
        <w:tc>
          <w:tcPr>
            <w:tcW w:w="1940" w:type="dxa"/>
            <w:vAlign w:val="bottom"/>
            <w:gridSpan w:val="4"/>
            <w:shd w:val="clear" w:color="auto" w:fill="DBDBDB"/>
          </w:tcPr>
          <w:p>
            <w:pPr>
              <w:jc w:val="right"/>
              <w:spacing w:after="0"/>
              <w:rPr>
                <w:sz w:val="20"/>
                <w:szCs w:val="20"/>
                <w:color w:val="auto"/>
              </w:rPr>
            </w:pPr>
            <w:r>
              <w:rPr>
                <w:rFonts w:ascii="Arial" w:cs="Arial" w:eastAsia="Arial" w:hAnsi="Arial"/>
                <w:sz w:val="13"/>
                <w:szCs w:val="13"/>
                <w:b w:val="1"/>
                <w:bCs w:val="1"/>
                <w:color w:val="auto"/>
                <w:w w:val="87"/>
              </w:rPr>
              <w:t>For the six months ended June 30,</w:t>
            </w:r>
          </w:p>
        </w:tc>
      </w:tr>
      <w:tr>
        <w:trPr>
          <w:trHeight w:val="184"/>
        </w:trPr>
        <w:tc>
          <w:tcPr>
            <w:tcW w:w="4620" w:type="dxa"/>
            <w:vAlign w:val="bottom"/>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gridSpan w:val="2"/>
            <w:shd w:val="clear" w:color="auto" w:fill="DBDBDB"/>
          </w:tcPr>
          <w:p>
            <w:pPr>
              <w:jc w:val="right"/>
              <w:ind w:right="76"/>
              <w:spacing w:after="0"/>
              <w:rPr>
                <w:sz w:val="20"/>
                <w:szCs w:val="20"/>
                <w:color w:val="auto"/>
              </w:rPr>
            </w:pPr>
            <w:r>
              <w:rPr>
                <w:rFonts w:ascii="Arial" w:cs="Arial" w:eastAsia="Arial" w:hAnsi="Arial"/>
                <w:sz w:val="13"/>
                <w:szCs w:val="13"/>
                <w:b w:val="1"/>
                <w:bCs w:val="1"/>
                <w:color w:val="auto"/>
              </w:rPr>
              <w:t>30,</w:t>
            </w:r>
          </w:p>
        </w:tc>
        <w:tc>
          <w:tcPr>
            <w:tcW w:w="760" w:type="dxa"/>
            <w:vAlign w:val="bottom"/>
            <w:tcBorders>
              <w:bottom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spacing w:after="0"/>
              <w:rPr>
                <w:sz w:val="16"/>
                <w:szCs w:val="16"/>
                <w:color w:val="auto"/>
              </w:rPr>
            </w:pPr>
          </w:p>
        </w:tc>
      </w:tr>
      <w:tr>
        <w:trPr>
          <w:trHeight w:val="171"/>
        </w:trPr>
        <w:tc>
          <w:tcPr>
            <w:tcW w:w="4620" w:type="dxa"/>
            <w:vAlign w:val="bottom"/>
            <w:tcBorders>
              <w:bottom w:val="single" w:sz="8" w:color="DBDBDB"/>
            </w:tcBorders>
          </w:tcPr>
          <w:p>
            <w:pPr>
              <w:ind w:left="20"/>
              <w:spacing w:after="0"/>
              <w:rPr>
                <w:sz w:val="20"/>
                <w:szCs w:val="20"/>
                <w:color w:val="auto"/>
              </w:rPr>
            </w:pPr>
            <w:r>
              <w:rPr>
                <w:rFonts w:ascii="Arial" w:cs="Arial" w:eastAsia="Arial" w:hAnsi="Arial"/>
                <w:sz w:val="13"/>
                <w:szCs w:val="13"/>
                <w:b w:val="1"/>
                <w:bCs w:val="1"/>
                <w:color w:val="auto"/>
              </w:rPr>
              <w:t>Revenue</w:t>
            </w: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DBDBDB"/>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r>
      <w:tr>
        <w:trPr>
          <w:trHeight w:val="189"/>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UK</w:t>
            </w:r>
          </w:p>
        </w:tc>
        <w:tc>
          <w:tcPr>
            <w:tcW w:w="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134,412</w:t>
            </w:r>
          </w:p>
        </w:tc>
        <w:tc>
          <w:tcPr>
            <w:tcW w:w="2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67,917</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291,584</w:t>
            </w:r>
          </w:p>
        </w:tc>
        <w:tc>
          <w:tcPr>
            <w:tcW w:w="24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137,218</w:t>
            </w:r>
          </w:p>
        </w:tc>
      </w:tr>
      <w:tr>
        <w:trPr>
          <w:trHeight w:val="181"/>
        </w:trPr>
        <w:tc>
          <w:tcPr>
            <w:tcW w:w="4620" w:type="dxa"/>
            <w:vAlign w:val="bottom"/>
          </w:tcPr>
          <w:p>
            <w:pPr>
              <w:ind w:left="20"/>
              <w:spacing w:after="0"/>
              <w:rPr>
                <w:sz w:val="20"/>
                <w:szCs w:val="20"/>
                <w:color w:val="auto"/>
              </w:rPr>
            </w:pPr>
            <w:r>
              <w:rPr>
                <w:rFonts w:ascii="Arial" w:cs="Arial" w:eastAsia="Arial" w:hAnsi="Arial"/>
                <w:sz w:val="13"/>
                <w:szCs w:val="13"/>
                <w:color w:val="auto"/>
              </w:rPr>
              <w:t>USA</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122,525</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134,393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231,737</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214,231</w:t>
            </w:r>
          </w:p>
        </w:tc>
      </w:tr>
      <w:tr>
        <w:trPr>
          <w:trHeight w:val="29"/>
        </w:trPr>
        <w:tc>
          <w:tcPr>
            <w:tcW w:w="4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Sweden</w:t>
            </w:r>
          </w:p>
        </w:tc>
        <w:tc>
          <w:tcPr>
            <w:tcW w:w="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107,197</w:t>
            </w:r>
          </w:p>
        </w:tc>
        <w:tc>
          <w:tcPr>
            <w:tcW w:w="2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59,334</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157,043</w:t>
            </w:r>
          </w:p>
        </w:tc>
        <w:tc>
          <w:tcPr>
            <w:tcW w:w="24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155,157</w:t>
            </w:r>
          </w:p>
        </w:tc>
      </w:tr>
      <w:tr>
        <w:trPr>
          <w:trHeight w:val="181"/>
        </w:trPr>
        <w:tc>
          <w:tcPr>
            <w:tcW w:w="4620" w:type="dxa"/>
            <w:vAlign w:val="bottom"/>
          </w:tcPr>
          <w:p>
            <w:pPr>
              <w:ind w:left="20"/>
              <w:spacing w:after="0"/>
              <w:rPr>
                <w:sz w:val="20"/>
                <w:szCs w:val="20"/>
                <w:color w:val="auto"/>
              </w:rPr>
            </w:pPr>
            <w:r>
              <w:rPr>
                <w:rFonts w:ascii="Arial" w:cs="Arial" w:eastAsia="Arial" w:hAnsi="Arial"/>
                <w:sz w:val="13"/>
                <w:szCs w:val="13"/>
                <w:color w:val="auto"/>
              </w:rPr>
              <w:t>Germany</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65,402</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59,641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117,399</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102,209</w:t>
            </w:r>
          </w:p>
        </w:tc>
      </w:tr>
      <w:tr>
        <w:trPr>
          <w:trHeight w:val="29"/>
        </w:trPr>
        <w:tc>
          <w:tcPr>
            <w:tcW w:w="4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Canada</w:t>
            </w:r>
          </w:p>
        </w:tc>
        <w:tc>
          <w:tcPr>
            <w:tcW w:w="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40,056</w:t>
            </w:r>
          </w:p>
        </w:tc>
        <w:tc>
          <w:tcPr>
            <w:tcW w:w="2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17,836</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63,122</w:t>
            </w:r>
          </w:p>
        </w:tc>
        <w:tc>
          <w:tcPr>
            <w:tcW w:w="24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24,169</w:t>
            </w:r>
          </w:p>
        </w:tc>
      </w:tr>
      <w:tr>
        <w:trPr>
          <w:trHeight w:val="181"/>
        </w:trPr>
        <w:tc>
          <w:tcPr>
            <w:tcW w:w="4620" w:type="dxa"/>
            <w:vAlign w:val="bottom"/>
          </w:tcPr>
          <w:p>
            <w:pPr>
              <w:ind w:left="20"/>
              <w:spacing w:after="0"/>
              <w:rPr>
                <w:sz w:val="20"/>
                <w:szCs w:val="20"/>
                <w:color w:val="auto"/>
              </w:rPr>
            </w:pPr>
            <w:r>
              <w:rPr>
                <w:rFonts w:ascii="Arial" w:cs="Arial" w:eastAsia="Arial" w:hAnsi="Arial"/>
                <w:sz w:val="13"/>
                <w:szCs w:val="13"/>
                <w:color w:val="auto"/>
              </w:rPr>
              <w:t>Netherlands</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33,567</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30,383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50,483</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55,938</w:t>
            </w:r>
          </w:p>
        </w:tc>
      </w:tr>
      <w:tr>
        <w:trPr>
          <w:trHeight w:val="29"/>
        </w:trPr>
        <w:tc>
          <w:tcPr>
            <w:tcW w:w="4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Australia</w:t>
            </w:r>
          </w:p>
        </w:tc>
        <w:tc>
          <w:tcPr>
            <w:tcW w:w="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24,448</w:t>
            </w:r>
          </w:p>
        </w:tc>
        <w:tc>
          <w:tcPr>
            <w:tcW w:w="2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19,130</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48,463</w:t>
            </w:r>
          </w:p>
        </w:tc>
        <w:tc>
          <w:tcPr>
            <w:tcW w:w="24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23,032</w:t>
            </w:r>
          </w:p>
        </w:tc>
      </w:tr>
      <w:tr>
        <w:trPr>
          <w:trHeight w:val="181"/>
        </w:trPr>
        <w:tc>
          <w:tcPr>
            <w:tcW w:w="4620" w:type="dxa"/>
            <w:vAlign w:val="bottom"/>
          </w:tcPr>
          <w:p>
            <w:pPr>
              <w:ind w:left="20"/>
              <w:spacing w:after="0"/>
              <w:rPr>
                <w:sz w:val="20"/>
                <w:szCs w:val="20"/>
                <w:color w:val="auto"/>
              </w:rPr>
            </w:pPr>
            <w:r>
              <w:rPr>
                <w:rFonts w:ascii="Arial" w:cs="Arial" w:eastAsia="Arial" w:hAnsi="Arial"/>
                <w:sz w:val="13"/>
                <w:szCs w:val="13"/>
                <w:color w:val="auto"/>
              </w:rPr>
              <w:t>Belgium</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31,837</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22,932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47,786</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42,707</w:t>
            </w:r>
          </w:p>
        </w:tc>
      </w:tr>
      <w:tr>
        <w:trPr>
          <w:trHeight w:val="29"/>
        </w:trPr>
        <w:tc>
          <w:tcPr>
            <w:tcW w:w="4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Norway</w:t>
            </w:r>
          </w:p>
        </w:tc>
        <w:tc>
          <w:tcPr>
            <w:tcW w:w="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13,264</w:t>
            </w:r>
          </w:p>
        </w:tc>
        <w:tc>
          <w:tcPr>
            <w:tcW w:w="2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54,853</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31,194</w:t>
            </w:r>
          </w:p>
        </w:tc>
        <w:tc>
          <w:tcPr>
            <w:tcW w:w="24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116,522</w:t>
            </w:r>
          </w:p>
        </w:tc>
      </w:tr>
      <w:tr>
        <w:trPr>
          <w:trHeight w:val="181"/>
        </w:trPr>
        <w:tc>
          <w:tcPr>
            <w:tcW w:w="4620" w:type="dxa"/>
            <w:vAlign w:val="bottom"/>
          </w:tcPr>
          <w:p>
            <w:pPr>
              <w:ind w:left="20"/>
              <w:spacing w:after="0"/>
              <w:rPr>
                <w:sz w:val="20"/>
                <w:szCs w:val="20"/>
                <w:color w:val="auto"/>
              </w:rPr>
            </w:pPr>
            <w:r>
              <w:rPr>
                <w:rFonts w:ascii="Arial" w:cs="Arial" w:eastAsia="Arial" w:hAnsi="Arial"/>
                <w:sz w:val="13"/>
                <w:szCs w:val="13"/>
                <w:color w:val="auto"/>
              </w:rPr>
              <w:t>Italy</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16,082</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28,226</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4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Denmark</w:t>
            </w:r>
          </w:p>
        </w:tc>
        <w:tc>
          <w:tcPr>
            <w:tcW w:w="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15,809</w:t>
            </w:r>
          </w:p>
        </w:tc>
        <w:tc>
          <w:tcPr>
            <w:tcW w:w="2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24,151</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28,009</w:t>
            </w:r>
          </w:p>
        </w:tc>
        <w:tc>
          <w:tcPr>
            <w:tcW w:w="24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38,928</w:t>
            </w:r>
          </w:p>
        </w:tc>
      </w:tr>
      <w:tr>
        <w:trPr>
          <w:trHeight w:val="181"/>
        </w:trPr>
        <w:tc>
          <w:tcPr>
            <w:tcW w:w="4620" w:type="dxa"/>
            <w:vAlign w:val="bottom"/>
          </w:tcPr>
          <w:p>
            <w:pPr>
              <w:ind w:left="20"/>
              <w:spacing w:after="0"/>
              <w:rPr>
                <w:sz w:val="20"/>
                <w:szCs w:val="20"/>
                <w:color w:val="auto"/>
              </w:rPr>
            </w:pPr>
            <w:r>
              <w:rPr>
                <w:rFonts w:ascii="Arial" w:cs="Arial" w:eastAsia="Arial" w:hAnsi="Arial"/>
                <w:sz w:val="13"/>
                <w:szCs w:val="13"/>
                <w:color w:val="auto"/>
              </w:rPr>
              <w:t>Finland</w:t>
            </w:r>
          </w:p>
        </w:tc>
        <w:tc>
          <w:tcPr>
            <w:tcW w:w="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11,446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11,716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24,283</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19,058</w:t>
            </w:r>
          </w:p>
        </w:tc>
      </w:tr>
      <w:tr>
        <w:trPr>
          <w:trHeight w:val="29"/>
        </w:trPr>
        <w:tc>
          <w:tcPr>
            <w:tcW w:w="4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0"/>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China</w:t>
            </w:r>
          </w:p>
        </w:tc>
        <w:tc>
          <w:tcPr>
            <w:tcW w:w="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10,795</w:t>
            </w:r>
          </w:p>
        </w:tc>
        <w:tc>
          <w:tcPr>
            <w:tcW w:w="2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27,491</w:t>
            </w: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18,447</w:t>
            </w:r>
          </w:p>
        </w:tc>
        <w:tc>
          <w:tcPr>
            <w:tcW w:w="24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31,643</w:t>
            </w:r>
          </w:p>
        </w:tc>
      </w:tr>
      <w:tr>
        <w:trPr>
          <w:trHeight w:val="210"/>
        </w:trPr>
        <w:tc>
          <w:tcPr>
            <w:tcW w:w="46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 regions</w:t>
            </w:r>
            <w:r>
              <w:rPr>
                <w:rFonts w:ascii="Arial" w:cs="Arial" w:eastAsia="Arial" w:hAnsi="Arial"/>
                <w:sz w:val="16"/>
                <w:szCs w:val="16"/>
                <w:color w:val="auto"/>
                <w:vertAlign w:val="superscript"/>
              </w:rPr>
              <w:t>1</w:t>
            </w: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58,407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59,293</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93,489</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80,485</w:t>
            </w:r>
          </w:p>
        </w:tc>
      </w:tr>
      <w:tr>
        <w:trPr>
          <w:trHeight w:val="179"/>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685,247</w:t>
            </w:r>
          </w:p>
        </w:tc>
        <w:tc>
          <w:tcPr>
            <w:tcW w:w="240" w:type="dxa"/>
            <w:vAlign w:val="bottom"/>
            <w:tcBorders>
              <w:bottom w:val="single" w:sz="8" w:color="DBDBDB"/>
            </w:tcBorders>
            <w:shd w:val="clear" w:color="auto" w:fill="DBDBDB"/>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589,070</w:t>
            </w:r>
          </w:p>
        </w:tc>
        <w:tc>
          <w:tcPr>
            <w:tcW w:w="10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1,231,265</w:t>
            </w:r>
          </w:p>
        </w:tc>
        <w:tc>
          <w:tcPr>
            <w:tcW w:w="240" w:type="dxa"/>
            <w:vAlign w:val="bottom"/>
            <w:tcBorders>
              <w:bottom w:val="single" w:sz="8" w:color="DBDBDB"/>
            </w:tcBorders>
            <w:shd w:val="clear" w:color="auto" w:fill="DBDBDB"/>
          </w:tcPr>
          <w:p>
            <w:pPr>
              <w:jc w:val="right"/>
              <w:ind w:right="7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1,041,297</w:t>
            </w:r>
          </w:p>
        </w:tc>
      </w:tr>
      <w:tr>
        <w:trPr>
          <w:trHeight w:val="20"/>
        </w:trPr>
        <w:tc>
          <w:tcPr>
            <w:tcW w:w="4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8"/>
          <w:szCs w:val="8"/>
          <w:color w:val="auto"/>
        </w:rPr>
        <w:t>1 - Other regions primarily consist of Austria, Korea, Spain and Switzerland in 2023. Other regions primarily consist of Korea, Switzerland and Austria in 2022.</w:t>
      </w:r>
    </w:p>
    <w:p>
      <w:pPr>
        <w:spacing w:after="0" w:line="83" w:lineRule="exact"/>
        <w:rPr>
          <w:sz w:val="20"/>
          <w:szCs w:val="20"/>
          <w:color w:val="auto"/>
        </w:rPr>
      </w:pPr>
    </w:p>
    <w:tbl>
      <w:tblPr>
        <w:tblLayout w:type="fixed"/>
        <w:tblInd w:w="480" w:type="dxa"/>
        <w:tblCellMar>
          <w:top w:w="0" w:type="dxa"/>
          <w:left w:w="0" w:type="dxa"/>
          <w:bottom w:w="0" w:type="dxa"/>
          <w:right w:w="0" w:type="dxa"/>
        </w:tblCellMar>
      </w:tblPr>
      <w:tr>
        <w:trPr>
          <w:trHeight w:val="159"/>
        </w:trPr>
        <w:tc>
          <w:tcPr>
            <w:tcW w:w="80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200" w:type="dxa"/>
            <w:vAlign w:val="bottom"/>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w w:val="92"/>
              </w:rPr>
              <w:t>As of December 31,</w:t>
            </w:r>
          </w:p>
        </w:tc>
      </w:tr>
      <w:tr>
        <w:trPr>
          <w:trHeight w:val="184"/>
        </w:trPr>
        <w:tc>
          <w:tcPr>
            <w:tcW w:w="8020" w:type="dxa"/>
            <w:vAlign w:val="bottom"/>
            <w:shd w:val="clear" w:color="auto" w:fill="DBDBDB"/>
          </w:tcPr>
          <w:p>
            <w:pPr>
              <w:spacing w:after="0"/>
              <w:rPr>
                <w:sz w:val="16"/>
                <w:szCs w:val="16"/>
                <w:color w:val="auto"/>
              </w:rPr>
            </w:pPr>
          </w:p>
        </w:tc>
        <w:tc>
          <w:tcPr>
            <w:tcW w:w="11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w w:val="89"/>
              </w:rPr>
              <w:t>As of June 30, 2023</w:t>
            </w:r>
          </w:p>
        </w:tc>
        <w:tc>
          <w:tcPr>
            <w:tcW w:w="30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190"/>
        </w:trPr>
        <w:tc>
          <w:tcPr>
            <w:tcW w:w="80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r>
              <w:rPr>
                <w:rFonts w:ascii="Arial" w:cs="Arial" w:eastAsia="Arial" w:hAnsi="Arial"/>
                <w:sz w:val="16"/>
                <w:szCs w:val="16"/>
                <w:b w:val="1"/>
                <w:bCs w:val="1"/>
                <w:color w:val="auto"/>
                <w:vertAlign w:val="superscript"/>
              </w:rPr>
              <w:t>2</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Sweden</w:t>
            </w:r>
          </w:p>
        </w:tc>
        <w:tc>
          <w:tcPr>
            <w:tcW w:w="32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1,224,294</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1,151,920</w:t>
            </w:r>
          </w:p>
        </w:tc>
      </w:tr>
      <w:tr>
        <w:trPr>
          <w:trHeight w:val="181"/>
        </w:trPr>
        <w:tc>
          <w:tcPr>
            <w:tcW w:w="8020" w:type="dxa"/>
            <w:vAlign w:val="bottom"/>
          </w:tcPr>
          <w:p>
            <w:pPr>
              <w:ind w:left="20"/>
              <w:spacing w:after="0"/>
              <w:rPr>
                <w:sz w:val="20"/>
                <w:szCs w:val="20"/>
                <w:color w:val="auto"/>
              </w:rPr>
            </w:pPr>
            <w:r>
              <w:rPr>
                <w:rFonts w:ascii="Arial" w:cs="Arial" w:eastAsia="Arial" w:hAnsi="Arial"/>
                <w:sz w:val="13"/>
                <w:szCs w:val="13"/>
                <w:color w:val="auto"/>
              </w:rPr>
              <w:t>China</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472,782</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474,301</w:t>
            </w:r>
          </w:p>
        </w:tc>
      </w:tr>
      <w:tr>
        <w:trPr>
          <w:trHeight w:val="29"/>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Germany</w:t>
            </w:r>
          </w:p>
        </w:tc>
        <w:tc>
          <w:tcPr>
            <w:tcW w:w="32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66,112</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36,747</w:t>
            </w:r>
          </w:p>
        </w:tc>
      </w:tr>
      <w:tr>
        <w:trPr>
          <w:trHeight w:val="181"/>
        </w:trPr>
        <w:tc>
          <w:tcPr>
            <w:tcW w:w="8020" w:type="dxa"/>
            <w:vAlign w:val="bottom"/>
          </w:tcPr>
          <w:p>
            <w:pPr>
              <w:ind w:left="20"/>
              <w:spacing w:after="0"/>
              <w:rPr>
                <w:sz w:val="20"/>
                <w:szCs w:val="20"/>
                <w:color w:val="auto"/>
              </w:rPr>
            </w:pPr>
            <w:r>
              <w:rPr>
                <w:rFonts w:ascii="Arial" w:cs="Arial" w:eastAsia="Arial" w:hAnsi="Arial"/>
                <w:sz w:val="13"/>
                <w:szCs w:val="13"/>
                <w:color w:val="auto"/>
              </w:rPr>
              <w:t>United Kingdom</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21,860</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22,777</w:t>
            </w:r>
          </w:p>
        </w:tc>
      </w:tr>
      <w:tr>
        <w:trPr>
          <w:trHeight w:val="29"/>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USA</w:t>
            </w:r>
          </w:p>
        </w:tc>
        <w:tc>
          <w:tcPr>
            <w:tcW w:w="32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10,064</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37,752</w:t>
            </w:r>
          </w:p>
        </w:tc>
      </w:tr>
      <w:tr>
        <w:trPr>
          <w:trHeight w:val="210"/>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Other regions</w:t>
            </w:r>
            <w:r>
              <w:rPr>
                <w:rFonts w:ascii="Arial" w:cs="Arial" w:eastAsia="Arial" w:hAnsi="Arial"/>
                <w:sz w:val="16"/>
                <w:szCs w:val="16"/>
                <w:color w:val="auto"/>
                <w:vertAlign w:val="superscript"/>
              </w:rPr>
              <w:t>3</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33,358</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28,532</w:t>
            </w:r>
          </w:p>
        </w:tc>
      </w:tr>
      <w:tr>
        <w:trPr>
          <w:trHeight w:val="179"/>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1,828,470</w:t>
            </w:r>
          </w:p>
        </w:tc>
        <w:tc>
          <w:tcPr>
            <w:tcW w:w="300" w:type="dxa"/>
            <w:vAlign w:val="bottom"/>
            <w:tcBorders>
              <w:bottom w:val="single" w:sz="8" w:color="DBDBDB"/>
            </w:tcBorders>
            <w:shd w:val="clear" w:color="auto" w:fill="DBDBDB"/>
          </w:tcPr>
          <w:p>
            <w:pPr>
              <w:jc w:val="right"/>
              <w:ind w:right="136"/>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1,752,029</w:t>
            </w:r>
          </w:p>
        </w:tc>
      </w:tr>
      <w:tr>
        <w:trPr>
          <w:trHeight w:val="20"/>
        </w:trPr>
        <w:tc>
          <w:tcPr>
            <w:tcW w:w="8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Arial" w:cs="Arial" w:eastAsia="Arial" w:hAnsi="Arial"/>
          <w:sz w:val="8"/>
          <w:szCs w:val="8"/>
          <w:color w:val="auto"/>
        </w:rPr>
        <w:t>2 - Non-current assets: excludes Deferred tax asset and Other investments.</w:t>
      </w:r>
    </w:p>
    <w:p>
      <w:pPr>
        <w:ind w:left="60"/>
        <w:spacing w:after="0"/>
        <w:rPr>
          <w:sz w:val="20"/>
          <w:szCs w:val="20"/>
          <w:color w:val="auto"/>
        </w:rPr>
      </w:pPr>
      <w:r>
        <w:rPr>
          <w:rFonts w:ascii="Arial" w:cs="Arial" w:eastAsia="Arial" w:hAnsi="Arial"/>
          <w:sz w:val="8"/>
          <w:szCs w:val="8"/>
          <w:color w:val="auto"/>
        </w:rPr>
        <w:t>3 - Other regions primarily consist of Switzerland, Belgium, Netherlands and Australia in 2023. Other regions primarily consist of Belgium, Switzerland and Australia in 2022.</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Restatement of certain comparative period items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Net loss per share for the six months ended June 30, 2022 has been restated to reflect the number of equivalent shares issued by the Parent to the Former Parent in connection with the merger with Gores Guggenheim, Inc.</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on June 23, 2022. The adjustment is based on the number of shares outstanding on the reporting date multiplied by the exchange ratio of 8.335.</w:t>
      </w:r>
    </w:p>
    <w:p>
      <w:pPr>
        <w:spacing w:after="0" w:line="50" w:lineRule="exact"/>
        <w:rPr>
          <w:sz w:val="20"/>
          <w:szCs w:val="20"/>
          <w:color w:val="auto"/>
        </w:rPr>
      </w:pPr>
    </w:p>
    <w:p>
      <w:pPr>
        <w:spacing w:after="0" w:line="228" w:lineRule="auto"/>
        <w:rPr>
          <w:sz w:val="20"/>
          <w:szCs w:val="20"/>
          <w:color w:val="auto"/>
        </w:rPr>
      </w:pPr>
      <w:r>
        <w:rPr>
          <w:rFonts w:ascii="Arial" w:cs="Arial" w:eastAsia="Arial" w:hAnsi="Arial"/>
          <w:sz w:val="13"/>
          <w:szCs w:val="13"/>
          <w:color w:val="auto"/>
        </w:rPr>
        <w:t xml:space="preserve">In the Unaudited Condensed Consolidated Statement of Changes in Equity as of June 30, 2022, the lines previously presented as </w:t>
      </w:r>
      <w:r>
        <w:rPr>
          <w:rFonts w:ascii="Arial" w:cs="Arial" w:eastAsia="Arial" w:hAnsi="Arial"/>
          <w:sz w:val="13"/>
          <w:szCs w:val="13"/>
          <w:i w:val="1"/>
          <w:iCs w:val="1"/>
          <w:color w:val="auto"/>
        </w:rPr>
        <w:t>Merger with Gores Guggenheim Inc.</w:t>
      </w:r>
      <w:r>
        <w:rPr>
          <w:rFonts w:ascii="Arial" w:cs="Arial" w:eastAsia="Arial" w:hAnsi="Arial"/>
          <w:sz w:val="13"/>
          <w:szCs w:val="13"/>
          <w:color w:val="auto"/>
        </w:rPr>
        <w:t xml:space="preserve"> and </w:t>
      </w:r>
      <w:r>
        <w:rPr>
          <w:rFonts w:ascii="Arial" w:cs="Arial" w:eastAsia="Arial" w:hAnsi="Arial"/>
          <w:sz w:val="13"/>
          <w:szCs w:val="13"/>
          <w:i w:val="1"/>
          <w:iCs w:val="1"/>
          <w:color w:val="auto"/>
        </w:rPr>
        <w:t>Changes in the consolidated group</w:t>
      </w:r>
      <w:r>
        <w:rPr>
          <w:rFonts w:ascii="Arial" w:cs="Arial" w:eastAsia="Arial" w:hAnsi="Arial"/>
          <w:sz w:val="13"/>
          <w:szCs w:val="13"/>
          <w:color w:val="auto"/>
        </w:rPr>
        <w:t xml:space="preserve"> amounting to an equity impact of $199,628 have been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19772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1"/>
          <w:szCs w:val="11"/>
          <w:color w:val="B6B6B6"/>
        </w:rPr>
        <w:t>Notes to the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color w:val="B6B6B6"/>
        </w:rPr>
        <w:t>(in thousands of U.S. dollars unless otherwise stated)</w:t>
      </w: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adjusted to present each individual item related to the merger that impacted equity, resulting in an aggregate restated equity impact of $199,564.</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policies</w:t>
      </w:r>
    </w:p>
    <w:p>
      <w:pPr>
        <w:spacing w:after="0" w:line="64" w:lineRule="exact"/>
        <w:rPr>
          <w:sz w:val="20"/>
          <w:szCs w:val="20"/>
          <w:color w:val="auto"/>
        </w:rPr>
      </w:pPr>
    </w:p>
    <w:p>
      <w:pPr>
        <w:jc w:val="both"/>
        <w:ind w:right="20"/>
        <w:spacing w:after="0" w:line="301" w:lineRule="auto"/>
        <w:rPr>
          <w:sz w:val="20"/>
          <w:szCs w:val="20"/>
          <w:color w:val="auto"/>
        </w:rPr>
      </w:pPr>
      <w:r>
        <w:rPr>
          <w:rFonts w:ascii="Arial" w:cs="Arial" w:eastAsia="Arial" w:hAnsi="Arial"/>
          <w:sz w:val="11"/>
          <w:szCs w:val="11"/>
          <w:color w:val="auto"/>
        </w:rPr>
        <w:t xml:space="preserve">Polestar Group continues to apply the same accounting policies, methods, estimates and judgements as described in </w:t>
      </w:r>
      <w:r>
        <w:rPr>
          <w:rFonts w:ascii="Arial" w:cs="Arial" w:eastAsia="Arial" w:hAnsi="Arial"/>
          <w:sz w:val="11"/>
          <w:szCs w:val="11"/>
          <w:i w:val="1"/>
          <w:iCs w:val="1"/>
          <w:color w:val="auto"/>
        </w:rPr>
        <w:t>Note 1 - Significant accounting policies and judgements</w:t>
      </w:r>
      <w:r>
        <w:rPr>
          <w:rFonts w:ascii="Arial" w:cs="Arial" w:eastAsia="Arial" w:hAnsi="Arial"/>
          <w:sz w:val="11"/>
          <w:szCs w:val="11"/>
          <w:color w:val="auto"/>
        </w:rPr>
        <w:t xml:space="preserve"> of the Consolidated Financial Statements for Polestar Automotive Holding UK PLC, as of December 31, 2022 and 2021, and for the three years ended December 31, 2022, that were included in the Form 20-F filed with the SEC on April 14, 2023.</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 and judgements</w:t>
      </w:r>
    </w:p>
    <w:p>
      <w:pPr>
        <w:spacing w:after="0" w:line="64" w:lineRule="exact"/>
        <w:rPr>
          <w:sz w:val="20"/>
          <w:szCs w:val="20"/>
          <w:color w:val="auto"/>
        </w:rPr>
      </w:pPr>
    </w:p>
    <w:p>
      <w:pPr>
        <w:jc w:val="both"/>
        <w:ind w:right="20"/>
        <w:spacing w:after="0" w:line="247" w:lineRule="auto"/>
        <w:rPr>
          <w:sz w:val="20"/>
          <w:szCs w:val="20"/>
          <w:color w:val="auto"/>
        </w:rPr>
      </w:pPr>
      <w:r>
        <w:rPr>
          <w:rFonts w:ascii="Arial" w:cs="Arial" w:eastAsia="Arial" w:hAnsi="Arial"/>
          <w:sz w:val="11"/>
          <w:szCs w:val="11"/>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in which the estimates are revised, and prospectively thereafter. Actual results could differ materially from those estimates using different assumptions or under different conditions.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Group did not have any events requiring the application of new critical estimates and judgements during the six months ended June 30, 2023.</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Earnings per share</w:t>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Basic earnings per share is calculated by dividing the net loss for the period by the weighted average number of Class A Shares and Class B Shares outstanding during the period. Diluted earnings per share is calculated by</w:t>
      </w:r>
    </w:p>
    <w:p>
      <w:pPr>
        <w:spacing w:after="0" w:line="17" w:lineRule="exact"/>
        <w:rPr>
          <w:sz w:val="20"/>
          <w:szCs w:val="20"/>
          <w:color w:val="auto"/>
        </w:rPr>
      </w:pPr>
    </w:p>
    <w:p>
      <w:pPr>
        <w:jc w:val="both"/>
        <w:ind w:right="20"/>
        <w:spacing w:after="0" w:line="241" w:lineRule="auto"/>
        <w:rPr>
          <w:sz w:val="20"/>
          <w:szCs w:val="20"/>
          <w:color w:val="auto"/>
        </w:rPr>
      </w:pPr>
      <w:r>
        <w:rPr>
          <w:rFonts w:ascii="Arial" w:cs="Arial" w:eastAsia="Arial" w:hAnsi="Arial"/>
          <w:sz w:val="11"/>
          <w:szCs w:val="11"/>
          <w:color w:val="auto"/>
        </w:rPr>
        <w:t>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w:t>
      </w:r>
    </w:p>
    <w:p>
      <w:pPr>
        <w:spacing w:after="0"/>
        <w:rPr>
          <w:sz w:val="20"/>
          <w:szCs w:val="20"/>
          <w:color w:val="auto"/>
        </w:rPr>
      </w:pPr>
      <w:r>
        <w:rPr>
          <w:rFonts w:ascii="Arial" w:cs="Arial" w:eastAsia="Arial" w:hAnsi="Arial"/>
          <w:sz w:val="13"/>
          <w:szCs w:val="13"/>
          <w:color w:val="auto"/>
        </w:rPr>
        <w:t>calculation of dilutive earnings per share.</w:t>
      </w:r>
    </w:p>
    <w:p>
      <w:pPr>
        <w:spacing w:after="0" w:line="41" w:lineRule="exact"/>
        <w:rPr>
          <w:sz w:val="20"/>
          <w:szCs w:val="20"/>
          <w:color w:val="auto"/>
        </w:rPr>
      </w:pPr>
    </w:p>
    <w:p>
      <w:pPr>
        <w:jc w:val="both"/>
        <w:ind w:right="20"/>
        <w:spacing w:after="0" w:line="301" w:lineRule="auto"/>
        <w:rPr>
          <w:sz w:val="20"/>
          <w:szCs w:val="20"/>
          <w:color w:val="auto"/>
        </w:rPr>
      </w:pPr>
      <w:r>
        <w:rPr>
          <w:rFonts w:ascii="Arial" w:cs="Arial" w:eastAsia="Arial" w:hAnsi="Arial"/>
          <w:sz w:val="11"/>
          <w:szCs w:val="11"/>
          <w:color w:val="auto"/>
        </w:rPr>
        <w:t>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Borders>
              <w:bottom w:val="single" w:sz="8" w:color="DBDBDB"/>
            </w:tcBorders>
            <w:shd w:val="clear" w:color="auto" w:fill="DBDBDB"/>
          </w:tcPr>
          <w:p>
            <w:pPr>
              <w:jc w:val="center"/>
              <w:ind w:left="636"/>
              <w:spacing w:after="0"/>
              <w:rPr>
                <w:sz w:val="20"/>
                <w:szCs w:val="20"/>
                <w:color w:val="auto"/>
              </w:rPr>
            </w:pPr>
            <w:r>
              <w:rPr>
                <w:rFonts w:ascii="Arial" w:cs="Arial" w:eastAsia="Arial" w:hAnsi="Arial"/>
                <w:sz w:val="13"/>
                <w:szCs w:val="13"/>
                <w:b w:val="1"/>
                <w:bCs w:val="1"/>
                <w:color w:val="auto"/>
                <w:w w:val="85"/>
              </w:rPr>
              <w:t>POS Class</w:t>
            </w:r>
          </w:p>
        </w:tc>
        <w:tc>
          <w:tcPr>
            <w:tcW w:w="6360" w:type="dxa"/>
            <w:vAlign w:val="bottom"/>
            <w:tcBorders>
              <w:bottom w:val="single" w:sz="8" w:color="DBDBDB"/>
            </w:tcBorders>
            <w:shd w:val="clear" w:color="auto" w:fill="DBDBDB"/>
          </w:tcPr>
          <w:p>
            <w:pPr>
              <w:jc w:val="center"/>
              <w:ind w:left="636"/>
              <w:spacing w:after="0"/>
              <w:rPr>
                <w:sz w:val="20"/>
                <w:szCs w:val="20"/>
                <w:color w:val="auto"/>
              </w:rPr>
            </w:pPr>
            <w:r>
              <w:rPr>
                <w:rFonts w:ascii="Arial" w:cs="Arial" w:eastAsia="Arial" w:hAnsi="Arial"/>
                <w:sz w:val="13"/>
                <w:szCs w:val="13"/>
                <w:b w:val="1"/>
                <w:bCs w:val="1"/>
                <w:color w:val="auto"/>
                <w:w w:val="91"/>
              </w:rPr>
              <w:t>EPIS Denominator Adjustment Method</w:t>
            </w:r>
          </w:p>
        </w:tc>
      </w:tr>
      <w:tr>
        <w:trPr>
          <w:trHeight w:val="210"/>
        </w:trPr>
        <w:tc>
          <w:tcPr>
            <w:tcW w:w="4940" w:type="dxa"/>
            <w:vAlign w:val="bottom"/>
          </w:tcPr>
          <w:p>
            <w:pPr>
              <w:jc w:val="center"/>
              <w:ind w:left="636"/>
              <w:spacing w:after="0"/>
              <w:rPr>
                <w:sz w:val="20"/>
                <w:szCs w:val="20"/>
                <w:color w:val="auto"/>
              </w:rPr>
            </w:pPr>
            <w:r>
              <w:rPr>
                <w:rFonts w:ascii="Arial" w:cs="Arial" w:eastAsia="Arial" w:hAnsi="Arial"/>
                <w:sz w:val="13"/>
                <w:szCs w:val="13"/>
                <w:color w:val="auto"/>
                <w:w w:val="87"/>
              </w:rPr>
              <w:t>Unvested equity-settled RSUs</w:t>
            </w:r>
          </w:p>
        </w:tc>
        <w:tc>
          <w:tcPr>
            <w:tcW w:w="6360" w:type="dxa"/>
            <w:vAlign w:val="bottom"/>
          </w:tcPr>
          <w:p>
            <w:pPr>
              <w:jc w:val="center"/>
              <w:ind w:left="636"/>
              <w:spacing w:after="0"/>
              <w:rPr>
                <w:sz w:val="20"/>
                <w:szCs w:val="20"/>
                <w:color w:val="auto"/>
              </w:rPr>
            </w:pPr>
            <w:r>
              <w:rPr>
                <w:rFonts w:ascii="Arial" w:cs="Arial" w:eastAsia="Arial" w:hAnsi="Arial"/>
                <w:sz w:val="13"/>
                <w:szCs w:val="13"/>
                <w:color w:val="auto"/>
                <w:w w:val="83"/>
              </w:rPr>
              <w:t>Treasury share</w:t>
            </w:r>
            <w:r>
              <w:rPr>
                <w:rFonts w:ascii="Arial" w:cs="Arial" w:eastAsia="Arial" w:hAnsi="Arial"/>
                <w:sz w:val="16"/>
                <w:szCs w:val="16"/>
                <w:color w:val="auto"/>
                <w:w w:val="83"/>
                <w:vertAlign w:val="superscript"/>
              </w:rPr>
              <w:t>1</w:t>
            </w:r>
          </w:p>
        </w:tc>
      </w:tr>
      <w:tr>
        <w:trPr>
          <w:trHeight w:val="190"/>
        </w:trPr>
        <w:tc>
          <w:tcPr>
            <w:tcW w:w="4940" w:type="dxa"/>
            <w:vAlign w:val="bottom"/>
            <w:tcBorders>
              <w:bottom w:val="single" w:sz="8" w:color="DBDBDB"/>
            </w:tcBorders>
            <w:shd w:val="clear" w:color="auto" w:fill="DBDBDB"/>
          </w:tcPr>
          <w:p>
            <w:pPr>
              <w:jc w:val="center"/>
              <w:ind w:left="636"/>
              <w:spacing w:after="0"/>
              <w:rPr>
                <w:sz w:val="20"/>
                <w:szCs w:val="20"/>
                <w:color w:val="auto"/>
              </w:rPr>
            </w:pPr>
            <w:r>
              <w:rPr>
                <w:rFonts w:ascii="Arial" w:cs="Arial" w:eastAsia="Arial" w:hAnsi="Arial"/>
                <w:sz w:val="13"/>
                <w:szCs w:val="13"/>
                <w:color w:val="auto"/>
                <w:w w:val="84"/>
              </w:rPr>
              <w:t>Class C Shares</w:t>
            </w:r>
          </w:p>
        </w:tc>
        <w:tc>
          <w:tcPr>
            <w:tcW w:w="6360" w:type="dxa"/>
            <w:vAlign w:val="bottom"/>
            <w:tcBorders>
              <w:bottom w:val="single" w:sz="8" w:color="DBDBDB"/>
            </w:tcBorders>
            <w:shd w:val="clear" w:color="auto" w:fill="DBDBDB"/>
          </w:tcPr>
          <w:p>
            <w:pPr>
              <w:jc w:val="center"/>
              <w:ind w:left="636"/>
              <w:spacing w:after="0"/>
              <w:rPr>
                <w:sz w:val="20"/>
                <w:szCs w:val="20"/>
                <w:color w:val="auto"/>
              </w:rPr>
            </w:pPr>
            <w:r>
              <w:rPr>
                <w:rFonts w:ascii="Arial" w:cs="Arial" w:eastAsia="Arial" w:hAnsi="Arial"/>
                <w:sz w:val="13"/>
                <w:szCs w:val="13"/>
                <w:color w:val="auto"/>
                <w:w w:val="84"/>
              </w:rPr>
              <w:t>Treasury share</w:t>
            </w:r>
          </w:p>
        </w:tc>
      </w:tr>
      <w:tr>
        <w:trPr>
          <w:trHeight w:val="181"/>
        </w:trPr>
        <w:tc>
          <w:tcPr>
            <w:tcW w:w="4940" w:type="dxa"/>
            <w:vAlign w:val="bottom"/>
          </w:tcPr>
          <w:p>
            <w:pPr>
              <w:jc w:val="center"/>
              <w:ind w:left="656"/>
              <w:spacing w:after="0"/>
              <w:rPr>
                <w:sz w:val="20"/>
                <w:szCs w:val="20"/>
                <w:color w:val="auto"/>
              </w:rPr>
            </w:pPr>
            <w:r>
              <w:rPr>
                <w:rFonts w:ascii="Arial" w:cs="Arial" w:eastAsia="Arial" w:hAnsi="Arial"/>
                <w:sz w:val="13"/>
                <w:szCs w:val="13"/>
                <w:color w:val="auto"/>
                <w:w w:val="88"/>
              </w:rPr>
              <w:t>Earn-out rights and PSUs</w:t>
            </w:r>
          </w:p>
        </w:tc>
        <w:tc>
          <w:tcPr>
            <w:tcW w:w="6360" w:type="dxa"/>
            <w:vAlign w:val="bottom"/>
          </w:tcPr>
          <w:p>
            <w:pPr>
              <w:jc w:val="center"/>
              <w:ind w:left="636"/>
              <w:spacing w:after="0"/>
              <w:rPr>
                <w:sz w:val="20"/>
                <w:szCs w:val="20"/>
                <w:color w:val="auto"/>
              </w:rPr>
            </w:pPr>
            <w:r>
              <w:rPr>
                <w:rFonts w:ascii="Arial" w:cs="Arial" w:eastAsia="Arial" w:hAnsi="Arial"/>
                <w:sz w:val="13"/>
                <w:szCs w:val="13"/>
                <w:color w:val="auto"/>
                <w:w w:val="87"/>
              </w:rPr>
              <w:t>The number of shares issuable if the reporting date were the end of the contingency period</w:t>
            </w:r>
          </w:p>
        </w:tc>
      </w:tr>
      <w:tr>
        <w:trPr>
          <w:trHeight w:val="29"/>
        </w:trPr>
        <w:tc>
          <w:tcPr>
            <w:tcW w:w="4940" w:type="dxa"/>
            <w:vAlign w:val="bottom"/>
          </w:tcPr>
          <w:p>
            <w:pPr>
              <w:spacing w:after="0"/>
              <w:rPr>
                <w:sz w:val="2"/>
                <w:szCs w:val="2"/>
                <w:color w:val="auto"/>
              </w:rPr>
            </w:pPr>
          </w:p>
        </w:tc>
        <w:tc>
          <w:tcPr>
            <w:tcW w:w="6360" w:type="dxa"/>
            <w:vAlign w:val="bottom"/>
          </w:tcPr>
          <w:p>
            <w:pPr>
              <w:spacing w:after="0"/>
              <w:rPr>
                <w:sz w:val="2"/>
                <w:szCs w:val="2"/>
                <w:color w:val="auto"/>
              </w:rPr>
            </w:pPr>
          </w:p>
        </w:tc>
      </w:tr>
      <w:tr>
        <w:trPr>
          <w:trHeight w:val="190"/>
        </w:trPr>
        <w:tc>
          <w:tcPr>
            <w:tcW w:w="4940" w:type="dxa"/>
            <w:vAlign w:val="bottom"/>
            <w:tcBorders>
              <w:bottom w:val="single" w:sz="8" w:color="DBDBDB"/>
            </w:tcBorders>
            <w:shd w:val="clear" w:color="auto" w:fill="DBDBDB"/>
          </w:tcPr>
          <w:p>
            <w:pPr>
              <w:jc w:val="center"/>
              <w:ind w:left="636"/>
              <w:spacing w:after="0"/>
              <w:rPr>
                <w:sz w:val="20"/>
                <w:szCs w:val="20"/>
                <w:color w:val="auto"/>
              </w:rPr>
            </w:pPr>
            <w:r>
              <w:rPr>
                <w:rFonts w:ascii="Arial" w:cs="Arial" w:eastAsia="Arial" w:hAnsi="Arial"/>
                <w:sz w:val="13"/>
                <w:szCs w:val="13"/>
                <w:color w:val="auto"/>
                <w:w w:val="89"/>
              </w:rPr>
              <w:t>Convertible Notes</w:t>
            </w:r>
          </w:p>
        </w:tc>
        <w:tc>
          <w:tcPr>
            <w:tcW w:w="6360" w:type="dxa"/>
            <w:vAlign w:val="bottom"/>
            <w:tcBorders>
              <w:bottom w:val="single" w:sz="8" w:color="DBDBDB"/>
            </w:tcBorders>
            <w:shd w:val="clear" w:color="auto" w:fill="DBDBDB"/>
          </w:tcPr>
          <w:p>
            <w:pPr>
              <w:jc w:val="center"/>
              <w:ind w:left="636"/>
              <w:spacing w:after="0"/>
              <w:rPr>
                <w:sz w:val="20"/>
                <w:szCs w:val="20"/>
                <w:color w:val="auto"/>
              </w:rPr>
            </w:pPr>
            <w:r>
              <w:rPr>
                <w:rFonts w:ascii="Arial" w:cs="Arial" w:eastAsia="Arial" w:hAnsi="Arial"/>
                <w:sz w:val="13"/>
                <w:szCs w:val="13"/>
                <w:color w:val="auto"/>
                <w:w w:val="87"/>
              </w:rPr>
              <w:t>The number of shares issued assuming conversion occurred at the beginning of the reporting period</w:t>
            </w:r>
          </w:p>
        </w:tc>
      </w:tr>
      <w:tr>
        <w:trPr>
          <w:trHeight w:val="181"/>
        </w:trPr>
        <w:tc>
          <w:tcPr>
            <w:tcW w:w="4940" w:type="dxa"/>
            <w:vAlign w:val="bottom"/>
          </w:tcPr>
          <w:p>
            <w:pPr>
              <w:jc w:val="center"/>
              <w:ind w:left="656"/>
              <w:spacing w:after="0"/>
              <w:rPr>
                <w:sz w:val="20"/>
                <w:szCs w:val="20"/>
                <w:color w:val="auto"/>
              </w:rPr>
            </w:pPr>
            <w:r>
              <w:rPr>
                <w:rFonts w:ascii="Arial" w:cs="Arial" w:eastAsia="Arial" w:hAnsi="Arial"/>
                <w:sz w:val="13"/>
                <w:szCs w:val="13"/>
                <w:color w:val="auto"/>
                <w:w w:val="91"/>
              </w:rPr>
              <w:t>Convertible Credit Facility with Volvo Cars</w:t>
            </w:r>
          </w:p>
        </w:tc>
        <w:tc>
          <w:tcPr>
            <w:tcW w:w="6360" w:type="dxa"/>
            <w:vAlign w:val="bottom"/>
          </w:tcPr>
          <w:p>
            <w:pPr>
              <w:jc w:val="center"/>
              <w:ind w:left="636"/>
              <w:spacing w:after="0"/>
              <w:rPr>
                <w:sz w:val="20"/>
                <w:szCs w:val="20"/>
                <w:color w:val="auto"/>
              </w:rPr>
            </w:pPr>
            <w:r>
              <w:rPr>
                <w:rFonts w:ascii="Arial" w:cs="Arial" w:eastAsia="Arial" w:hAnsi="Arial"/>
                <w:sz w:val="13"/>
                <w:szCs w:val="13"/>
                <w:color w:val="auto"/>
                <w:w w:val="87"/>
              </w:rPr>
              <w:t>If the instrument is converted, the number of shares issued on the date of the conversion</w:t>
            </w:r>
          </w:p>
        </w:tc>
      </w:tr>
    </w:tbl>
    <w:p>
      <w:pPr>
        <w:spacing w:after="0" w:line="92" w:lineRule="exact"/>
        <w:rPr>
          <w:sz w:val="20"/>
          <w:szCs w:val="20"/>
          <w:color w:val="auto"/>
        </w:rPr>
      </w:pPr>
    </w:p>
    <w:p>
      <w:pPr>
        <w:jc w:val="both"/>
        <w:ind w:right="20"/>
        <w:spacing w:after="0" w:line="253" w:lineRule="auto"/>
        <w:rPr>
          <w:sz w:val="20"/>
          <w:szCs w:val="20"/>
          <w:color w:val="auto"/>
        </w:rPr>
      </w:pPr>
      <w:r>
        <w:rPr>
          <w:rFonts w:ascii="Arial" w:cs="Arial" w:eastAsia="Arial" w:hAnsi="Arial"/>
          <w:sz w:val="8"/>
          <w:szCs w:val="8"/>
          <w:color w:val="auto"/>
        </w:rPr>
        <w:t xml:space="preserve">1 - The treasury share method prescribed by IAS 33, </w:t>
      </w:r>
      <w:r>
        <w:rPr>
          <w:rFonts w:ascii="Arial" w:cs="Arial" w:eastAsia="Arial" w:hAnsi="Arial"/>
          <w:sz w:val="8"/>
          <w:szCs w:val="8"/>
          <w:i w:val="1"/>
          <w:iCs w:val="1"/>
          <w:color w:val="auto"/>
        </w:rPr>
        <w:t>Earnings Per Share</w:t>
      </w:r>
      <w:r>
        <w:rPr>
          <w:rFonts w:ascii="Arial" w:cs="Arial" w:eastAsia="Arial" w:hAnsi="Arial"/>
          <w:sz w:val="8"/>
          <w:szCs w:val="8"/>
          <w:color w:val="auto"/>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measurement</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Valuation methodology for the fair value of the financial liability related to the Class C-2 Shares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The Class C-2 Shares represents a derivative financial instrument that is carried at fair value through profit and loss (“FVTPL”) by reference to Level 2 measurement inputs because an observable price for the Class C-1</w:t>
      </w:r>
    </w:p>
    <w:p>
      <w:pPr>
        <w:spacing w:after="0" w:line="17" w:lineRule="exact"/>
        <w:rPr>
          <w:sz w:val="20"/>
          <w:szCs w:val="20"/>
          <w:color w:val="auto"/>
        </w:rPr>
      </w:pPr>
    </w:p>
    <w:p>
      <w:pPr>
        <w:jc w:val="both"/>
        <w:ind w:right="20"/>
        <w:spacing w:after="0" w:line="241" w:lineRule="auto"/>
        <w:rPr>
          <w:sz w:val="20"/>
          <w:szCs w:val="20"/>
          <w:color w:val="auto"/>
        </w:rPr>
      </w:pPr>
      <w:r>
        <w:rPr>
          <w:rFonts w:ascii="Arial" w:cs="Arial" w:eastAsia="Arial" w:hAnsi="Arial"/>
          <w:sz w:val="11"/>
          <w:szCs w:val="11"/>
          <w:color w:val="auto"/>
        </w:rPr>
        <w:t>Shares, which are almost identical instruments, is available in the active market. Class C Shares are presented in current liabilities within the Unaudited Condensed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w:t>
      </w:r>
    </w:p>
    <w:p>
      <w:pPr>
        <w:jc w:val="both"/>
        <w:spacing w:after="0" w:line="241" w:lineRule="auto"/>
        <w:rPr>
          <w:sz w:val="20"/>
          <w:szCs w:val="20"/>
          <w:color w:val="auto"/>
        </w:rPr>
      </w:pPr>
      <w:r>
        <w:rPr>
          <w:rFonts w:ascii="Arial" w:cs="Arial" w:eastAsia="Arial" w:hAnsi="Arial"/>
          <w:sz w:val="11"/>
          <w:szCs w:val="11"/>
          <w:color w:val="auto"/>
        </w:rPr>
        <w:t>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June 30, 2023, the fair value of the Class C-2 Shares was determined to equal $3,105 by leveraging the closing price of the Class C-1 Shares on the Nasdaq of $0.69 per share, an implied volatility of 94%, a risk-free rate of 4.27%, a dividend yield of 0%, and a 1,000 time-steps for the binomial lattice option pricing model.</w:t>
      </w:r>
    </w:p>
    <w:p>
      <w:pPr>
        <w:spacing w:after="0"/>
        <w:rPr>
          <w:sz w:val="20"/>
          <w:szCs w:val="20"/>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8 - Reverse recapitalization</w:t>
      </w:r>
      <w:r>
        <w:rPr>
          <w:rFonts w:ascii="Arial" w:cs="Arial" w:eastAsia="Arial" w:hAnsi="Arial"/>
          <w:sz w:val="13"/>
          <w:szCs w:val="13"/>
          <w:color w:val="auto"/>
        </w:rPr>
        <w:t xml:space="preserve"> for more detail on the Class C-2 Shares.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Valuation methodology for the fair value of the financial liability related to the Former Parent’s contingent earn-out rights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The Former Parent’s contingent earn-out right represents a derivative financial instrument that is carried at FVTPL by reference to Level 3 measurement inputs because a quoted or observable price for the instrument or an</w:t>
      </w:r>
    </w:p>
    <w:p>
      <w:pPr>
        <w:spacing w:after="0" w:line="17" w:lineRule="exact"/>
        <w:rPr>
          <w:sz w:val="20"/>
          <w:szCs w:val="20"/>
          <w:color w:val="auto"/>
        </w:rPr>
      </w:pPr>
    </w:p>
    <w:p>
      <w:pPr>
        <w:jc w:val="both"/>
        <w:ind w:right="20"/>
        <w:spacing w:after="0" w:line="282" w:lineRule="auto"/>
        <w:rPr>
          <w:sz w:val="20"/>
          <w:szCs w:val="20"/>
          <w:color w:val="auto"/>
        </w:rPr>
      </w:pPr>
      <w:r>
        <w:rPr>
          <w:rFonts w:ascii="Arial" w:cs="Arial" w:eastAsia="Arial" w:hAnsi="Arial"/>
          <w:sz w:val="11"/>
          <w:szCs w:val="11"/>
          <w:color w:val="auto"/>
        </w:rPr>
        <w:t>identical instrument is not available in active markets. The earn-out liability is presented in non-current liabilities within the Unaudited Condensed Consolidated Statement of Financial Position to align with the expected timing of the underlying earn-out payments. The fair value of the earn-out is determined using a Monte Carlo simulation that incorporates a term of 4.48 years, the five earn-out tranches, and the probability of the Class 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19772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1"/>
          <w:szCs w:val="11"/>
          <w:color w:val="B6B6B6"/>
        </w:rPr>
        <w:t>Notes to the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color w:val="B6B6B6"/>
        </w:rPr>
        <w:t>(in thousands of U.S. dollars unless otherwise stated)</w:t>
      </w:r>
    </w:p>
    <w:p>
      <w:pPr>
        <w:spacing w:after="0" w:line="195"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Shares in ListCo reaching certain daily volume weighted average prices during the earn-out period resulting in the issuance of each tranche of Class A Shares and Class B Shares in ListCo to the Former Parent. As of June 30, 2023, the fair value of the earn-out was determined to equal $365,575 by leveraging an implied volatility of 75% and a risk-free rate of 4.18%. The implied volatility represents the most significant unobservable</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13"/>
          <w:szCs w:val="13"/>
          <w:color w:val="auto"/>
        </w:rPr>
        <w:t xml:space="preserve">input utilized in this Level 3 valuation technique. The calculated fair value would increase (decrease) if the implied volatility were higher (lower). Refer to </w:t>
      </w:r>
      <w:r>
        <w:rPr>
          <w:rFonts w:ascii="Arial" w:cs="Arial" w:eastAsia="Arial" w:hAnsi="Arial"/>
          <w:sz w:val="13"/>
          <w:szCs w:val="13"/>
          <w:i w:val="1"/>
          <w:iCs w:val="1"/>
          <w:color w:val="auto"/>
        </w:rPr>
        <w:t>Note 8 - Reverse recapitalization</w:t>
      </w:r>
      <w:r>
        <w:rPr>
          <w:rFonts w:ascii="Arial" w:cs="Arial" w:eastAsia="Arial" w:hAnsi="Arial"/>
          <w:sz w:val="13"/>
          <w:szCs w:val="13"/>
          <w:color w:val="auto"/>
        </w:rPr>
        <w:t xml:space="preserve"> for more detail on the Former Parent’s earn-out rights.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Valuation methodology for the fair value of RSUs and PSUs granted to employees under the 2022 Omnibus Incentive Plan</w:t>
      </w:r>
    </w:p>
    <w:p>
      <w:pPr>
        <w:spacing w:after="0" w:line="60" w:lineRule="exact"/>
        <w:rPr>
          <w:sz w:val="20"/>
          <w:szCs w:val="20"/>
          <w:color w:val="auto"/>
        </w:rPr>
      </w:pPr>
    </w:p>
    <w:p>
      <w:pPr>
        <w:jc w:val="both"/>
        <w:spacing w:after="0" w:line="247" w:lineRule="auto"/>
        <w:rPr>
          <w:sz w:val="20"/>
          <w:szCs w:val="20"/>
          <w:color w:val="auto"/>
        </w:rPr>
      </w:pPr>
      <w:r>
        <w:rPr>
          <w:rFonts w:ascii="Arial" w:cs="Arial" w:eastAsia="Arial" w:hAnsi="Arial"/>
          <w:sz w:val="11"/>
          <w:szCs w:val="11"/>
          <w:color w:val="auto"/>
        </w:rPr>
        <w:t>The fair value of the RSUs granted April 3, 2023 was determined by reference to the Group’s closing share price of $3.79 on the business day immediately preceding the grant date (i.e., $3.79 per RSU). The fair value of PSUs granted was determined by calculating the weighted-average fair value of the 368,732 units linked to market-based vesting conditions and the 1,106,195 units linked to non-market-based vesting conditions. The units linked to non-market-based vesting conditions were fair valued by reference to the Group’s closing share price of $3.79 on the business day immediately preceding the grant date (i.e., $3.79 per unit). The units linked to</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w:t>
      </w:r>
    </w:p>
    <w:p>
      <w:pPr>
        <w:jc w:val="both"/>
        <w:ind w:right="20"/>
        <w:spacing w:after="0" w:line="213" w:lineRule="auto"/>
        <w:rPr>
          <w:sz w:val="20"/>
          <w:szCs w:val="20"/>
          <w:color w:val="auto"/>
        </w:rPr>
      </w:pPr>
      <w:r>
        <w:rPr>
          <w:rFonts w:ascii="Arial" w:cs="Arial" w:eastAsia="Arial" w:hAnsi="Arial"/>
          <w:sz w:val="13"/>
          <w:szCs w:val="13"/>
          <w:color w:val="auto"/>
        </w:rPr>
        <w:t xml:space="preserve">The fair value per unit of the units linked to market-based vesting conditions was determined to be $3.33 by leveraging an implied volatility of 75%, a peer group historical average volatility of 63.5%, a risk-free rate of 3.8%, a simulation term of 2.7 years, a dividend yield of 0%, and 100,000 simulation iterations. As such, the weighted-average fair value per PSU was calculated to be $3.68. Refer to </w:t>
      </w:r>
      <w:r>
        <w:rPr>
          <w:rFonts w:ascii="Arial" w:cs="Arial" w:eastAsia="Arial" w:hAnsi="Arial"/>
          <w:sz w:val="13"/>
          <w:szCs w:val="13"/>
          <w:i w:val="1"/>
          <w:iCs w:val="1"/>
          <w:color w:val="auto"/>
        </w:rPr>
        <w:t>Note 3 - Share-based payment</w:t>
      </w:r>
      <w:r>
        <w:rPr>
          <w:rFonts w:ascii="Arial" w:cs="Arial" w:eastAsia="Arial" w:hAnsi="Arial"/>
          <w:sz w:val="13"/>
          <w:szCs w:val="13"/>
          <w:color w:val="auto"/>
        </w:rPr>
        <w:t xml:space="preserve"> for more detail on the 2022 Omnibus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Revenue</w:t>
      </w:r>
    </w:p>
    <w:p>
      <w:pPr>
        <w:spacing w:after="0" w:line="55" w:lineRule="exact"/>
        <w:rPr>
          <w:sz w:val="20"/>
          <w:szCs w:val="20"/>
          <w:color w:val="auto"/>
        </w:rPr>
      </w:pPr>
    </w:p>
    <w:p>
      <w:pPr>
        <w:jc w:val="both"/>
        <w:ind w:right="40"/>
        <w:spacing w:after="0" w:line="228" w:lineRule="auto"/>
        <w:rPr>
          <w:sz w:val="20"/>
          <w:szCs w:val="20"/>
          <w:color w:val="auto"/>
        </w:rPr>
      </w:pPr>
      <w:r>
        <w:rPr>
          <w:rFonts w:ascii="Arial" w:cs="Arial" w:eastAsia="Arial" w:hAnsi="Arial"/>
          <w:sz w:val="13"/>
          <w:szCs w:val="13"/>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55245</wp:posOffset>
            </wp:positionV>
            <wp:extent cx="6561455" cy="121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1455" cy="121285"/>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p>
      <w:pPr>
        <w:spacing w:after="0" w:line="93" w:lineRule="exact"/>
        <w:rPr>
          <w:sz w:val="20"/>
          <w:szCs w:val="20"/>
          <w:color w:val="auto"/>
        </w:rPr>
      </w:pPr>
    </w:p>
    <w:p>
      <w:pPr>
        <w:jc w:val="center"/>
        <w:ind w:left="6240"/>
        <w:spacing w:after="0"/>
        <w:rPr>
          <w:sz w:val="20"/>
          <w:szCs w:val="20"/>
          <w:color w:val="auto"/>
        </w:rPr>
      </w:pPr>
      <w:r>
        <w:rPr>
          <w:rFonts w:ascii="Arial" w:cs="Arial" w:eastAsia="Arial" w:hAnsi="Arial"/>
          <w:sz w:val="11"/>
          <w:szCs w:val="11"/>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36830</wp:posOffset>
            </wp:positionV>
            <wp:extent cx="146494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4945" cy="6350"/>
                    </a:xfrm>
                    <a:prstGeom prst="rect">
                      <a:avLst/>
                    </a:prstGeom>
                    <a:noFill/>
                  </pic:spPr>
                </pic:pic>
              </a:graphicData>
            </a:graphic>
          </wp:anchor>
        </w:drawing>
      </w:r>
    </w:p>
    <w:p>
      <w:pPr>
        <w:spacing w:after="0" w:line="54" w:lineRule="exact"/>
        <w:rPr>
          <w:sz w:val="20"/>
          <w:szCs w:val="20"/>
          <w:color w:val="auto"/>
        </w:rPr>
      </w:pPr>
    </w:p>
    <w:p>
      <w:pPr>
        <w:ind w:left="6540"/>
        <w:spacing w:after="0"/>
        <w:tabs>
          <w:tab w:leader="none" w:pos="766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center"/>
        <w:ind w:right="72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36830</wp:posOffset>
            </wp:positionV>
            <wp:extent cx="146494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4945" cy="6350"/>
                    </a:xfrm>
                    <a:prstGeom prst="rect">
                      <a:avLst/>
                    </a:prstGeom>
                    <a:noFill/>
                  </pic:spPr>
                </pic:pic>
              </a:graphicData>
            </a:graphic>
          </wp:anchor>
        </w:drawing>
      </w:r>
    </w:p>
    <w:p>
      <w:pPr>
        <w:spacing w:after="0" w:line="54"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16" w:lineRule="exact"/>
        <w:rPr>
          <w:sz w:val="20"/>
          <w:szCs w:val="20"/>
          <w:color w:val="auto"/>
        </w:rPr>
      </w:pPr>
    </w:p>
    <w:p>
      <w:pPr>
        <w:sectPr>
          <w:pgSz w:w="11900" w:h="16838" w:orient="portrait"/>
          <w:cols w:equalWidth="0" w:num="2">
            <w:col w:w="8220" w:space="520"/>
            <w:col w:w="2560"/>
          </w:cols>
          <w:pgMar w:left="300" w:top="124" w:right="299" w:bottom="1440" w:gutter="0" w:footer="0" w:header="0"/>
          <w:type w:val="continuous"/>
        </w:sectPr>
      </w:pPr>
    </w:p>
    <w:tbl>
      <w:tblPr>
        <w:tblLayout w:type="fixed"/>
        <w:tblInd w:w="480" w:type="dxa"/>
        <w:tblCellMar>
          <w:top w:w="0" w:type="dxa"/>
          <w:left w:w="0" w:type="dxa"/>
          <w:bottom w:w="0" w:type="dxa"/>
          <w:right w:w="0" w:type="dxa"/>
        </w:tblCellMar>
      </w:tblPr>
      <w:tr>
        <w:trPr>
          <w:trHeight w:val="218"/>
        </w:trPr>
        <w:tc>
          <w:tcPr>
            <w:tcW w:w="56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Sales of vehicles</w:t>
            </w:r>
            <w:r>
              <w:rPr>
                <w:rFonts w:ascii="Arial" w:cs="Arial" w:eastAsia="Arial" w:hAnsi="Arial"/>
                <w:sz w:val="16"/>
                <w:szCs w:val="16"/>
                <w:color w:val="auto"/>
                <w:vertAlign w:val="superscript"/>
              </w:rPr>
              <w:t>1</w:t>
            </w:r>
          </w:p>
        </w:tc>
        <w:tc>
          <w:tcPr>
            <w:tcW w:w="380" w:type="dxa"/>
            <w:vAlign w:val="bottom"/>
            <w:tcBorders>
              <w:top w:val="single" w:sz="8" w:color="auto"/>
            </w:tcBorders>
            <w:shd w:val="clear" w:color="auto" w:fill="DBDBDB"/>
          </w:tcPr>
          <w:p>
            <w:pPr>
              <w:spacing w:after="0"/>
              <w:rPr>
                <w:sz w:val="18"/>
                <w:szCs w:val="18"/>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669,241</w:t>
            </w:r>
          </w:p>
        </w:tc>
        <w:tc>
          <w:tcPr>
            <w:tcW w:w="400" w:type="dxa"/>
            <w:vAlign w:val="bottom"/>
            <w:tcBorders>
              <w:top w:val="single" w:sz="8" w:color="auto"/>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578,398</w:t>
            </w: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1,198,973</w:t>
            </w:r>
          </w:p>
        </w:tc>
        <w:tc>
          <w:tcPr>
            <w:tcW w:w="360" w:type="dxa"/>
            <w:vAlign w:val="bottom"/>
            <w:tcBorders>
              <w:top w:val="single" w:sz="8" w:color="auto"/>
            </w:tcBorders>
            <w:shd w:val="clear" w:color="auto" w:fill="DBDBDB"/>
          </w:tcPr>
          <w:p>
            <w:pPr>
              <w:spacing w:after="0"/>
              <w:rPr>
                <w:sz w:val="18"/>
                <w:szCs w:val="18"/>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1,016,817</w:t>
            </w:r>
          </w:p>
        </w:tc>
      </w:tr>
      <w:tr>
        <w:trPr>
          <w:trHeight w:val="181"/>
        </w:trPr>
        <w:tc>
          <w:tcPr>
            <w:tcW w:w="5600" w:type="dxa"/>
            <w:vAlign w:val="bottom"/>
          </w:tcPr>
          <w:p>
            <w:pPr>
              <w:ind w:left="20"/>
              <w:spacing w:after="0"/>
              <w:rPr>
                <w:sz w:val="20"/>
                <w:szCs w:val="20"/>
                <w:color w:val="auto"/>
              </w:rPr>
            </w:pPr>
            <w:r>
              <w:rPr>
                <w:rFonts w:ascii="Arial" w:cs="Arial" w:eastAsia="Arial" w:hAnsi="Arial"/>
                <w:sz w:val="13"/>
                <w:szCs w:val="13"/>
                <w:color w:val="auto"/>
              </w:rPr>
              <w:t>Sales of software and performance engineered kits</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5,686</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12,440</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10,862</w:t>
            </w:r>
          </w:p>
        </w:tc>
      </w:tr>
      <w:tr>
        <w:trPr>
          <w:trHeight w:val="29"/>
        </w:trPr>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5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Sales of carbon credits</w:t>
            </w:r>
          </w:p>
        </w:tc>
        <w:tc>
          <w:tcPr>
            <w:tcW w:w="38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532</w:t>
            </w:r>
          </w:p>
        </w:tc>
        <w:tc>
          <w:tcPr>
            <w:tcW w:w="4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532</w:t>
            </w:r>
          </w:p>
        </w:tc>
        <w:tc>
          <w:tcPr>
            <w:tcW w:w="3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1,313</w:t>
            </w:r>
          </w:p>
        </w:tc>
      </w:tr>
      <w:tr>
        <w:trPr>
          <w:trHeight w:val="181"/>
        </w:trPr>
        <w:tc>
          <w:tcPr>
            <w:tcW w:w="5600" w:type="dxa"/>
            <w:vAlign w:val="bottom"/>
          </w:tcPr>
          <w:p>
            <w:pPr>
              <w:ind w:left="20"/>
              <w:spacing w:after="0"/>
              <w:rPr>
                <w:sz w:val="20"/>
                <w:szCs w:val="20"/>
                <w:color w:val="auto"/>
              </w:rPr>
            </w:pPr>
            <w:r>
              <w:rPr>
                <w:rFonts w:ascii="Arial" w:cs="Arial" w:eastAsia="Arial" w:hAnsi="Arial"/>
                <w:sz w:val="13"/>
                <w:szCs w:val="13"/>
                <w:color w:val="auto"/>
              </w:rPr>
              <w:t>Vehicle leasing revenue</w:t>
            </w: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3,287</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3,060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7,493</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7,934</w:t>
            </w:r>
          </w:p>
        </w:tc>
      </w:tr>
      <w:tr>
        <w:trPr>
          <w:trHeight w:val="29"/>
        </w:trPr>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0"/>
        </w:trPr>
        <w:tc>
          <w:tcPr>
            <w:tcW w:w="5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Other revenue</w:t>
            </w:r>
          </w:p>
        </w:tc>
        <w:tc>
          <w:tcPr>
            <w:tcW w:w="3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6,501</w:t>
            </w:r>
          </w:p>
        </w:tc>
        <w:tc>
          <w:tcPr>
            <w:tcW w:w="4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1,134</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11,827</w:t>
            </w:r>
          </w:p>
        </w:tc>
        <w:tc>
          <w:tcPr>
            <w:tcW w:w="36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4,371</w:t>
            </w:r>
          </w:p>
        </w:tc>
      </w:tr>
      <w:tr>
        <w:trPr>
          <w:trHeight w:val="171"/>
        </w:trPr>
        <w:tc>
          <w:tcPr>
            <w:tcW w:w="560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380" w:type="dxa"/>
            <w:vAlign w:val="bottom"/>
            <w:tcBorders>
              <w:top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685,247</w:t>
            </w:r>
          </w:p>
        </w:tc>
        <w:tc>
          <w:tcPr>
            <w:tcW w:w="400" w:type="dxa"/>
            <w:vAlign w:val="bottom"/>
            <w:tcBorders>
              <w:top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589,070</w:t>
            </w:r>
          </w:p>
        </w:tc>
        <w:tc>
          <w:tcPr>
            <w:tcW w:w="100" w:type="dxa"/>
            <w:vAlign w:val="bottom"/>
          </w:tcPr>
          <w:p>
            <w:pPr>
              <w:spacing w:after="0"/>
              <w:rPr>
                <w:sz w:val="14"/>
                <w:szCs w:val="14"/>
                <w:color w:val="auto"/>
              </w:rPr>
            </w:pPr>
          </w:p>
        </w:tc>
        <w:tc>
          <w:tcPr>
            <w:tcW w:w="34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1,231,265</w:t>
            </w:r>
          </w:p>
        </w:tc>
        <w:tc>
          <w:tcPr>
            <w:tcW w:w="36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1,041,297</w:t>
            </w:r>
          </w:p>
        </w:tc>
      </w:tr>
      <w:tr>
        <w:trPr>
          <w:trHeight w:val="29"/>
        </w:trPr>
        <w:tc>
          <w:tcPr>
            <w:tcW w:w="56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8"/>
          <w:szCs w:val="8"/>
          <w:color w:val="auto"/>
        </w:rPr>
        <w:t>1 - Revenue related to sales of vehicles are inclusive of extended and connected services recognized over time.</w:t>
      </w:r>
    </w:p>
    <w:p>
      <w:pPr>
        <w:spacing w:after="0" w:line="65" w:lineRule="exact"/>
        <w:rPr>
          <w:sz w:val="20"/>
          <w:szCs w:val="20"/>
          <w:color w:val="auto"/>
        </w:rPr>
      </w:pPr>
    </w:p>
    <w:p>
      <w:pPr>
        <w:spacing w:after="0" w:line="228" w:lineRule="auto"/>
        <w:rPr>
          <w:sz w:val="20"/>
          <w:szCs w:val="20"/>
          <w:color w:val="auto"/>
        </w:rPr>
      </w:pPr>
      <w:r>
        <w:rPr>
          <w:rFonts w:ascii="Arial" w:cs="Arial" w:eastAsia="Arial" w:hAnsi="Arial"/>
          <w:sz w:val="13"/>
          <w:szCs w:val="13"/>
          <w:color w:val="auto"/>
        </w:rPr>
        <w:t>For the three and six months ended June 30, 2023 and 2022, other revenue primarily consisted of license revenue generated from sales-based royalties received from Volvo Cars on sales of parts and accessories for Polestar vehicles and software performance upgrades.</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 xml:space="preserve">The Group's largest customer that is not a related party accounted for $155,820 (23%) and $271,246 (22%) of revenue, respectively, for the three and six months ended June 30, 2023. For the three and six months ended June 30, 2022, no sole customer, that is not a related party, exceeded 10% of total revenue. Refer to </w:t>
      </w:r>
      <w:r>
        <w:rPr>
          <w:rFonts w:ascii="Arial" w:cs="Arial" w:eastAsia="Arial" w:hAnsi="Arial"/>
          <w:sz w:val="12"/>
          <w:szCs w:val="12"/>
          <w:i w:val="1"/>
          <w:iCs w:val="1"/>
          <w:color w:val="auto"/>
        </w:rPr>
        <w:t>Note 11 - Related party transactions</w:t>
      </w:r>
      <w:r>
        <w:rPr>
          <w:rFonts w:ascii="Arial" w:cs="Arial" w:eastAsia="Arial" w:hAnsi="Arial"/>
          <w:sz w:val="12"/>
          <w:szCs w:val="12"/>
          <w:color w:val="auto"/>
        </w:rPr>
        <w:t xml:space="preserve"> for further details on revenues from related parties.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60" w:type="dxa"/>
            <w:vAlign w:val="bottom"/>
            <w:tcBorders>
              <w:right w:val="single" w:sz="8" w:color="auto"/>
            </w:tcBorders>
            <w:shd w:val="clear" w:color="auto" w:fill="DBDBDB"/>
          </w:tcPr>
          <w:p>
            <w:pPr>
              <w:jc w:val="center"/>
              <w:ind w:right="76"/>
              <w:spacing w:after="0"/>
              <w:rPr>
                <w:sz w:val="20"/>
                <w:szCs w:val="20"/>
                <w:color w:val="auto"/>
              </w:rPr>
            </w:pPr>
            <w:r>
              <w:rPr>
                <w:rFonts w:ascii="Arial" w:cs="Arial" w:eastAsia="Arial" w:hAnsi="Arial"/>
                <w:sz w:val="13"/>
                <w:szCs w:val="13"/>
                <w:b w:val="1"/>
                <w:bCs w:val="1"/>
                <w:color w:val="auto"/>
                <w:w w:val="88"/>
              </w:rPr>
              <w:t>Deferred revenue -</w:t>
            </w:r>
          </w:p>
        </w:tc>
        <w:tc>
          <w:tcPr>
            <w:tcW w:w="2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r>
      <w:tr>
        <w:trPr>
          <w:trHeight w:val="153"/>
        </w:trPr>
        <w:tc>
          <w:tcPr>
            <w:tcW w:w="50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jc w:val="right"/>
              <w:ind w:right="156"/>
              <w:spacing w:after="0"/>
              <w:rPr>
                <w:sz w:val="20"/>
                <w:szCs w:val="20"/>
                <w:color w:val="auto"/>
              </w:rPr>
            </w:pPr>
            <w:r>
              <w:rPr>
                <w:rFonts w:ascii="Arial" w:cs="Arial" w:eastAsia="Arial" w:hAnsi="Arial"/>
                <w:sz w:val="13"/>
                <w:szCs w:val="13"/>
                <w:b w:val="1"/>
                <w:bCs w:val="1"/>
                <w:color w:val="auto"/>
                <w:w w:val="88"/>
              </w:rPr>
              <w:t>Sales generated</w:t>
            </w:r>
          </w:p>
        </w:tc>
        <w:tc>
          <w:tcPr>
            <w:tcW w:w="1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6"/>
              <w:spacing w:after="0"/>
              <w:rPr>
                <w:sz w:val="20"/>
                <w:szCs w:val="20"/>
                <w:color w:val="auto"/>
              </w:rPr>
            </w:pPr>
            <w:r>
              <w:rPr>
                <w:rFonts w:ascii="Arial" w:cs="Arial" w:eastAsia="Arial" w:hAnsi="Arial"/>
                <w:sz w:val="13"/>
                <w:szCs w:val="13"/>
                <w:b w:val="1"/>
                <w:bCs w:val="1"/>
                <w:color w:val="auto"/>
                <w:w w:val="88"/>
              </w:rPr>
              <w:t>Deferred revenue -</w:t>
            </w:r>
          </w:p>
        </w:tc>
        <w:tc>
          <w:tcPr>
            <w:tcW w:w="100" w:type="dxa"/>
            <w:vAlign w:val="bottom"/>
            <w:shd w:val="clear" w:color="auto" w:fill="DBDBDB"/>
          </w:tcPr>
          <w:p>
            <w:pPr>
              <w:spacing w:after="0"/>
              <w:rPr>
                <w:sz w:val="13"/>
                <w:szCs w:val="13"/>
                <w:color w:val="auto"/>
              </w:rPr>
            </w:pPr>
          </w:p>
        </w:tc>
        <w:tc>
          <w:tcPr>
            <w:tcW w:w="1160" w:type="dxa"/>
            <w:vAlign w:val="bottom"/>
            <w:shd w:val="clear" w:color="auto" w:fill="DBDBDB"/>
          </w:tcPr>
          <w:p>
            <w:pPr>
              <w:jc w:val="right"/>
              <w:ind w:right="56"/>
              <w:spacing w:after="0"/>
              <w:rPr>
                <w:sz w:val="20"/>
                <w:szCs w:val="20"/>
                <w:color w:val="auto"/>
              </w:rPr>
            </w:pPr>
            <w:r>
              <w:rPr>
                <w:rFonts w:ascii="Arial" w:cs="Arial" w:eastAsia="Arial" w:hAnsi="Arial"/>
                <w:sz w:val="13"/>
                <w:szCs w:val="13"/>
                <w:b w:val="1"/>
                <w:bCs w:val="1"/>
                <w:color w:val="auto"/>
                <w:w w:val="88"/>
              </w:rPr>
              <w:t>Deferred revenue -</w:t>
            </w:r>
          </w:p>
        </w:tc>
        <w:tc>
          <w:tcPr>
            <w:tcW w:w="100" w:type="dxa"/>
            <w:vAlign w:val="bottom"/>
            <w:shd w:val="clear" w:color="auto" w:fill="DBDBDB"/>
          </w:tcPr>
          <w:p>
            <w:pPr>
              <w:spacing w:after="0"/>
              <w:rPr>
                <w:sz w:val="13"/>
                <w:szCs w:val="13"/>
                <w:color w:val="auto"/>
              </w:rPr>
            </w:pPr>
          </w:p>
        </w:tc>
        <w:tc>
          <w:tcPr>
            <w:tcW w:w="1160" w:type="dxa"/>
            <w:vAlign w:val="bottom"/>
            <w:tcBorders>
              <w:right w:val="single" w:sz="8" w:color="auto"/>
            </w:tcBorders>
            <w:shd w:val="clear" w:color="auto" w:fill="DBDBDB"/>
          </w:tcPr>
          <w:p>
            <w:pPr>
              <w:jc w:val="center"/>
              <w:ind w:right="56"/>
              <w:spacing w:after="0"/>
              <w:rPr>
                <w:sz w:val="20"/>
                <w:szCs w:val="20"/>
                <w:color w:val="auto"/>
              </w:rPr>
            </w:pPr>
            <w:r>
              <w:rPr>
                <w:rFonts w:ascii="Arial" w:cs="Arial" w:eastAsia="Arial" w:hAnsi="Arial"/>
                <w:sz w:val="13"/>
                <w:szCs w:val="13"/>
                <w:b w:val="1"/>
                <w:bCs w:val="1"/>
                <w:color w:val="auto"/>
                <w:w w:val="86"/>
              </w:rPr>
              <w:t>operating leases &amp;</w:t>
            </w:r>
          </w:p>
        </w:tc>
        <w:tc>
          <w:tcPr>
            <w:tcW w:w="2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r>
      <w:tr>
        <w:trPr>
          <w:trHeight w:val="175"/>
        </w:trPr>
        <w:tc>
          <w:tcPr>
            <w:tcW w:w="504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ind w:right="296"/>
              <w:spacing w:after="0"/>
              <w:rPr>
                <w:sz w:val="20"/>
                <w:szCs w:val="20"/>
                <w:color w:val="auto"/>
              </w:rPr>
            </w:pPr>
            <w:r>
              <w:rPr>
                <w:rFonts w:ascii="Arial" w:cs="Arial" w:eastAsia="Arial" w:hAnsi="Arial"/>
                <w:sz w:val="13"/>
                <w:szCs w:val="13"/>
                <w:b w:val="1"/>
                <w:bCs w:val="1"/>
                <w:color w:val="auto"/>
              </w:rPr>
              <w:t>obligation</w:t>
            </w:r>
          </w:p>
        </w:tc>
        <w:tc>
          <w:tcPr>
            <w:tcW w:w="10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ind w:right="116"/>
              <w:spacing w:after="0"/>
              <w:rPr>
                <w:sz w:val="20"/>
                <w:szCs w:val="20"/>
                <w:color w:val="auto"/>
              </w:rPr>
            </w:pPr>
            <w:r>
              <w:rPr>
                <w:rFonts w:ascii="Arial" w:cs="Arial" w:eastAsia="Arial" w:hAnsi="Arial"/>
                <w:sz w:val="13"/>
                <w:szCs w:val="13"/>
                <w:b w:val="1"/>
                <w:bCs w:val="1"/>
                <w:color w:val="auto"/>
                <w:w w:val="89"/>
              </w:rPr>
              <w:t>extended service</w:t>
            </w:r>
          </w:p>
        </w:tc>
        <w:tc>
          <w:tcPr>
            <w:tcW w:w="10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ind w:right="96"/>
              <w:spacing w:after="0"/>
              <w:rPr>
                <w:sz w:val="20"/>
                <w:szCs w:val="20"/>
                <w:color w:val="auto"/>
              </w:rPr>
            </w:pPr>
            <w:r>
              <w:rPr>
                <w:rFonts w:ascii="Arial" w:cs="Arial" w:eastAsia="Arial" w:hAnsi="Arial"/>
                <w:sz w:val="13"/>
                <w:szCs w:val="13"/>
                <w:b w:val="1"/>
                <w:bCs w:val="1"/>
                <w:color w:val="auto"/>
                <w:w w:val="86"/>
              </w:rPr>
              <w:t>connected service</w:t>
            </w:r>
          </w:p>
        </w:tc>
        <w:tc>
          <w:tcPr>
            <w:tcW w:w="10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right w:val="single" w:sz="8" w:color="auto"/>
            </w:tcBorders>
            <w:shd w:val="clear" w:color="auto" w:fill="DBDBDB"/>
          </w:tcPr>
          <w:p>
            <w:pPr>
              <w:jc w:val="center"/>
              <w:ind w:right="56"/>
              <w:spacing w:after="0"/>
              <w:rPr>
                <w:sz w:val="20"/>
                <w:szCs w:val="20"/>
                <w:color w:val="auto"/>
              </w:rPr>
            </w:pPr>
            <w:r>
              <w:rPr>
                <w:rFonts w:ascii="Arial" w:cs="Arial" w:eastAsia="Arial" w:hAnsi="Arial"/>
                <w:sz w:val="13"/>
                <w:szCs w:val="13"/>
                <w:b w:val="1"/>
                <w:bCs w:val="1"/>
                <w:color w:val="auto"/>
                <w:w w:val="86"/>
              </w:rPr>
              <w:t>other</w:t>
            </w:r>
          </w:p>
        </w:tc>
        <w:tc>
          <w:tcPr>
            <w:tcW w:w="28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ind w:right="416"/>
              <w:spacing w:after="0"/>
              <w:rPr>
                <w:sz w:val="20"/>
                <w:szCs w:val="20"/>
                <w:color w:val="auto"/>
              </w:rPr>
            </w:pPr>
            <w:r>
              <w:rPr>
                <w:rFonts w:ascii="Arial" w:cs="Arial" w:eastAsia="Arial" w:hAnsi="Arial"/>
                <w:sz w:val="13"/>
                <w:szCs w:val="13"/>
                <w:b w:val="1"/>
                <w:bCs w:val="1"/>
                <w:color w:val="auto"/>
              </w:rPr>
              <w:t>Total</w:t>
            </w:r>
          </w:p>
        </w:tc>
      </w:tr>
      <w:tr>
        <w:trPr>
          <w:trHeight w:val="180"/>
        </w:trPr>
        <w:tc>
          <w:tcPr>
            <w:tcW w:w="5040" w:type="dxa"/>
            <w:vAlign w:val="bottom"/>
          </w:tcPr>
          <w:p>
            <w:pPr>
              <w:spacing w:after="0"/>
              <w:rPr>
                <w:sz w:val="20"/>
                <w:szCs w:val="20"/>
                <w:color w:val="auto"/>
              </w:rPr>
            </w:pPr>
            <w:r>
              <w:rPr>
                <w:rFonts w:ascii="Arial" w:cs="Arial" w:eastAsia="Arial" w:hAnsi="Arial"/>
                <w:sz w:val="13"/>
                <w:szCs w:val="13"/>
                <w:color w:val="auto"/>
              </w:rPr>
              <w:t>Balance as of January 1, 2023</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13,069</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40,792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30,093</w:t>
            </w:r>
          </w:p>
        </w:tc>
        <w:tc>
          <w:tcPr>
            <w:tcW w:w="100" w:type="dxa"/>
            <w:vAlign w:val="bottom"/>
          </w:tcPr>
          <w:p>
            <w:pPr>
              <w:spacing w:after="0"/>
              <w:rPr>
                <w:sz w:val="15"/>
                <w:szCs w:val="15"/>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12,515</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96,469</w:t>
            </w:r>
          </w:p>
        </w:tc>
      </w:tr>
      <w:tr>
        <w:trPr>
          <w:trHeight w:val="29"/>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5040" w:type="dxa"/>
            <w:vAlign w:val="bottom"/>
            <w:shd w:val="clear" w:color="auto" w:fill="DBDBDB"/>
          </w:tcPr>
          <w:p>
            <w:pPr>
              <w:spacing w:after="0"/>
              <w:rPr>
                <w:sz w:val="20"/>
                <w:szCs w:val="20"/>
                <w:color w:val="auto"/>
              </w:rPr>
            </w:pPr>
            <w:r>
              <w:rPr>
                <w:rFonts w:ascii="Arial" w:cs="Arial" w:eastAsia="Arial" w:hAnsi="Arial"/>
                <w:sz w:val="13"/>
                <w:szCs w:val="13"/>
                <w:color w:val="auto"/>
              </w:rPr>
              <w:t>Provided for during the period</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32,647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15,760</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8,466</w:t>
            </w:r>
          </w:p>
        </w:tc>
        <w:tc>
          <w:tcPr>
            <w:tcW w:w="100" w:type="dxa"/>
            <w:vAlign w:val="bottom"/>
            <w:shd w:val="clear" w:color="auto" w:fill="DBDBDB"/>
          </w:tcPr>
          <w:p>
            <w:pPr>
              <w:spacing w:after="0"/>
              <w:rPr>
                <w:sz w:val="18"/>
                <w:szCs w:val="18"/>
                <w:color w:val="auto"/>
              </w:rPr>
            </w:pPr>
          </w:p>
        </w:tc>
        <w:tc>
          <w:tcPr>
            <w:tcW w:w="116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16,615</w:t>
            </w: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73,488</w:t>
            </w:r>
          </w:p>
        </w:tc>
      </w:tr>
      <w:tr>
        <w:trPr>
          <w:trHeight w:val="181"/>
        </w:trPr>
        <w:tc>
          <w:tcPr>
            <w:tcW w:w="5040" w:type="dxa"/>
            <w:vAlign w:val="bottom"/>
          </w:tcPr>
          <w:p>
            <w:pPr>
              <w:spacing w:after="0"/>
              <w:rPr>
                <w:sz w:val="20"/>
                <w:szCs w:val="20"/>
                <w:color w:val="auto"/>
              </w:rPr>
            </w:pPr>
            <w:r>
              <w:rPr>
                <w:rFonts w:ascii="Arial" w:cs="Arial" w:eastAsia="Arial" w:hAnsi="Arial"/>
                <w:sz w:val="13"/>
                <w:szCs w:val="13"/>
                <w:color w:val="auto"/>
              </w:rPr>
              <w:t>Settled during the period</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(26,695)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(26,695)</w:t>
            </w:r>
          </w:p>
        </w:tc>
      </w:tr>
      <w:tr>
        <w:trPr>
          <w:trHeight w:val="29"/>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50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Released during the period</w:t>
            </w: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(10,300)</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(2,463)</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(9,280)</w:t>
            </w:r>
          </w:p>
        </w:tc>
        <w:tc>
          <w:tcPr>
            <w:tcW w:w="2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(22,043)</w:t>
            </w:r>
          </w:p>
        </w:tc>
      </w:tr>
      <w:tr>
        <w:trPr>
          <w:trHeight w:val="181"/>
        </w:trPr>
        <w:tc>
          <w:tcPr>
            <w:tcW w:w="5040" w:type="dxa"/>
            <w:vAlign w:val="bottom"/>
          </w:tcPr>
          <w:p>
            <w:pPr>
              <w:spacing w:after="0"/>
              <w:rPr>
                <w:sz w:val="20"/>
                <w:szCs w:val="20"/>
                <w:color w:val="auto"/>
              </w:rPr>
            </w:pPr>
            <w:r>
              <w:rPr>
                <w:rFonts w:ascii="Arial" w:cs="Arial" w:eastAsia="Arial" w:hAnsi="Arial"/>
                <w:sz w:val="13"/>
                <w:szCs w:val="13"/>
                <w:color w:val="auto"/>
              </w:rPr>
              <w:t>Effect of foreign currency exchange rate differences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(1,279)</w:t>
            </w:r>
          </w:p>
        </w:tc>
        <w:tc>
          <w:tcPr>
            <w:tcW w:w="100" w:type="dxa"/>
            <w:vAlign w:val="bottom"/>
          </w:tcPr>
          <w:p>
            <w:pPr>
              <w:spacing w:after="0"/>
              <w:rPr>
                <w:sz w:val="15"/>
                <w:szCs w:val="15"/>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156</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(1,310)</w:t>
            </w:r>
          </w:p>
        </w:tc>
      </w:tr>
      <w:tr>
        <w:trPr>
          <w:trHeight w:val="29"/>
        </w:trPr>
        <w:tc>
          <w:tcPr>
            <w:tcW w:w="504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9"/>
        </w:trPr>
        <w:tc>
          <w:tcPr>
            <w:tcW w:w="50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Balance as of June 30, 2023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18,930</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46,156</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34,817</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20,006</w:t>
            </w:r>
          </w:p>
        </w:tc>
        <w:tc>
          <w:tcPr>
            <w:tcW w:w="280" w:type="dxa"/>
            <w:vAlign w:val="bottom"/>
            <w:tcBorders>
              <w:bottom w:val="single" w:sz="8" w:color="DBDBDB"/>
            </w:tcBorders>
            <w:shd w:val="clear" w:color="auto" w:fill="DBDBDB"/>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119,909</w:t>
            </w:r>
          </w:p>
        </w:tc>
      </w:tr>
      <w:tr>
        <w:trPr>
          <w:trHeight w:val="171"/>
        </w:trPr>
        <w:tc>
          <w:tcPr>
            <w:tcW w:w="5040" w:type="dxa"/>
            <w:vAlign w:val="bottom"/>
          </w:tcPr>
          <w:p>
            <w:pPr>
              <w:ind w:left="80"/>
              <w:spacing w:after="0"/>
              <w:rPr>
                <w:sz w:val="20"/>
                <w:szCs w:val="20"/>
                <w:color w:val="auto"/>
              </w:rPr>
            </w:pPr>
            <w:r>
              <w:rPr>
                <w:rFonts w:ascii="Arial" w:cs="Arial" w:eastAsia="Arial" w:hAnsi="Arial"/>
                <w:sz w:val="13"/>
                <w:szCs w:val="13"/>
                <w:color w:val="auto"/>
              </w:rPr>
              <w:t>of which current</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18,930</w:t>
            </w: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22,057</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5,216</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15,439</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61,642</w:t>
            </w:r>
          </w:p>
        </w:tc>
      </w:tr>
      <w:tr>
        <w:trPr>
          <w:trHeight w:val="29"/>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504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3"/>
                <w:szCs w:val="13"/>
                <w:color w:val="auto"/>
              </w:rPr>
              <w:t>of which non-current</w:t>
            </w: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24,099</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29,601</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4,567</w:t>
            </w:r>
          </w:p>
        </w:tc>
        <w:tc>
          <w:tcPr>
            <w:tcW w:w="2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58,267</w:t>
            </w:r>
          </w:p>
        </w:tc>
      </w:tr>
      <w:tr>
        <w:trPr>
          <w:trHeight w:val="782"/>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536"/>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6"/>
        </w:trPr>
        <w:tc>
          <w:tcPr>
            <w:tcW w:w="5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-24130</wp:posOffset>
            </wp:positionV>
            <wp:extent cx="3175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1"/>
          <w:szCs w:val="11"/>
          <w:color w:val="B6B6B6"/>
        </w:rPr>
        <w:t>Notes to the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color w:val="B6B6B6"/>
        </w:rPr>
        <w:t>(in thousands of U.S. dollars unless otherwise stated)</w:t>
      </w:r>
    </w:p>
    <w:p>
      <w:pPr>
        <w:spacing w:after="0" w:line="195" w:lineRule="exact"/>
        <w:rPr>
          <w:sz w:val="20"/>
          <w:szCs w:val="20"/>
          <w:color w:val="auto"/>
        </w:rPr>
      </w:pPr>
    </w:p>
    <w:p>
      <w:pPr>
        <w:jc w:val="both"/>
        <w:ind w:right="20"/>
        <w:spacing w:after="0" w:line="228" w:lineRule="auto"/>
        <w:rPr>
          <w:sz w:val="20"/>
          <w:szCs w:val="20"/>
          <w:color w:val="auto"/>
        </w:rPr>
      </w:pPr>
      <w:r>
        <w:rPr>
          <w:rFonts w:ascii="Arial" w:cs="Arial" w:eastAsia="Arial" w:hAnsi="Arial"/>
          <w:sz w:val="13"/>
          <w:szCs w:val="13"/>
          <w:color w:val="auto"/>
        </w:rPr>
        <w:t>As of June 30, 2023, contract liabilities amounted to $119,909, of which $18,930 was related to variable consideration payable to fleet customers in the form of volume related bonuses and $100,979 was related to remaining performance obligations associated with sales of vehicles and vehicle leasing revenue.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 Share-based payment</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 xml:space="preserve">As noted in </w:t>
      </w:r>
      <w:r>
        <w:rPr>
          <w:rFonts w:ascii="Arial" w:cs="Arial" w:eastAsia="Arial" w:hAnsi="Arial"/>
          <w:sz w:val="11"/>
          <w:szCs w:val="11"/>
          <w:i w:val="1"/>
          <w:iCs w:val="1"/>
          <w:color w:val="auto"/>
        </w:rPr>
        <w:t>Note 1 - Significant accounting policies and judgements</w:t>
      </w:r>
      <w:r>
        <w:rPr>
          <w:rFonts w:ascii="Arial" w:cs="Arial" w:eastAsia="Arial" w:hAnsi="Arial"/>
          <w:sz w:val="11"/>
          <w:szCs w:val="11"/>
          <w:color w:val="auto"/>
        </w:rPr>
        <w:t xml:space="preserve">, Polestar granted shares to employees under the 2022 Omnibus Plan as part of the Group’s employee compensation. Under the 2022 Omnibus Plan, there are three kinds of programs: At-listing Plan, Post-listing Plan, and the Free Share Plan, all of which are equity-settled. For more details on the terms of each program, refer to </w:t>
      </w:r>
      <w:r>
        <w:rPr>
          <w:rFonts w:ascii="Arial" w:cs="Arial" w:eastAsia="Arial" w:hAnsi="Arial"/>
          <w:sz w:val="11"/>
          <w:szCs w:val="11"/>
          <w:i w:val="1"/>
          <w:iCs w:val="1"/>
          <w:color w:val="auto"/>
        </w:rPr>
        <w:t>Note 7 - Share-based payments</w:t>
      </w:r>
      <w:r>
        <w:rPr>
          <w:rFonts w:ascii="Arial" w:cs="Arial" w:eastAsia="Arial" w:hAnsi="Arial"/>
          <w:sz w:val="11"/>
          <w:szCs w:val="11"/>
          <w:color w:val="auto"/>
        </w:rPr>
        <w:t xml:space="preserve"> in the</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13"/>
          <w:szCs w:val="13"/>
          <w:color w:val="auto"/>
        </w:rPr>
        <w:t>Consolidated Financial Statements for Polestar Automotive Holding UK PLC, as of December 31, 2022 and 2021, and for the three years ended December 31, 2022 that were included in the Form 20-F filed with the SEC on April 14, 2023. The following table illustrates share activity for the six months ended June 30,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shd w:val="clear" w:color="auto" w:fill="DBDBDB"/>
          </w:tcPr>
          <w:p>
            <w:pPr>
              <w:spacing w:after="0"/>
              <w:rPr>
                <w:sz w:val="14"/>
                <w:szCs w:val="14"/>
                <w:color w:val="auto"/>
              </w:rPr>
            </w:pPr>
          </w:p>
        </w:tc>
        <w:tc>
          <w:tcPr>
            <w:tcW w:w="1320" w:type="dxa"/>
            <w:vAlign w:val="bottom"/>
            <w:vMerge w:val="restart"/>
            <w:shd w:val="clear" w:color="auto" w:fill="DBDBDB"/>
          </w:tcPr>
          <w:p>
            <w:pPr>
              <w:jc w:val="right"/>
              <w:ind w:right="196"/>
              <w:spacing w:after="0"/>
              <w:rPr>
                <w:sz w:val="20"/>
                <w:szCs w:val="20"/>
                <w:color w:val="auto"/>
              </w:rPr>
            </w:pPr>
            <w:r>
              <w:rPr>
                <w:rFonts w:ascii="Arial" w:cs="Arial" w:eastAsia="Arial" w:hAnsi="Arial"/>
                <w:sz w:val="13"/>
                <w:szCs w:val="13"/>
                <w:b w:val="1"/>
                <w:bCs w:val="1"/>
                <w:color w:val="auto"/>
              </w:rPr>
              <w:t>Number of PSUs</w:t>
            </w:r>
          </w:p>
        </w:tc>
        <w:tc>
          <w:tcPr>
            <w:tcW w:w="1260" w:type="dxa"/>
            <w:vAlign w:val="bottom"/>
            <w:vMerge w:val="restart"/>
            <w:shd w:val="clear" w:color="auto" w:fill="DBDBDB"/>
          </w:tcPr>
          <w:p>
            <w:pPr>
              <w:jc w:val="right"/>
              <w:ind w:right="196"/>
              <w:spacing w:after="0"/>
              <w:rPr>
                <w:sz w:val="20"/>
                <w:szCs w:val="20"/>
                <w:color w:val="auto"/>
              </w:rPr>
            </w:pPr>
            <w:r>
              <w:rPr>
                <w:rFonts w:ascii="Arial" w:cs="Arial" w:eastAsia="Arial" w:hAnsi="Arial"/>
                <w:sz w:val="13"/>
                <w:szCs w:val="13"/>
                <w:b w:val="1"/>
                <w:bCs w:val="1"/>
                <w:color w:val="auto"/>
                <w:w w:val="94"/>
              </w:rPr>
              <w:t>Number of RSUs</w:t>
            </w:r>
          </w:p>
        </w:tc>
        <w:tc>
          <w:tcPr>
            <w:tcW w:w="1180" w:type="dxa"/>
            <w:vAlign w:val="bottom"/>
            <w:tcBorders>
              <w:right w:val="single" w:sz="8" w:color="auto"/>
            </w:tcBorders>
            <w:shd w:val="clear" w:color="auto" w:fill="DBDBDB"/>
          </w:tcPr>
          <w:p>
            <w:pPr>
              <w:jc w:val="right"/>
              <w:ind w:right="156"/>
              <w:spacing w:after="0"/>
              <w:rPr>
                <w:sz w:val="20"/>
                <w:szCs w:val="20"/>
                <w:color w:val="auto"/>
              </w:rPr>
            </w:pPr>
            <w:r>
              <w:rPr>
                <w:rFonts w:ascii="Arial" w:cs="Arial" w:eastAsia="Arial" w:hAnsi="Arial"/>
                <w:sz w:val="13"/>
                <w:szCs w:val="13"/>
                <w:b w:val="1"/>
                <w:bCs w:val="1"/>
                <w:color w:val="auto"/>
                <w:w w:val="97"/>
              </w:rPr>
              <w:t>Number of Free</w:t>
            </w:r>
          </w:p>
        </w:tc>
        <w:tc>
          <w:tcPr>
            <w:tcW w:w="1240" w:type="dxa"/>
            <w:vAlign w:val="bottom"/>
            <w:vMerge w:val="restart"/>
            <w:shd w:val="clear" w:color="auto" w:fill="DBDBDB"/>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6240" w:type="dxa"/>
            <w:vAlign w:val="bottom"/>
            <w:shd w:val="clear" w:color="auto" w:fill="DBDBDB"/>
          </w:tcPr>
          <w:p>
            <w:pPr>
              <w:spacing w:after="0"/>
              <w:rPr>
                <w:sz w:val="15"/>
                <w:szCs w:val="15"/>
                <w:color w:val="auto"/>
              </w:rPr>
            </w:pPr>
          </w:p>
        </w:tc>
        <w:tc>
          <w:tcPr>
            <w:tcW w:w="1320" w:type="dxa"/>
            <w:vAlign w:val="bottom"/>
            <w:tcBorders>
              <w:bottom w:val="single" w:sz="8" w:color="auto"/>
            </w:tcBorders>
            <w:vMerge w:val="continue"/>
            <w:shd w:val="clear" w:color="auto" w:fill="DBDBDB"/>
          </w:tcPr>
          <w:p>
            <w:pPr>
              <w:spacing w:after="0"/>
              <w:rPr>
                <w:sz w:val="15"/>
                <w:szCs w:val="15"/>
                <w:color w:val="auto"/>
              </w:rPr>
            </w:pPr>
          </w:p>
        </w:tc>
        <w:tc>
          <w:tcPr>
            <w:tcW w:w="1260" w:type="dxa"/>
            <w:vAlign w:val="bottom"/>
            <w:tcBorders>
              <w:bottom w:val="single" w:sz="8" w:color="auto"/>
            </w:tcBorders>
            <w:vMerge w:val="continue"/>
            <w:shd w:val="clear" w:color="auto" w:fill="DBDBDB"/>
          </w:tcPr>
          <w:p>
            <w:pPr>
              <w:spacing w:after="0"/>
              <w:rPr>
                <w:sz w:val="15"/>
                <w:szCs w:val="15"/>
                <w:color w:val="auto"/>
              </w:rPr>
            </w:pPr>
          </w:p>
        </w:tc>
        <w:tc>
          <w:tcPr>
            <w:tcW w:w="1180" w:type="dxa"/>
            <w:vAlign w:val="bottom"/>
            <w:tcBorders>
              <w:bottom w:val="single" w:sz="8" w:color="auto"/>
              <w:right w:val="single" w:sz="8" w:color="auto"/>
            </w:tcBorders>
            <w:shd w:val="clear" w:color="auto" w:fill="DBDBDB"/>
          </w:tcPr>
          <w:p>
            <w:pPr>
              <w:jc w:val="right"/>
              <w:ind w:right="396"/>
              <w:spacing w:after="0"/>
              <w:rPr>
                <w:sz w:val="20"/>
                <w:szCs w:val="20"/>
                <w:color w:val="auto"/>
              </w:rPr>
            </w:pPr>
            <w:r>
              <w:rPr>
                <w:rFonts w:ascii="Arial" w:cs="Arial" w:eastAsia="Arial" w:hAnsi="Arial"/>
                <w:sz w:val="13"/>
                <w:szCs w:val="13"/>
                <w:b w:val="1"/>
                <w:bCs w:val="1"/>
                <w:color w:val="auto"/>
              </w:rPr>
              <w:t>Shares</w:t>
            </w:r>
          </w:p>
        </w:tc>
        <w:tc>
          <w:tcPr>
            <w:tcW w:w="1240" w:type="dxa"/>
            <w:vAlign w:val="bottom"/>
            <w:tcBorders>
              <w:bottom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40" w:type="dxa"/>
            <w:vAlign w:val="bottom"/>
          </w:tcPr>
          <w:p>
            <w:pPr>
              <w:spacing w:after="0"/>
              <w:rPr>
                <w:sz w:val="20"/>
                <w:szCs w:val="20"/>
                <w:color w:val="auto"/>
              </w:rPr>
            </w:pPr>
            <w:r>
              <w:rPr>
                <w:rFonts w:ascii="Arial" w:cs="Arial" w:eastAsia="Arial" w:hAnsi="Arial"/>
                <w:sz w:val="13"/>
                <w:szCs w:val="13"/>
                <w:color w:val="auto"/>
              </w:rPr>
              <w:t>Outstanding as of January 1, 2023</w:t>
            </w:r>
          </w:p>
        </w:tc>
        <w:tc>
          <w:tcPr>
            <w:tcW w:w="1320" w:type="dxa"/>
            <w:vAlign w:val="bottom"/>
          </w:tcPr>
          <w:p>
            <w:pPr>
              <w:jc w:val="right"/>
              <w:ind w:right="76"/>
              <w:spacing w:after="0"/>
              <w:rPr>
                <w:sz w:val="20"/>
                <w:szCs w:val="20"/>
                <w:color w:val="auto"/>
              </w:rPr>
            </w:pPr>
            <w:r>
              <w:rPr>
                <w:rFonts w:ascii="Arial" w:cs="Arial" w:eastAsia="Arial" w:hAnsi="Arial"/>
                <w:sz w:val="13"/>
                <w:szCs w:val="13"/>
                <w:color w:val="auto"/>
              </w:rPr>
              <w:t>858,821</w:t>
            </w:r>
          </w:p>
        </w:tc>
        <w:tc>
          <w:tcPr>
            <w:tcW w:w="1260" w:type="dxa"/>
            <w:vAlign w:val="bottom"/>
          </w:tcPr>
          <w:p>
            <w:pPr>
              <w:jc w:val="right"/>
              <w:ind w:right="76"/>
              <w:spacing w:after="0"/>
              <w:rPr>
                <w:sz w:val="20"/>
                <w:szCs w:val="20"/>
                <w:color w:val="auto"/>
              </w:rPr>
            </w:pPr>
            <w:r>
              <w:rPr>
                <w:rFonts w:ascii="Arial" w:cs="Arial" w:eastAsia="Arial" w:hAnsi="Arial"/>
                <w:sz w:val="13"/>
                <w:szCs w:val="13"/>
                <w:color w:val="auto"/>
              </w:rPr>
              <w:t>458,620</w:t>
            </w:r>
          </w:p>
        </w:tc>
        <w:tc>
          <w:tcPr>
            <w:tcW w:w="118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4,222</w:t>
            </w:r>
          </w:p>
        </w:tc>
        <w:tc>
          <w:tcPr>
            <w:tcW w:w="1240" w:type="dxa"/>
            <w:vAlign w:val="bottom"/>
          </w:tcPr>
          <w:p>
            <w:pPr>
              <w:jc w:val="right"/>
              <w:spacing w:after="0"/>
              <w:rPr>
                <w:sz w:val="20"/>
                <w:szCs w:val="20"/>
                <w:color w:val="auto"/>
              </w:rPr>
            </w:pPr>
            <w:r>
              <w:rPr>
                <w:rFonts w:ascii="Arial" w:cs="Arial" w:eastAsia="Arial" w:hAnsi="Arial"/>
                <w:sz w:val="13"/>
                <w:szCs w:val="13"/>
                <w:color w:val="auto"/>
              </w:rPr>
              <w:t>1,321,663</w:t>
            </w:r>
          </w:p>
        </w:tc>
        <w:tc>
          <w:tcPr>
            <w:tcW w:w="0" w:type="dxa"/>
            <w:vAlign w:val="bottom"/>
          </w:tcPr>
          <w:p>
            <w:pPr>
              <w:spacing w:after="0"/>
              <w:rPr>
                <w:sz w:val="1"/>
                <w:szCs w:val="1"/>
                <w:color w:val="auto"/>
              </w:rPr>
            </w:pPr>
          </w:p>
        </w:tc>
      </w:tr>
      <w:tr>
        <w:trPr>
          <w:trHeight w:val="29"/>
        </w:trPr>
        <w:tc>
          <w:tcPr>
            <w:tcW w:w="6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62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bottom w:val="single" w:sz="8" w:color="DBDBDB"/>
            </w:tcBorders>
            <w:shd w:val="clear" w:color="auto" w:fill="DBDBDB"/>
          </w:tcPr>
          <w:p>
            <w:pPr>
              <w:jc w:val="right"/>
              <w:ind w:right="76"/>
              <w:spacing w:after="0"/>
              <w:rPr>
                <w:sz w:val="20"/>
                <w:szCs w:val="20"/>
                <w:color w:val="auto"/>
              </w:rPr>
            </w:pPr>
            <w:r>
              <w:rPr>
                <w:rFonts w:ascii="Arial" w:cs="Arial" w:eastAsia="Arial" w:hAnsi="Arial"/>
                <w:sz w:val="13"/>
                <w:szCs w:val="13"/>
                <w:color w:val="auto"/>
              </w:rPr>
              <w:t>1,474,927</w:t>
            </w:r>
          </w:p>
        </w:tc>
        <w:tc>
          <w:tcPr>
            <w:tcW w:w="1260" w:type="dxa"/>
            <w:vAlign w:val="bottom"/>
            <w:tcBorders>
              <w:bottom w:val="single" w:sz="8" w:color="DBDBDB"/>
            </w:tcBorders>
            <w:shd w:val="clear" w:color="auto" w:fill="DBDBDB"/>
          </w:tcPr>
          <w:p>
            <w:pPr>
              <w:jc w:val="right"/>
              <w:ind w:right="76"/>
              <w:spacing w:after="0"/>
              <w:rPr>
                <w:sz w:val="20"/>
                <w:szCs w:val="20"/>
                <w:color w:val="auto"/>
              </w:rPr>
            </w:pPr>
            <w:r>
              <w:rPr>
                <w:rFonts w:ascii="Arial" w:cs="Arial" w:eastAsia="Arial" w:hAnsi="Arial"/>
                <w:sz w:val="13"/>
                <w:szCs w:val="13"/>
                <w:color w:val="auto"/>
              </w:rPr>
              <w:t>428,840</w:t>
            </w: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1,903,767</w:t>
            </w:r>
          </w:p>
        </w:tc>
        <w:tc>
          <w:tcPr>
            <w:tcW w:w="0" w:type="dxa"/>
            <w:vAlign w:val="bottom"/>
          </w:tcPr>
          <w:p>
            <w:pPr>
              <w:spacing w:after="0"/>
              <w:rPr>
                <w:sz w:val="1"/>
                <w:szCs w:val="1"/>
                <w:color w:val="auto"/>
              </w:rPr>
            </w:pPr>
          </w:p>
        </w:tc>
      </w:tr>
      <w:tr>
        <w:trPr>
          <w:trHeight w:val="181"/>
        </w:trPr>
        <w:tc>
          <w:tcPr>
            <w:tcW w:w="6240" w:type="dxa"/>
            <w:vAlign w:val="bottom"/>
          </w:tcPr>
          <w:p>
            <w:pPr>
              <w:spacing w:after="0"/>
              <w:rPr>
                <w:sz w:val="20"/>
                <w:szCs w:val="20"/>
                <w:color w:val="auto"/>
              </w:rPr>
            </w:pPr>
            <w:r>
              <w:rPr>
                <w:rFonts w:ascii="Arial" w:cs="Arial" w:eastAsia="Arial" w:hAnsi="Arial"/>
                <w:sz w:val="13"/>
                <w:szCs w:val="13"/>
                <w:color w:val="auto"/>
              </w:rPr>
              <w:t>Vested</w:t>
            </w:r>
          </w:p>
        </w:tc>
        <w:tc>
          <w:tcPr>
            <w:tcW w:w="13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(169,853)</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(4,222)</w:t>
            </w:r>
          </w:p>
        </w:tc>
        <w:tc>
          <w:tcPr>
            <w:tcW w:w="1240" w:type="dxa"/>
            <w:vAlign w:val="bottom"/>
          </w:tcPr>
          <w:p>
            <w:pPr>
              <w:jc w:val="right"/>
              <w:spacing w:after="0"/>
              <w:rPr>
                <w:sz w:val="20"/>
                <w:szCs w:val="20"/>
                <w:color w:val="auto"/>
              </w:rPr>
            </w:pPr>
            <w:r>
              <w:rPr>
                <w:rFonts w:ascii="Arial" w:cs="Arial" w:eastAsia="Arial" w:hAnsi="Arial"/>
                <w:sz w:val="13"/>
                <w:szCs w:val="13"/>
                <w:color w:val="auto"/>
              </w:rPr>
              <w:t>(174,075)</w:t>
            </w:r>
          </w:p>
        </w:tc>
        <w:tc>
          <w:tcPr>
            <w:tcW w:w="0" w:type="dxa"/>
            <w:vAlign w:val="bottom"/>
          </w:tcPr>
          <w:p>
            <w:pPr>
              <w:spacing w:after="0"/>
              <w:rPr>
                <w:sz w:val="1"/>
                <w:szCs w:val="1"/>
                <w:color w:val="auto"/>
              </w:rPr>
            </w:pPr>
          </w:p>
        </w:tc>
      </w:tr>
      <w:tr>
        <w:trPr>
          <w:trHeight w:val="29"/>
        </w:trPr>
        <w:tc>
          <w:tcPr>
            <w:tcW w:w="6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Forfeited</w:t>
            </w:r>
          </w:p>
        </w:tc>
        <w:tc>
          <w:tcPr>
            <w:tcW w:w="132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3"/>
                <w:szCs w:val="13"/>
                <w:color w:val="auto"/>
              </w:rPr>
              <w:t>(6,954)</w:t>
            </w:r>
          </w:p>
        </w:tc>
        <w:tc>
          <w:tcPr>
            <w:tcW w:w="1260" w:type="dxa"/>
            <w:vAlign w:val="bottom"/>
            <w:tcBorders>
              <w:bottom w:val="single" w:sz="8" w:color="DBDBDB"/>
            </w:tcBorders>
            <w:shd w:val="clear" w:color="auto" w:fill="DBDBDB"/>
          </w:tcPr>
          <w:p>
            <w:pPr>
              <w:jc w:val="right"/>
              <w:ind w:right="56"/>
              <w:spacing w:after="0"/>
              <w:rPr>
                <w:sz w:val="20"/>
                <w:szCs w:val="20"/>
                <w:color w:val="auto"/>
              </w:rPr>
            </w:pPr>
            <w:r>
              <w:rPr>
                <w:rFonts w:ascii="Arial" w:cs="Arial" w:eastAsia="Arial" w:hAnsi="Arial"/>
                <w:sz w:val="13"/>
                <w:szCs w:val="13"/>
                <w:color w:val="auto"/>
              </w:rPr>
              <w:t>(8,639)</w:t>
            </w: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(15,593)</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20"/>
                <w:szCs w:val="20"/>
                <w:color w:val="auto"/>
              </w:rPr>
            </w:pPr>
            <w:r>
              <w:rPr>
                <w:rFonts w:ascii="Arial" w:cs="Arial" w:eastAsia="Arial" w:hAnsi="Arial"/>
                <w:sz w:val="13"/>
                <w:szCs w:val="13"/>
                <w:b w:val="1"/>
                <w:bCs w:val="1"/>
                <w:color w:val="auto"/>
              </w:rPr>
              <w:t>Outstanding as of June 30, 2023</w:t>
            </w:r>
          </w:p>
        </w:tc>
        <w:tc>
          <w:tcPr>
            <w:tcW w:w="13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2,326,794</w:t>
            </w:r>
          </w:p>
        </w:tc>
        <w:tc>
          <w:tcPr>
            <w:tcW w:w="12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708,968</w:t>
            </w:r>
          </w:p>
        </w:tc>
        <w:tc>
          <w:tcPr>
            <w:tcW w:w="118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3,035,762</w:t>
            </w:r>
          </w:p>
        </w:tc>
        <w:tc>
          <w:tcPr>
            <w:tcW w:w="0" w:type="dxa"/>
            <w:vAlign w:val="bottom"/>
          </w:tcPr>
          <w:p>
            <w:pPr>
              <w:spacing w:after="0"/>
              <w:rPr>
                <w:sz w:val="1"/>
                <w:szCs w:val="1"/>
                <w:color w:val="auto"/>
              </w:rPr>
            </w:pPr>
          </w:p>
        </w:tc>
      </w:tr>
      <w:tr>
        <w:trPr>
          <w:trHeight w:val="29"/>
        </w:trPr>
        <w:tc>
          <w:tcPr>
            <w:tcW w:w="6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total share-based compensation expense for the three and six months ended June 30, 2023 and 2022 by function:</w:t>
      </w:r>
    </w:p>
    <w:p>
      <w:pPr>
        <w:spacing w:after="0" w:line="21" w:lineRule="exact"/>
        <w:rPr>
          <w:sz w:val="20"/>
          <w:szCs w:val="20"/>
          <w:color w:val="auto"/>
        </w:rPr>
      </w:pPr>
    </w:p>
    <w:tbl>
      <w:tblPr>
        <w:tblLayout w:type="fixed"/>
        <w:tblInd w:w="1780" w:type="dxa"/>
        <w:tblCellMar>
          <w:top w:w="0" w:type="dxa"/>
          <w:left w:w="0" w:type="dxa"/>
          <w:bottom w:w="0" w:type="dxa"/>
          <w:right w:w="0" w:type="dxa"/>
        </w:tblCellMar>
      </w:tblPr>
      <w:tr>
        <w:trPr>
          <w:trHeight w:val="149"/>
        </w:trPr>
        <w:tc>
          <w:tcPr>
            <w:tcW w:w="4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740" w:type="dxa"/>
            <w:vAlign w:val="bottom"/>
            <w:gridSpan w:val="4"/>
            <w:shd w:val="clear" w:color="auto" w:fill="DBDBDB"/>
          </w:tcPr>
          <w:p>
            <w:pPr>
              <w:jc w:val="center"/>
              <w:ind w:right="200"/>
              <w:spacing w:after="0"/>
              <w:rPr>
                <w:sz w:val="20"/>
                <w:szCs w:val="20"/>
                <w:color w:val="auto"/>
              </w:rPr>
            </w:pPr>
            <w:r>
              <w:rPr>
                <w:rFonts w:ascii="Arial" w:cs="Arial" w:eastAsia="Arial" w:hAnsi="Arial"/>
                <w:sz w:val="13"/>
                <w:szCs w:val="13"/>
                <w:b w:val="1"/>
                <w:bCs w:val="1"/>
                <w:color w:val="auto"/>
                <w:w w:val="87"/>
              </w:rPr>
              <w:t>For the three months ended</w:t>
            </w:r>
          </w:p>
        </w:tc>
        <w:tc>
          <w:tcPr>
            <w:tcW w:w="1720" w:type="dxa"/>
            <w:vAlign w:val="bottom"/>
            <w:gridSpan w:val="4"/>
            <w:shd w:val="clear" w:color="auto" w:fill="DBDBDB"/>
          </w:tcPr>
          <w:p>
            <w:pPr>
              <w:jc w:val="right"/>
              <w:spacing w:after="0"/>
              <w:rPr>
                <w:sz w:val="20"/>
                <w:szCs w:val="20"/>
                <w:color w:val="auto"/>
              </w:rPr>
            </w:pPr>
            <w:r>
              <w:rPr>
                <w:rFonts w:ascii="Arial" w:cs="Arial" w:eastAsia="Arial" w:hAnsi="Arial"/>
                <w:sz w:val="13"/>
                <w:szCs w:val="13"/>
                <w:b w:val="1"/>
                <w:bCs w:val="1"/>
                <w:color w:val="auto"/>
                <w:w w:val="87"/>
              </w:rPr>
              <w:t>For the six months ended June</w:t>
            </w:r>
          </w:p>
        </w:tc>
      </w:tr>
      <w:tr>
        <w:trPr>
          <w:trHeight w:val="175"/>
        </w:trPr>
        <w:tc>
          <w:tcPr>
            <w:tcW w:w="416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040" w:type="dxa"/>
            <w:vAlign w:val="bottom"/>
            <w:tcBorders>
              <w:bottom w:val="single" w:sz="8" w:color="auto"/>
            </w:tcBorders>
            <w:gridSpan w:val="2"/>
            <w:shd w:val="clear" w:color="auto" w:fill="DBDBDB"/>
          </w:tcPr>
          <w:p>
            <w:pPr>
              <w:jc w:val="center"/>
              <w:ind w:left="436"/>
              <w:spacing w:after="0"/>
              <w:rPr>
                <w:sz w:val="20"/>
                <w:szCs w:val="20"/>
                <w:color w:val="auto"/>
              </w:rPr>
            </w:pPr>
            <w:r>
              <w:rPr>
                <w:rFonts w:ascii="Arial" w:cs="Arial" w:eastAsia="Arial" w:hAnsi="Arial"/>
                <w:sz w:val="13"/>
                <w:szCs w:val="13"/>
                <w:b w:val="1"/>
                <w:bCs w:val="1"/>
                <w:color w:val="auto"/>
                <w:w w:val="88"/>
              </w:rPr>
              <w:t>June 30,</w:t>
            </w:r>
          </w:p>
        </w:tc>
        <w:tc>
          <w:tcPr>
            <w:tcW w:w="600" w:type="dxa"/>
            <w:vAlign w:val="bottom"/>
            <w:tcBorders>
              <w:bottom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gridSpan w:val="2"/>
            <w:shd w:val="clear" w:color="auto" w:fill="DBDBDB"/>
          </w:tcPr>
          <w:p>
            <w:pPr>
              <w:jc w:val="right"/>
              <w:ind w:right="56"/>
              <w:spacing w:after="0"/>
              <w:rPr>
                <w:sz w:val="20"/>
                <w:szCs w:val="20"/>
                <w:color w:val="auto"/>
              </w:rPr>
            </w:pPr>
            <w:r>
              <w:rPr>
                <w:rFonts w:ascii="Arial" w:cs="Arial" w:eastAsia="Arial" w:hAnsi="Arial"/>
                <w:sz w:val="13"/>
                <w:szCs w:val="13"/>
                <w:b w:val="1"/>
                <w:bCs w:val="1"/>
                <w:color w:val="auto"/>
              </w:rPr>
              <w:t>30,</w:t>
            </w:r>
          </w:p>
        </w:tc>
        <w:tc>
          <w:tcPr>
            <w:tcW w:w="660" w:type="dxa"/>
            <w:vAlign w:val="bottom"/>
            <w:tcBorders>
              <w:bottom w:val="single" w:sz="8" w:color="auto"/>
            </w:tcBorders>
            <w:shd w:val="clear" w:color="auto" w:fill="DBDBDB"/>
          </w:tcPr>
          <w:p>
            <w:pPr>
              <w:spacing w:after="0"/>
              <w:rPr>
                <w:sz w:val="15"/>
                <w:szCs w:val="15"/>
                <w:color w:val="auto"/>
              </w:rPr>
            </w:pPr>
          </w:p>
        </w:tc>
      </w:tr>
      <w:tr>
        <w:trPr>
          <w:trHeight w:val="180"/>
        </w:trPr>
        <w:tc>
          <w:tcPr>
            <w:tcW w:w="416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2023</w:t>
            </w: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2022</w:t>
            </w:r>
          </w:p>
        </w:tc>
      </w:tr>
      <w:tr>
        <w:trPr>
          <w:trHeight w:val="209"/>
        </w:trPr>
        <w:tc>
          <w:tcPr>
            <w:tcW w:w="4160" w:type="dxa"/>
            <w:vAlign w:val="bottom"/>
            <w:shd w:val="clear" w:color="auto" w:fill="DBDBDB"/>
          </w:tcPr>
          <w:p>
            <w:pPr>
              <w:ind w:left="20"/>
              <w:spacing w:after="0"/>
              <w:rPr>
                <w:sz w:val="20"/>
                <w:szCs w:val="20"/>
                <w:color w:val="auto"/>
              </w:rPr>
            </w:pPr>
            <w:r>
              <w:rPr>
                <w:rFonts w:ascii="Arial" w:cs="Arial" w:eastAsia="Arial" w:hAnsi="Arial"/>
                <w:sz w:val="13"/>
                <w:szCs w:val="13"/>
                <w:color w:val="auto"/>
              </w:rPr>
              <w:t>Selling, general and administrative expense</w:t>
            </w:r>
          </w:p>
        </w:tc>
        <w:tc>
          <w:tcPr>
            <w:tcW w:w="10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1,430</w:t>
            </w:r>
          </w:p>
        </w:tc>
        <w:tc>
          <w:tcPr>
            <w:tcW w:w="28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4,342</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2,533</w:t>
            </w:r>
          </w:p>
        </w:tc>
        <w:tc>
          <w:tcPr>
            <w:tcW w:w="22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4,342</w:t>
            </w:r>
          </w:p>
        </w:tc>
      </w:tr>
      <w:tr>
        <w:trPr>
          <w:trHeight w:val="181"/>
        </w:trPr>
        <w:tc>
          <w:tcPr>
            <w:tcW w:w="4160" w:type="dxa"/>
            <w:vAlign w:val="bottom"/>
          </w:tcPr>
          <w:p>
            <w:pPr>
              <w:ind w:left="20"/>
              <w:spacing w:after="0"/>
              <w:rPr>
                <w:sz w:val="20"/>
                <w:szCs w:val="20"/>
                <w:color w:val="auto"/>
              </w:rPr>
            </w:pPr>
            <w:r>
              <w:rPr>
                <w:rFonts w:ascii="Arial" w:cs="Arial" w:eastAsia="Arial" w:hAnsi="Arial"/>
                <w:sz w:val="13"/>
                <w:szCs w:val="13"/>
                <w:color w:val="auto"/>
              </w:rPr>
              <w:t>Research and development expense</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w:t>
            </w:r>
          </w:p>
        </w:tc>
        <w:tc>
          <w:tcPr>
            <w:tcW w:w="2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125</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416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9"/>
        </w:trPr>
        <w:tc>
          <w:tcPr>
            <w:tcW w:w="4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1,499</w:t>
            </w:r>
          </w:p>
        </w:tc>
        <w:tc>
          <w:tcPr>
            <w:tcW w:w="280" w:type="dxa"/>
            <w:vAlign w:val="bottom"/>
            <w:tcBorders>
              <w:bottom w:val="single" w:sz="8" w:color="DBDBDB"/>
            </w:tcBorders>
            <w:shd w:val="clear" w:color="auto" w:fill="DBDBDB"/>
          </w:tcPr>
          <w:p>
            <w:pPr>
              <w:jc w:val="right"/>
              <w:ind w:right="136"/>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4,342</w:t>
            </w:r>
          </w:p>
        </w:tc>
        <w:tc>
          <w:tcPr>
            <w:tcW w:w="10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2,658</w:t>
            </w:r>
          </w:p>
        </w:tc>
        <w:tc>
          <w:tcPr>
            <w:tcW w:w="220" w:type="dxa"/>
            <w:vAlign w:val="bottom"/>
            <w:tcBorders>
              <w:bottom w:val="single" w:sz="8" w:color="DBDBDB"/>
            </w:tcBorders>
            <w:shd w:val="clear" w:color="auto" w:fill="DBDBDB"/>
          </w:tcPr>
          <w:p>
            <w:pPr>
              <w:jc w:val="right"/>
              <w:ind w:right="56"/>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4,342</w:t>
            </w:r>
          </w:p>
        </w:tc>
      </w:tr>
      <w:tr>
        <w:trPr>
          <w:trHeight w:val="20"/>
        </w:trPr>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 consulting services agreement</w:t>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On March 24, 2022, Polestar granted an equity-settled share-based payment in exchange for marketing services through November 1, 2023. Per the terms of the agreement, 250,000 Class A Shares vested on August 31,</w:t>
      </w:r>
    </w:p>
    <w:p>
      <w:pPr>
        <w:spacing w:after="0" w:line="17" w:lineRule="exact"/>
        <w:rPr>
          <w:sz w:val="20"/>
          <w:szCs w:val="20"/>
          <w:color w:val="auto"/>
        </w:rPr>
      </w:pPr>
    </w:p>
    <w:p>
      <w:pPr>
        <w:jc w:val="both"/>
        <w:ind w:right="20"/>
        <w:spacing w:after="0" w:line="241" w:lineRule="auto"/>
        <w:rPr>
          <w:sz w:val="20"/>
          <w:szCs w:val="20"/>
          <w:color w:val="auto"/>
        </w:rPr>
      </w:pPr>
      <w:r>
        <w:rPr>
          <w:rFonts w:ascii="Arial" w:cs="Arial" w:eastAsia="Arial" w:hAnsi="Arial"/>
          <w:sz w:val="11"/>
          <w:szCs w:val="11"/>
          <w:color w:val="auto"/>
        </w:rPr>
        <w:t>2022. The remaining 250,000 Class A Shares vest over eight equal quarterly installments, with a final vesting date of November 1, 2023. The grant date fair value of the marketing consulting agreement was $5,308 which was determined using the market value of the shares listed on the Nasdaq. Of the 500,000 Class A Shares granted, 375,000 Class A Shares with a fair value of $4,946 were vested as of December 31, 2022. During the three months ended June 30, 2023, 31,250 Class A Shares vested, and the Group incurred a share-based compensation expense of $114. During the six months ended June 30, 2023 62,500 Class A Shares vested, and the Group</w:t>
      </w:r>
    </w:p>
    <w:p>
      <w:pPr>
        <w:spacing w:after="0"/>
        <w:rPr>
          <w:sz w:val="20"/>
          <w:szCs w:val="20"/>
          <w:color w:val="auto"/>
        </w:rPr>
      </w:pPr>
      <w:r>
        <w:rPr>
          <w:rFonts w:ascii="Arial" w:cs="Arial" w:eastAsia="Arial" w:hAnsi="Arial"/>
          <w:sz w:val="13"/>
          <w:szCs w:val="13"/>
          <w:color w:val="auto"/>
        </w:rPr>
        <w:t>incurred a share-based compensation expense of $290.</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4 - Leases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Polestar Group as Lessee</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depicts the changes in the Group’s right-of-use assets, which are included within Property, plant, and equipment: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 w:type="dxa"/>
            <w:vAlign w:val="bottom"/>
          </w:tcPr>
          <w:p>
            <w:pPr>
              <w:spacing w:after="0"/>
              <w:rPr>
                <w:sz w:val="13"/>
                <w:szCs w:val="13"/>
                <w:color w:val="auto"/>
              </w:rPr>
            </w:pPr>
          </w:p>
        </w:tc>
        <w:tc>
          <w:tcPr>
            <w:tcW w:w="3960" w:type="dxa"/>
            <w:vAlign w:val="bottom"/>
            <w:shd w:val="clear" w:color="auto" w:fill="DBDBDB"/>
          </w:tcPr>
          <w:p>
            <w:pPr>
              <w:spacing w:after="0"/>
              <w:rPr>
                <w:sz w:val="13"/>
                <w:szCs w:val="13"/>
                <w:color w:val="auto"/>
              </w:rPr>
            </w:pPr>
          </w:p>
        </w:tc>
        <w:tc>
          <w:tcPr>
            <w:tcW w:w="31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080" w:type="dxa"/>
            <w:vAlign w:val="bottom"/>
            <w:tcBorders>
              <w:right w:val="single" w:sz="8" w:color="auto"/>
            </w:tcBorders>
            <w:shd w:val="clear" w:color="auto" w:fill="DBDBDB"/>
          </w:tcPr>
          <w:p>
            <w:pPr>
              <w:jc w:val="right"/>
              <w:ind w:right="136"/>
              <w:spacing w:after="0"/>
              <w:rPr>
                <w:sz w:val="20"/>
                <w:szCs w:val="20"/>
                <w:color w:val="auto"/>
              </w:rPr>
            </w:pPr>
            <w:r>
              <w:rPr>
                <w:rFonts w:ascii="Arial" w:cs="Arial" w:eastAsia="Arial" w:hAnsi="Arial"/>
                <w:sz w:val="13"/>
                <w:szCs w:val="13"/>
                <w:b w:val="1"/>
                <w:bCs w:val="1"/>
                <w:color w:val="auto"/>
                <w:w w:val="94"/>
              </w:rPr>
              <w:t>Machinery and</w:t>
            </w:r>
          </w:p>
        </w:tc>
        <w:tc>
          <w:tcPr>
            <w:tcW w:w="24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340" w:type="dxa"/>
            <w:vAlign w:val="bottom"/>
          </w:tcPr>
          <w:p>
            <w:pPr>
              <w:spacing w:after="0"/>
              <w:rPr>
                <w:sz w:val="13"/>
                <w:szCs w:val="13"/>
                <w:color w:val="auto"/>
              </w:rPr>
            </w:pPr>
          </w:p>
        </w:tc>
      </w:tr>
      <w:tr>
        <w:trPr>
          <w:trHeight w:val="184"/>
        </w:trPr>
        <w:tc>
          <w:tcPr>
            <w:tcW w:w="320" w:type="dxa"/>
            <w:vAlign w:val="bottom"/>
          </w:tcPr>
          <w:p>
            <w:pPr>
              <w:spacing w:after="0"/>
              <w:rPr>
                <w:sz w:val="16"/>
                <w:szCs w:val="16"/>
                <w:color w:val="auto"/>
              </w:rPr>
            </w:pPr>
          </w:p>
        </w:tc>
        <w:tc>
          <w:tcPr>
            <w:tcW w:w="3960" w:type="dxa"/>
            <w:vAlign w:val="bottom"/>
            <w:shd w:val="clear" w:color="auto" w:fill="DBDBDB"/>
          </w:tcPr>
          <w:p>
            <w:pPr>
              <w:spacing w:after="0"/>
              <w:rPr>
                <w:sz w:val="16"/>
                <w:szCs w:val="16"/>
                <w:color w:val="auto"/>
              </w:rPr>
            </w:pPr>
          </w:p>
        </w:tc>
        <w:tc>
          <w:tcPr>
            <w:tcW w:w="3120" w:type="dxa"/>
            <w:vAlign w:val="bottom"/>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w w:val="85"/>
              </w:rPr>
              <w:t>Buildings and land</w:t>
            </w:r>
          </w:p>
        </w:tc>
        <w:tc>
          <w:tcPr>
            <w:tcW w:w="14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right w:val="single" w:sz="8" w:color="auto"/>
            </w:tcBorders>
            <w:shd w:val="clear" w:color="auto" w:fill="DBDBDB"/>
          </w:tcPr>
          <w:p>
            <w:pPr>
              <w:jc w:val="right"/>
              <w:ind w:right="276"/>
              <w:spacing w:after="0"/>
              <w:rPr>
                <w:sz w:val="20"/>
                <w:szCs w:val="20"/>
                <w:color w:val="auto"/>
              </w:rPr>
            </w:pPr>
            <w:r>
              <w:rPr>
                <w:rFonts w:ascii="Arial" w:cs="Arial" w:eastAsia="Arial" w:hAnsi="Arial"/>
                <w:sz w:val="13"/>
                <w:szCs w:val="13"/>
                <w:b w:val="1"/>
                <w:bCs w:val="1"/>
                <w:color w:val="auto"/>
              </w:rPr>
              <w:t>equipment</w:t>
            </w:r>
          </w:p>
        </w:tc>
        <w:tc>
          <w:tcPr>
            <w:tcW w:w="2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6"/>
                <w:szCs w:val="16"/>
                <w:color w:val="auto"/>
              </w:rPr>
            </w:pPr>
          </w:p>
        </w:tc>
      </w:tr>
      <w:tr>
        <w:trPr>
          <w:trHeight w:val="161"/>
        </w:trPr>
        <w:tc>
          <w:tcPr>
            <w:tcW w:w="320" w:type="dxa"/>
            <w:vAlign w:val="bottom"/>
          </w:tcPr>
          <w:p>
            <w:pPr>
              <w:spacing w:after="0"/>
              <w:rPr>
                <w:sz w:val="13"/>
                <w:szCs w:val="13"/>
                <w:color w:val="auto"/>
              </w:rPr>
            </w:pPr>
          </w:p>
        </w:tc>
        <w:tc>
          <w:tcPr>
            <w:tcW w:w="3960" w:type="dxa"/>
            <w:vAlign w:val="bottom"/>
          </w:tcPr>
          <w:p>
            <w:pPr>
              <w:ind w:left="20"/>
              <w:spacing w:after="0"/>
              <w:rPr>
                <w:sz w:val="20"/>
                <w:szCs w:val="20"/>
                <w:color w:val="auto"/>
              </w:rPr>
            </w:pPr>
            <w:r>
              <w:rPr>
                <w:rFonts w:ascii="Arial" w:cs="Arial" w:eastAsia="Arial" w:hAnsi="Arial"/>
                <w:sz w:val="13"/>
                <w:szCs w:val="13"/>
                <w:b w:val="1"/>
                <w:bCs w:val="1"/>
                <w:color w:val="auto"/>
              </w:rPr>
              <w:t>Acquisition cost</w:t>
            </w:r>
          </w:p>
        </w:tc>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9"/>
        </w:trPr>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0"/>
        </w:trPr>
        <w:tc>
          <w:tcPr>
            <w:tcW w:w="320" w:type="dxa"/>
            <w:vAlign w:val="bottom"/>
          </w:tcPr>
          <w:p>
            <w:pPr>
              <w:spacing w:after="0"/>
              <w:rPr>
                <w:sz w:val="16"/>
                <w:szCs w:val="16"/>
                <w:color w:val="auto"/>
              </w:rPr>
            </w:pPr>
          </w:p>
        </w:tc>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as of January 1, 2023</w:t>
            </w:r>
          </w:p>
        </w:tc>
        <w:tc>
          <w:tcPr>
            <w:tcW w:w="31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89,609</w:t>
            </w:r>
          </w:p>
        </w:tc>
        <w:tc>
          <w:tcPr>
            <w:tcW w:w="14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color w:val="auto"/>
              </w:rPr>
              <w:t>45,416</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135,025</w:t>
            </w:r>
          </w:p>
        </w:tc>
        <w:tc>
          <w:tcPr>
            <w:tcW w:w="340" w:type="dxa"/>
            <w:vAlign w:val="bottom"/>
          </w:tcPr>
          <w:p>
            <w:pPr>
              <w:spacing w:after="0"/>
              <w:rPr>
                <w:sz w:val="16"/>
                <w:szCs w:val="16"/>
                <w:color w:val="auto"/>
              </w:rPr>
            </w:pPr>
          </w:p>
        </w:tc>
      </w:tr>
      <w:tr>
        <w:trPr>
          <w:trHeight w:val="181"/>
        </w:trPr>
        <w:tc>
          <w:tcPr>
            <w:tcW w:w="3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Additions</w:t>
            </w: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19,149</w:t>
            </w:r>
          </w:p>
        </w:tc>
        <w:tc>
          <w:tcPr>
            <w:tcW w:w="140" w:type="dxa"/>
            <w:vAlign w:val="bottom"/>
          </w:tcPr>
          <w:p>
            <w:pPr>
              <w:spacing w:after="0"/>
              <w:rPr>
                <w:sz w:val="15"/>
                <w:szCs w:val="15"/>
                <w:color w:val="auto"/>
              </w:rPr>
            </w:pPr>
          </w:p>
        </w:tc>
        <w:tc>
          <w:tcPr>
            <w:tcW w:w="108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19,149</w:t>
            </w:r>
          </w:p>
        </w:tc>
        <w:tc>
          <w:tcPr>
            <w:tcW w:w="340" w:type="dxa"/>
            <w:vAlign w:val="bottom"/>
          </w:tcPr>
          <w:p>
            <w:pPr>
              <w:spacing w:after="0"/>
              <w:rPr>
                <w:sz w:val="15"/>
                <w:szCs w:val="15"/>
                <w:color w:val="auto"/>
              </w:rPr>
            </w:pPr>
          </w:p>
        </w:tc>
      </w:tr>
      <w:tr>
        <w:trPr>
          <w:trHeight w:val="29"/>
        </w:trPr>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0"/>
        </w:trPr>
        <w:tc>
          <w:tcPr>
            <w:tcW w:w="320" w:type="dxa"/>
            <w:vAlign w:val="bottom"/>
          </w:tcPr>
          <w:p>
            <w:pPr>
              <w:spacing w:after="0"/>
              <w:rPr>
                <w:sz w:val="16"/>
                <w:szCs w:val="16"/>
                <w:color w:val="auto"/>
              </w:rPr>
            </w:pPr>
          </w:p>
        </w:tc>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Cancellations</w:t>
            </w:r>
          </w:p>
        </w:tc>
        <w:tc>
          <w:tcPr>
            <w:tcW w:w="31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(11,020)</w:t>
            </w:r>
          </w:p>
        </w:tc>
        <w:tc>
          <w:tcPr>
            <w:tcW w:w="14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(11,020)</w:t>
            </w:r>
          </w:p>
        </w:tc>
        <w:tc>
          <w:tcPr>
            <w:tcW w:w="340" w:type="dxa"/>
            <w:vAlign w:val="bottom"/>
          </w:tcPr>
          <w:p>
            <w:pPr>
              <w:spacing w:after="0"/>
              <w:rPr>
                <w:sz w:val="16"/>
                <w:szCs w:val="16"/>
                <w:color w:val="auto"/>
              </w:rPr>
            </w:pPr>
          </w:p>
        </w:tc>
      </w:tr>
      <w:tr>
        <w:trPr>
          <w:trHeight w:val="181"/>
        </w:trPr>
        <w:tc>
          <w:tcPr>
            <w:tcW w:w="3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Effect of foreign currency exchange rate differences</w:t>
            </w: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(1,245)</w:t>
            </w:r>
          </w:p>
        </w:tc>
        <w:tc>
          <w:tcPr>
            <w:tcW w:w="140" w:type="dxa"/>
            <w:vAlign w:val="bottom"/>
          </w:tcPr>
          <w:p>
            <w:pPr>
              <w:spacing w:after="0"/>
              <w:rPr>
                <w:sz w:val="15"/>
                <w:szCs w:val="15"/>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(2,280)</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(3,525)</w:t>
            </w:r>
          </w:p>
        </w:tc>
        <w:tc>
          <w:tcPr>
            <w:tcW w:w="340" w:type="dxa"/>
            <w:vAlign w:val="bottom"/>
          </w:tcPr>
          <w:p>
            <w:pPr>
              <w:spacing w:after="0"/>
              <w:rPr>
                <w:sz w:val="15"/>
                <w:szCs w:val="15"/>
                <w:color w:val="auto"/>
              </w:rPr>
            </w:pPr>
          </w:p>
        </w:tc>
      </w:tr>
      <w:tr>
        <w:trPr>
          <w:trHeight w:val="29"/>
        </w:trPr>
        <w:tc>
          <w:tcPr>
            <w:tcW w:w="320" w:type="dxa"/>
            <w:vAlign w:val="bottom"/>
          </w:tcPr>
          <w:p>
            <w:pPr>
              <w:spacing w:after="0"/>
              <w:rPr>
                <w:sz w:val="2"/>
                <w:szCs w:val="2"/>
                <w:color w:val="auto"/>
              </w:rPr>
            </w:pPr>
          </w:p>
        </w:tc>
        <w:tc>
          <w:tcPr>
            <w:tcW w:w="3960" w:type="dxa"/>
            <w:vAlign w:val="bottom"/>
            <w:tcBorders>
              <w:bottom w:val="single" w:sz="8" w:color="DBDBDB"/>
            </w:tcBorders>
          </w:tcPr>
          <w:p>
            <w:pPr>
              <w:spacing w:after="0"/>
              <w:rPr>
                <w:sz w:val="2"/>
                <w:szCs w:val="2"/>
                <w:color w:val="auto"/>
              </w:rPr>
            </w:pPr>
          </w:p>
        </w:tc>
        <w:tc>
          <w:tcPr>
            <w:tcW w:w="312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199"/>
        </w:trPr>
        <w:tc>
          <w:tcPr>
            <w:tcW w:w="320" w:type="dxa"/>
            <w:vAlign w:val="bottom"/>
          </w:tcPr>
          <w:p>
            <w:pPr>
              <w:spacing w:after="0"/>
              <w:rPr>
                <w:sz w:val="17"/>
                <w:szCs w:val="17"/>
                <w:color w:val="auto"/>
              </w:rPr>
            </w:pPr>
          </w:p>
        </w:tc>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320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96,493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43,136</w:t>
            </w:r>
          </w:p>
        </w:tc>
        <w:tc>
          <w:tcPr>
            <w:tcW w:w="240" w:type="dxa"/>
            <w:vAlign w:val="bottom"/>
            <w:tcBorders>
              <w:bottom w:val="single" w:sz="8" w:color="DBDBDB"/>
            </w:tcBorders>
            <w:shd w:val="clear" w:color="auto" w:fill="DBDBDB"/>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139,629</w:t>
            </w:r>
          </w:p>
        </w:tc>
        <w:tc>
          <w:tcPr>
            <w:tcW w:w="340" w:type="dxa"/>
            <w:vAlign w:val="bottom"/>
          </w:tcPr>
          <w:p>
            <w:pPr>
              <w:spacing w:after="0"/>
              <w:rPr>
                <w:sz w:val="17"/>
                <w:szCs w:val="17"/>
                <w:color w:val="auto"/>
              </w:rPr>
            </w:pPr>
          </w:p>
        </w:tc>
      </w:tr>
      <w:tr>
        <w:trPr>
          <w:trHeight w:val="161"/>
        </w:trPr>
        <w:tc>
          <w:tcPr>
            <w:tcW w:w="3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90"/>
        </w:trPr>
        <w:tc>
          <w:tcPr>
            <w:tcW w:w="320" w:type="dxa"/>
            <w:vAlign w:val="bottom"/>
          </w:tcPr>
          <w:p>
            <w:pPr>
              <w:spacing w:after="0"/>
              <w:rPr>
                <w:sz w:val="16"/>
                <w:szCs w:val="16"/>
                <w:color w:val="auto"/>
              </w:rPr>
            </w:pPr>
          </w:p>
        </w:tc>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Accumulated depreciation</w:t>
            </w:r>
          </w:p>
        </w:tc>
        <w:tc>
          <w:tcPr>
            <w:tcW w:w="31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right w:val="single" w:sz="8" w:color="auto"/>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spacing w:after="0"/>
              <w:rPr>
                <w:sz w:val="16"/>
                <w:szCs w:val="16"/>
                <w:color w:val="auto"/>
              </w:rPr>
            </w:pPr>
          </w:p>
        </w:tc>
        <w:tc>
          <w:tcPr>
            <w:tcW w:w="340" w:type="dxa"/>
            <w:vAlign w:val="bottom"/>
          </w:tcPr>
          <w:p>
            <w:pPr>
              <w:spacing w:after="0"/>
              <w:rPr>
                <w:sz w:val="16"/>
                <w:szCs w:val="16"/>
                <w:color w:val="auto"/>
              </w:rPr>
            </w:pPr>
          </w:p>
        </w:tc>
      </w:tr>
      <w:tr>
        <w:trPr>
          <w:trHeight w:val="181"/>
        </w:trPr>
        <w:tc>
          <w:tcPr>
            <w:tcW w:w="3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Balance as of January 1, 2023</w:t>
            </w: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(18,934)</w:t>
            </w:r>
          </w:p>
        </w:tc>
        <w:tc>
          <w:tcPr>
            <w:tcW w:w="140" w:type="dxa"/>
            <w:vAlign w:val="bottom"/>
          </w:tcPr>
          <w:p>
            <w:pPr>
              <w:spacing w:after="0"/>
              <w:rPr>
                <w:sz w:val="15"/>
                <w:szCs w:val="15"/>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(20,768)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(39,702)</w:t>
            </w:r>
          </w:p>
        </w:tc>
        <w:tc>
          <w:tcPr>
            <w:tcW w:w="340" w:type="dxa"/>
            <w:vAlign w:val="bottom"/>
          </w:tcPr>
          <w:p>
            <w:pPr>
              <w:spacing w:after="0"/>
              <w:rPr>
                <w:sz w:val="15"/>
                <w:szCs w:val="15"/>
                <w:color w:val="auto"/>
              </w:rPr>
            </w:pPr>
          </w:p>
        </w:tc>
      </w:tr>
      <w:tr>
        <w:trPr>
          <w:trHeight w:val="29"/>
        </w:trPr>
        <w:tc>
          <w:tcPr>
            <w:tcW w:w="3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190"/>
        </w:trPr>
        <w:tc>
          <w:tcPr>
            <w:tcW w:w="320" w:type="dxa"/>
            <w:vAlign w:val="bottom"/>
          </w:tcPr>
          <w:p>
            <w:pPr>
              <w:spacing w:after="0"/>
              <w:rPr>
                <w:sz w:val="16"/>
                <w:szCs w:val="16"/>
                <w:color w:val="auto"/>
              </w:rPr>
            </w:pPr>
          </w:p>
        </w:tc>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Depreciation expense</w:t>
            </w:r>
          </w:p>
        </w:tc>
        <w:tc>
          <w:tcPr>
            <w:tcW w:w="31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(8,347)</w:t>
            </w:r>
          </w:p>
        </w:tc>
        <w:tc>
          <w:tcPr>
            <w:tcW w:w="14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(2,392)</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(10,739)</w:t>
            </w:r>
          </w:p>
        </w:tc>
        <w:tc>
          <w:tcPr>
            <w:tcW w:w="340" w:type="dxa"/>
            <w:vAlign w:val="bottom"/>
          </w:tcPr>
          <w:p>
            <w:pPr>
              <w:spacing w:after="0"/>
              <w:rPr>
                <w:sz w:val="16"/>
                <w:szCs w:val="16"/>
                <w:color w:val="auto"/>
              </w:rPr>
            </w:pPr>
          </w:p>
        </w:tc>
      </w:tr>
      <w:tr>
        <w:trPr>
          <w:trHeight w:val="181"/>
        </w:trPr>
        <w:tc>
          <w:tcPr>
            <w:tcW w:w="3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Effect of foreign currency exchange rate differences</w:t>
            </w:r>
          </w:p>
        </w:tc>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706</w:t>
            </w:r>
          </w:p>
        </w:tc>
        <w:tc>
          <w:tcPr>
            <w:tcW w:w="140" w:type="dxa"/>
            <w:vAlign w:val="bottom"/>
          </w:tcPr>
          <w:p>
            <w:pPr>
              <w:spacing w:after="0"/>
              <w:rPr>
                <w:sz w:val="15"/>
                <w:szCs w:val="15"/>
                <w:color w:val="auto"/>
              </w:rPr>
            </w:pPr>
          </w:p>
        </w:tc>
        <w:tc>
          <w:tcPr>
            <w:tcW w:w="108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1,114</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1,820</w:t>
            </w:r>
          </w:p>
        </w:tc>
        <w:tc>
          <w:tcPr>
            <w:tcW w:w="340" w:type="dxa"/>
            <w:vAlign w:val="bottom"/>
          </w:tcPr>
          <w:p>
            <w:pPr>
              <w:spacing w:after="0"/>
              <w:rPr>
                <w:sz w:val="15"/>
                <w:szCs w:val="15"/>
                <w:color w:val="auto"/>
              </w:rPr>
            </w:pPr>
          </w:p>
        </w:tc>
      </w:tr>
      <w:tr>
        <w:trPr>
          <w:trHeight w:val="29"/>
        </w:trPr>
        <w:tc>
          <w:tcPr>
            <w:tcW w:w="320" w:type="dxa"/>
            <w:vAlign w:val="bottom"/>
          </w:tcPr>
          <w:p>
            <w:pPr>
              <w:spacing w:after="0"/>
              <w:rPr>
                <w:sz w:val="2"/>
                <w:szCs w:val="2"/>
                <w:color w:val="auto"/>
              </w:rPr>
            </w:pPr>
          </w:p>
        </w:tc>
        <w:tc>
          <w:tcPr>
            <w:tcW w:w="3960" w:type="dxa"/>
            <w:vAlign w:val="bottom"/>
            <w:tcBorders>
              <w:bottom w:val="single" w:sz="8" w:color="DBDBDB"/>
            </w:tcBorders>
          </w:tcPr>
          <w:p>
            <w:pPr>
              <w:spacing w:after="0"/>
              <w:rPr>
                <w:sz w:val="2"/>
                <w:szCs w:val="2"/>
                <w:color w:val="auto"/>
              </w:rPr>
            </w:pPr>
          </w:p>
        </w:tc>
        <w:tc>
          <w:tcPr>
            <w:tcW w:w="312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199"/>
        </w:trPr>
        <w:tc>
          <w:tcPr>
            <w:tcW w:w="320" w:type="dxa"/>
            <w:vAlign w:val="bottom"/>
          </w:tcPr>
          <w:p>
            <w:pPr>
              <w:spacing w:after="0"/>
              <w:rPr>
                <w:sz w:val="17"/>
                <w:szCs w:val="17"/>
                <w:color w:val="auto"/>
              </w:rPr>
            </w:pPr>
          </w:p>
        </w:tc>
        <w:tc>
          <w:tcPr>
            <w:tcW w:w="3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320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(26,575)</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(22,046)</w:t>
            </w:r>
          </w:p>
        </w:tc>
        <w:tc>
          <w:tcPr>
            <w:tcW w:w="240" w:type="dxa"/>
            <w:vAlign w:val="bottom"/>
            <w:tcBorders>
              <w:bottom w:val="single" w:sz="8" w:color="DBDBDB"/>
            </w:tcBorders>
            <w:shd w:val="clear" w:color="auto" w:fill="DBDBDB"/>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(48,621)</w:t>
            </w:r>
          </w:p>
        </w:tc>
        <w:tc>
          <w:tcPr>
            <w:tcW w:w="340" w:type="dxa"/>
            <w:vAlign w:val="bottom"/>
          </w:tcPr>
          <w:p>
            <w:pPr>
              <w:spacing w:after="0"/>
              <w:rPr>
                <w:sz w:val="17"/>
                <w:szCs w:val="17"/>
                <w:color w:val="auto"/>
              </w:rPr>
            </w:pPr>
          </w:p>
        </w:tc>
      </w:tr>
      <w:tr>
        <w:trPr>
          <w:trHeight w:val="590"/>
        </w:trPr>
        <w:tc>
          <w:tcPr>
            <w:tcW w:w="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120" w:type="dxa"/>
            <w:vAlign w:val="bottom"/>
          </w:tcPr>
          <w:p>
            <w:pPr>
              <w:jc w:val="right"/>
              <w:ind w:right="1636"/>
              <w:spacing w:after="0"/>
              <w:rPr>
                <w:sz w:val="20"/>
                <w:szCs w:val="20"/>
                <w:color w:val="auto"/>
              </w:rPr>
            </w:pPr>
            <w:r>
              <w:rPr>
                <w:rFonts w:ascii="Arial" w:cs="Arial" w:eastAsia="Arial" w:hAnsi="Arial"/>
                <w:sz w:val="13"/>
                <w:szCs w:val="13"/>
                <w:color w:val="auto"/>
              </w:rPr>
              <w:t>11</w:t>
            </w:r>
          </w:p>
        </w:tc>
        <w:tc>
          <w:tcPr>
            <w:tcW w:w="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86"/>
        </w:trPr>
        <w:tc>
          <w:tcPr>
            <w:tcW w:w="320" w:type="dxa"/>
            <w:vAlign w:val="bottom"/>
            <w:tcBorders>
              <w:bottom w:val="single" w:sz="8" w:color="9A9A9A"/>
            </w:tcBorders>
          </w:tcPr>
          <w:p>
            <w:pPr>
              <w:spacing w:after="0"/>
              <w:rPr>
                <w:sz w:val="7"/>
                <w:szCs w:val="7"/>
                <w:color w:val="auto"/>
              </w:rPr>
            </w:pPr>
          </w:p>
        </w:tc>
        <w:tc>
          <w:tcPr>
            <w:tcW w:w="396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-24130</wp:posOffset>
            </wp:positionV>
            <wp:extent cx="3175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5" w:name="page16"/>
    <w:bookmarkEnd w:id="15"/>
    <w:tbl>
      <w:tblPr>
        <w:tblLayout w:type="fixed"/>
        <w:tblInd w:w="320" w:type="dxa"/>
        <w:tblCellMar>
          <w:top w:w="0" w:type="dxa"/>
          <w:left w:w="0" w:type="dxa"/>
          <w:bottom w:w="0" w:type="dxa"/>
          <w:right w:w="0" w:type="dxa"/>
        </w:tblCellMar>
      </w:tblPr>
      <w:tr>
        <w:trPr>
          <w:trHeight w:val="181"/>
        </w:trPr>
        <w:tc>
          <w:tcPr>
            <w:tcW w:w="7080" w:type="dxa"/>
            <w:vAlign w:val="bottom"/>
            <w:tcBorders>
              <w:bottom w:val="single" w:sz="8" w:color="DBDBDB"/>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r>
      <w:tr>
        <w:trPr>
          <w:trHeight w:val="179"/>
        </w:trPr>
        <w:tc>
          <w:tcPr>
            <w:tcW w:w="7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Carrying amount as of June 30, 2023</w:t>
            </w:r>
          </w:p>
        </w:tc>
        <w:tc>
          <w:tcPr>
            <w:tcW w:w="420" w:type="dxa"/>
            <w:vAlign w:val="bottom"/>
            <w:tcBorders>
              <w:bottom w:val="single" w:sz="8" w:color="DBDBDB"/>
            </w:tcBorders>
            <w:shd w:val="clear" w:color="auto" w:fill="DBDBDB"/>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69,918</w:t>
            </w:r>
          </w:p>
        </w:tc>
        <w:tc>
          <w:tcPr>
            <w:tcW w:w="46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21,090</w:t>
            </w:r>
          </w:p>
        </w:tc>
        <w:tc>
          <w:tcPr>
            <w:tcW w:w="420" w:type="dxa"/>
            <w:vAlign w:val="bottom"/>
            <w:tcBorders>
              <w:bottom w:val="single" w:sz="8" w:color="DBDBDB"/>
            </w:tcBorders>
            <w:shd w:val="clear" w:color="auto" w:fill="DBDBDB"/>
          </w:tcPr>
          <w:p>
            <w:pPr>
              <w:jc w:val="right"/>
              <w:ind w:right="31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91,008</w:t>
            </w:r>
          </w:p>
        </w:tc>
      </w:tr>
      <w:tr>
        <w:trPr>
          <w:trHeight w:val="20"/>
        </w:trPr>
        <w:tc>
          <w:tcPr>
            <w:tcW w:w="70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Amounts related to leases recognized in the Unaudited Condensed Consolidated Statement of Loss and Comprehensive Loss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55880</wp:posOffset>
            </wp:positionV>
            <wp:extent cx="6464300" cy="121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4300" cy="121285"/>
                    </a:xfrm>
                    <a:prstGeom prst="rect">
                      <a:avLst/>
                    </a:prstGeom>
                    <a:noFill/>
                  </pic:spPr>
                </pic:pic>
              </a:graphicData>
            </a:graphic>
          </wp:anchor>
        </w:drawing>
      </w:r>
    </w:p>
    <w:p>
      <w:pPr>
        <w:sectPr>
          <w:pgSz w:w="11900" w:h="16838" w:orient="portrait"/>
          <w:cols w:equalWidth="0" w:num="1">
            <w:col w:w="11300"/>
          </w:cols>
          <w:pgMar w:left="300" w:top="596" w:right="299" w:bottom="1440" w:gutter="0" w:footer="0" w:header="0"/>
        </w:sectPr>
      </w:pPr>
    </w:p>
    <w:p>
      <w:pPr>
        <w:spacing w:after="0" w:line="94" w:lineRule="exact"/>
        <w:rPr>
          <w:sz w:val="20"/>
          <w:szCs w:val="20"/>
          <w:color w:val="auto"/>
        </w:rPr>
      </w:pPr>
    </w:p>
    <w:p>
      <w:pPr>
        <w:jc w:val="center"/>
        <w:ind w:left="6220"/>
        <w:spacing w:after="0"/>
        <w:rPr>
          <w:sz w:val="20"/>
          <w:szCs w:val="20"/>
          <w:color w:val="auto"/>
        </w:rPr>
      </w:pPr>
      <w:r>
        <w:rPr>
          <w:rFonts w:ascii="Arial" w:cs="Arial" w:eastAsia="Arial" w:hAnsi="Arial"/>
          <w:sz w:val="11"/>
          <w:szCs w:val="11"/>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36830</wp:posOffset>
            </wp:positionV>
            <wp:extent cx="144081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0815" cy="6350"/>
                    </a:xfrm>
                    <a:prstGeom prst="rect">
                      <a:avLst/>
                    </a:prstGeom>
                    <a:noFill/>
                  </pic:spPr>
                </pic:pic>
              </a:graphicData>
            </a:graphic>
          </wp:anchor>
        </w:drawing>
      </w:r>
    </w:p>
    <w:p>
      <w:pPr>
        <w:spacing w:after="0" w:line="54" w:lineRule="exact"/>
        <w:rPr>
          <w:sz w:val="20"/>
          <w:szCs w:val="20"/>
          <w:color w:val="auto"/>
        </w:rPr>
      </w:pPr>
    </w:p>
    <w:p>
      <w:pPr>
        <w:ind w:left="6520"/>
        <w:spacing w:after="0"/>
        <w:tabs>
          <w:tab w:leader="none" w:pos="76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78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36830</wp:posOffset>
            </wp:positionV>
            <wp:extent cx="144081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0815" cy="6350"/>
                    </a:xfrm>
                    <a:prstGeom prst="rect">
                      <a:avLst/>
                    </a:prstGeom>
                    <a:noFill/>
                  </pic:spPr>
                </pic:pic>
              </a:graphicData>
            </a:graphic>
          </wp:anchor>
        </w:drawing>
      </w:r>
    </w:p>
    <w:p>
      <w:pPr>
        <w:spacing w:after="0" w:line="54"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16" w:lineRule="exact"/>
        <w:rPr>
          <w:sz w:val="20"/>
          <w:szCs w:val="20"/>
          <w:color w:val="auto"/>
        </w:rPr>
      </w:pPr>
    </w:p>
    <w:p>
      <w:pPr>
        <w:sectPr>
          <w:pgSz w:w="11900" w:h="16838" w:orient="portrait"/>
          <w:cols w:equalWidth="0" w:num="2">
            <w:col w:w="8200" w:space="480"/>
            <w:col w:w="2620"/>
          </w:cols>
          <w:pgMar w:left="300" w:top="596" w:right="29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60" w:type="dxa"/>
            <w:vAlign w:val="bottom"/>
          </w:tcPr>
          <w:p>
            <w:pPr>
              <w:spacing w:after="0"/>
              <w:rPr>
                <w:sz w:val="17"/>
                <w:szCs w:val="17"/>
                <w:color w:val="auto"/>
              </w:rPr>
            </w:pPr>
          </w:p>
        </w:tc>
        <w:tc>
          <w:tcPr>
            <w:tcW w:w="552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Income from sub-leasing right-of-use assets</w:t>
            </w:r>
          </w:p>
        </w:tc>
        <w:tc>
          <w:tcPr>
            <w:tcW w:w="1520" w:type="dxa"/>
            <w:vAlign w:val="bottom"/>
            <w:tcBorders>
              <w:top w:val="single" w:sz="8" w:color="auto"/>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color w:val="auto"/>
              </w:rPr>
              <w:t>252</w:t>
            </w:r>
          </w:p>
        </w:tc>
        <w:tc>
          <w:tcPr>
            <w:tcW w:w="7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340" w:type="dxa"/>
            <w:vAlign w:val="bottom"/>
            <w:tcBorders>
              <w:top w:val="single" w:sz="8" w:color="auto"/>
              <w:bottom w:val="single" w:sz="8" w:color="DBDBDB"/>
            </w:tcBorders>
            <w:shd w:val="clear" w:color="auto" w:fill="DBDBDB"/>
          </w:tcPr>
          <w:p>
            <w:pPr>
              <w:spacing w:after="0"/>
              <w:rPr>
                <w:sz w:val="17"/>
                <w:szCs w:val="17"/>
                <w:color w:val="auto"/>
              </w:rPr>
            </w:pPr>
          </w:p>
        </w:tc>
        <w:tc>
          <w:tcPr>
            <w:tcW w:w="7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527</w:t>
            </w:r>
          </w:p>
        </w:tc>
        <w:tc>
          <w:tcPr>
            <w:tcW w:w="260" w:type="dxa"/>
            <w:vAlign w:val="bottom"/>
            <w:tcBorders>
              <w:top w:val="single" w:sz="8" w:color="auto"/>
              <w:bottom w:val="single" w:sz="8" w:color="DBDBDB"/>
            </w:tcBorders>
            <w:shd w:val="clear" w:color="auto" w:fill="DBDBDB"/>
          </w:tcPr>
          <w:p>
            <w:pPr>
              <w:spacing w:after="0"/>
              <w:rPr>
                <w:sz w:val="17"/>
                <w:szCs w:val="17"/>
                <w:color w:val="auto"/>
              </w:rPr>
            </w:pPr>
          </w:p>
        </w:tc>
        <w:tc>
          <w:tcPr>
            <w:tcW w:w="8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615</w:t>
            </w:r>
          </w:p>
        </w:tc>
        <w:tc>
          <w:tcPr>
            <w:tcW w:w="20" w:type="dxa"/>
            <w:vAlign w:val="bottom"/>
            <w:tcBorders>
              <w:top w:val="single" w:sz="8" w:color="auto"/>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Arial" w:cs="Arial" w:eastAsia="Arial" w:hAnsi="Arial"/>
                <w:sz w:val="13"/>
                <w:szCs w:val="13"/>
                <w:color w:val="auto"/>
              </w:rPr>
              <w:t>Expense relating to short-term leases</w:t>
            </w:r>
          </w:p>
        </w:tc>
        <w:tc>
          <w:tcPr>
            <w:tcW w:w="1520" w:type="dxa"/>
            <w:vAlign w:val="bottom"/>
          </w:tcPr>
          <w:p>
            <w:pPr>
              <w:jc w:val="right"/>
              <w:ind w:right="376"/>
              <w:spacing w:after="0"/>
              <w:rPr>
                <w:sz w:val="20"/>
                <w:szCs w:val="20"/>
                <w:color w:val="auto"/>
              </w:rPr>
            </w:pPr>
            <w:r>
              <w:rPr>
                <w:rFonts w:ascii="Arial" w:cs="Arial" w:eastAsia="Arial" w:hAnsi="Arial"/>
                <w:sz w:val="13"/>
                <w:szCs w:val="13"/>
                <w:color w:val="auto"/>
              </w:rPr>
              <w:t>247</w:t>
            </w:r>
          </w:p>
        </w:tc>
        <w:tc>
          <w:tcPr>
            <w:tcW w:w="760" w:type="dxa"/>
            <w:vAlign w:val="bottom"/>
          </w:tcPr>
          <w:p>
            <w:pPr>
              <w:jc w:val="right"/>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495</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55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Expense relating to leases of low value assets</w:t>
            </w:r>
          </w:p>
        </w:tc>
        <w:tc>
          <w:tcPr>
            <w:tcW w:w="1520" w:type="dxa"/>
            <w:vAlign w:val="bottom"/>
            <w:tcBorders>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1,899</w:t>
            </w:r>
          </w:p>
        </w:tc>
        <w:tc>
          <w:tcPr>
            <w:tcW w:w="10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w:t>
            </w:r>
          </w:p>
        </w:tc>
        <w:tc>
          <w:tcPr>
            <w:tcW w:w="2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1,911</w:t>
            </w:r>
          </w:p>
        </w:tc>
        <w:tc>
          <w:tcPr>
            <w:tcW w:w="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Arial" w:cs="Arial" w:eastAsia="Arial" w:hAnsi="Arial"/>
                <w:sz w:val="13"/>
                <w:szCs w:val="13"/>
                <w:color w:val="auto"/>
              </w:rPr>
              <w:t>Interest expense on leases</w:t>
            </w:r>
          </w:p>
        </w:tc>
        <w:tc>
          <w:tcPr>
            <w:tcW w:w="1520" w:type="dxa"/>
            <w:vAlign w:val="bottom"/>
          </w:tcPr>
          <w:p>
            <w:pPr>
              <w:jc w:val="right"/>
              <w:ind w:right="376"/>
              <w:spacing w:after="0"/>
              <w:rPr>
                <w:sz w:val="20"/>
                <w:szCs w:val="20"/>
                <w:color w:val="auto"/>
              </w:rPr>
            </w:pPr>
            <w:r>
              <w:rPr>
                <w:rFonts w:ascii="Arial" w:cs="Arial" w:eastAsia="Arial" w:hAnsi="Arial"/>
                <w:sz w:val="13"/>
                <w:szCs w:val="13"/>
                <w:color w:val="auto"/>
              </w:rPr>
              <w:t>1,138</w:t>
            </w:r>
          </w:p>
        </w:tc>
        <w:tc>
          <w:tcPr>
            <w:tcW w:w="760" w:type="dxa"/>
            <w:vAlign w:val="bottom"/>
          </w:tcPr>
          <w:p>
            <w:pPr>
              <w:jc w:val="right"/>
              <w:spacing w:after="0"/>
              <w:rPr>
                <w:sz w:val="20"/>
                <w:szCs w:val="20"/>
                <w:color w:val="auto"/>
              </w:rPr>
            </w:pPr>
            <w:r>
              <w:rPr>
                <w:rFonts w:ascii="Arial" w:cs="Arial" w:eastAsia="Arial" w:hAnsi="Arial"/>
                <w:sz w:val="13"/>
                <w:szCs w:val="13"/>
                <w:color w:val="auto"/>
              </w:rPr>
              <w:t>1,090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2,166</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080" w:type="dxa"/>
            <w:vAlign w:val="bottom"/>
            <w:gridSpan w:val="2"/>
          </w:tcPr>
          <w:p>
            <w:pPr>
              <w:spacing w:after="0"/>
              <w:rPr>
                <w:sz w:val="20"/>
                <w:szCs w:val="20"/>
                <w:color w:val="auto"/>
              </w:rPr>
            </w:pPr>
            <w:r>
              <w:rPr>
                <w:rFonts w:ascii="Arial" w:cs="Arial" w:eastAsia="Arial" w:hAnsi="Arial"/>
                <w:sz w:val="13"/>
                <w:szCs w:val="13"/>
                <w:color w:val="auto"/>
              </w:rPr>
              <w:t>The current and non-current portion of the Group’s lease liabilities were as follows:</w:t>
            </w:r>
          </w:p>
        </w:tc>
        <w:tc>
          <w:tcPr>
            <w:tcW w:w="1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560" w:type="dxa"/>
            <w:vAlign w:val="bottom"/>
          </w:tcPr>
          <w:p>
            <w:pPr>
              <w:spacing w:after="0"/>
              <w:rPr>
                <w:sz w:val="6"/>
                <w:szCs w:val="6"/>
                <w:color w:val="auto"/>
              </w:rPr>
            </w:pPr>
          </w:p>
        </w:tc>
        <w:tc>
          <w:tcPr>
            <w:tcW w:w="55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560" w:type="dxa"/>
            <w:vAlign w:val="bottom"/>
          </w:tcPr>
          <w:p>
            <w:pPr>
              <w:spacing w:after="0"/>
              <w:rPr>
                <w:sz w:val="13"/>
                <w:szCs w:val="13"/>
                <w:color w:val="auto"/>
              </w:rPr>
            </w:pPr>
          </w:p>
        </w:tc>
        <w:tc>
          <w:tcPr>
            <w:tcW w:w="5520" w:type="dxa"/>
            <w:vAlign w:val="bottom"/>
            <w:shd w:val="clear" w:color="auto" w:fill="DBDBDB"/>
          </w:tcPr>
          <w:p>
            <w:pPr>
              <w:spacing w:after="0"/>
              <w:rPr>
                <w:sz w:val="13"/>
                <w:szCs w:val="13"/>
                <w:color w:val="auto"/>
              </w:rPr>
            </w:pPr>
          </w:p>
        </w:tc>
        <w:tc>
          <w:tcPr>
            <w:tcW w:w="152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center"/>
              <w:spacing w:after="0"/>
              <w:rPr>
                <w:sz w:val="20"/>
                <w:szCs w:val="20"/>
                <w:color w:val="auto"/>
              </w:rPr>
            </w:pPr>
            <w:r>
              <w:rPr>
                <w:rFonts w:ascii="Arial" w:cs="Arial" w:eastAsia="Arial" w:hAnsi="Arial"/>
                <w:sz w:val="13"/>
                <w:szCs w:val="13"/>
                <w:b w:val="1"/>
                <w:bCs w:val="1"/>
                <w:color w:val="auto"/>
                <w:w w:val="86"/>
              </w:rPr>
              <w:t>As of 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552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w w:val="86"/>
              </w:rPr>
              <w:t>As of June 30, 2023</w:t>
            </w:r>
          </w:p>
        </w:tc>
        <w:tc>
          <w:tcPr>
            <w:tcW w:w="26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center"/>
              <w:ind w:right="176"/>
              <w:spacing w:after="0"/>
              <w:rPr>
                <w:sz w:val="20"/>
                <w:szCs w:val="20"/>
                <w:color w:val="auto"/>
              </w:rPr>
            </w:pPr>
            <w:r>
              <w:rPr>
                <w:rFonts w:ascii="Arial" w:cs="Arial" w:eastAsia="Arial" w:hAnsi="Arial"/>
                <w:sz w:val="13"/>
                <w:szCs w:val="13"/>
                <w:b w:val="1"/>
                <w:bCs w:val="1"/>
                <w:color w:val="auto"/>
                <w:w w:val="82"/>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3"/>
                <w:szCs w:val="13"/>
                <w:color w:val="auto"/>
              </w:rPr>
              <w:t>Current lease liability</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27,658</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21,545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5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Non-current lease liability</w:t>
            </w:r>
          </w:p>
        </w:tc>
        <w:tc>
          <w:tcPr>
            <w:tcW w:w="15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75,793</w:t>
            </w:r>
          </w:p>
        </w:tc>
        <w:tc>
          <w:tcPr>
            <w:tcW w:w="2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85,556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52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360" w:type="dxa"/>
            <w:vAlign w:val="bottom"/>
            <w:tcBorders>
              <w:top w:val="single" w:sz="8" w:color="auto"/>
            </w:tcBorders>
            <w:gridSpan w:val="2"/>
          </w:tcPr>
          <w:p>
            <w:pPr>
              <w:jc w:val="right"/>
              <w:ind w:right="236"/>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103,451</w:t>
            </w:r>
          </w:p>
        </w:tc>
        <w:tc>
          <w:tcPr>
            <w:tcW w:w="2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107,101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080" w:type="dxa"/>
            <w:vAlign w:val="bottom"/>
            <w:gridSpan w:val="2"/>
            <w:vMerge w:val="restart"/>
          </w:tcPr>
          <w:p>
            <w:pPr>
              <w:spacing w:after="0"/>
              <w:rPr>
                <w:sz w:val="20"/>
                <w:szCs w:val="20"/>
                <w:color w:val="auto"/>
              </w:rPr>
            </w:pPr>
            <w:r>
              <w:rPr>
                <w:rFonts w:ascii="Arial" w:cs="Arial" w:eastAsia="Arial" w:hAnsi="Arial"/>
                <w:sz w:val="13"/>
                <w:szCs w:val="13"/>
                <w:color w:val="auto"/>
              </w:rPr>
              <w:t>Expected future lease payments to be made to satisfy the Group’s lease liabilities are as follows:</w:t>
            </w: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080" w:type="dxa"/>
            <w:vAlign w:val="bottom"/>
            <w:gridSpan w:val="2"/>
            <w:vMerge w:val="continue"/>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560" w:type="dxa"/>
            <w:vAlign w:val="bottom"/>
          </w:tcPr>
          <w:p>
            <w:pPr>
              <w:spacing w:after="0"/>
              <w:rPr>
                <w:sz w:val="6"/>
                <w:szCs w:val="6"/>
                <w:color w:val="auto"/>
              </w:rPr>
            </w:pPr>
          </w:p>
        </w:tc>
        <w:tc>
          <w:tcPr>
            <w:tcW w:w="55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552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100" w:type="dxa"/>
            <w:vAlign w:val="bottom"/>
            <w:gridSpan w:val="2"/>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w w:val="86"/>
              </w:rPr>
              <w:t>As of June 30, 2023</w:t>
            </w:r>
          </w:p>
        </w:tc>
        <w:tc>
          <w:tcPr>
            <w:tcW w:w="1140" w:type="dxa"/>
            <w:vAlign w:val="bottom"/>
            <w:gridSpan w:val="2"/>
            <w:shd w:val="clear" w:color="auto" w:fill="DBDBDB"/>
          </w:tcPr>
          <w:p>
            <w:pPr>
              <w:jc w:val="center"/>
              <w:spacing w:after="0"/>
              <w:rPr>
                <w:sz w:val="20"/>
                <w:szCs w:val="20"/>
                <w:color w:val="auto"/>
              </w:rPr>
            </w:pPr>
            <w:r>
              <w:rPr>
                <w:rFonts w:ascii="Arial" w:cs="Arial" w:eastAsia="Arial" w:hAnsi="Arial"/>
                <w:sz w:val="13"/>
                <w:szCs w:val="13"/>
                <w:b w:val="1"/>
                <w:bCs w:val="1"/>
                <w:color w:val="auto"/>
                <w:w w:val="86"/>
              </w:rPr>
              <w:t>As of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5520" w:type="dxa"/>
            <w:vAlign w:val="bottom"/>
            <w:shd w:val="clear" w:color="auto" w:fill="DBDBDB"/>
          </w:tcPr>
          <w:p>
            <w:pPr>
              <w:spacing w:after="0"/>
              <w:rPr>
                <w:sz w:val="15"/>
                <w:szCs w:val="15"/>
                <w:color w:val="auto"/>
              </w:rPr>
            </w:pPr>
          </w:p>
        </w:tc>
        <w:tc>
          <w:tcPr>
            <w:tcW w:w="152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gridSpan w:val="2"/>
            <w:vMerge w:val="continue"/>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center"/>
              <w:ind w:right="176"/>
              <w:spacing w:after="0"/>
              <w:rPr>
                <w:sz w:val="20"/>
                <w:szCs w:val="20"/>
                <w:color w:val="auto"/>
              </w:rPr>
            </w:pPr>
            <w:r>
              <w:rPr>
                <w:rFonts w:ascii="Arial" w:cs="Arial" w:eastAsia="Arial" w:hAnsi="Arial"/>
                <w:sz w:val="13"/>
                <w:szCs w:val="13"/>
                <w:b w:val="1"/>
                <w:bCs w:val="1"/>
                <w:color w:val="auto"/>
                <w:w w:val="82"/>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Arial" w:cs="Arial" w:eastAsia="Arial" w:hAnsi="Arial"/>
                <w:sz w:val="13"/>
                <w:szCs w:val="13"/>
                <w:color w:val="auto"/>
              </w:rPr>
              <w:t>Within 1 year</w:t>
            </w:r>
          </w:p>
        </w:tc>
        <w:tc>
          <w:tcPr>
            <w:tcW w:w="1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28,353</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21,717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5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Between 1 and 2 years</w:t>
            </w:r>
          </w:p>
        </w:tc>
        <w:tc>
          <w:tcPr>
            <w:tcW w:w="15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28,929</w:t>
            </w:r>
          </w:p>
        </w:tc>
        <w:tc>
          <w:tcPr>
            <w:tcW w:w="26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3"/>
                <w:szCs w:val="13"/>
                <w:color w:val="auto"/>
              </w:rPr>
              <w:t>Between 2 and 3 years</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23,631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20,739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60" w:type="dxa"/>
            <w:vAlign w:val="bottom"/>
          </w:tcPr>
          <w:p>
            <w:pPr>
              <w:spacing w:after="0"/>
              <w:rPr>
                <w:sz w:val="16"/>
                <w:szCs w:val="16"/>
                <w:color w:val="auto"/>
              </w:rPr>
            </w:pPr>
          </w:p>
        </w:tc>
        <w:tc>
          <w:tcPr>
            <w:tcW w:w="5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Between 3 and 4 years</w:t>
            </w:r>
          </w:p>
        </w:tc>
        <w:tc>
          <w:tcPr>
            <w:tcW w:w="15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22,140</w:t>
            </w:r>
          </w:p>
        </w:tc>
        <w:tc>
          <w:tcPr>
            <w:tcW w:w="26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17,924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Arial" w:cs="Arial" w:eastAsia="Arial" w:hAnsi="Arial"/>
                <w:sz w:val="13"/>
                <w:szCs w:val="13"/>
                <w:color w:val="auto"/>
              </w:rPr>
              <w:t>Between 4 and 5 years</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8,614</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5,987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5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Later than 5 years</w:t>
            </w:r>
          </w:p>
        </w:tc>
        <w:tc>
          <w:tcPr>
            <w:tcW w:w="15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16,985</w:t>
            </w:r>
          </w:p>
        </w:tc>
        <w:tc>
          <w:tcPr>
            <w:tcW w:w="2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29,613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55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52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360" w:type="dxa"/>
            <w:vAlign w:val="bottom"/>
            <w:tcBorders>
              <w:top w:val="single" w:sz="8" w:color="auto"/>
            </w:tcBorders>
            <w:gridSpan w:val="2"/>
          </w:tcPr>
          <w:p>
            <w:pPr>
              <w:jc w:val="right"/>
              <w:ind w:right="236"/>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128,652</w:t>
            </w:r>
          </w:p>
        </w:tc>
        <w:tc>
          <w:tcPr>
            <w:tcW w:w="2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120,464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For the six months ended June 30, 2023 and 2022, total cash outflows for leases amounted to $11,436 and $6,124, respectively.</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Polestar Group as Lessor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040" w:type="dxa"/>
            <w:vAlign w:val="bottom"/>
            <w:gridSpan w:val="2"/>
          </w:tcPr>
          <w:p>
            <w:pPr>
              <w:spacing w:after="0"/>
              <w:rPr>
                <w:sz w:val="20"/>
                <w:szCs w:val="20"/>
                <w:color w:val="auto"/>
              </w:rPr>
            </w:pPr>
            <w:r>
              <w:rPr>
                <w:rFonts w:ascii="Arial" w:cs="Arial" w:eastAsia="Arial" w:hAnsi="Arial"/>
                <w:sz w:val="13"/>
                <w:szCs w:val="13"/>
                <w:color w:val="auto"/>
              </w:rPr>
              <w:t>As a lessor, revenue recognized from operating leases was as follows: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
        </w:trPr>
        <w:tc>
          <w:tcPr>
            <w:tcW w:w="10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3"/>
          </w:tcPr>
          <w:p>
            <w:pPr>
              <w:spacing w:after="0"/>
              <w:rPr>
                <w:sz w:val="2"/>
                <w:szCs w:val="2"/>
                <w:color w:val="auto"/>
              </w:rPr>
            </w:pPr>
          </w:p>
        </w:tc>
      </w:tr>
      <w:tr>
        <w:trPr>
          <w:trHeight w:val="181"/>
        </w:trPr>
        <w:tc>
          <w:tcPr>
            <w:tcW w:w="1000" w:type="dxa"/>
            <w:vAlign w:val="bottom"/>
          </w:tcPr>
          <w:p>
            <w:pPr>
              <w:spacing w:after="0"/>
              <w:rPr>
                <w:sz w:val="15"/>
                <w:szCs w:val="15"/>
                <w:color w:val="auto"/>
              </w:rPr>
            </w:pPr>
          </w:p>
        </w:tc>
        <w:tc>
          <w:tcPr>
            <w:tcW w:w="5040" w:type="dxa"/>
            <w:vAlign w:val="bottom"/>
            <w:shd w:val="clear" w:color="auto" w:fill="DBDBDB"/>
          </w:tcPr>
          <w:p>
            <w:pPr>
              <w:spacing w:after="0"/>
              <w:rPr>
                <w:sz w:val="15"/>
                <w:szCs w:val="15"/>
                <w:color w:val="auto"/>
              </w:rPr>
            </w:pPr>
          </w:p>
        </w:tc>
        <w:tc>
          <w:tcPr>
            <w:tcW w:w="2180" w:type="dxa"/>
            <w:vAlign w:val="bottom"/>
            <w:gridSpan w:val="5"/>
            <w:shd w:val="clear" w:color="auto" w:fill="DBDBDB"/>
          </w:tcPr>
          <w:p>
            <w:pPr>
              <w:jc w:val="right"/>
              <w:ind w:right="160"/>
              <w:spacing w:after="0"/>
              <w:rPr>
                <w:sz w:val="20"/>
                <w:szCs w:val="20"/>
                <w:color w:val="auto"/>
              </w:rPr>
            </w:pPr>
            <w:r>
              <w:rPr>
                <w:rFonts w:ascii="Arial" w:cs="Arial" w:eastAsia="Arial" w:hAnsi="Arial"/>
                <w:sz w:val="13"/>
                <w:szCs w:val="13"/>
                <w:b w:val="1"/>
                <w:bCs w:val="1"/>
                <w:color w:val="auto"/>
                <w:w w:val="87"/>
              </w:rPr>
              <w:t>For the three months ended June 30,</w:t>
            </w:r>
          </w:p>
        </w:tc>
        <w:tc>
          <w:tcPr>
            <w:tcW w:w="100" w:type="dxa"/>
            <w:vAlign w:val="bottom"/>
            <w:shd w:val="clear" w:color="auto" w:fill="DBDBDB"/>
          </w:tcPr>
          <w:p>
            <w:pPr>
              <w:spacing w:after="0"/>
              <w:rPr>
                <w:sz w:val="15"/>
                <w:szCs w:val="15"/>
                <w:color w:val="auto"/>
              </w:rPr>
            </w:pPr>
          </w:p>
        </w:tc>
        <w:tc>
          <w:tcPr>
            <w:tcW w:w="1980" w:type="dxa"/>
            <w:vAlign w:val="bottom"/>
            <w:gridSpan w:val="3"/>
            <w:shd w:val="clear" w:color="auto" w:fill="DBDBDB"/>
          </w:tcPr>
          <w:p>
            <w:pPr>
              <w:jc w:val="right"/>
              <w:ind w:right="56"/>
              <w:spacing w:after="0"/>
              <w:rPr>
                <w:sz w:val="20"/>
                <w:szCs w:val="20"/>
                <w:color w:val="auto"/>
              </w:rPr>
            </w:pPr>
            <w:r>
              <w:rPr>
                <w:rFonts w:ascii="Arial" w:cs="Arial" w:eastAsia="Arial" w:hAnsi="Arial"/>
                <w:sz w:val="13"/>
                <w:szCs w:val="13"/>
                <w:b w:val="1"/>
                <w:bCs w:val="1"/>
                <w:color w:val="auto"/>
                <w:w w:val="86"/>
              </w:rPr>
              <w:t>For the six months ended June 30,</w:t>
            </w:r>
          </w:p>
        </w:tc>
      </w:tr>
      <w:tr>
        <w:trPr>
          <w:trHeight w:val="180"/>
        </w:trPr>
        <w:tc>
          <w:tcPr>
            <w:tcW w:w="1000" w:type="dxa"/>
            <w:vAlign w:val="bottom"/>
          </w:tcPr>
          <w:p>
            <w:pPr>
              <w:spacing w:after="0"/>
              <w:rPr>
                <w:sz w:val="15"/>
                <w:szCs w:val="15"/>
                <w:color w:val="auto"/>
              </w:rPr>
            </w:pPr>
          </w:p>
        </w:tc>
        <w:tc>
          <w:tcPr>
            <w:tcW w:w="5040" w:type="dxa"/>
            <w:vAlign w:val="bottom"/>
            <w:tcBorders>
              <w:bottom w:val="single" w:sz="8" w:color="DBDBDB"/>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DBDBDB"/>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r>
      <w:tr>
        <w:trPr>
          <w:trHeight w:val="180"/>
        </w:trPr>
        <w:tc>
          <w:tcPr>
            <w:tcW w:w="1000" w:type="dxa"/>
            <w:vAlign w:val="bottom"/>
          </w:tcPr>
          <w:p>
            <w:pPr>
              <w:spacing w:after="0"/>
              <w:rPr>
                <w:sz w:val="15"/>
                <w:szCs w:val="15"/>
                <w:color w:val="auto"/>
              </w:rPr>
            </w:pPr>
          </w:p>
        </w:tc>
        <w:tc>
          <w:tcPr>
            <w:tcW w:w="5040" w:type="dxa"/>
            <w:vAlign w:val="bottom"/>
            <w:shd w:val="clear" w:color="auto" w:fill="DBDBDB"/>
          </w:tcPr>
          <w:p>
            <w:pPr>
              <w:spacing w:after="0"/>
              <w:rPr>
                <w:sz w:val="20"/>
                <w:szCs w:val="20"/>
                <w:color w:val="auto"/>
              </w:rPr>
            </w:pPr>
            <w:r>
              <w:rPr>
                <w:rFonts w:ascii="Arial" w:cs="Arial" w:eastAsia="Arial" w:hAnsi="Arial"/>
                <w:sz w:val="13"/>
                <w:szCs w:val="13"/>
                <w:color w:val="auto"/>
              </w:rPr>
              <w:t>Vehicle leasing revenue</w:t>
            </w:r>
          </w:p>
        </w:tc>
        <w:tc>
          <w:tcPr>
            <w:tcW w:w="220" w:type="dxa"/>
            <w:vAlign w:val="bottom"/>
            <w:shd w:val="clear" w:color="auto" w:fill="DBDBDB"/>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3,287</w:t>
            </w:r>
          </w:p>
        </w:tc>
        <w:tc>
          <w:tcPr>
            <w:tcW w:w="240" w:type="dxa"/>
            <w:vAlign w:val="bottom"/>
            <w:shd w:val="clear" w:color="auto" w:fill="DBDBDB"/>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3,060</w:t>
            </w:r>
          </w:p>
        </w:tc>
        <w:tc>
          <w:tcPr>
            <w:tcW w:w="10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7,493</w:t>
            </w:r>
          </w:p>
        </w:tc>
        <w:tc>
          <w:tcPr>
            <w:tcW w:w="260" w:type="dxa"/>
            <w:vAlign w:val="bottom"/>
            <w:shd w:val="clear" w:color="auto" w:fill="DBDBDB"/>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7,934</w:t>
            </w:r>
          </w:p>
        </w:tc>
      </w:tr>
      <w:tr>
        <w:trPr>
          <w:trHeight w:val="29"/>
        </w:trPr>
        <w:tc>
          <w:tcPr>
            <w:tcW w:w="1000" w:type="dxa"/>
            <w:vAlign w:val="bottom"/>
          </w:tcPr>
          <w:p>
            <w:pPr>
              <w:spacing w:after="0"/>
              <w:rPr>
                <w:sz w:val="2"/>
                <w:szCs w:val="2"/>
                <w:color w:val="auto"/>
              </w:rPr>
            </w:pPr>
          </w:p>
        </w:tc>
        <w:tc>
          <w:tcPr>
            <w:tcW w:w="504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2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r>
    </w:tbl>
    <w:p>
      <w:pPr>
        <w:spacing w:after="0" w:line="125" w:lineRule="exact"/>
        <w:rPr>
          <w:sz w:val="20"/>
          <w:szCs w:val="20"/>
          <w:color w:val="auto"/>
        </w:rPr>
      </w:pPr>
    </w:p>
    <w:p>
      <w:pPr>
        <w:spacing w:after="0" w:line="228" w:lineRule="auto"/>
        <w:rPr>
          <w:sz w:val="20"/>
          <w:szCs w:val="20"/>
          <w:color w:val="auto"/>
        </w:rPr>
      </w:pPr>
      <w:r>
        <w:rPr>
          <w:rFonts w:ascii="Arial" w:cs="Arial" w:eastAsia="Arial" w:hAnsi="Arial"/>
          <w:sz w:val="13"/>
          <w:szCs w:val="13"/>
          <w:color w:val="auto"/>
        </w:rPr>
        <w:t>For the majority of the Group’s operating lease contracts as a lessor, vehicles are paid for upfront by the customer at contract inception and repurchased by Polestar at the end of the lease term. The following table depicts the changes in the Group’s vehicles under operating leases: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100" w:type="dxa"/>
            <w:vAlign w:val="bottom"/>
            <w:shd w:val="clear" w:color="auto" w:fill="DBDBDB"/>
          </w:tcPr>
          <w:p>
            <w:pPr>
              <w:spacing w:after="0"/>
              <w:rPr>
                <w:sz w:val="13"/>
                <w:szCs w:val="13"/>
                <w:color w:val="auto"/>
              </w:rPr>
            </w:pPr>
          </w:p>
        </w:tc>
        <w:tc>
          <w:tcPr>
            <w:tcW w:w="5900" w:type="dxa"/>
            <w:vAlign w:val="bottom"/>
            <w:shd w:val="clear" w:color="auto" w:fill="DBDBDB"/>
          </w:tcPr>
          <w:p>
            <w:pPr>
              <w:spacing w:after="0"/>
              <w:rPr>
                <w:sz w:val="13"/>
                <w:szCs w:val="13"/>
                <w:color w:val="auto"/>
              </w:rPr>
            </w:pPr>
          </w:p>
        </w:tc>
        <w:tc>
          <w:tcPr>
            <w:tcW w:w="1260" w:type="dxa"/>
            <w:vAlign w:val="bottom"/>
            <w:shd w:val="clear" w:color="auto" w:fill="DBDBDB"/>
          </w:tcPr>
          <w:p>
            <w:pPr>
              <w:jc w:val="right"/>
              <w:ind w:right="176"/>
              <w:spacing w:after="0"/>
              <w:rPr>
                <w:sz w:val="20"/>
                <w:szCs w:val="20"/>
                <w:color w:val="auto"/>
              </w:rPr>
            </w:pPr>
            <w:r>
              <w:rPr>
                <w:rFonts w:ascii="Arial" w:cs="Arial" w:eastAsia="Arial" w:hAnsi="Arial"/>
                <w:sz w:val="13"/>
                <w:szCs w:val="13"/>
                <w:b w:val="1"/>
                <w:bCs w:val="1"/>
                <w:color w:val="auto"/>
              </w:rPr>
              <w:t>Vehicles under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00" w:type="dxa"/>
            <w:vAlign w:val="bottom"/>
            <w:shd w:val="clear" w:color="auto" w:fill="DBDBDB"/>
          </w:tcPr>
          <w:p>
            <w:pPr>
              <w:spacing w:after="0"/>
              <w:rPr>
                <w:sz w:val="16"/>
                <w:szCs w:val="16"/>
                <w:color w:val="auto"/>
              </w:rPr>
            </w:pPr>
          </w:p>
        </w:tc>
        <w:tc>
          <w:tcPr>
            <w:tcW w:w="5900" w:type="dxa"/>
            <w:vAlign w:val="bottom"/>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ind w:right="136"/>
              <w:spacing w:after="0"/>
              <w:rPr>
                <w:sz w:val="20"/>
                <w:szCs w:val="20"/>
                <w:color w:val="auto"/>
              </w:rPr>
            </w:pPr>
            <w:r>
              <w:rPr>
                <w:rFonts w:ascii="Arial" w:cs="Arial" w:eastAsia="Arial" w:hAnsi="Arial"/>
                <w:sz w:val="13"/>
                <w:szCs w:val="13"/>
                <w:b w:val="1"/>
                <w:bCs w:val="1"/>
                <w:color w:val="auto"/>
              </w:rPr>
              <w:t>operating leases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b w:val="1"/>
                <w:bCs w:val="1"/>
                <w:color w:val="auto"/>
              </w:rPr>
              <w:t>Acquisition cost</w:t>
            </w:r>
          </w:p>
        </w:tc>
        <w:tc>
          <w:tcPr>
            <w:tcW w:w="5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Balance as of January 1, 2023</w:t>
            </w:r>
          </w:p>
        </w:tc>
        <w:tc>
          <w:tcPr>
            <w:tcW w:w="71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105,000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Reclassification from inventory</w:t>
            </w:r>
          </w:p>
        </w:tc>
        <w:tc>
          <w:tcPr>
            <w:tcW w:w="7160" w:type="dxa"/>
            <w:vAlign w:val="bottom"/>
            <w:gridSpan w:val="2"/>
          </w:tcPr>
          <w:p>
            <w:pPr>
              <w:jc w:val="right"/>
              <w:spacing w:after="0"/>
              <w:rPr>
                <w:sz w:val="20"/>
                <w:szCs w:val="20"/>
                <w:color w:val="auto"/>
              </w:rPr>
            </w:pPr>
            <w:r>
              <w:rPr>
                <w:rFonts w:ascii="Arial" w:cs="Arial" w:eastAsia="Arial" w:hAnsi="Arial"/>
                <w:sz w:val="13"/>
                <w:szCs w:val="13"/>
                <w:color w:val="auto"/>
              </w:rPr>
              <w:t>39,877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Reclassification to inventory</w:t>
            </w:r>
          </w:p>
        </w:tc>
        <w:tc>
          <w:tcPr>
            <w:tcW w:w="71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(37,585)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Effect of foreign currency exchange rate differences</w:t>
            </w:r>
          </w:p>
        </w:tc>
        <w:tc>
          <w:tcPr>
            <w:tcW w:w="7160" w:type="dxa"/>
            <w:vAlign w:val="bottom"/>
            <w:gridSpan w:val="2"/>
          </w:tcPr>
          <w:p>
            <w:pPr>
              <w:jc w:val="right"/>
              <w:spacing w:after="0"/>
              <w:rPr>
                <w:sz w:val="20"/>
                <w:szCs w:val="20"/>
                <w:color w:val="auto"/>
              </w:rPr>
            </w:pPr>
            <w:r>
              <w:rPr>
                <w:rFonts w:ascii="Arial" w:cs="Arial" w:eastAsia="Arial" w:hAnsi="Arial"/>
                <w:sz w:val="13"/>
                <w:szCs w:val="13"/>
                <w:color w:val="auto"/>
              </w:rPr>
              <w:t>1,695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5900" w:type="dxa"/>
            <w:vAlign w:val="bottom"/>
            <w:vMerge w:val="restart"/>
          </w:tcPr>
          <w:p>
            <w:pPr>
              <w:jc w:val="right"/>
              <w:ind w:right="4256"/>
              <w:spacing w:after="0"/>
              <w:rPr>
                <w:sz w:val="20"/>
                <w:szCs w:val="20"/>
                <w:color w:val="auto"/>
              </w:rPr>
            </w:pPr>
            <w:r>
              <w:rPr>
                <w:rFonts w:ascii="Arial" w:cs="Arial" w:eastAsia="Arial" w:hAnsi="Arial"/>
                <w:sz w:val="13"/>
                <w:szCs w:val="13"/>
                <w:color w:val="auto"/>
              </w:rPr>
              <w:t>12</w:t>
            </w: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59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-24130</wp:posOffset>
            </wp:positionV>
            <wp:extent cx="3175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00"/>
          </w:cols>
          <w:pgMar w:left="300" w:top="596" w:right="299" w:bottom="1440" w:gutter="0" w:footer="0" w:header="0"/>
          <w:type w:val="continuous"/>
        </w:sectPr>
      </w:pPr>
    </w:p>
    <w:bookmarkStart w:id="16" w:name="page17"/>
    <w:bookmarkEnd w:id="16"/>
    <w:tbl>
      <w:tblPr>
        <w:tblLayout w:type="fixed"/>
        <w:tblInd w:w="20" w:type="dxa"/>
        <w:tblCellMar>
          <w:top w:w="0" w:type="dxa"/>
          <w:left w:w="0" w:type="dxa"/>
          <w:bottom w:w="0" w:type="dxa"/>
          <w:right w:w="0" w:type="dxa"/>
        </w:tblCellMar>
      </w:tblPr>
      <w:tr>
        <w:trPr>
          <w:trHeight w:val="219"/>
        </w:trPr>
        <w:tc>
          <w:tcPr>
            <w:tcW w:w="1000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Balance as of June 30, 2023</w:t>
            </w:r>
          </w:p>
        </w:tc>
        <w:tc>
          <w:tcPr>
            <w:tcW w:w="440" w:type="dxa"/>
            <w:vAlign w:val="bottom"/>
            <w:tcBorders>
              <w:top w:val="single" w:sz="8" w:color="auto"/>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108,987</w:t>
            </w:r>
          </w:p>
        </w:tc>
      </w:tr>
      <w:tr>
        <w:trPr>
          <w:trHeight w:val="161"/>
        </w:trPr>
        <w:tc>
          <w:tcPr>
            <w:tcW w:w="10000" w:type="dxa"/>
            <w:vAlign w:val="bottom"/>
          </w:tcPr>
          <w:p>
            <w:pPr>
              <w:spacing w:after="0"/>
              <w:rPr>
                <w:sz w:val="20"/>
                <w:szCs w:val="20"/>
                <w:color w:val="auto"/>
              </w:rPr>
            </w:pPr>
            <w:r>
              <w:rPr>
                <w:rFonts w:ascii="Arial" w:cs="Arial" w:eastAsia="Arial" w:hAnsi="Arial"/>
                <w:sz w:val="13"/>
                <w:szCs w:val="13"/>
                <w:b w:val="1"/>
                <w:bCs w:val="1"/>
                <w:color w:val="auto"/>
              </w:rPr>
              <w:t>Accumulated depreciation</w:t>
            </w:r>
          </w:p>
        </w:tc>
        <w:tc>
          <w:tcPr>
            <w:tcW w:w="4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9"/>
        </w:trPr>
        <w:tc>
          <w:tcPr>
            <w:tcW w:w="10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100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Balance as of January 1, 2023</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(12,802)</w:t>
            </w:r>
          </w:p>
        </w:tc>
      </w:tr>
      <w:tr>
        <w:trPr>
          <w:trHeight w:val="181"/>
        </w:trPr>
        <w:tc>
          <w:tcPr>
            <w:tcW w:w="10000" w:type="dxa"/>
            <w:vAlign w:val="bottom"/>
          </w:tcPr>
          <w:p>
            <w:pPr>
              <w:spacing w:after="0"/>
              <w:rPr>
                <w:sz w:val="20"/>
                <w:szCs w:val="20"/>
                <w:color w:val="auto"/>
              </w:rPr>
            </w:pPr>
            <w:r>
              <w:rPr>
                <w:rFonts w:ascii="Arial" w:cs="Arial" w:eastAsia="Arial" w:hAnsi="Arial"/>
                <w:sz w:val="13"/>
                <w:szCs w:val="13"/>
                <w:color w:val="auto"/>
              </w:rPr>
              <w:t>Depreciation expense</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(2,341)</w:t>
            </w:r>
          </w:p>
        </w:tc>
      </w:tr>
      <w:tr>
        <w:trPr>
          <w:trHeight w:val="29"/>
        </w:trPr>
        <w:tc>
          <w:tcPr>
            <w:tcW w:w="10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100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Reclassification to inventory</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9,250</w:t>
            </w:r>
          </w:p>
        </w:tc>
      </w:tr>
      <w:tr>
        <w:trPr>
          <w:trHeight w:val="181"/>
        </w:trPr>
        <w:tc>
          <w:tcPr>
            <w:tcW w:w="10000" w:type="dxa"/>
            <w:vAlign w:val="bottom"/>
          </w:tcPr>
          <w:p>
            <w:pPr>
              <w:spacing w:after="0"/>
              <w:rPr>
                <w:sz w:val="20"/>
                <w:szCs w:val="20"/>
                <w:color w:val="auto"/>
              </w:rPr>
            </w:pPr>
            <w:r>
              <w:rPr>
                <w:rFonts w:ascii="Arial" w:cs="Arial" w:eastAsia="Arial" w:hAnsi="Arial"/>
                <w:sz w:val="13"/>
                <w:szCs w:val="13"/>
                <w:color w:val="auto"/>
              </w:rPr>
              <w:t>Effect of foreign currency exchange rate differences</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9"/>
        </w:trPr>
        <w:tc>
          <w:tcPr>
            <w:tcW w:w="10000" w:type="dxa"/>
            <w:vAlign w:val="bottom"/>
            <w:tcBorders>
              <w:bottom w:val="single" w:sz="8" w:color="DBDBDB"/>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100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Balance as of June 30, 2023</w:t>
            </w:r>
          </w:p>
        </w:tc>
        <w:tc>
          <w:tcPr>
            <w:tcW w:w="440" w:type="dxa"/>
            <w:vAlign w:val="bottom"/>
            <w:tcBorders>
              <w:bottom w:val="single" w:sz="8" w:color="DBDBDB"/>
            </w:tcBorders>
            <w:shd w:val="clear" w:color="auto" w:fill="DBDBDB"/>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(5,871)</w:t>
            </w:r>
          </w:p>
        </w:tc>
      </w:tr>
      <w:tr>
        <w:trPr>
          <w:trHeight w:val="171"/>
        </w:trPr>
        <w:tc>
          <w:tcPr>
            <w:tcW w:w="10000" w:type="dxa"/>
            <w:vAlign w:val="bottom"/>
          </w:tcPr>
          <w:p>
            <w:pPr>
              <w:spacing w:after="0"/>
              <w:rPr>
                <w:sz w:val="20"/>
                <w:szCs w:val="20"/>
                <w:color w:val="auto"/>
              </w:rPr>
            </w:pPr>
            <w:r>
              <w:rPr>
                <w:rFonts w:ascii="Arial" w:cs="Arial" w:eastAsia="Arial" w:hAnsi="Arial"/>
                <w:sz w:val="13"/>
                <w:szCs w:val="13"/>
                <w:b w:val="1"/>
                <w:bCs w:val="1"/>
                <w:color w:val="auto"/>
              </w:rPr>
              <w:t>Carrying amount as of June 30, 2023</w:t>
            </w:r>
          </w:p>
        </w:tc>
        <w:tc>
          <w:tcPr>
            <w:tcW w:w="440" w:type="dxa"/>
            <w:vAlign w:val="bottom"/>
            <w:tcBorders>
              <w:top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103,116</w:t>
            </w:r>
          </w:p>
        </w:tc>
      </w:tr>
      <w:tr>
        <w:trPr>
          <w:trHeight w:val="29"/>
        </w:trPr>
        <w:tc>
          <w:tcPr>
            <w:tcW w:w="100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5 - Net loss per share</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computation of basic and diluted net loss per share for the three and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55880</wp:posOffset>
            </wp:positionV>
            <wp:extent cx="6579235" cy="121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79235" cy="121285"/>
                    </a:xfrm>
                    <a:prstGeom prst="rect">
                      <a:avLst/>
                    </a:prstGeom>
                    <a:noFill/>
                  </pic:spPr>
                </pic:pic>
              </a:graphicData>
            </a:graphic>
          </wp:anchor>
        </w:drawing>
      </w:r>
    </w:p>
    <w:p>
      <w:pPr>
        <w:sectPr>
          <w:pgSz w:w="11900" w:h="16838" w:orient="portrait"/>
          <w:cols w:equalWidth="0" w:num="1">
            <w:col w:w="11300"/>
          </w:cols>
          <w:pgMar w:left="300" w:top="596" w:right="299" w:bottom="1440" w:gutter="0" w:footer="0" w:header="0"/>
        </w:sectPr>
      </w:pPr>
    </w:p>
    <w:p>
      <w:pPr>
        <w:spacing w:after="0" w:line="94" w:lineRule="exact"/>
        <w:rPr>
          <w:sz w:val="20"/>
          <w:szCs w:val="20"/>
          <w:color w:val="auto"/>
        </w:rPr>
      </w:pPr>
    </w:p>
    <w:p>
      <w:pPr>
        <w:jc w:val="center"/>
        <w:ind w:left="5960"/>
        <w:spacing w:after="0"/>
        <w:rPr>
          <w:sz w:val="20"/>
          <w:szCs w:val="20"/>
          <w:color w:val="auto"/>
        </w:rPr>
      </w:pPr>
      <w:r>
        <w:rPr>
          <w:rFonts w:ascii="Arial" w:cs="Arial" w:eastAsia="Arial" w:hAnsi="Arial"/>
          <w:sz w:val="11"/>
          <w:szCs w:val="11"/>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36830</wp:posOffset>
            </wp:positionV>
            <wp:extent cx="158559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5595" cy="6350"/>
                    </a:xfrm>
                    <a:prstGeom prst="rect">
                      <a:avLst/>
                    </a:prstGeom>
                    <a:noFill/>
                  </pic:spPr>
                </pic:pic>
              </a:graphicData>
            </a:graphic>
          </wp:anchor>
        </w:drawing>
      </w:r>
    </w:p>
    <w:p>
      <w:pPr>
        <w:spacing w:after="0" w:line="54" w:lineRule="exact"/>
        <w:rPr>
          <w:sz w:val="20"/>
          <w:szCs w:val="20"/>
          <w:color w:val="auto"/>
        </w:rPr>
      </w:pPr>
    </w:p>
    <w:p>
      <w:pPr>
        <w:ind w:left="6200"/>
        <w:spacing w:after="0"/>
        <w:tabs>
          <w:tab w:leader="none" w:pos="74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22225</wp:posOffset>
            </wp:positionV>
            <wp:extent cx="6579235" cy="1270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79235" cy="127000"/>
                    </a:xfrm>
                    <a:prstGeom prst="rect">
                      <a:avLst/>
                    </a:prstGeom>
                    <a:noFill/>
                  </pic:spPr>
                </pic:pic>
              </a:graphicData>
            </a:graphic>
          </wp:anchor>
        </w:drawing>
      </w:r>
    </w:p>
    <w:p>
      <w:pPr>
        <w:spacing w:after="0" w:line="31" w:lineRule="exact"/>
        <w:rPr>
          <w:sz w:val="20"/>
          <w:szCs w:val="20"/>
          <w:color w:val="auto"/>
        </w:rPr>
      </w:pPr>
    </w:p>
    <w:p>
      <w:pPr>
        <w:ind w:left="6380"/>
        <w:spacing w:after="0"/>
        <w:rPr>
          <w:sz w:val="20"/>
          <w:szCs w:val="20"/>
          <w:color w:val="auto"/>
        </w:rPr>
      </w:pPr>
      <w:r>
        <w:rPr>
          <w:rFonts w:ascii="Arial" w:cs="Arial" w:eastAsia="Arial" w:hAnsi="Arial"/>
          <w:sz w:val="13"/>
          <w:szCs w:val="13"/>
          <w:b w:val="1"/>
          <w:bCs w:val="1"/>
          <w:color w:val="auto"/>
        </w:rPr>
        <w:t>Class A and 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22225</wp:posOffset>
            </wp:positionV>
            <wp:extent cx="158559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5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80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36830</wp:posOffset>
            </wp:positionV>
            <wp:extent cx="159194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91945" cy="6350"/>
                    </a:xfrm>
                    <a:prstGeom prst="rect">
                      <a:avLst/>
                    </a:prstGeom>
                    <a:noFill/>
                  </pic:spPr>
                </pic:pic>
              </a:graphicData>
            </a:graphic>
          </wp:anchor>
        </w:drawing>
      </w:r>
    </w:p>
    <w:p>
      <w:pPr>
        <w:spacing w:after="0" w:line="54" w:lineRule="exact"/>
        <w:rPr>
          <w:sz w:val="20"/>
          <w:szCs w:val="20"/>
          <w:color w:val="auto"/>
        </w:rPr>
      </w:pPr>
    </w:p>
    <w:p>
      <w:pPr>
        <w:ind w:left="180"/>
        <w:spacing w:after="0"/>
        <w:tabs>
          <w:tab w:leader="none" w:pos="140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51" w:lineRule="exact"/>
        <w:rPr>
          <w:sz w:val="20"/>
          <w:szCs w:val="20"/>
          <w:color w:val="auto"/>
        </w:rPr>
      </w:pPr>
    </w:p>
    <w:p>
      <w:pPr>
        <w:jc w:val="center"/>
        <w:ind w:right="800"/>
        <w:spacing w:after="0"/>
        <w:rPr>
          <w:sz w:val="20"/>
          <w:szCs w:val="20"/>
          <w:color w:val="auto"/>
        </w:rPr>
      </w:pPr>
      <w:r>
        <w:rPr>
          <w:rFonts w:ascii="Arial" w:cs="Arial" w:eastAsia="Arial" w:hAnsi="Arial"/>
          <w:sz w:val="13"/>
          <w:szCs w:val="13"/>
          <w:b w:val="1"/>
          <w:bCs w:val="1"/>
          <w:color w:val="auto"/>
        </w:rPr>
        <w:t>Class A and 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22225</wp:posOffset>
            </wp:positionV>
            <wp:extent cx="159194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91945" cy="635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7940" w:space="700"/>
            <w:col w:w="2660"/>
          </w:cols>
          <w:pgMar w:left="300" w:top="596" w:right="299" w:bottom="1440" w:gutter="0" w:footer="0" w:header="0"/>
          <w:type w:val="continuous"/>
        </w:sectPr>
      </w:pPr>
    </w:p>
    <w:tbl>
      <w:tblPr>
        <w:tblLayout w:type="fixed"/>
        <w:tblInd w:w="460" w:type="dxa"/>
        <w:tblCellMar>
          <w:top w:w="0" w:type="dxa"/>
          <w:left w:w="0" w:type="dxa"/>
          <w:bottom w:w="0" w:type="dxa"/>
          <w:right w:w="0" w:type="dxa"/>
        </w:tblCellMar>
      </w:tblPr>
      <w:tr>
        <w:trPr>
          <w:trHeight w:val="161"/>
        </w:trPr>
        <w:tc>
          <w:tcPr>
            <w:tcW w:w="4220" w:type="dxa"/>
            <w:vAlign w:val="bottom"/>
          </w:tcPr>
          <w:p>
            <w:pPr>
              <w:ind w:left="20"/>
              <w:spacing w:after="0"/>
              <w:rPr>
                <w:sz w:val="20"/>
                <w:szCs w:val="20"/>
                <w:color w:val="auto"/>
              </w:rPr>
            </w:pPr>
            <w:r>
              <w:rPr>
                <w:rFonts w:ascii="Arial" w:cs="Arial" w:eastAsia="Arial" w:hAnsi="Arial"/>
                <w:sz w:val="13"/>
                <w:szCs w:val="13"/>
                <w:color w:val="auto"/>
              </w:rPr>
              <w:t>Net loss attributable to common shareholders</w:t>
            </w:r>
          </w:p>
        </w:tc>
        <w:tc>
          <w:tcPr>
            <w:tcW w:w="1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(304,057)</w:t>
            </w:r>
          </w:p>
        </w:tc>
        <w:tc>
          <w:tcPr>
            <w:tcW w:w="26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(228,244)</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(313,035)</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(502,734)</w:t>
            </w:r>
          </w:p>
        </w:tc>
      </w:tr>
      <w:tr>
        <w:trPr>
          <w:trHeight w:val="29"/>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4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Weighted-average number of common shares outstanding:</w:t>
            </w:r>
          </w:p>
        </w:tc>
        <w:tc>
          <w:tcPr>
            <w:tcW w:w="13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r>
      <w:tr>
        <w:trPr>
          <w:trHeight w:val="181"/>
        </w:trPr>
        <w:tc>
          <w:tcPr>
            <w:tcW w:w="4220" w:type="dxa"/>
            <w:vAlign w:val="bottom"/>
          </w:tcPr>
          <w:p>
            <w:pPr>
              <w:ind w:left="100"/>
              <w:spacing w:after="0"/>
              <w:rPr>
                <w:sz w:val="20"/>
                <w:szCs w:val="20"/>
                <w:color w:val="auto"/>
              </w:rPr>
            </w:pPr>
            <w:r>
              <w:rPr>
                <w:rFonts w:ascii="Arial" w:cs="Arial" w:eastAsia="Arial" w:hAnsi="Arial"/>
                <w:sz w:val="13"/>
                <w:szCs w:val="13"/>
                <w:color w:val="auto"/>
              </w:rPr>
              <w:t>Basic and diluted</w:t>
            </w:r>
          </w:p>
        </w:tc>
        <w:tc>
          <w:tcPr>
            <w:tcW w:w="1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2,109,975,806</w:t>
            </w:r>
          </w:p>
        </w:tc>
        <w:tc>
          <w:tcPr>
            <w:tcW w:w="260" w:type="dxa"/>
            <w:vAlign w:val="bottom"/>
          </w:tcPr>
          <w:p>
            <w:pPr>
              <w:spacing w:after="0"/>
              <w:rPr>
                <w:sz w:val="15"/>
                <w:szCs w:val="15"/>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1,950,335,837</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2,109,952,338</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1,943,759,914</w:t>
            </w:r>
          </w:p>
        </w:tc>
      </w:tr>
      <w:tr>
        <w:trPr>
          <w:trHeight w:val="29"/>
        </w:trPr>
        <w:tc>
          <w:tcPr>
            <w:tcW w:w="4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4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Net loss per share (in ones):</w:t>
            </w:r>
          </w:p>
        </w:tc>
        <w:tc>
          <w:tcPr>
            <w:tcW w:w="13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r>
      <w:tr>
        <w:trPr>
          <w:trHeight w:val="181"/>
        </w:trPr>
        <w:tc>
          <w:tcPr>
            <w:tcW w:w="4220" w:type="dxa"/>
            <w:vAlign w:val="bottom"/>
          </w:tcPr>
          <w:p>
            <w:pPr>
              <w:ind w:left="100"/>
              <w:spacing w:after="0"/>
              <w:rPr>
                <w:sz w:val="20"/>
                <w:szCs w:val="20"/>
                <w:color w:val="auto"/>
              </w:rPr>
            </w:pPr>
            <w:r>
              <w:rPr>
                <w:rFonts w:ascii="Arial" w:cs="Arial" w:eastAsia="Arial" w:hAnsi="Arial"/>
                <w:sz w:val="13"/>
                <w:szCs w:val="13"/>
                <w:color w:val="auto"/>
              </w:rPr>
              <w:t>Basic and diluted</w:t>
            </w:r>
          </w:p>
        </w:tc>
        <w:tc>
          <w:tcPr>
            <w:tcW w:w="1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(0.14)</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(0.12)</w:t>
            </w:r>
          </w:p>
        </w:tc>
        <w:tc>
          <w:tcPr>
            <w:tcW w:w="32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(0.15)</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(0.26)</w:t>
            </w:r>
          </w:p>
        </w:tc>
      </w:tr>
    </w:tbl>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1"/>
          <w:szCs w:val="11"/>
          <w:color w:val="auto"/>
        </w:rPr>
        <w:t xml:space="preserve">Loss per share for the six months ended June 30, 2022 is retrospectively adjusted to reflect the number of equivalent shares issued by the Parent to the Former Parent, based on the number of shares outstanding on the reporting date multiplied by the exchange ratio of 8.335. For detail on the equity exchange ratio related to the merger with Gores Guggenheim, Inc. ("GGI"), refer to </w:t>
      </w:r>
      <w:r>
        <w:rPr>
          <w:rFonts w:ascii="Arial" w:cs="Arial" w:eastAsia="Arial" w:hAnsi="Arial"/>
          <w:sz w:val="11"/>
          <w:szCs w:val="11"/>
          <w:i w:val="1"/>
          <w:iCs w:val="1"/>
          <w:color w:val="auto"/>
        </w:rPr>
        <w:t>Note 20 - Equity</w:t>
      </w:r>
      <w:r>
        <w:rPr>
          <w:rFonts w:ascii="Arial" w:cs="Arial" w:eastAsia="Arial" w:hAnsi="Arial"/>
          <w:sz w:val="11"/>
          <w:szCs w:val="11"/>
          <w:color w:val="auto"/>
        </w:rPr>
        <w:t xml:space="preserve"> in the Consolidated Financial</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2"/>
          <w:szCs w:val="12"/>
          <w:color w:val="auto"/>
        </w:rPr>
        <w:t>Statements for Polestar Automotive Holding UK PLC, as of December 31, 2022, and for the three years ended December 31, 2022 that were included in the Form 20-F filed with the SEC on April 14, 2023. The following table presents shares that were not included in the calculation of diluted earnings per share as their effects would have been antidilutive for the three and six months ended June 30, 2023 and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6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120" w:type="dxa"/>
            <w:vAlign w:val="bottom"/>
            <w:tcBorders>
              <w:bottom w:val="single" w:sz="8" w:color="auto"/>
            </w:tcBorders>
            <w:gridSpan w:val="2"/>
            <w:shd w:val="clear" w:color="auto" w:fill="DBDBDB"/>
          </w:tcPr>
          <w:p>
            <w:pPr>
              <w:jc w:val="right"/>
              <w:ind w:right="56"/>
              <w:spacing w:after="0"/>
              <w:rPr>
                <w:sz w:val="20"/>
                <w:szCs w:val="20"/>
                <w:color w:val="auto"/>
              </w:rPr>
            </w:pPr>
            <w:r>
              <w:rPr>
                <w:rFonts w:ascii="Arial" w:cs="Arial" w:eastAsia="Arial" w:hAnsi="Arial"/>
                <w:sz w:val="13"/>
                <w:szCs w:val="13"/>
                <w:b w:val="1"/>
                <w:bCs w:val="1"/>
                <w:color w:val="auto"/>
                <w:w w:val="86"/>
              </w:rPr>
              <w:t>For the three months ended June 30,</w:t>
            </w:r>
          </w:p>
        </w:tc>
        <w:tc>
          <w:tcPr>
            <w:tcW w:w="12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2120" w:type="dxa"/>
            <w:vAlign w:val="bottom"/>
            <w:tcBorders>
              <w:bottom w:val="single" w:sz="8" w:color="auto"/>
            </w:tcBorders>
            <w:gridSpan w:val="3"/>
            <w:shd w:val="clear" w:color="auto" w:fill="DBDBDB"/>
          </w:tcPr>
          <w:p>
            <w:pPr>
              <w:jc w:val="right"/>
              <w:ind w:right="136"/>
              <w:spacing w:after="0"/>
              <w:rPr>
                <w:sz w:val="20"/>
                <w:szCs w:val="20"/>
                <w:color w:val="auto"/>
              </w:rPr>
            </w:pPr>
            <w:r>
              <w:rPr>
                <w:rFonts w:ascii="Arial" w:cs="Arial" w:eastAsia="Arial" w:hAnsi="Arial"/>
                <w:sz w:val="13"/>
                <w:szCs w:val="13"/>
                <w:b w:val="1"/>
                <w:bCs w:val="1"/>
                <w:color w:val="auto"/>
                <w:w w:val="88"/>
              </w:rPr>
              <w:t>For the six months ended June 30,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6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140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8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Earn-out Shares</w:t>
            </w:r>
          </w:p>
        </w:tc>
        <w:tc>
          <w:tcPr>
            <w:tcW w:w="2020" w:type="dxa"/>
            <w:vAlign w:val="bottom"/>
            <w:tcBorders>
              <w:bottom w:val="single" w:sz="8" w:color="DBDBDB"/>
            </w:tcBorders>
            <w:gridSpan w:val="3"/>
            <w:shd w:val="clear" w:color="auto" w:fill="DBDBDB"/>
          </w:tcPr>
          <w:p>
            <w:pPr>
              <w:jc w:val="right"/>
              <w:ind w:right="276"/>
              <w:spacing w:after="0"/>
              <w:rPr>
                <w:sz w:val="20"/>
                <w:szCs w:val="20"/>
                <w:color w:val="auto"/>
              </w:rPr>
            </w:pPr>
            <w:r>
              <w:rPr>
                <w:rFonts w:ascii="Arial" w:cs="Arial" w:eastAsia="Arial" w:hAnsi="Arial"/>
                <w:sz w:val="13"/>
                <w:szCs w:val="13"/>
                <w:color w:val="auto"/>
              </w:rPr>
              <w:t>158,177,609</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158,177,609</w:t>
            </w:r>
          </w:p>
        </w:tc>
        <w:tc>
          <w:tcPr>
            <w:tcW w:w="1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158,177,609</w:t>
            </w:r>
          </w:p>
        </w:tc>
        <w:tc>
          <w:tcPr>
            <w:tcW w:w="220" w:type="dxa"/>
            <w:vAlign w:val="bottom"/>
            <w:tcBorders>
              <w:bottom w:val="single" w:sz="8" w:color="DBDBDB"/>
              <w:right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158,177,609</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60" w:type="dxa"/>
            <w:vAlign w:val="bottom"/>
          </w:tcPr>
          <w:p>
            <w:pPr>
              <w:ind w:left="20"/>
              <w:spacing w:after="0"/>
              <w:rPr>
                <w:sz w:val="20"/>
                <w:szCs w:val="20"/>
                <w:color w:val="auto"/>
              </w:rPr>
            </w:pPr>
            <w:r>
              <w:rPr>
                <w:rFonts w:ascii="Arial" w:cs="Arial" w:eastAsia="Arial" w:hAnsi="Arial"/>
                <w:sz w:val="13"/>
                <w:szCs w:val="13"/>
                <w:color w:val="auto"/>
              </w:rPr>
              <w:t>Class C-1 Shares</w:t>
            </w:r>
          </w:p>
        </w:tc>
        <w:tc>
          <w:tcPr>
            <w:tcW w:w="2020" w:type="dxa"/>
            <w:vAlign w:val="bottom"/>
            <w:gridSpan w:val="3"/>
          </w:tcPr>
          <w:p>
            <w:pPr>
              <w:jc w:val="right"/>
              <w:ind w:right="276"/>
              <w:spacing w:after="0"/>
              <w:rPr>
                <w:sz w:val="20"/>
                <w:szCs w:val="20"/>
                <w:color w:val="auto"/>
              </w:rPr>
            </w:pPr>
            <w:r>
              <w:rPr>
                <w:rFonts w:ascii="Arial" w:cs="Arial" w:eastAsia="Arial" w:hAnsi="Arial"/>
                <w:sz w:val="13"/>
                <w:szCs w:val="13"/>
                <w:color w:val="auto"/>
              </w:rPr>
              <w:t>20,499,965</w:t>
            </w:r>
          </w:p>
        </w:tc>
        <w:tc>
          <w:tcPr>
            <w:tcW w:w="820" w:type="dxa"/>
            <w:vAlign w:val="bottom"/>
          </w:tcPr>
          <w:p>
            <w:pPr>
              <w:jc w:val="right"/>
              <w:spacing w:after="0"/>
              <w:rPr>
                <w:sz w:val="20"/>
                <w:szCs w:val="20"/>
                <w:color w:val="auto"/>
              </w:rPr>
            </w:pPr>
            <w:r>
              <w:rPr>
                <w:rFonts w:ascii="Arial" w:cs="Arial" w:eastAsia="Arial" w:hAnsi="Arial"/>
                <w:sz w:val="13"/>
                <w:szCs w:val="13"/>
                <w:color w:val="auto"/>
              </w:rPr>
              <w:t>15,999,965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20,499,965</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15,999,965</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Class C-2 Shares</w:t>
            </w:r>
          </w:p>
        </w:tc>
        <w:tc>
          <w:tcPr>
            <w:tcW w:w="2020" w:type="dxa"/>
            <w:vAlign w:val="bottom"/>
            <w:tcBorders>
              <w:bottom w:val="single" w:sz="8" w:color="DBDBDB"/>
            </w:tcBorders>
            <w:gridSpan w:val="3"/>
            <w:shd w:val="clear" w:color="auto" w:fill="DBDBDB"/>
          </w:tcPr>
          <w:p>
            <w:pPr>
              <w:jc w:val="right"/>
              <w:ind w:right="276"/>
              <w:spacing w:after="0"/>
              <w:rPr>
                <w:sz w:val="20"/>
                <w:szCs w:val="20"/>
                <w:color w:val="auto"/>
              </w:rPr>
            </w:pPr>
            <w:r>
              <w:rPr>
                <w:rFonts w:ascii="Arial" w:cs="Arial" w:eastAsia="Arial" w:hAnsi="Arial"/>
                <w:sz w:val="13"/>
                <w:szCs w:val="13"/>
                <w:color w:val="auto"/>
              </w:rPr>
              <w:t>4,500,000</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9,000,000</w:t>
            </w:r>
          </w:p>
        </w:tc>
        <w:tc>
          <w:tcPr>
            <w:tcW w:w="1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4,500,000</w:t>
            </w:r>
          </w:p>
        </w:tc>
        <w:tc>
          <w:tcPr>
            <w:tcW w:w="220" w:type="dxa"/>
            <w:vAlign w:val="bottom"/>
            <w:tcBorders>
              <w:bottom w:val="single" w:sz="8" w:color="DBDBDB"/>
              <w:right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9,000,000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60" w:type="dxa"/>
            <w:vAlign w:val="bottom"/>
          </w:tcPr>
          <w:p>
            <w:pPr>
              <w:ind w:left="20"/>
              <w:spacing w:after="0"/>
              <w:rPr>
                <w:sz w:val="20"/>
                <w:szCs w:val="20"/>
                <w:color w:val="auto"/>
              </w:rPr>
            </w:pPr>
            <w:r>
              <w:rPr>
                <w:rFonts w:ascii="Arial" w:cs="Arial" w:eastAsia="Arial" w:hAnsi="Arial"/>
                <w:sz w:val="13"/>
                <w:szCs w:val="13"/>
                <w:color w:val="auto"/>
              </w:rPr>
              <w:t>PSUs</w:t>
            </w:r>
          </w:p>
        </w:tc>
        <w:tc>
          <w:tcPr>
            <w:tcW w:w="2020" w:type="dxa"/>
            <w:vAlign w:val="bottom"/>
            <w:gridSpan w:val="3"/>
          </w:tcPr>
          <w:p>
            <w:pPr>
              <w:jc w:val="right"/>
              <w:ind w:right="276"/>
              <w:spacing w:after="0"/>
              <w:rPr>
                <w:sz w:val="20"/>
                <w:szCs w:val="20"/>
                <w:color w:val="auto"/>
              </w:rPr>
            </w:pPr>
            <w:r>
              <w:rPr>
                <w:rFonts w:ascii="Arial" w:cs="Arial" w:eastAsia="Arial" w:hAnsi="Arial"/>
                <w:sz w:val="13"/>
                <w:szCs w:val="13"/>
                <w:color w:val="auto"/>
              </w:rPr>
              <w:t>2,326,794</w:t>
            </w:r>
          </w:p>
        </w:tc>
        <w:tc>
          <w:tcPr>
            <w:tcW w:w="820" w:type="dxa"/>
            <w:vAlign w:val="bottom"/>
          </w:tcPr>
          <w:p>
            <w:pPr>
              <w:jc w:val="right"/>
              <w:spacing w:after="0"/>
              <w:rPr>
                <w:sz w:val="20"/>
                <w:szCs w:val="20"/>
                <w:color w:val="auto"/>
              </w:rPr>
            </w:pPr>
            <w:r>
              <w:rPr>
                <w:rFonts w:ascii="Arial" w:cs="Arial" w:eastAsia="Arial" w:hAnsi="Arial"/>
                <w:sz w:val="13"/>
                <w:szCs w:val="13"/>
                <w:color w:val="auto"/>
              </w:rPr>
              <w:t>858,821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2,326,794</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858,821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RSUs</w:t>
            </w:r>
          </w:p>
        </w:tc>
        <w:tc>
          <w:tcPr>
            <w:tcW w:w="2020" w:type="dxa"/>
            <w:vAlign w:val="bottom"/>
            <w:tcBorders>
              <w:bottom w:val="single" w:sz="8" w:color="DBDBDB"/>
            </w:tcBorders>
            <w:gridSpan w:val="3"/>
            <w:shd w:val="clear" w:color="auto" w:fill="DBDBDB"/>
          </w:tcPr>
          <w:p>
            <w:pPr>
              <w:jc w:val="right"/>
              <w:ind w:right="276"/>
              <w:spacing w:after="0"/>
              <w:rPr>
                <w:sz w:val="20"/>
                <w:szCs w:val="20"/>
                <w:color w:val="auto"/>
              </w:rPr>
            </w:pPr>
            <w:r>
              <w:rPr>
                <w:rFonts w:ascii="Arial" w:cs="Arial" w:eastAsia="Arial" w:hAnsi="Arial"/>
                <w:sz w:val="13"/>
                <w:szCs w:val="13"/>
                <w:color w:val="auto"/>
              </w:rPr>
              <w:t>708,968</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629,303</w:t>
            </w:r>
          </w:p>
        </w:tc>
        <w:tc>
          <w:tcPr>
            <w:tcW w:w="1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708,968</w:t>
            </w:r>
          </w:p>
        </w:tc>
        <w:tc>
          <w:tcPr>
            <w:tcW w:w="220" w:type="dxa"/>
            <w:vAlign w:val="bottom"/>
            <w:tcBorders>
              <w:bottom w:val="single" w:sz="8" w:color="DBDBDB"/>
              <w:right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629,303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60" w:type="dxa"/>
            <w:vAlign w:val="bottom"/>
          </w:tcPr>
          <w:p>
            <w:pPr>
              <w:ind w:left="20"/>
              <w:spacing w:after="0"/>
              <w:rPr>
                <w:sz w:val="20"/>
                <w:szCs w:val="20"/>
                <w:color w:val="auto"/>
              </w:rPr>
            </w:pPr>
            <w:r>
              <w:rPr>
                <w:rFonts w:ascii="Arial" w:cs="Arial" w:eastAsia="Arial" w:hAnsi="Arial"/>
                <w:sz w:val="13"/>
                <w:szCs w:val="13"/>
                <w:color w:val="auto"/>
              </w:rPr>
              <w:t>Marketing consulting services agreement</w:t>
            </w:r>
          </w:p>
        </w:tc>
        <w:tc>
          <w:tcPr>
            <w:tcW w:w="2020" w:type="dxa"/>
            <w:vAlign w:val="bottom"/>
            <w:gridSpan w:val="3"/>
          </w:tcPr>
          <w:p>
            <w:pPr>
              <w:jc w:val="right"/>
              <w:ind w:right="276"/>
              <w:spacing w:after="0"/>
              <w:rPr>
                <w:sz w:val="20"/>
                <w:szCs w:val="20"/>
                <w:color w:val="auto"/>
              </w:rPr>
            </w:pPr>
            <w:r>
              <w:rPr>
                <w:rFonts w:ascii="Arial" w:cs="Arial" w:eastAsia="Arial" w:hAnsi="Arial"/>
                <w:sz w:val="13"/>
                <w:szCs w:val="13"/>
                <w:color w:val="auto"/>
              </w:rPr>
              <w:t>62,500</w:t>
            </w:r>
          </w:p>
        </w:tc>
        <w:tc>
          <w:tcPr>
            <w:tcW w:w="820" w:type="dxa"/>
            <w:vAlign w:val="bottom"/>
          </w:tcPr>
          <w:p>
            <w:pPr>
              <w:jc w:val="right"/>
              <w:spacing w:after="0"/>
              <w:rPr>
                <w:sz w:val="20"/>
                <w:szCs w:val="20"/>
                <w:color w:val="auto"/>
              </w:rPr>
            </w:pPr>
            <w:r>
              <w:rPr>
                <w:rFonts w:ascii="Arial" w:cs="Arial" w:eastAsia="Arial" w:hAnsi="Arial"/>
                <w:sz w:val="13"/>
                <w:szCs w:val="13"/>
                <w:color w:val="auto"/>
              </w:rPr>
              <w:t>187,500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62,500</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187,500</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60" w:type="dxa"/>
            <w:vAlign w:val="bottom"/>
            <w:tcBorders>
              <w:bottom w:val="single" w:sz="8" w:color="DBDBDB"/>
            </w:tcBorders>
          </w:tcPr>
          <w:p>
            <w:pPr>
              <w:spacing w:after="0"/>
              <w:rPr>
                <w:sz w:val="2"/>
                <w:szCs w:val="2"/>
                <w:color w:val="auto"/>
              </w:rPr>
            </w:pPr>
          </w:p>
        </w:tc>
        <w:tc>
          <w:tcPr>
            <w:tcW w:w="62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 antidilutive shares</w:t>
            </w:r>
          </w:p>
        </w:tc>
        <w:tc>
          <w:tcPr>
            <w:tcW w:w="2020" w:type="dxa"/>
            <w:vAlign w:val="bottom"/>
            <w:tcBorders>
              <w:bottom w:val="single" w:sz="8" w:color="DBDBDB"/>
            </w:tcBorders>
            <w:gridSpan w:val="3"/>
            <w:shd w:val="clear" w:color="auto" w:fill="DBDBDB"/>
          </w:tcPr>
          <w:p>
            <w:pPr>
              <w:jc w:val="right"/>
              <w:ind w:right="276"/>
              <w:spacing w:after="0"/>
              <w:rPr>
                <w:sz w:val="20"/>
                <w:szCs w:val="20"/>
                <w:color w:val="auto"/>
              </w:rPr>
            </w:pPr>
            <w:r>
              <w:rPr>
                <w:rFonts w:ascii="Arial" w:cs="Arial" w:eastAsia="Arial" w:hAnsi="Arial"/>
                <w:sz w:val="13"/>
                <w:szCs w:val="13"/>
                <w:b w:val="1"/>
                <w:bCs w:val="1"/>
                <w:color w:val="auto"/>
              </w:rPr>
              <w:t>186,275,836</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184,853,198</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186,275,836</w:t>
            </w:r>
          </w:p>
        </w:tc>
        <w:tc>
          <w:tcPr>
            <w:tcW w:w="220" w:type="dxa"/>
            <w:vAlign w:val="bottom"/>
            <w:tcBorders>
              <w:bottom w:val="single" w:sz="8" w:color="DBDBDB"/>
              <w:right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184,853,198</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480" w:type="dxa"/>
            <w:vAlign w:val="bottom"/>
            <w:gridSpan w:val="3"/>
          </w:tcPr>
          <w:p>
            <w:pPr>
              <w:spacing w:after="0"/>
              <w:rPr>
                <w:sz w:val="20"/>
                <w:szCs w:val="20"/>
                <w:color w:val="auto"/>
              </w:rPr>
            </w:pPr>
            <w:r>
              <w:rPr>
                <w:rFonts w:ascii="Arial" w:cs="Arial" w:eastAsia="Arial" w:hAnsi="Arial"/>
                <w:sz w:val="13"/>
                <w:szCs w:val="13"/>
                <w:b w:val="1"/>
                <w:bCs w:val="1"/>
                <w:color w:val="auto"/>
              </w:rPr>
              <w:t>Note 6 - Intangible assets and goodwill</w:t>
            </w:r>
          </w:p>
        </w:tc>
        <w:tc>
          <w:tcPr>
            <w:tcW w:w="6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5480" w:type="dxa"/>
            <w:vAlign w:val="bottom"/>
            <w:gridSpan w:val="3"/>
          </w:tcPr>
          <w:p>
            <w:pPr>
              <w:spacing w:after="0"/>
              <w:rPr>
                <w:sz w:val="20"/>
                <w:szCs w:val="20"/>
                <w:color w:val="auto"/>
              </w:rPr>
            </w:pPr>
            <w:r>
              <w:rPr>
                <w:rFonts w:ascii="Arial" w:cs="Arial" w:eastAsia="Arial" w:hAnsi="Arial"/>
                <w:sz w:val="13"/>
                <w:szCs w:val="13"/>
                <w:color w:val="auto"/>
                <w:w w:val="89"/>
              </w:rPr>
              <w:t>The following table depicts the split between Polestar Group’s intangible assets, goodwill and trademarks: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 w:type="dxa"/>
            <w:vAlign w:val="bottom"/>
            <w:tcBorders>
              <w:right w:val="single" w:sz="8" w:color="DBDBDB"/>
            </w:tcBorders>
          </w:tcPr>
          <w:p>
            <w:pPr>
              <w:spacing w:after="0"/>
              <w:rPr>
                <w:sz w:val="12"/>
                <w:szCs w:val="12"/>
                <w:color w:val="auto"/>
              </w:rPr>
            </w:pPr>
          </w:p>
        </w:tc>
        <w:tc>
          <w:tcPr>
            <w:tcW w:w="4860" w:type="dxa"/>
            <w:vAlign w:val="bottom"/>
            <w:tcBorders>
              <w:top w:val="single" w:sz="8" w:color="DBDBDB"/>
            </w:tcBorders>
            <w:shd w:val="clear" w:color="auto" w:fill="DBDBDB"/>
          </w:tcPr>
          <w:p>
            <w:pPr>
              <w:spacing w:after="0"/>
              <w:rPr>
                <w:sz w:val="12"/>
                <w:szCs w:val="12"/>
                <w:color w:val="auto"/>
              </w:rPr>
            </w:pPr>
          </w:p>
        </w:tc>
        <w:tc>
          <w:tcPr>
            <w:tcW w:w="62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300" w:type="dxa"/>
            <w:vAlign w:val="bottom"/>
            <w:tcBorders>
              <w:top w:val="single" w:sz="8" w:color="DBDBDB"/>
            </w:tcBorders>
            <w:shd w:val="clear" w:color="auto" w:fill="DBDBDB"/>
          </w:tcPr>
          <w:p>
            <w:pPr>
              <w:spacing w:after="0"/>
              <w:rPr>
                <w:sz w:val="12"/>
                <w:szCs w:val="12"/>
                <w:color w:val="auto"/>
              </w:rPr>
            </w:pPr>
          </w:p>
        </w:tc>
        <w:tc>
          <w:tcPr>
            <w:tcW w:w="820" w:type="dxa"/>
            <w:vAlign w:val="bottom"/>
            <w:tcBorders>
              <w:top w:val="single" w:sz="8" w:color="DBDBDB"/>
            </w:tcBorders>
            <w:shd w:val="clear" w:color="auto" w:fill="DBDBDB"/>
          </w:tcPr>
          <w:p>
            <w:pPr>
              <w:spacing w:after="0"/>
              <w:rPr>
                <w:sz w:val="12"/>
                <w:szCs w:val="12"/>
                <w:color w:val="auto"/>
              </w:rPr>
            </w:pPr>
          </w:p>
        </w:tc>
        <w:tc>
          <w:tcPr>
            <w:tcW w:w="120" w:type="dxa"/>
            <w:vAlign w:val="bottom"/>
            <w:tcBorders>
              <w:top w:val="single" w:sz="8" w:color="DBDBDB"/>
            </w:tcBorders>
            <w:shd w:val="clear" w:color="auto" w:fill="DBDBDB"/>
          </w:tcPr>
          <w:p>
            <w:pPr>
              <w:spacing w:after="0"/>
              <w:rPr>
                <w:sz w:val="12"/>
                <w:szCs w:val="12"/>
                <w:color w:val="auto"/>
              </w:rPr>
            </w:pPr>
          </w:p>
        </w:tc>
        <w:tc>
          <w:tcPr>
            <w:tcW w:w="120" w:type="dxa"/>
            <w:vAlign w:val="bottom"/>
            <w:tcBorders>
              <w:top w:val="single" w:sz="8" w:color="auto"/>
            </w:tcBorders>
            <w:shd w:val="clear" w:color="auto" w:fill="DBDBDB"/>
          </w:tcPr>
          <w:p>
            <w:pPr>
              <w:spacing w:after="0"/>
              <w:rPr>
                <w:sz w:val="12"/>
                <w:szCs w:val="12"/>
                <w:color w:val="auto"/>
              </w:rPr>
            </w:pPr>
          </w:p>
        </w:tc>
        <w:tc>
          <w:tcPr>
            <w:tcW w:w="980" w:type="dxa"/>
            <w:vAlign w:val="bottom"/>
            <w:tcBorders>
              <w:top w:val="single" w:sz="8" w:color="auto"/>
            </w:tcBorders>
            <w:shd w:val="clear" w:color="auto" w:fill="DBDBDB"/>
          </w:tcPr>
          <w:p>
            <w:pPr>
              <w:spacing w:after="0"/>
              <w:rPr>
                <w:sz w:val="12"/>
                <w:szCs w:val="12"/>
                <w:color w:val="auto"/>
              </w:rPr>
            </w:pPr>
          </w:p>
        </w:tc>
        <w:tc>
          <w:tcPr>
            <w:tcW w:w="1140" w:type="dxa"/>
            <w:vAlign w:val="bottom"/>
            <w:tcBorders>
              <w:top w:val="single" w:sz="8" w:color="auto"/>
            </w:tcBorders>
            <w:gridSpan w:val="2"/>
            <w:shd w:val="clear" w:color="auto" w:fill="DBDBDB"/>
          </w:tcPr>
          <w:p>
            <w:pPr>
              <w:jc w:val="right"/>
              <w:spacing w:after="0" w:line="149" w:lineRule="exact"/>
              <w:rPr>
                <w:sz w:val="20"/>
                <w:szCs w:val="20"/>
                <w:color w:val="auto"/>
              </w:rPr>
            </w:pPr>
            <w:r>
              <w:rPr>
                <w:rFonts w:ascii="Arial" w:cs="Arial" w:eastAsia="Arial" w:hAnsi="Arial"/>
                <w:sz w:val="13"/>
                <w:szCs w:val="13"/>
                <w:b w:val="1"/>
                <w:bCs w:val="1"/>
                <w:color w:val="auto"/>
                <w:w w:val="89"/>
              </w:rPr>
              <w:t>As of December 31,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260" w:type="dxa"/>
            <w:vAlign w:val="bottom"/>
            <w:tcBorders>
              <w:right w:val="single" w:sz="8" w:color="DBDBDB"/>
            </w:tcBorders>
          </w:tcPr>
          <w:p>
            <w:pPr>
              <w:spacing w:after="0"/>
              <w:rPr>
                <w:sz w:val="15"/>
                <w:szCs w:val="15"/>
                <w:color w:val="auto"/>
              </w:rPr>
            </w:pPr>
          </w:p>
        </w:tc>
        <w:tc>
          <w:tcPr>
            <w:tcW w:w="48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w w:val="87"/>
              </w:rPr>
              <w:t>As of June 30, 2023</w:t>
            </w:r>
          </w:p>
        </w:tc>
        <w:tc>
          <w:tcPr>
            <w:tcW w:w="220" w:type="dxa"/>
            <w:vAlign w:val="bottom"/>
            <w:tcBorders>
              <w:bottom w:val="single" w:sz="8" w:color="auto"/>
              <w:right w:val="single" w:sz="8" w:color="DBDBDB"/>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3"/>
                <w:szCs w:val="13"/>
                <w:color w:val="auto"/>
              </w:rPr>
              <w:t>Intangible assets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1,419,347</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1,347,709</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60" w:type="dxa"/>
            <w:vAlign w:val="bottom"/>
            <w:tcBorders>
              <w:right w:val="single" w:sz="8" w:color="DBDBDB"/>
            </w:tcBorders>
          </w:tcPr>
          <w:p>
            <w:pPr>
              <w:spacing w:after="0"/>
              <w:rPr>
                <w:sz w:val="18"/>
                <w:szCs w:val="18"/>
                <w:color w:val="auto"/>
              </w:rPr>
            </w:pPr>
          </w:p>
        </w:tc>
        <w:tc>
          <w:tcPr>
            <w:tcW w:w="48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Goodwill and trademarks</w:t>
            </w:r>
          </w:p>
        </w:tc>
        <w:tc>
          <w:tcPr>
            <w:tcW w:w="6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46,970</w:t>
            </w:r>
          </w:p>
        </w:tc>
        <w:tc>
          <w:tcPr>
            <w:tcW w:w="220" w:type="dxa"/>
            <w:vAlign w:val="bottom"/>
            <w:tcBorders>
              <w:bottom w:val="single" w:sz="8" w:color="DBDBDB"/>
              <w:right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48,768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1,466,317</w:t>
            </w:r>
          </w:p>
        </w:tc>
        <w:tc>
          <w:tcPr>
            <w:tcW w:w="2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1,396,477</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480" w:type="dxa"/>
            <w:vAlign w:val="bottom"/>
            <w:gridSpan w:val="3"/>
            <w:vMerge w:val="restart"/>
          </w:tcPr>
          <w:p>
            <w:pPr>
              <w:spacing w:after="0"/>
              <w:rPr>
                <w:sz w:val="20"/>
                <w:szCs w:val="20"/>
                <w:color w:val="auto"/>
              </w:rPr>
            </w:pPr>
            <w:r>
              <w:rPr>
                <w:rFonts w:ascii="Arial" w:cs="Arial" w:eastAsia="Arial" w:hAnsi="Arial"/>
                <w:sz w:val="13"/>
                <w:szCs w:val="13"/>
                <w:color w:val="auto"/>
              </w:rPr>
              <w:t>Intangible assets were as follows:</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360" w:type="dxa"/>
            <w:vAlign w:val="bottom"/>
          </w:tcPr>
          <w:p>
            <w:pPr>
              <w:spacing w:after="0"/>
              <w:rPr>
                <w:sz w:val="13"/>
                <w:szCs w:val="13"/>
                <w:color w:val="auto"/>
              </w:rPr>
            </w:pPr>
          </w:p>
        </w:tc>
        <w:tc>
          <w:tcPr>
            <w:tcW w:w="260" w:type="dxa"/>
            <w:vAlign w:val="bottom"/>
            <w:tcBorders>
              <w:right w:val="single" w:sz="8" w:color="DBDBDB"/>
            </w:tcBorders>
            <w:shd w:val="clear" w:color="auto" w:fill="DBDBDB"/>
          </w:tcPr>
          <w:p>
            <w:pPr>
              <w:spacing w:after="0"/>
              <w:rPr>
                <w:sz w:val="13"/>
                <w:szCs w:val="13"/>
                <w:color w:val="auto"/>
              </w:rPr>
            </w:pPr>
          </w:p>
        </w:tc>
        <w:tc>
          <w:tcPr>
            <w:tcW w:w="486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00" w:type="dxa"/>
            <w:vAlign w:val="bottom"/>
            <w:shd w:val="clear" w:color="auto" w:fill="DBDBDB"/>
          </w:tcPr>
          <w:p>
            <w:pPr>
              <w:jc w:val="right"/>
              <w:ind w:right="76"/>
              <w:spacing w:after="0"/>
              <w:rPr>
                <w:sz w:val="20"/>
                <w:szCs w:val="20"/>
                <w:color w:val="auto"/>
              </w:rPr>
            </w:pPr>
            <w:r>
              <w:rPr>
                <w:rFonts w:ascii="Arial" w:cs="Arial" w:eastAsia="Arial" w:hAnsi="Arial"/>
                <w:sz w:val="13"/>
                <w:szCs w:val="13"/>
                <w:b w:val="1"/>
                <w:bCs w:val="1"/>
                <w:color w:val="auto"/>
                <w:w w:val="90"/>
              </w:rPr>
              <w:t>Internally developed</w:t>
            </w:r>
          </w:p>
        </w:tc>
        <w:tc>
          <w:tcPr>
            <w:tcW w:w="8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220" w:type="dxa"/>
            <w:vAlign w:val="bottom"/>
            <w:tcBorders>
              <w:right w:val="single" w:sz="8" w:color="auto"/>
            </w:tcBorders>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260" w:type="dxa"/>
            <w:vAlign w:val="bottom"/>
            <w:tcBorders>
              <w:right w:val="single" w:sz="8" w:color="DBDBDB"/>
            </w:tcBorders>
            <w:shd w:val="clear" w:color="auto" w:fill="DBDBDB"/>
          </w:tcPr>
          <w:p>
            <w:pPr>
              <w:spacing w:after="0"/>
              <w:rPr>
                <w:sz w:val="16"/>
                <w:szCs w:val="16"/>
                <w:color w:val="auto"/>
              </w:rPr>
            </w:pPr>
          </w:p>
        </w:tc>
        <w:tc>
          <w:tcPr>
            <w:tcW w:w="486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ind w:right="576"/>
              <w:spacing w:after="0"/>
              <w:rPr>
                <w:sz w:val="20"/>
                <w:szCs w:val="20"/>
                <w:color w:val="auto"/>
              </w:rPr>
            </w:pPr>
            <w:r>
              <w:rPr>
                <w:rFonts w:ascii="Arial" w:cs="Arial" w:eastAsia="Arial" w:hAnsi="Arial"/>
                <w:sz w:val="13"/>
                <w:szCs w:val="13"/>
                <w:b w:val="1"/>
                <w:bCs w:val="1"/>
                <w:color w:val="auto"/>
              </w:rPr>
              <w:t>IP</w:t>
            </w:r>
          </w:p>
        </w:tc>
        <w:tc>
          <w:tcPr>
            <w:tcW w:w="940" w:type="dxa"/>
            <w:vAlign w:val="bottom"/>
            <w:tcBorders>
              <w:bottom w:val="single" w:sz="8" w:color="auto"/>
            </w:tcBorders>
            <w:gridSpan w:val="2"/>
            <w:shd w:val="clear" w:color="auto" w:fill="DBDBDB"/>
          </w:tcPr>
          <w:p>
            <w:pPr>
              <w:ind w:left="240"/>
              <w:spacing w:after="0"/>
              <w:rPr>
                <w:sz w:val="20"/>
                <w:szCs w:val="20"/>
                <w:color w:val="auto"/>
              </w:rPr>
            </w:pPr>
            <w:r>
              <w:rPr>
                <w:rFonts w:ascii="Arial" w:cs="Arial" w:eastAsia="Arial" w:hAnsi="Arial"/>
                <w:sz w:val="13"/>
                <w:szCs w:val="13"/>
                <w:b w:val="1"/>
                <w:bCs w:val="1"/>
                <w:color w:val="auto"/>
              </w:rPr>
              <w:t>Software</w:t>
            </w:r>
          </w:p>
        </w:tc>
        <w:tc>
          <w:tcPr>
            <w:tcW w:w="1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Acquired IP</w:t>
            </w:r>
          </w:p>
        </w:tc>
        <w:tc>
          <w:tcPr>
            <w:tcW w:w="220" w:type="dxa"/>
            <w:vAlign w:val="bottom"/>
            <w:tcBorders>
              <w:bottom w:val="single" w:sz="8" w:color="auto"/>
              <w:right w:val="single" w:sz="8" w:color="auto"/>
            </w:tcBorders>
            <w:shd w:val="clear" w:color="auto" w:fill="DBDBDB"/>
          </w:tcPr>
          <w:p>
            <w:pPr>
              <w:spacing w:after="0"/>
              <w:rPr>
                <w:sz w:val="16"/>
                <w:szCs w:val="16"/>
                <w:color w:val="auto"/>
              </w:rPr>
            </w:pPr>
          </w:p>
        </w:tc>
        <w:tc>
          <w:tcPr>
            <w:tcW w:w="1160" w:type="dxa"/>
            <w:vAlign w:val="bottom"/>
            <w:tcBorders>
              <w:bottom w:val="single" w:sz="8" w:color="auto"/>
            </w:tcBorders>
            <w:gridSpan w:val="2"/>
            <w:shd w:val="clear" w:color="auto" w:fill="DBDBDB"/>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0"/>
        </w:trPr>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20" w:type="dxa"/>
            <w:vAlign w:val="bottom"/>
          </w:tcPr>
          <w:p>
            <w:pPr>
              <w:jc w:val="right"/>
              <w:ind w:right="336"/>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8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-24130</wp:posOffset>
            </wp:positionV>
            <wp:extent cx="3175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00"/>
          </w:cols>
          <w:pgMar w:left="300" w:top="596" w:right="299" w:bottom="1440" w:gutter="0" w:footer="0" w:header="0"/>
          <w:type w:val="continuous"/>
        </w:sectPr>
      </w:pPr>
    </w:p>
    <w:bookmarkStart w:id="17" w:name="page18"/>
    <w:bookmarkEnd w:id="17"/>
    <w:tbl>
      <w:tblPr>
        <w:tblLayout w:type="fixed"/>
        <w:tblInd w:w="360" w:type="dxa"/>
        <w:tblCellMar>
          <w:top w:w="0" w:type="dxa"/>
          <w:left w:w="0" w:type="dxa"/>
          <w:bottom w:w="0" w:type="dxa"/>
          <w:right w:w="0" w:type="dxa"/>
        </w:tblCellMar>
      </w:tblPr>
      <w:tr>
        <w:trPr>
          <w:trHeight w:val="185"/>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Acquisition cost</w:t>
            </w: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4"/>
        </w:trPr>
        <w:tc>
          <w:tcPr>
            <w:tcW w:w="5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5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as of January 1, 2023</w:t>
            </w:r>
          </w:p>
        </w:tc>
        <w:tc>
          <w:tcPr>
            <w:tcW w:w="4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217,600</w:t>
            </w:r>
          </w:p>
        </w:tc>
        <w:tc>
          <w:tcPr>
            <w:tcW w:w="4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1,114</w:t>
            </w:r>
          </w:p>
        </w:tc>
        <w:tc>
          <w:tcPr>
            <w:tcW w:w="36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1,569,395</w:t>
            </w:r>
          </w:p>
        </w:tc>
        <w:tc>
          <w:tcPr>
            <w:tcW w:w="3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1,788,109</w:t>
            </w:r>
          </w:p>
        </w:tc>
      </w:tr>
      <w:tr>
        <w:trPr>
          <w:trHeight w:val="210"/>
        </w:trPr>
        <w:tc>
          <w:tcPr>
            <w:tcW w:w="5840" w:type="dxa"/>
            <w:vAlign w:val="bottom"/>
          </w:tcPr>
          <w:p>
            <w:pPr>
              <w:ind w:left="20"/>
              <w:spacing w:after="0"/>
              <w:rPr>
                <w:sz w:val="20"/>
                <w:szCs w:val="20"/>
                <w:color w:val="auto"/>
              </w:rPr>
            </w:pPr>
            <w:r>
              <w:rPr>
                <w:rFonts w:ascii="Arial" w:cs="Arial" w:eastAsia="Arial" w:hAnsi="Arial"/>
                <w:sz w:val="13"/>
                <w:szCs w:val="13"/>
                <w:color w:val="auto"/>
              </w:rPr>
              <w:t>Additions</w:t>
            </w:r>
            <w:r>
              <w:rPr>
                <w:rFonts w:ascii="Arial" w:cs="Arial" w:eastAsia="Arial" w:hAnsi="Arial"/>
                <w:sz w:val="16"/>
                <w:szCs w:val="16"/>
                <w:color w:val="auto"/>
                <w:vertAlign w:val="superscript"/>
              </w:rPr>
              <w:t>1</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49,807</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125,411</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175,218</w:t>
            </w:r>
          </w:p>
        </w:tc>
      </w:tr>
      <w:tr>
        <w:trPr>
          <w:trHeight w:val="190"/>
        </w:trPr>
        <w:tc>
          <w:tcPr>
            <w:tcW w:w="5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Divestments and disposals</w:t>
            </w:r>
          </w:p>
        </w:tc>
        <w:tc>
          <w:tcPr>
            <w:tcW w:w="4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(353)</w:t>
            </w:r>
          </w:p>
        </w:tc>
        <w:tc>
          <w:tcPr>
            <w:tcW w:w="3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(353)</w:t>
            </w:r>
          </w:p>
        </w:tc>
      </w:tr>
      <w:tr>
        <w:trPr>
          <w:trHeight w:val="181"/>
        </w:trPr>
        <w:tc>
          <w:tcPr>
            <w:tcW w:w="5840" w:type="dxa"/>
            <w:vAlign w:val="bottom"/>
          </w:tcPr>
          <w:p>
            <w:pPr>
              <w:ind w:left="20"/>
              <w:spacing w:after="0"/>
              <w:rPr>
                <w:sz w:val="20"/>
                <w:szCs w:val="20"/>
                <w:color w:val="auto"/>
              </w:rPr>
            </w:pPr>
            <w:r>
              <w:rPr>
                <w:rFonts w:ascii="Arial" w:cs="Arial" w:eastAsia="Arial" w:hAnsi="Arial"/>
                <w:sz w:val="13"/>
                <w:szCs w:val="13"/>
                <w:color w:val="auto"/>
              </w:rPr>
              <w:t>Effect of foreign currency exchange rate differences</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(9,332)</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w:t>
            </w:r>
          </w:p>
        </w:tc>
        <w:tc>
          <w:tcPr>
            <w:tcW w:w="360" w:type="dxa"/>
            <w:vAlign w:val="bottom"/>
          </w:tcPr>
          <w:p>
            <w:pPr>
              <w:spacing w:after="0"/>
              <w:rPr>
                <w:sz w:val="15"/>
                <w:szCs w:val="15"/>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(68,833)</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(78,211)</w:t>
            </w:r>
          </w:p>
        </w:tc>
      </w:tr>
      <w:tr>
        <w:trPr>
          <w:trHeight w:val="29"/>
        </w:trPr>
        <w:tc>
          <w:tcPr>
            <w:tcW w:w="584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5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400" w:type="dxa"/>
            <w:vAlign w:val="bottom"/>
            <w:tcBorders>
              <w:bottom w:val="single" w:sz="8" w:color="DBDBDB"/>
            </w:tcBorders>
            <w:shd w:val="clear" w:color="auto" w:fill="DBDBDB"/>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258,075</w:t>
            </w:r>
          </w:p>
        </w:tc>
        <w:tc>
          <w:tcPr>
            <w:tcW w:w="460" w:type="dxa"/>
            <w:vAlign w:val="bottom"/>
            <w:tcBorders>
              <w:bottom w:val="single" w:sz="8" w:color="DBDBDB"/>
            </w:tcBorders>
            <w:shd w:val="clear" w:color="auto" w:fill="DBDBDB"/>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1,068</w:t>
            </w:r>
          </w:p>
        </w:tc>
        <w:tc>
          <w:tcPr>
            <w:tcW w:w="36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1,625,620</w:t>
            </w:r>
          </w:p>
        </w:tc>
        <w:tc>
          <w:tcPr>
            <w:tcW w:w="340" w:type="dxa"/>
            <w:vAlign w:val="bottom"/>
            <w:tcBorders>
              <w:bottom w:val="single" w:sz="8" w:color="DBDBDB"/>
            </w:tcBorders>
            <w:shd w:val="clear" w:color="auto" w:fill="DBDBDB"/>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1,884,763</w:t>
            </w:r>
          </w:p>
        </w:tc>
      </w:tr>
      <w:tr>
        <w:trPr>
          <w:trHeight w:val="161"/>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Accumulated amortization and impairment</w:t>
            </w: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9"/>
        </w:trPr>
        <w:tc>
          <w:tcPr>
            <w:tcW w:w="5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5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Balance as of January 1, 2023</w:t>
            </w:r>
          </w:p>
        </w:tc>
        <w:tc>
          <w:tcPr>
            <w:tcW w:w="4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(14,856)</w:t>
            </w:r>
          </w:p>
        </w:tc>
        <w:tc>
          <w:tcPr>
            <w:tcW w:w="4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(389)</w:t>
            </w:r>
          </w:p>
        </w:tc>
        <w:tc>
          <w:tcPr>
            <w:tcW w:w="36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(425,155)</w:t>
            </w:r>
          </w:p>
        </w:tc>
        <w:tc>
          <w:tcPr>
            <w:tcW w:w="3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(440,400)</w:t>
            </w:r>
          </w:p>
        </w:tc>
      </w:tr>
      <w:tr>
        <w:trPr>
          <w:trHeight w:val="181"/>
        </w:trPr>
        <w:tc>
          <w:tcPr>
            <w:tcW w:w="5840" w:type="dxa"/>
            <w:vAlign w:val="bottom"/>
          </w:tcPr>
          <w:p>
            <w:pPr>
              <w:ind w:left="20"/>
              <w:spacing w:after="0"/>
              <w:rPr>
                <w:sz w:val="20"/>
                <w:szCs w:val="20"/>
                <w:color w:val="auto"/>
              </w:rPr>
            </w:pPr>
            <w:r>
              <w:rPr>
                <w:rFonts w:ascii="Arial" w:cs="Arial" w:eastAsia="Arial" w:hAnsi="Arial"/>
                <w:sz w:val="13"/>
                <w:szCs w:val="13"/>
                <w:color w:val="auto"/>
              </w:rPr>
              <w:t>Amortization expense</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(340)</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w:t>
            </w:r>
          </w:p>
        </w:tc>
        <w:tc>
          <w:tcPr>
            <w:tcW w:w="360" w:type="dxa"/>
            <w:vAlign w:val="bottom"/>
          </w:tcPr>
          <w:p>
            <w:pPr>
              <w:spacing w:after="0"/>
              <w:rPr>
                <w:sz w:val="15"/>
                <w:szCs w:val="15"/>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(44,347)</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(44,756)</w:t>
            </w:r>
          </w:p>
        </w:tc>
      </w:tr>
      <w:tr>
        <w:trPr>
          <w:trHeight w:val="29"/>
        </w:trPr>
        <w:tc>
          <w:tcPr>
            <w:tcW w:w="5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5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Divestments and disposals</w:t>
            </w:r>
          </w:p>
        </w:tc>
        <w:tc>
          <w:tcPr>
            <w:tcW w:w="4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303</w:t>
            </w:r>
          </w:p>
        </w:tc>
        <w:tc>
          <w:tcPr>
            <w:tcW w:w="3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303</w:t>
            </w:r>
          </w:p>
        </w:tc>
      </w:tr>
      <w:tr>
        <w:trPr>
          <w:trHeight w:val="181"/>
        </w:trPr>
        <w:tc>
          <w:tcPr>
            <w:tcW w:w="5840" w:type="dxa"/>
            <w:vAlign w:val="bottom"/>
          </w:tcPr>
          <w:p>
            <w:pPr>
              <w:ind w:left="20"/>
              <w:spacing w:after="0"/>
              <w:rPr>
                <w:sz w:val="20"/>
                <w:szCs w:val="20"/>
                <w:color w:val="auto"/>
              </w:rPr>
            </w:pPr>
            <w:r>
              <w:rPr>
                <w:rFonts w:ascii="Arial" w:cs="Arial" w:eastAsia="Arial" w:hAnsi="Arial"/>
                <w:sz w:val="13"/>
                <w:szCs w:val="13"/>
                <w:color w:val="auto"/>
              </w:rPr>
              <w:t>Effect of foreign currency exchange rate differences</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556</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w:t>
            </w:r>
          </w:p>
        </w:tc>
        <w:tc>
          <w:tcPr>
            <w:tcW w:w="360" w:type="dxa"/>
            <w:vAlign w:val="bottom"/>
          </w:tcPr>
          <w:p>
            <w:pPr>
              <w:spacing w:after="0"/>
              <w:rPr>
                <w:sz w:val="15"/>
                <w:szCs w:val="15"/>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18,863</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19,437</w:t>
            </w:r>
          </w:p>
        </w:tc>
      </w:tr>
      <w:tr>
        <w:trPr>
          <w:trHeight w:val="29"/>
        </w:trPr>
        <w:tc>
          <w:tcPr>
            <w:tcW w:w="584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5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400" w:type="dxa"/>
            <w:vAlign w:val="bottom"/>
            <w:tcBorders>
              <w:bottom w:val="single" w:sz="8" w:color="DBDBDB"/>
            </w:tcBorders>
            <w:shd w:val="clear" w:color="auto" w:fill="DBDBDB"/>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(14,640)</w:t>
            </w:r>
          </w:p>
        </w:tc>
        <w:tc>
          <w:tcPr>
            <w:tcW w:w="460" w:type="dxa"/>
            <w:vAlign w:val="bottom"/>
            <w:tcBorders>
              <w:bottom w:val="single" w:sz="8" w:color="DBDBDB"/>
            </w:tcBorders>
            <w:shd w:val="clear" w:color="auto" w:fill="DBDBDB"/>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(440)</w:t>
            </w:r>
          </w:p>
        </w:tc>
        <w:tc>
          <w:tcPr>
            <w:tcW w:w="360" w:type="dxa"/>
            <w:vAlign w:val="bottom"/>
            <w:tcBorders>
              <w:bottom w:val="single" w:sz="8" w:color="DBDBDB"/>
            </w:tcBorders>
            <w:shd w:val="clear" w:color="auto" w:fill="DBDBDB"/>
          </w:tcPr>
          <w:p>
            <w:pPr>
              <w:jc w:val="right"/>
              <w:ind w:right="21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(450,336)</w:t>
            </w:r>
          </w:p>
        </w:tc>
        <w:tc>
          <w:tcPr>
            <w:tcW w:w="340" w:type="dxa"/>
            <w:vAlign w:val="bottom"/>
            <w:tcBorders>
              <w:bottom w:val="single" w:sz="8" w:color="DBDBDB"/>
            </w:tcBorders>
            <w:shd w:val="clear" w:color="auto" w:fill="DBDBDB"/>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(465,416)</w:t>
            </w:r>
          </w:p>
        </w:tc>
      </w:tr>
      <w:tr>
        <w:trPr>
          <w:trHeight w:val="171"/>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Carrying amount as of June 30, 2023</w:t>
            </w:r>
          </w:p>
        </w:tc>
        <w:tc>
          <w:tcPr>
            <w:tcW w:w="40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243,435</w:t>
            </w:r>
          </w:p>
        </w:tc>
        <w:tc>
          <w:tcPr>
            <w:tcW w:w="460" w:type="dxa"/>
            <w:vAlign w:val="bottom"/>
            <w:tcBorders>
              <w:top w:val="single" w:sz="8" w:color="auto"/>
            </w:tcBorders>
          </w:tcPr>
          <w:p>
            <w:pPr>
              <w:jc w:val="right"/>
              <w:ind w:right="31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628</w:t>
            </w:r>
          </w:p>
        </w:tc>
        <w:tc>
          <w:tcPr>
            <w:tcW w:w="360" w:type="dxa"/>
            <w:vAlign w:val="bottom"/>
            <w:tcBorders>
              <w:top w:val="single" w:sz="8" w:color="auto"/>
            </w:tcBorders>
          </w:tcPr>
          <w:p>
            <w:pPr>
              <w:jc w:val="right"/>
              <w:ind w:right="216"/>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1,175,284</w:t>
            </w:r>
          </w:p>
        </w:tc>
        <w:tc>
          <w:tcPr>
            <w:tcW w:w="34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1,419,347</w:t>
            </w:r>
          </w:p>
        </w:tc>
      </w:tr>
      <w:tr>
        <w:trPr>
          <w:trHeight w:val="29"/>
        </w:trPr>
        <w:tc>
          <w:tcPr>
            <w:tcW w:w="5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73" w:lineRule="exact"/>
        <w:rPr>
          <w:sz w:val="20"/>
          <w:szCs w:val="20"/>
          <w:color w:val="auto"/>
        </w:rPr>
      </w:pPr>
    </w:p>
    <w:p>
      <w:pPr>
        <w:ind w:left="60" w:right="20"/>
        <w:spacing w:after="0" w:line="234" w:lineRule="auto"/>
        <w:rPr>
          <w:sz w:val="20"/>
          <w:szCs w:val="20"/>
          <w:color w:val="auto"/>
        </w:rPr>
      </w:pPr>
      <w:r>
        <w:rPr>
          <w:rFonts w:ascii="Arial" w:cs="Arial" w:eastAsia="Arial" w:hAnsi="Arial"/>
          <w:sz w:val="8"/>
          <w:szCs w:val="8"/>
          <w:color w:val="auto"/>
        </w:rPr>
        <w:t>1 – Of $175,218 in additions for the six months ended June 30, 2023, $53,132 has been settled in cash. These $53,132 are included in the $239,850 cash used for investing activities related to additions to intangible assets, and the remaining $186,718 relates to increases in Trade payables - related parties from prior years which were settled in cash during the six months ended June 30, 2023.</w:t>
      </w:r>
    </w:p>
    <w:p>
      <w:pPr>
        <w:spacing w:after="0" w:line="34"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 xml:space="preserve">Additions to internally developed IP are primarily related to the Polestar 5 and various other internal programs, such as model year changes, for the six months ended June 30, 2023. Additions of acquired IP during the six months ended June 30, 2023 were primarily related to acquisition of the Polestar 2 and Polestar 3 IP from Volvo Cars. Polestar also acquired IP related to Polestar 4 from Geely. Refer to </w:t>
      </w:r>
      <w:r>
        <w:rPr>
          <w:rFonts w:ascii="Arial" w:cs="Arial" w:eastAsia="Arial" w:hAnsi="Arial"/>
          <w:sz w:val="11"/>
          <w:szCs w:val="11"/>
          <w:i w:val="1"/>
          <w:iCs w:val="1"/>
          <w:color w:val="auto"/>
        </w:rPr>
        <w:t>Note 11 - Related party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for further details.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Changes to the carrying amount of goodwill and trademarks during the period were as follows:</w:t>
      </w:r>
    </w:p>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7080" w:type="dxa"/>
            <w:vAlign w:val="bottom"/>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b w:val="1"/>
                <w:bCs w:val="1"/>
                <w:color w:val="auto"/>
              </w:rPr>
              <w:t>Goodwill</w:t>
            </w:r>
          </w:p>
        </w:tc>
        <w:tc>
          <w:tcPr>
            <w:tcW w:w="1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right w:val="single" w:sz="8" w:color="auto"/>
            </w:tcBorders>
            <w:shd w:val="clear" w:color="auto" w:fill="DBDBDB"/>
          </w:tcPr>
          <w:p>
            <w:pPr>
              <w:jc w:val="right"/>
              <w:ind w:right="216"/>
              <w:spacing w:after="0"/>
              <w:rPr>
                <w:sz w:val="20"/>
                <w:szCs w:val="20"/>
                <w:color w:val="auto"/>
              </w:rPr>
            </w:pPr>
            <w:r>
              <w:rPr>
                <w:rFonts w:ascii="Arial" w:cs="Arial" w:eastAsia="Arial" w:hAnsi="Arial"/>
                <w:sz w:val="13"/>
                <w:szCs w:val="13"/>
                <w:b w:val="1"/>
                <w:bCs w:val="1"/>
                <w:color w:val="auto"/>
              </w:rPr>
              <w:t>Trademarks</w:t>
            </w:r>
          </w:p>
        </w:tc>
        <w:tc>
          <w:tcPr>
            <w:tcW w:w="2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3"/>
                <w:szCs w:val="13"/>
                <w:b w:val="1"/>
                <w:bCs w:val="1"/>
                <w:color w:val="auto"/>
              </w:rPr>
              <w:t>Total</w:t>
            </w:r>
          </w:p>
        </w:tc>
      </w:tr>
      <w:tr>
        <w:trPr>
          <w:trHeight w:val="173"/>
        </w:trPr>
        <w:tc>
          <w:tcPr>
            <w:tcW w:w="7080" w:type="dxa"/>
            <w:vAlign w:val="bottom"/>
          </w:tcPr>
          <w:p>
            <w:pPr>
              <w:ind w:left="20"/>
              <w:spacing w:after="0"/>
              <w:rPr>
                <w:sz w:val="20"/>
                <w:szCs w:val="20"/>
                <w:color w:val="auto"/>
              </w:rPr>
            </w:pPr>
            <w:r>
              <w:rPr>
                <w:rFonts w:ascii="Arial" w:cs="Arial" w:eastAsia="Arial" w:hAnsi="Arial"/>
                <w:sz w:val="13"/>
                <w:szCs w:val="13"/>
                <w:color w:val="auto"/>
              </w:rPr>
              <w:t>Balance as of January 1, 2023</w:t>
            </w:r>
          </w:p>
        </w:tc>
        <w:tc>
          <w:tcPr>
            <w:tcW w:w="200" w:type="dxa"/>
            <w:vAlign w:val="bottom"/>
          </w:tcPr>
          <w:p>
            <w:pPr>
              <w:spacing w:after="0"/>
              <w:rPr>
                <w:sz w:val="15"/>
                <w:szCs w:val="15"/>
                <w:color w:val="auto"/>
              </w:rPr>
            </w:pPr>
          </w:p>
        </w:tc>
        <w:tc>
          <w:tcPr>
            <w:tcW w:w="980" w:type="dxa"/>
            <w:vAlign w:val="bottom"/>
          </w:tcPr>
          <w:p>
            <w:pPr>
              <w:ind w:left="580"/>
              <w:spacing w:after="0"/>
              <w:rPr>
                <w:sz w:val="20"/>
                <w:szCs w:val="20"/>
                <w:color w:val="auto"/>
              </w:rPr>
            </w:pPr>
            <w:r>
              <w:rPr>
                <w:rFonts w:ascii="Arial" w:cs="Arial" w:eastAsia="Arial" w:hAnsi="Arial"/>
                <w:sz w:val="13"/>
                <w:szCs w:val="13"/>
                <w:color w:val="auto"/>
                <w:w w:val="95"/>
              </w:rPr>
              <w:t>46,460</w:t>
            </w:r>
          </w:p>
        </w:tc>
        <w:tc>
          <w:tcPr>
            <w:tcW w:w="180" w:type="dxa"/>
            <w:vAlign w:val="bottom"/>
          </w:tcPr>
          <w:p>
            <w:pPr>
              <w:spacing w:after="0"/>
              <w:rPr>
                <w:sz w:val="15"/>
                <w:szCs w:val="15"/>
                <w:color w:val="auto"/>
              </w:rPr>
            </w:pPr>
          </w:p>
        </w:tc>
        <w:tc>
          <w:tcPr>
            <w:tcW w:w="104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2,308</w:t>
            </w:r>
          </w:p>
        </w:tc>
        <w:tc>
          <w:tcPr>
            <w:tcW w:w="2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5"/>
              </w:rPr>
              <w:t>48,768</w:t>
            </w:r>
          </w:p>
        </w:tc>
      </w:tr>
      <w:tr>
        <w:trPr>
          <w:trHeight w:val="29"/>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7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Effect of foreign currency exchange rate differences</w:t>
            </w:r>
          </w:p>
        </w:tc>
        <w:tc>
          <w:tcPr>
            <w:tcW w:w="2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ind w:left="600"/>
              <w:spacing w:after="0"/>
              <w:rPr>
                <w:sz w:val="20"/>
                <w:szCs w:val="20"/>
                <w:color w:val="auto"/>
              </w:rPr>
            </w:pPr>
            <w:r>
              <w:rPr>
                <w:rFonts w:ascii="Arial" w:cs="Arial" w:eastAsia="Arial" w:hAnsi="Arial"/>
                <w:sz w:val="13"/>
                <w:szCs w:val="13"/>
                <w:color w:val="auto"/>
                <w:w w:val="87"/>
              </w:rPr>
              <w:t>(1,713)</w:t>
            </w:r>
          </w:p>
        </w:tc>
        <w:tc>
          <w:tcPr>
            <w:tcW w:w="18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(85)</w:t>
            </w:r>
          </w:p>
        </w:tc>
        <w:tc>
          <w:tcPr>
            <w:tcW w:w="24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ind w:left="540"/>
              <w:spacing w:after="0"/>
              <w:rPr>
                <w:sz w:val="20"/>
                <w:szCs w:val="20"/>
                <w:color w:val="auto"/>
              </w:rPr>
            </w:pPr>
            <w:r>
              <w:rPr>
                <w:rFonts w:ascii="Arial" w:cs="Arial" w:eastAsia="Arial" w:hAnsi="Arial"/>
                <w:sz w:val="13"/>
                <w:szCs w:val="13"/>
                <w:color w:val="auto"/>
                <w:w w:val="87"/>
              </w:rPr>
              <w:t>(1,798)</w:t>
            </w:r>
          </w:p>
        </w:tc>
      </w:tr>
      <w:tr>
        <w:trPr>
          <w:trHeight w:val="171"/>
        </w:trPr>
        <w:tc>
          <w:tcPr>
            <w:tcW w:w="708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tcPr>
          <w:p>
            <w:pPr>
              <w:ind w:left="580"/>
              <w:spacing w:after="0"/>
              <w:rPr>
                <w:sz w:val="20"/>
                <w:szCs w:val="20"/>
                <w:color w:val="auto"/>
              </w:rPr>
            </w:pPr>
            <w:r>
              <w:rPr>
                <w:rFonts w:ascii="Arial" w:cs="Arial" w:eastAsia="Arial" w:hAnsi="Arial"/>
                <w:sz w:val="13"/>
                <w:szCs w:val="13"/>
                <w:b w:val="1"/>
                <w:bCs w:val="1"/>
                <w:color w:val="auto"/>
                <w:w w:val="95"/>
              </w:rPr>
              <w:t>44,747</w:t>
            </w:r>
          </w:p>
        </w:tc>
        <w:tc>
          <w:tcPr>
            <w:tcW w:w="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2,223</w:t>
            </w:r>
          </w:p>
        </w:tc>
        <w:tc>
          <w:tcPr>
            <w:tcW w:w="240" w:type="dxa"/>
            <w:vAlign w:val="bottom"/>
            <w:tcBorders>
              <w:top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tcPr>
          <w:p>
            <w:pPr>
              <w:ind w:left="520"/>
              <w:spacing w:after="0"/>
              <w:rPr>
                <w:sz w:val="20"/>
                <w:szCs w:val="20"/>
                <w:color w:val="auto"/>
              </w:rPr>
            </w:pPr>
            <w:r>
              <w:rPr>
                <w:rFonts w:ascii="Arial" w:cs="Arial" w:eastAsia="Arial" w:hAnsi="Arial"/>
                <w:sz w:val="13"/>
                <w:szCs w:val="13"/>
                <w:b w:val="1"/>
                <w:bCs w:val="1"/>
                <w:color w:val="auto"/>
                <w:w w:val="95"/>
              </w:rPr>
              <w:t>46,970</w:t>
            </w:r>
          </w:p>
        </w:tc>
      </w:tr>
      <w:tr>
        <w:trPr>
          <w:trHeight w:val="29"/>
        </w:trPr>
        <w:tc>
          <w:tcPr>
            <w:tcW w:w="7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7 - Financial instruments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carrying amounts of financial assets and liabilities measured at fair value through profit and loss on a recurring basis: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38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660" w:type="dxa"/>
            <w:vAlign w:val="bottom"/>
            <w:tcBorders>
              <w:right w:val="single" w:sz="8" w:color="DBDBDB"/>
            </w:tcBorders>
            <w:gridSpan w:val="3"/>
            <w:shd w:val="clear" w:color="auto" w:fill="DBDBDB"/>
          </w:tcPr>
          <w:p>
            <w:pPr>
              <w:jc w:val="right"/>
              <w:ind w:right="496"/>
              <w:spacing w:after="0"/>
              <w:rPr>
                <w:sz w:val="20"/>
                <w:szCs w:val="20"/>
                <w:color w:val="auto"/>
              </w:rPr>
            </w:pPr>
            <w:r>
              <w:rPr>
                <w:rFonts w:ascii="Arial" w:cs="Arial" w:eastAsia="Arial" w:hAnsi="Arial"/>
                <w:sz w:val="13"/>
                <w:szCs w:val="13"/>
                <w:b w:val="1"/>
                <w:bCs w:val="1"/>
                <w:color w:val="auto"/>
              </w:rPr>
              <w:t>June 30, 2023</w:t>
            </w:r>
          </w:p>
        </w:tc>
        <w:tc>
          <w:tcPr>
            <w:tcW w:w="18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640" w:type="dxa"/>
            <w:vAlign w:val="bottom"/>
            <w:tcBorders>
              <w:right w:val="single" w:sz="8" w:color="DBDBDB"/>
            </w:tcBorders>
            <w:gridSpan w:val="3"/>
            <w:shd w:val="clear" w:color="auto" w:fill="DBDBDB"/>
          </w:tcPr>
          <w:p>
            <w:pPr>
              <w:jc w:val="right"/>
              <w:ind w:right="316"/>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r>
      <w:tr>
        <w:trPr>
          <w:trHeight w:val="181"/>
        </w:trPr>
        <w:tc>
          <w:tcPr>
            <w:tcW w:w="3860" w:type="dxa"/>
            <w:vAlign w:val="bottom"/>
          </w:tcPr>
          <w:p>
            <w:pPr>
              <w:spacing w:after="0"/>
              <w:rPr>
                <w:sz w:val="20"/>
                <w:szCs w:val="20"/>
                <w:color w:val="auto"/>
              </w:rPr>
            </w:pPr>
            <w:r>
              <w:rPr>
                <w:rFonts w:ascii="Arial" w:cs="Arial" w:eastAsia="Arial" w:hAnsi="Arial"/>
                <w:sz w:val="13"/>
                <w:szCs w:val="13"/>
                <w:b w:val="1"/>
                <w:bCs w:val="1"/>
                <w:color w:val="auto"/>
              </w:rPr>
              <w:t>Assets measured at FVTPL</w:t>
            </w:r>
          </w:p>
        </w:tc>
        <w:tc>
          <w:tcPr>
            <w:tcW w:w="18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1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180" w:type="dxa"/>
            <w:vAlign w:val="bottom"/>
          </w:tcPr>
          <w:p>
            <w:pPr>
              <w:spacing w:after="0"/>
              <w:rPr>
                <w:sz w:val="15"/>
                <w:szCs w:val="15"/>
                <w:color w:val="auto"/>
              </w:rPr>
            </w:pPr>
          </w:p>
        </w:tc>
        <w:tc>
          <w:tcPr>
            <w:tcW w:w="740" w:type="dxa"/>
            <w:vAlign w:val="bottom"/>
            <w:tcBorders>
              <w:right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Level 3</w:t>
            </w:r>
          </w:p>
        </w:tc>
        <w:tc>
          <w:tcPr>
            <w:tcW w:w="200" w:type="dxa"/>
            <w:vAlign w:val="bottom"/>
          </w:tcPr>
          <w:p>
            <w:pPr>
              <w:spacing w:after="0"/>
              <w:rPr>
                <w:sz w:val="15"/>
                <w:szCs w:val="15"/>
                <w:color w:val="auto"/>
              </w:rPr>
            </w:pPr>
          </w:p>
        </w:tc>
        <w:tc>
          <w:tcPr>
            <w:tcW w:w="70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r>
      <w:tr>
        <w:trPr>
          <w:trHeight w:val="29"/>
        </w:trPr>
        <w:tc>
          <w:tcPr>
            <w:tcW w:w="386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9"/>
        </w:trPr>
        <w:tc>
          <w:tcPr>
            <w:tcW w:w="38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Other investments</w:t>
            </w:r>
          </w:p>
        </w:tc>
        <w:tc>
          <w:tcPr>
            <w:tcW w:w="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color w:val="auto"/>
              </w:rPr>
              <w:t>2,248</w:t>
            </w:r>
          </w:p>
        </w:tc>
        <w:tc>
          <w:tcPr>
            <w:tcW w:w="18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2,248</w:t>
            </w:r>
          </w:p>
        </w:tc>
        <w:tc>
          <w:tcPr>
            <w:tcW w:w="16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2,333</w:t>
            </w:r>
          </w:p>
        </w:tc>
        <w:tc>
          <w:tcPr>
            <w:tcW w:w="20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2,333</w:t>
            </w:r>
          </w:p>
        </w:tc>
      </w:tr>
      <w:tr>
        <w:trPr>
          <w:trHeight w:val="171"/>
        </w:trPr>
        <w:tc>
          <w:tcPr>
            <w:tcW w:w="386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 $</w:t>
            </w:r>
          </w:p>
        </w:tc>
        <w:tc>
          <w:tcPr>
            <w:tcW w:w="90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 $</w:t>
            </w: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2,248</w:t>
            </w: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2,248</w:t>
            </w:r>
          </w:p>
        </w:tc>
        <w:tc>
          <w:tcPr>
            <w:tcW w:w="160" w:type="dxa"/>
            <w:vAlign w:val="bottom"/>
          </w:tcPr>
          <w:p>
            <w:pPr>
              <w:spacing w:after="0"/>
              <w:rPr>
                <w:sz w:val="14"/>
                <w:szCs w:val="14"/>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 $</w:t>
            </w:r>
          </w:p>
        </w:tc>
        <w:tc>
          <w:tcPr>
            <w:tcW w:w="9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 $</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2,333</w:t>
            </w:r>
          </w:p>
        </w:tc>
        <w:tc>
          <w:tcPr>
            <w:tcW w:w="20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2,333</w:t>
            </w:r>
          </w:p>
        </w:tc>
      </w:tr>
      <w:tr>
        <w:trPr>
          <w:trHeight w:val="29"/>
        </w:trPr>
        <w:tc>
          <w:tcPr>
            <w:tcW w:w="386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0"/>
        </w:trPr>
        <w:tc>
          <w:tcPr>
            <w:tcW w:w="38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Liabilities measured at FVTPL</w:t>
            </w:r>
          </w:p>
        </w:tc>
        <w:tc>
          <w:tcPr>
            <w:tcW w:w="180" w:type="dxa"/>
            <w:vAlign w:val="bottom"/>
            <w:tcBorders>
              <w:bottom w:val="single" w:sz="8" w:color="DBDBDB"/>
            </w:tcBorders>
            <w:shd w:val="clear" w:color="auto" w:fill="DBDBDB"/>
          </w:tcPr>
          <w:p>
            <w:pPr>
              <w:spacing w:after="0"/>
              <w:rPr>
                <w:sz w:val="14"/>
                <w:szCs w:val="14"/>
                <w:color w:val="auto"/>
              </w:rPr>
            </w:pPr>
          </w:p>
        </w:tc>
        <w:tc>
          <w:tcPr>
            <w:tcW w:w="72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72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760" w:type="dxa"/>
            <w:vAlign w:val="bottom"/>
            <w:tcBorders>
              <w:bottom w:val="single" w:sz="8" w:color="DBDBDB"/>
              <w:right w:val="single" w:sz="8" w:color="auto"/>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72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72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740" w:type="dxa"/>
            <w:vAlign w:val="bottom"/>
            <w:tcBorders>
              <w:bottom w:val="single" w:sz="8" w:color="DBDBDB"/>
              <w:right w:val="single" w:sz="8" w:color="auto"/>
            </w:tcBorders>
            <w:shd w:val="clear" w:color="auto" w:fill="DBDBDB"/>
          </w:tcPr>
          <w:p>
            <w:pPr>
              <w:spacing w:after="0"/>
              <w:rPr>
                <w:sz w:val="14"/>
                <w:szCs w:val="14"/>
                <w:color w:val="auto"/>
              </w:rPr>
            </w:pPr>
          </w:p>
        </w:tc>
        <w:tc>
          <w:tcPr>
            <w:tcW w:w="200" w:type="dxa"/>
            <w:vAlign w:val="bottom"/>
            <w:tcBorders>
              <w:bottom w:val="single" w:sz="8" w:color="DBDBDB"/>
            </w:tcBorders>
            <w:shd w:val="clear" w:color="auto" w:fill="DBDBDB"/>
          </w:tcPr>
          <w:p>
            <w:pPr>
              <w:spacing w:after="0"/>
              <w:rPr>
                <w:sz w:val="14"/>
                <w:szCs w:val="14"/>
                <w:color w:val="auto"/>
              </w:rPr>
            </w:pPr>
          </w:p>
        </w:tc>
        <w:tc>
          <w:tcPr>
            <w:tcW w:w="700" w:type="dxa"/>
            <w:vAlign w:val="bottom"/>
            <w:tcBorders>
              <w:bottom w:val="single" w:sz="8" w:color="DBDBDB"/>
            </w:tcBorders>
            <w:shd w:val="clear" w:color="auto" w:fill="DBDBDB"/>
          </w:tcPr>
          <w:p>
            <w:pPr>
              <w:spacing w:after="0"/>
              <w:rPr>
                <w:sz w:val="14"/>
                <w:szCs w:val="14"/>
                <w:color w:val="auto"/>
              </w:rPr>
            </w:pPr>
          </w:p>
        </w:tc>
      </w:tr>
      <w:tr>
        <w:trPr>
          <w:trHeight w:val="181"/>
        </w:trPr>
        <w:tc>
          <w:tcPr>
            <w:tcW w:w="3860" w:type="dxa"/>
            <w:vAlign w:val="bottom"/>
          </w:tcPr>
          <w:p>
            <w:pPr>
              <w:spacing w:after="0"/>
              <w:rPr>
                <w:sz w:val="20"/>
                <w:szCs w:val="20"/>
                <w:color w:val="auto"/>
              </w:rPr>
            </w:pPr>
            <w:r>
              <w:rPr>
                <w:rFonts w:ascii="Arial" w:cs="Arial" w:eastAsia="Arial" w:hAnsi="Arial"/>
                <w:sz w:val="13"/>
                <w:szCs w:val="13"/>
                <w:color w:val="auto"/>
              </w:rPr>
              <w:t>Earn-out rights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365,575</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365,575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598,570</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598,570</w:t>
            </w:r>
          </w:p>
        </w:tc>
      </w:tr>
      <w:tr>
        <w:trPr>
          <w:trHeight w:val="29"/>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90"/>
        </w:trPr>
        <w:tc>
          <w:tcPr>
            <w:tcW w:w="38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Class C-1 Shares</w:t>
            </w:r>
          </w:p>
        </w:tc>
        <w:tc>
          <w:tcPr>
            <w:tcW w:w="1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14,145</w:t>
            </w:r>
          </w:p>
        </w:tc>
        <w:tc>
          <w:tcPr>
            <w:tcW w:w="1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14,145</w:t>
            </w:r>
          </w:p>
        </w:tc>
        <w:tc>
          <w:tcPr>
            <w:tcW w:w="16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17,920</w:t>
            </w:r>
          </w:p>
        </w:tc>
        <w:tc>
          <w:tcPr>
            <w:tcW w:w="1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17,920</w:t>
            </w:r>
          </w:p>
        </w:tc>
      </w:tr>
      <w:tr>
        <w:trPr>
          <w:trHeight w:val="181"/>
        </w:trPr>
        <w:tc>
          <w:tcPr>
            <w:tcW w:w="3860" w:type="dxa"/>
            <w:vAlign w:val="bottom"/>
          </w:tcPr>
          <w:p>
            <w:pPr>
              <w:spacing w:after="0"/>
              <w:rPr>
                <w:sz w:val="20"/>
                <w:szCs w:val="20"/>
                <w:color w:val="auto"/>
              </w:rPr>
            </w:pPr>
            <w:r>
              <w:rPr>
                <w:rFonts w:ascii="Arial" w:cs="Arial" w:eastAsia="Arial" w:hAnsi="Arial"/>
                <w:sz w:val="13"/>
                <w:szCs w:val="13"/>
                <w:color w:val="auto"/>
              </w:rPr>
              <w:t>Class C-2 Shares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3,105</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3,105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10,080</w:t>
            </w:r>
          </w:p>
        </w:tc>
        <w:tc>
          <w:tcPr>
            <w:tcW w:w="180" w:type="dxa"/>
            <w:vAlign w:val="bottom"/>
          </w:tcPr>
          <w:p>
            <w:pPr>
              <w:spacing w:after="0"/>
              <w:rPr>
                <w:sz w:val="15"/>
                <w:szCs w:val="15"/>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10,080</w:t>
            </w:r>
          </w:p>
        </w:tc>
      </w:tr>
      <w:tr>
        <w:trPr>
          <w:trHeight w:val="29"/>
        </w:trPr>
        <w:tc>
          <w:tcPr>
            <w:tcW w:w="386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9"/>
        </w:trPr>
        <w:tc>
          <w:tcPr>
            <w:tcW w:w="38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 liabilities</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14,145</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3,105</w:t>
            </w:r>
          </w:p>
        </w:tc>
        <w:tc>
          <w:tcPr>
            <w:tcW w:w="180" w:type="dxa"/>
            <w:vAlign w:val="bottom"/>
            <w:tcBorders>
              <w:bottom w:val="single" w:sz="8" w:color="DBDBDB"/>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365,575</w:t>
            </w:r>
          </w:p>
        </w:tc>
        <w:tc>
          <w:tcPr>
            <w:tcW w:w="180" w:type="dxa"/>
            <w:vAlign w:val="bottom"/>
            <w:tcBorders>
              <w:bottom w:val="single" w:sz="8" w:color="DBDBDB"/>
            </w:tcBorders>
            <w:shd w:val="clear" w:color="auto" w:fill="DBDBDB"/>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382,825</w:t>
            </w:r>
          </w:p>
        </w:tc>
        <w:tc>
          <w:tcPr>
            <w:tcW w:w="1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17,920</w:t>
            </w:r>
          </w:p>
        </w:tc>
        <w:tc>
          <w:tcPr>
            <w:tcW w:w="180" w:type="dxa"/>
            <w:vAlign w:val="bottom"/>
            <w:tcBorders>
              <w:bottom w:val="single" w:sz="8" w:color="DBDBDB"/>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10,080</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598,570</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626,570</w:t>
            </w: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Reverse recapitalization</w:t>
      </w:r>
    </w:p>
    <w:p>
      <w:pPr>
        <w:spacing w:after="0" w:line="55"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 xml:space="preserve">Polestar underwent a reverse recapitalization through the merger with GGI and related arrangements on June 23, 2022. For more detail on the reverse recapitalization, including the net assets of GGI assumed by the Group and the Class C Shares and Earn-out rights issued in connection with the merger that are accounted for as derivative liabilities in accordance with IAS 32, </w:t>
      </w:r>
      <w:r>
        <w:rPr>
          <w:rFonts w:ascii="Arial" w:cs="Arial" w:eastAsia="Arial" w:hAnsi="Arial"/>
          <w:sz w:val="11"/>
          <w:szCs w:val="11"/>
          <w:i w:val="1"/>
          <w:iCs w:val="1"/>
          <w:color w:val="auto"/>
        </w:rPr>
        <w:t>Financial Instruments: Presentation</w:t>
      </w:r>
      <w:r>
        <w:rPr>
          <w:rFonts w:ascii="Arial" w:cs="Arial" w:eastAsia="Arial" w:hAnsi="Arial"/>
          <w:sz w:val="11"/>
          <w:szCs w:val="11"/>
          <w:color w:val="auto"/>
        </w:rPr>
        <w:t xml:space="preserve"> (“IAS 32”)</w:t>
      </w:r>
      <w:r>
        <w:rPr>
          <w:rFonts w:ascii="Arial" w:cs="Arial" w:eastAsia="Arial" w:hAnsi="Arial"/>
          <w:sz w:val="11"/>
          <w:szCs w:val="11"/>
          <w:i w:val="1"/>
          <w:iCs w:val="1"/>
          <w:color w:val="auto"/>
        </w:rPr>
        <w:t>,</w:t>
      </w:r>
      <w:r>
        <w:rPr>
          <w:rFonts w:ascii="Arial" w:cs="Arial" w:eastAsia="Arial" w:hAnsi="Arial"/>
          <w:sz w:val="11"/>
          <w:szCs w:val="11"/>
          <w:color w:val="auto"/>
        </w:rPr>
        <w:t xml:space="preserve"> and IFRS 9,</w:t>
      </w:r>
    </w:p>
    <w:p>
      <w:pPr>
        <w:spacing w:after="0" w:line="1" w:lineRule="exact"/>
        <w:rPr>
          <w:sz w:val="20"/>
          <w:szCs w:val="20"/>
          <w:color w:val="auto"/>
        </w:rPr>
      </w:pPr>
    </w:p>
    <w:p>
      <w:pPr>
        <w:jc w:val="both"/>
        <w:ind w:right="20"/>
        <w:spacing w:after="0" w:line="220"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(“IFRS 9”), refer to</w:t>
      </w:r>
      <w:r>
        <w:rPr>
          <w:rFonts w:ascii="Arial" w:cs="Arial" w:eastAsia="Arial" w:hAnsi="Arial"/>
          <w:sz w:val="13"/>
          <w:szCs w:val="13"/>
          <w:i w:val="1"/>
          <w:iCs w:val="1"/>
          <w:color w:val="auto"/>
        </w:rPr>
        <w:t xml:space="preserve"> Note 1 - Significant accounting policies and judgements </w:t>
      </w:r>
      <w:r>
        <w:rPr>
          <w:rFonts w:ascii="Arial" w:cs="Arial" w:eastAsia="Arial" w:hAnsi="Arial"/>
          <w:sz w:val="13"/>
          <w:szCs w:val="13"/>
          <w:color w:val="auto"/>
        </w:rPr>
        <w:t>and</w:t>
      </w:r>
      <w:r>
        <w:rPr>
          <w:rFonts w:ascii="Arial" w:cs="Arial" w:eastAsia="Arial" w:hAnsi="Arial"/>
          <w:sz w:val="13"/>
          <w:szCs w:val="13"/>
          <w:i w:val="1"/>
          <w:iCs w:val="1"/>
          <w:color w:val="auto"/>
        </w:rPr>
        <w:t xml:space="preserve"> Note 16 - Reverse recapitalization </w:t>
      </w:r>
      <w:r>
        <w:rPr>
          <w:rFonts w:ascii="Arial" w:cs="Arial" w:eastAsia="Arial" w:hAnsi="Arial"/>
          <w:sz w:val="13"/>
          <w:szCs w:val="13"/>
          <w:color w:val="auto"/>
        </w:rPr>
        <w:t>in the Consolidated Financial Statements for Polestar Automotive Holding UK</w:t>
      </w:r>
      <w:r>
        <w:rPr>
          <w:rFonts w:ascii="Arial" w:cs="Arial" w:eastAsia="Arial" w:hAnsi="Arial"/>
          <w:sz w:val="13"/>
          <w:szCs w:val="13"/>
          <w:i w:val="1"/>
          <w:iCs w:val="1"/>
          <w:color w:val="auto"/>
        </w:rPr>
        <w:t xml:space="preserve"> </w:t>
      </w:r>
      <w:r>
        <w:rPr>
          <w:rFonts w:ascii="Arial" w:cs="Arial" w:eastAsia="Arial" w:hAnsi="Arial"/>
          <w:sz w:val="13"/>
          <w:szCs w:val="13"/>
          <w:color w:val="auto"/>
        </w:rPr>
        <w:t>PLC, as of December 31, 2022 and 2021, and for the years ended December 31, 2022, that were included in the Form 20-F filed with the SEC on April 14, 2023.</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Class C Shares</w:t>
      </w:r>
    </w:p>
    <w:p>
      <w:pPr>
        <w:spacing w:after="0" w:line="64" w:lineRule="exact"/>
        <w:rPr>
          <w:sz w:val="20"/>
          <w:szCs w:val="20"/>
          <w:color w:val="auto"/>
        </w:rPr>
      </w:pPr>
    </w:p>
    <w:p>
      <w:pPr>
        <w:jc w:val="both"/>
        <w:ind w:right="20"/>
        <w:spacing w:after="0" w:line="218" w:lineRule="auto"/>
        <w:rPr>
          <w:sz w:val="20"/>
          <w:szCs w:val="20"/>
          <w:color w:val="auto"/>
        </w:rPr>
      </w:pPr>
      <w:r>
        <w:rPr>
          <w:rFonts w:ascii="Arial" w:cs="Arial" w:eastAsia="Arial" w:hAnsi="Arial"/>
          <w:sz w:val="13"/>
          <w:szCs w:val="13"/>
          <w:color w:val="auto"/>
        </w:rPr>
        <w:t xml:space="preserve">The Class C-2 Shares are not publicly traded and require a valuation approach leveraging Level 2 inputs. Refer to </w:t>
      </w:r>
      <w:r>
        <w:rPr>
          <w:rFonts w:ascii="Arial" w:cs="Arial" w:eastAsia="Arial" w:hAnsi="Arial"/>
          <w:sz w:val="13"/>
          <w:szCs w:val="13"/>
          <w:i w:val="1"/>
          <w:iCs w:val="1"/>
          <w:color w:val="auto"/>
        </w:rPr>
        <w:t>Note 1 - Significant accounting policies and judgements</w:t>
      </w:r>
      <w:r>
        <w:rPr>
          <w:rFonts w:ascii="Arial" w:cs="Arial" w:eastAsia="Arial" w:hAnsi="Arial"/>
          <w:sz w:val="13"/>
          <w:szCs w:val="13"/>
          <w:color w:val="auto"/>
        </w:rPr>
        <w:t xml:space="preserve"> for further details on the valuation methodology utilized to determine the fair value of the Class C-2 Shares. On March 22, 2023, 4,500,000 Class C-2 Shares with a fair value of $3,285 were converted to 4,500,000 Class C-1 Shares with the same fair value following the election by the respective holders of the Class C-2 Shares and approval from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55880</wp:posOffset>
            </wp:positionV>
            <wp:extent cx="6858000" cy="121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00" cy="121285"/>
                    </a:xfrm>
                    <a:prstGeom prst="rect">
                      <a:avLst/>
                    </a:prstGeom>
                    <a:noFill/>
                  </pic:spPr>
                </pic:pic>
              </a:graphicData>
            </a:graphic>
          </wp:anchor>
        </w:drawing>
      </w:r>
    </w:p>
    <w:p>
      <w:pPr>
        <w:spacing w:after="0" w:line="74" w:lineRule="exact"/>
        <w:rPr>
          <w:sz w:val="20"/>
          <w:szCs w:val="20"/>
          <w:color w:val="auto"/>
        </w:rPr>
      </w:pPr>
    </w:p>
    <w:p>
      <w:pPr>
        <w:ind w:left="4680"/>
        <w:spacing w:after="0"/>
        <w:tabs>
          <w:tab w:leader="none" w:pos="8440" w:val="left"/>
        </w:tabs>
        <w:rPr>
          <w:sz w:val="20"/>
          <w:szCs w:val="20"/>
          <w:color w:val="auto"/>
        </w:rPr>
      </w:pPr>
      <w:r>
        <w:rPr>
          <w:rFonts w:ascii="Arial" w:cs="Arial" w:eastAsia="Arial" w:hAnsi="Arial"/>
          <w:sz w:val="13"/>
          <w:szCs w:val="13"/>
          <w:b w:val="1"/>
          <w:bCs w:val="1"/>
          <w:color w:val="auto"/>
        </w:rPr>
        <w:t>As of June 30, 2023</w:t>
      </w:r>
      <w:r>
        <w:rPr>
          <w:sz w:val="20"/>
          <w:szCs w:val="20"/>
          <w:color w:val="auto"/>
        </w:rPr>
        <w:tab/>
      </w:r>
      <w:r>
        <w:rPr>
          <w:rFonts w:ascii="Arial" w:cs="Arial" w:eastAsia="Arial" w:hAnsi="Arial"/>
          <w:sz w:val="11"/>
          <w:szCs w:val="11"/>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22225</wp:posOffset>
            </wp:positionV>
            <wp:extent cx="49149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14900" cy="635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19772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300"/>
          </w:cols>
          <w:pgMar w:left="300" w:top="596" w:right="299" w:bottom="1440" w:gutter="0" w:footer="0" w:header="0"/>
        </w:sectPr>
      </w:pPr>
    </w:p>
    <w:bookmarkStart w:id="18" w:name="page19"/>
    <w:bookmarkEnd w:id="18"/>
    <w:tbl>
      <w:tblPr>
        <w:tblLayout w:type="fixed"/>
        <w:tblInd w:w="240" w:type="dxa"/>
        <w:tblCellMar>
          <w:top w:w="0" w:type="dxa"/>
          <w:left w:w="0" w:type="dxa"/>
          <w:bottom w:w="0" w:type="dxa"/>
          <w:right w:w="0" w:type="dxa"/>
        </w:tblCellMar>
      </w:tblPr>
      <w:tr>
        <w:trPr>
          <w:trHeight w:val="165"/>
        </w:trPr>
        <w:tc>
          <w:tcPr>
            <w:tcW w:w="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00" w:type="dxa"/>
            <w:vAlign w:val="bottom"/>
          </w:tcPr>
          <w:p>
            <w:pPr>
              <w:ind w:left="420"/>
              <w:spacing w:after="0"/>
              <w:rPr>
                <w:sz w:val="20"/>
                <w:szCs w:val="20"/>
                <w:color w:val="auto"/>
              </w:rPr>
            </w:pPr>
            <w:r>
              <w:rPr>
                <w:rFonts w:ascii="Arial" w:cs="Arial" w:eastAsia="Arial" w:hAnsi="Arial"/>
                <w:sz w:val="13"/>
                <w:szCs w:val="13"/>
                <w:b w:val="1"/>
                <w:bCs w:val="1"/>
                <w:color w:val="auto"/>
                <w:w w:val="92"/>
              </w:rPr>
              <w:t>Liability Fair Value</w:t>
            </w:r>
          </w:p>
        </w:tc>
        <w:tc>
          <w:tcPr>
            <w:tcW w:w="580" w:type="dxa"/>
            <w:vAlign w:val="bottom"/>
          </w:tcPr>
          <w:p>
            <w:pPr>
              <w:spacing w:after="0"/>
              <w:rPr>
                <w:sz w:val="14"/>
                <w:szCs w:val="14"/>
                <w:color w:val="auto"/>
              </w:rPr>
            </w:pPr>
          </w:p>
        </w:tc>
        <w:tc>
          <w:tcPr>
            <w:tcW w:w="1860" w:type="dxa"/>
            <w:vAlign w:val="bottom"/>
            <w:gridSpan w:val="2"/>
          </w:tcPr>
          <w:p>
            <w:pPr>
              <w:ind w:left="200"/>
              <w:spacing w:after="0"/>
              <w:rPr>
                <w:sz w:val="20"/>
                <w:szCs w:val="20"/>
                <w:color w:val="auto"/>
              </w:rPr>
            </w:pPr>
            <w:r>
              <w:rPr>
                <w:rFonts w:ascii="Arial" w:cs="Arial" w:eastAsia="Arial" w:hAnsi="Arial"/>
                <w:sz w:val="13"/>
                <w:szCs w:val="13"/>
                <w:b w:val="1"/>
                <w:bCs w:val="1"/>
                <w:color w:val="auto"/>
              </w:rPr>
              <w:t>Number Outstanding</w:t>
            </w:r>
          </w:p>
        </w:tc>
        <w:tc>
          <w:tcPr>
            <w:tcW w:w="2060" w:type="dxa"/>
            <w:vAlign w:val="bottom"/>
          </w:tcPr>
          <w:p>
            <w:pPr>
              <w:jc w:val="right"/>
              <w:ind w:right="516"/>
              <w:spacing w:after="0"/>
              <w:rPr>
                <w:sz w:val="20"/>
                <w:szCs w:val="20"/>
                <w:color w:val="auto"/>
              </w:rPr>
            </w:pPr>
            <w:r>
              <w:rPr>
                <w:rFonts w:ascii="Arial" w:cs="Arial" w:eastAsia="Arial" w:hAnsi="Arial"/>
                <w:sz w:val="13"/>
                <w:szCs w:val="13"/>
                <w:b w:val="1"/>
                <w:bCs w:val="1"/>
                <w:color w:val="auto"/>
              </w:rPr>
              <w:t>Liability Fair Value</w:t>
            </w:r>
          </w:p>
        </w:tc>
        <w:tc>
          <w:tcPr>
            <w:tcW w:w="206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Number Outstanding</w:t>
            </w:r>
          </w:p>
        </w:tc>
      </w:tr>
      <w:tr>
        <w:trPr>
          <w:trHeight w:val="29"/>
        </w:trPr>
        <w:tc>
          <w:tcPr>
            <w:tcW w:w="2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456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3"/>
                <w:szCs w:val="13"/>
                <w:color w:val="auto"/>
              </w:rPr>
              <w:t>Class C-1 Shares</w:t>
            </w:r>
          </w:p>
        </w:tc>
        <w:tc>
          <w:tcPr>
            <w:tcW w:w="580" w:type="dxa"/>
            <w:vAlign w:val="bottom"/>
            <w:tcBorders>
              <w:bottom w:val="single" w:sz="8" w:color="DBDBDB"/>
            </w:tcBorders>
            <w:shd w:val="clear" w:color="auto" w:fill="DBDBDB"/>
          </w:tcPr>
          <w:p>
            <w:pPr>
              <w:jc w:val="right"/>
              <w:ind w:right="156"/>
              <w:spacing w:after="0"/>
              <w:rPr>
                <w:sz w:val="20"/>
                <w:szCs w:val="20"/>
                <w:color w:val="auto"/>
              </w:rPr>
            </w:pPr>
            <w:r>
              <w:rPr>
                <w:rFonts w:ascii="Arial" w:cs="Arial" w:eastAsia="Arial" w:hAnsi="Arial"/>
                <w:sz w:val="13"/>
                <w:szCs w:val="13"/>
                <w:color w:val="auto"/>
                <w:w w:val="85"/>
              </w:rPr>
              <w:t>14,145</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20,499,965</w:t>
            </w:r>
          </w:p>
        </w:tc>
        <w:tc>
          <w:tcPr>
            <w:tcW w:w="120" w:type="dxa"/>
            <w:vAlign w:val="bottom"/>
            <w:tcBorders>
              <w:bottom w:val="single" w:sz="8" w:color="DBDBDB"/>
            </w:tcBorders>
            <w:shd w:val="clear" w:color="auto" w:fill="DBDBDB"/>
          </w:tcPr>
          <w:p>
            <w:pPr>
              <w:spacing w:after="0"/>
              <w:rPr>
                <w:sz w:val="16"/>
                <w:szCs w:val="16"/>
                <w:color w:val="auto"/>
              </w:rPr>
            </w:pPr>
          </w:p>
        </w:tc>
        <w:tc>
          <w:tcPr>
            <w:tcW w:w="2060" w:type="dxa"/>
            <w:vAlign w:val="bottom"/>
            <w:tcBorders>
              <w:bottom w:val="single" w:sz="8" w:color="DBDBDB"/>
            </w:tcBorders>
            <w:shd w:val="clear" w:color="auto" w:fill="DBDBDB"/>
          </w:tcPr>
          <w:p>
            <w:pPr>
              <w:jc w:val="right"/>
              <w:ind w:right="156"/>
              <w:spacing w:after="0"/>
              <w:rPr>
                <w:sz w:val="20"/>
                <w:szCs w:val="20"/>
                <w:color w:val="auto"/>
              </w:rPr>
            </w:pPr>
            <w:r>
              <w:rPr>
                <w:rFonts w:ascii="Arial" w:cs="Arial" w:eastAsia="Arial" w:hAnsi="Arial"/>
                <w:sz w:val="13"/>
                <w:szCs w:val="13"/>
                <w:color w:val="auto"/>
              </w:rPr>
              <w:t>17,920</w:t>
            </w:r>
          </w:p>
        </w:tc>
        <w:tc>
          <w:tcPr>
            <w:tcW w:w="7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15,999,965</w:t>
            </w:r>
          </w:p>
        </w:tc>
        <w:tc>
          <w:tcPr>
            <w:tcW w:w="320" w:type="dxa"/>
            <w:vAlign w:val="bottom"/>
          </w:tcPr>
          <w:p>
            <w:pPr>
              <w:spacing w:after="0"/>
              <w:rPr>
                <w:sz w:val="16"/>
                <w:szCs w:val="16"/>
                <w:color w:val="auto"/>
              </w:rPr>
            </w:pPr>
          </w:p>
        </w:tc>
      </w:tr>
      <w:tr>
        <w:trPr>
          <w:trHeight w:val="181"/>
        </w:trPr>
        <w:tc>
          <w:tcPr>
            <w:tcW w:w="4560" w:type="dxa"/>
            <w:vAlign w:val="bottom"/>
            <w:gridSpan w:val="3"/>
          </w:tcPr>
          <w:p>
            <w:pPr>
              <w:ind w:left="20"/>
              <w:spacing w:after="0"/>
              <w:rPr>
                <w:sz w:val="20"/>
                <w:szCs w:val="20"/>
                <w:color w:val="auto"/>
              </w:rPr>
            </w:pPr>
            <w:r>
              <w:rPr>
                <w:rFonts w:ascii="Arial" w:cs="Arial" w:eastAsia="Arial" w:hAnsi="Arial"/>
                <w:sz w:val="13"/>
                <w:szCs w:val="13"/>
                <w:color w:val="auto"/>
              </w:rPr>
              <w:t>Class C-2 Shares</w:t>
            </w:r>
          </w:p>
        </w:tc>
        <w:tc>
          <w:tcPr>
            <w:tcW w:w="580" w:type="dxa"/>
            <w:vAlign w:val="bottom"/>
          </w:tcPr>
          <w:p>
            <w:pPr>
              <w:jc w:val="right"/>
              <w:ind w:right="156"/>
              <w:spacing w:after="0"/>
              <w:rPr>
                <w:sz w:val="20"/>
                <w:szCs w:val="20"/>
                <w:color w:val="auto"/>
              </w:rPr>
            </w:pPr>
            <w:r>
              <w:rPr>
                <w:rFonts w:ascii="Arial" w:cs="Arial" w:eastAsia="Arial" w:hAnsi="Arial"/>
                <w:sz w:val="13"/>
                <w:szCs w:val="13"/>
                <w:color w:val="auto"/>
              </w:rPr>
              <w:t>3,105</w:t>
            </w:r>
          </w:p>
        </w:tc>
        <w:tc>
          <w:tcPr>
            <w:tcW w:w="1740" w:type="dxa"/>
            <w:vAlign w:val="bottom"/>
          </w:tcPr>
          <w:p>
            <w:pPr>
              <w:jc w:val="right"/>
              <w:spacing w:after="0"/>
              <w:rPr>
                <w:sz w:val="20"/>
                <w:szCs w:val="20"/>
                <w:color w:val="auto"/>
              </w:rPr>
            </w:pPr>
            <w:r>
              <w:rPr>
                <w:rFonts w:ascii="Arial" w:cs="Arial" w:eastAsia="Arial" w:hAnsi="Arial"/>
                <w:sz w:val="13"/>
                <w:szCs w:val="13"/>
                <w:color w:val="auto"/>
              </w:rPr>
              <w:t>4,500,000</w:t>
            </w:r>
          </w:p>
        </w:tc>
        <w:tc>
          <w:tcPr>
            <w:tcW w:w="120" w:type="dxa"/>
            <w:vAlign w:val="bottom"/>
          </w:tcPr>
          <w:p>
            <w:pPr>
              <w:spacing w:after="0"/>
              <w:rPr>
                <w:sz w:val="15"/>
                <w:szCs w:val="15"/>
                <w:color w:val="auto"/>
              </w:rPr>
            </w:pPr>
          </w:p>
        </w:tc>
        <w:tc>
          <w:tcPr>
            <w:tcW w:w="2060" w:type="dxa"/>
            <w:vAlign w:val="bottom"/>
          </w:tcPr>
          <w:p>
            <w:pPr>
              <w:jc w:val="right"/>
              <w:ind w:right="156"/>
              <w:spacing w:after="0"/>
              <w:rPr>
                <w:sz w:val="20"/>
                <w:szCs w:val="20"/>
                <w:color w:val="auto"/>
              </w:rPr>
            </w:pPr>
            <w:r>
              <w:rPr>
                <w:rFonts w:ascii="Arial" w:cs="Arial" w:eastAsia="Arial" w:hAnsi="Arial"/>
                <w:sz w:val="13"/>
                <w:szCs w:val="13"/>
                <w:color w:val="auto"/>
              </w:rPr>
              <w:t>10,080</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9,000,000</w:t>
            </w:r>
          </w:p>
        </w:tc>
        <w:tc>
          <w:tcPr>
            <w:tcW w:w="320" w:type="dxa"/>
            <w:vAlign w:val="bottom"/>
          </w:tcPr>
          <w:p>
            <w:pPr>
              <w:spacing w:after="0"/>
              <w:rPr>
                <w:sz w:val="15"/>
                <w:szCs w:val="15"/>
                <w:color w:val="auto"/>
              </w:rPr>
            </w:pPr>
          </w:p>
        </w:tc>
      </w:tr>
      <w:tr>
        <w:trPr>
          <w:trHeight w:val="29"/>
        </w:trPr>
        <w:tc>
          <w:tcPr>
            <w:tcW w:w="240" w:type="dxa"/>
            <w:vAlign w:val="bottom"/>
            <w:tcBorders>
              <w:bottom w:val="single" w:sz="8" w:color="DBDBDB"/>
            </w:tcBorders>
          </w:tcPr>
          <w:p>
            <w:pPr>
              <w:spacing w:after="0"/>
              <w:rPr>
                <w:sz w:val="2"/>
                <w:szCs w:val="2"/>
                <w:color w:val="auto"/>
              </w:rPr>
            </w:pPr>
          </w:p>
        </w:tc>
        <w:tc>
          <w:tcPr>
            <w:tcW w:w="2820" w:type="dxa"/>
            <w:vAlign w:val="bottom"/>
            <w:tcBorders>
              <w:bottom w:val="single" w:sz="8" w:color="DBDBDB"/>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99"/>
        </w:trPr>
        <w:tc>
          <w:tcPr>
            <w:tcW w:w="30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3"/>
                <w:szCs w:val="13"/>
                <w:b w:val="1"/>
                <w:bCs w:val="1"/>
                <w:color w:val="auto"/>
              </w:rPr>
              <w:t>Total</w:t>
            </w:r>
          </w:p>
        </w:tc>
        <w:tc>
          <w:tcPr>
            <w:tcW w:w="150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ind w:right="156"/>
              <w:spacing w:after="0"/>
              <w:rPr>
                <w:sz w:val="20"/>
                <w:szCs w:val="20"/>
                <w:color w:val="auto"/>
              </w:rPr>
            </w:pPr>
            <w:r>
              <w:rPr>
                <w:rFonts w:ascii="Arial" w:cs="Arial" w:eastAsia="Arial" w:hAnsi="Arial"/>
                <w:sz w:val="13"/>
                <w:szCs w:val="13"/>
                <w:b w:val="1"/>
                <w:bCs w:val="1"/>
                <w:color w:val="auto"/>
                <w:w w:val="85"/>
              </w:rPr>
              <w:t>17,250</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24,999,965</w:t>
            </w:r>
          </w:p>
        </w:tc>
        <w:tc>
          <w:tcPr>
            <w:tcW w:w="120" w:type="dxa"/>
            <w:vAlign w:val="bottom"/>
            <w:tcBorders>
              <w:bottom w:val="single" w:sz="8" w:color="DBDBDB"/>
            </w:tcBorders>
            <w:shd w:val="clear" w:color="auto" w:fill="DBDBDB"/>
          </w:tcPr>
          <w:p>
            <w:pPr>
              <w:spacing w:after="0"/>
              <w:rPr>
                <w:sz w:val="17"/>
                <w:szCs w:val="17"/>
                <w:color w:val="auto"/>
              </w:rPr>
            </w:pPr>
          </w:p>
        </w:tc>
        <w:tc>
          <w:tcPr>
            <w:tcW w:w="2060" w:type="dxa"/>
            <w:vAlign w:val="bottom"/>
            <w:tcBorders>
              <w:bottom w:val="single" w:sz="8" w:color="DBDBDB"/>
            </w:tcBorders>
            <w:shd w:val="clear" w:color="auto" w:fill="DBDBDB"/>
          </w:tcPr>
          <w:p>
            <w:pPr>
              <w:jc w:val="right"/>
              <w:ind w:right="156"/>
              <w:spacing w:after="0"/>
              <w:rPr>
                <w:sz w:val="20"/>
                <w:szCs w:val="20"/>
                <w:color w:val="auto"/>
              </w:rPr>
            </w:pPr>
            <w:r>
              <w:rPr>
                <w:rFonts w:ascii="Arial" w:cs="Arial" w:eastAsia="Arial" w:hAnsi="Arial"/>
                <w:sz w:val="13"/>
                <w:szCs w:val="13"/>
                <w:b w:val="1"/>
                <w:bCs w:val="1"/>
                <w:color w:val="auto"/>
              </w:rPr>
              <w:t>28,000</w:t>
            </w:r>
          </w:p>
        </w:tc>
        <w:tc>
          <w:tcPr>
            <w:tcW w:w="78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24,999,965</w:t>
            </w:r>
          </w:p>
        </w:tc>
        <w:tc>
          <w:tcPr>
            <w:tcW w:w="320" w:type="dxa"/>
            <w:vAlign w:val="bottom"/>
          </w:tcPr>
          <w:p>
            <w:pPr>
              <w:spacing w:after="0"/>
              <w:rPr>
                <w:sz w:val="17"/>
                <w:szCs w:val="17"/>
                <w:color w:val="auto"/>
              </w:rPr>
            </w:pPr>
          </w:p>
        </w:tc>
      </w:tr>
      <w:tr>
        <w:trPr>
          <w:trHeight w:val="152"/>
        </w:trPr>
        <w:tc>
          <w:tcPr>
            <w:tcW w:w="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81"/>
        </w:trPr>
        <w:tc>
          <w:tcPr>
            <w:tcW w:w="240" w:type="dxa"/>
            <w:vAlign w:val="bottom"/>
            <w:tcBorders>
              <w:right w:val="single" w:sz="8" w:color="DBDBDB"/>
            </w:tcBorders>
          </w:tcPr>
          <w:p>
            <w:pPr>
              <w:spacing w:after="0"/>
              <w:rPr>
                <w:sz w:val="15"/>
                <w:szCs w:val="15"/>
                <w:color w:val="auto"/>
              </w:rPr>
            </w:pPr>
          </w:p>
        </w:tc>
        <w:tc>
          <w:tcPr>
            <w:tcW w:w="282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7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w w:val="99"/>
              </w:rPr>
              <w:t>Class C-1 Shares</w:t>
            </w:r>
          </w:p>
        </w:tc>
      </w:tr>
      <w:tr>
        <w:trPr>
          <w:trHeight w:val="180"/>
        </w:trPr>
        <w:tc>
          <w:tcPr>
            <w:tcW w:w="24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As of January 1, 2023</w:t>
            </w:r>
          </w:p>
        </w:tc>
        <w:tc>
          <w:tcPr>
            <w:tcW w:w="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9"/>
        </w:trPr>
        <w:tc>
          <w:tcPr>
            <w:tcW w:w="240" w:type="dxa"/>
            <w:vAlign w:val="bottom"/>
          </w:tcPr>
          <w:p>
            <w:pPr>
              <w:spacing w:after="0"/>
              <w:rPr>
                <w:sz w:val="2"/>
                <w:szCs w:val="2"/>
                <w:color w:val="auto"/>
              </w:rPr>
            </w:pPr>
          </w:p>
        </w:tc>
        <w:tc>
          <w:tcPr>
            <w:tcW w:w="4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240" w:type="dxa"/>
            <w:vAlign w:val="bottom"/>
            <w:tcBorders>
              <w:right w:val="single" w:sz="8" w:color="DBDBDB"/>
            </w:tcBorders>
          </w:tcPr>
          <w:p>
            <w:pPr>
              <w:spacing w:after="0"/>
              <w:rPr>
                <w:sz w:val="16"/>
                <w:szCs w:val="16"/>
                <w:color w:val="auto"/>
              </w:rPr>
            </w:pPr>
          </w:p>
        </w:tc>
        <w:tc>
          <w:tcPr>
            <w:tcW w:w="43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color w:val="auto"/>
              </w:rPr>
              <w:t>Class C-2 Shares converted to Class C-1 Shares</w:t>
            </w:r>
          </w:p>
        </w:tc>
        <w:tc>
          <w:tcPr>
            <w:tcW w:w="580" w:type="dxa"/>
            <w:vAlign w:val="bottom"/>
            <w:tcBorders>
              <w:bottom w:val="single" w:sz="8" w:color="DBDBDB"/>
            </w:tcBorders>
            <w:shd w:val="clear" w:color="auto" w:fill="DBDBDB"/>
          </w:tcPr>
          <w:p>
            <w:pPr>
              <w:spacing w:after="0"/>
              <w:rPr>
                <w:sz w:val="16"/>
                <w:szCs w:val="16"/>
                <w:color w:val="auto"/>
              </w:rPr>
            </w:pPr>
          </w:p>
        </w:tc>
        <w:tc>
          <w:tcPr>
            <w:tcW w:w="174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r>
      <w:tr>
        <w:trPr>
          <w:trHeight w:val="181"/>
        </w:trPr>
        <w:tc>
          <w:tcPr>
            <w:tcW w:w="24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Changes in fair value measurement</w:t>
            </w:r>
          </w:p>
        </w:tc>
        <w:tc>
          <w:tcPr>
            <w:tcW w:w="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r>
      <w:tr>
        <w:trPr>
          <w:trHeight w:val="29"/>
        </w:trPr>
        <w:tc>
          <w:tcPr>
            <w:tcW w:w="240" w:type="dxa"/>
            <w:vAlign w:val="bottom"/>
          </w:tcPr>
          <w:p>
            <w:pPr>
              <w:spacing w:after="0"/>
              <w:rPr>
                <w:sz w:val="2"/>
                <w:szCs w:val="2"/>
                <w:color w:val="auto"/>
              </w:rPr>
            </w:pPr>
          </w:p>
        </w:tc>
        <w:tc>
          <w:tcPr>
            <w:tcW w:w="4320" w:type="dxa"/>
            <w:vAlign w:val="bottom"/>
            <w:tcBorders>
              <w:bottom w:val="single" w:sz="8" w:color="DBDBDB"/>
            </w:tcBorders>
            <w:gridSpan w:val="2"/>
          </w:tcPr>
          <w:p>
            <w:pPr>
              <w:spacing w:after="0"/>
              <w:rPr>
                <w:sz w:val="2"/>
                <w:szCs w:val="2"/>
                <w:color w:val="auto"/>
              </w:rPr>
            </w:pPr>
          </w:p>
        </w:tc>
        <w:tc>
          <w:tcPr>
            <w:tcW w:w="580" w:type="dxa"/>
            <w:vAlign w:val="bottom"/>
            <w:tcBorders>
              <w:bottom w:val="single" w:sz="8" w:color="DBDBDB"/>
            </w:tcBorders>
          </w:tcPr>
          <w:p>
            <w:pPr>
              <w:spacing w:after="0"/>
              <w:rPr>
                <w:sz w:val="2"/>
                <w:szCs w:val="2"/>
                <w:color w:val="auto"/>
              </w:rPr>
            </w:pPr>
          </w:p>
        </w:tc>
        <w:tc>
          <w:tcPr>
            <w:tcW w:w="1740" w:type="dxa"/>
            <w:vAlign w:val="bottom"/>
            <w:tcBorders>
              <w:bottom w:val="single" w:sz="8" w:color="DBDBDB"/>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060" w:type="dxa"/>
            <w:vAlign w:val="bottom"/>
            <w:tcBorders>
              <w:bottom w:val="single" w:sz="8" w:color="DBDBDB"/>
            </w:tcBorders>
          </w:tcPr>
          <w:p>
            <w:pPr>
              <w:spacing w:after="0"/>
              <w:rPr>
                <w:sz w:val="2"/>
                <w:szCs w:val="2"/>
                <w:color w:val="auto"/>
              </w:rPr>
            </w:pPr>
          </w:p>
        </w:tc>
        <w:tc>
          <w:tcPr>
            <w:tcW w:w="7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199"/>
        </w:trPr>
        <w:tc>
          <w:tcPr>
            <w:tcW w:w="240" w:type="dxa"/>
            <w:vAlign w:val="bottom"/>
            <w:tcBorders>
              <w:right w:val="single" w:sz="8" w:color="DBDBDB"/>
            </w:tcBorders>
          </w:tcPr>
          <w:p>
            <w:pPr>
              <w:spacing w:after="0"/>
              <w:rPr>
                <w:sz w:val="17"/>
                <w:szCs w:val="17"/>
                <w:color w:val="auto"/>
              </w:rPr>
            </w:pPr>
          </w:p>
        </w:tc>
        <w:tc>
          <w:tcPr>
            <w:tcW w:w="43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b w:val="1"/>
                <w:bCs w:val="1"/>
                <w:color w:val="auto"/>
              </w:rPr>
              <w:t>As of June 30, 2023</w:t>
            </w:r>
          </w:p>
        </w:tc>
        <w:tc>
          <w:tcPr>
            <w:tcW w:w="580" w:type="dxa"/>
            <w:vAlign w:val="bottom"/>
            <w:tcBorders>
              <w:bottom w:val="single" w:sz="8" w:color="DBDBDB"/>
            </w:tcBorders>
            <w:shd w:val="clear" w:color="auto" w:fill="DBDBDB"/>
          </w:tcPr>
          <w:p>
            <w:pPr>
              <w:spacing w:after="0"/>
              <w:rPr>
                <w:sz w:val="17"/>
                <w:szCs w:val="17"/>
                <w:color w:val="auto"/>
              </w:rPr>
            </w:pPr>
          </w:p>
        </w:tc>
        <w:tc>
          <w:tcPr>
            <w:tcW w:w="174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06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gridSpan w:val="2"/>
            <w:shd w:val="clear" w:color="auto" w:fill="DBDBDB"/>
          </w:tcPr>
          <w:p>
            <w:pPr>
              <w:jc w:val="right"/>
              <w:ind w:right="72"/>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1</w:t>
            </w:r>
          </w:p>
        </w:tc>
      </w:tr>
      <w:tr>
        <w:trPr>
          <w:trHeight w:val="142"/>
        </w:trPr>
        <w:tc>
          <w:tcPr>
            <w:tcW w:w="2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rPr>
                <w:sz w:val="12"/>
                <w:szCs w:val="12"/>
                <w:color w:val="auto"/>
              </w:rPr>
            </w:pPr>
          </w:p>
        </w:tc>
      </w:tr>
      <w:tr>
        <w:trPr>
          <w:trHeight w:val="181"/>
        </w:trPr>
        <w:tc>
          <w:tcPr>
            <w:tcW w:w="240" w:type="dxa"/>
            <w:vAlign w:val="bottom"/>
          </w:tcPr>
          <w:p>
            <w:pPr>
              <w:spacing w:after="0"/>
              <w:rPr>
                <w:sz w:val="15"/>
                <w:szCs w:val="15"/>
                <w:color w:val="auto"/>
              </w:rPr>
            </w:pPr>
          </w:p>
        </w:tc>
        <w:tc>
          <w:tcPr>
            <w:tcW w:w="2820" w:type="dxa"/>
            <w:vAlign w:val="bottom"/>
            <w:shd w:val="clear" w:color="auto" w:fill="DBDBDB"/>
          </w:tcPr>
          <w:p>
            <w:pPr>
              <w:spacing w:after="0"/>
              <w:rPr>
                <w:sz w:val="15"/>
                <w:szCs w:val="15"/>
                <w:color w:val="auto"/>
              </w:rPr>
            </w:pPr>
          </w:p>
        </w:tc>
        <w:tc>
          <w:tcPr>
            <w:tcW w:w="150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7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3"/>
                <w:szCs w:val="13"/>
                <w:b w:val="1"/>
                <w:bCs w:val="1"/>
                <w:color w:val="auto"/>
                <w:w w:val="97"/>
              </w:rPr>
              <w:t>Class C-2 Shares</w:t>
            </w:r>
          </w:p>
        </w:tc>
      </w:tr>
      <w:tr>
        <w:trPr>
          <w:trHeight w:val="180"/>
        </w:trPr>
        <w:tc>
          <w:tcPr>
            <w:tcW w:w="24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As of January 1, 2023</w:t>
            </w:r>
          </w:p>
        </w:tc>
        <w:tc>
          <w:tcPr>
            <w:tcW w:w="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w:t>
            </w:r>
          </w:p>
        </w:tc>
      </w:tr>
      <w:tr>
        <w:trPr>
          <w:trHeight w:val="29"/>
        </w:trPr>
        <w:tc>
          <w:tcPr>
            <w:tcW w:w="240" w:type="dxa"/>
            <w:vAlign w:val="bottom"/>
          </w:tcPr>
          <w:p>
            <w:pPr>
              <w:spacing w:after="0"/>
              <w:rPr>
                <w:sz w:val="2"/>
                <w:szCs w:val="2"/>
                <w:color w:val="auto"/>
              </w:rPr>
            </w:pPr>
          </w:p>
        </w:tc>
        <w:tc>
          <w:tcPr>
            <w:tcW w:w="4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190"/>
        </w:trPr>
        <w:tc>
          <w:tcPr>
            <w:tcW w:w="240" w:type="dxa"/>
            <w:vAlign w:val="bottom"/>
          </w:tcPr>
          <w:p>
            <w:pPr>
              <w:spacing w:after="0"/>
              <w:rPr>
                <w:sz w:val="16"/>
                <w:szCs w:val="16"/>
                <w:color w:val="auto"/>
              </w:rPr>
            </w:pPr>
          </w:p>
        </w:tc>
        <w:tc>
          <w:tcPr>
            <w:tcW w:w="43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color w:val="auto"/>
              </w:rPr>
              <w:t>Class C-2 Shares converted to Class C-1 Shares</w:t>
            </w:r>
          </w:p>
        </w:tc>
        <w:tc>
          <w:tcPr>
            <w:tcW w:w="580" w:type="dxa"/>
            <w:vAlign w:val="bottom"/>
            <w:tcBorders>
              <w:bottom w:val="single" w:sz="8" w:color="DBDBDB"/>
            </w:tcBorders>
            <w:shd w:val="clear" w:color="auto" w:fill="DBDBDB"/>
          </w:tcPr>
          <w:p>
            <w:pPr>
              <w:spacing w:after="0"/>
              <w:rPr>
                <w:sz w:val="16"/>
                <w:szCs w:val="16"/>
                <w:color w:val="auto"/>
              </w:rPr>
            </w:pPr>
          </w:p>
        </w:tc>
        <w:tc>
          <w:tcPr>
            <w:tcW w:w="174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gridSpan w:val="2"/>
            <w:shd w:val="clear" w:color="auto" w:fill="DBDBDB"/>
          </w:tcPr>
          <w:p>
            <w:pPr>
              <w:jc w:val="right"/>
              <w:ind w:right="20"/>
              <w:spacing w:after="0"/>
              <w:rPr>
                <w:sz w:val="20"/>
                <w:szCs w:val="20"/>
                <w:color w:val="auto"/>
              </w:rPr>
            </w:pPr>
            <w:r>
              <w:rPr>
                <w:rFonts w:ascii="Arial" w:cs="Arial" w:eastAsia="Arial" w:hAnsi="Arial"/>
                <w:sz w:val="13"/>
                <w:szCs w:val="13"/>
                <w:color w:val="auto"/>
              </w:rPr>
              <w:t>(</w:t>
            </w:r>
          </w:p>
        </w:tc>
      </w:tr>
      <w:tr>
        <w:trPr>
          <w:trHeight w:val="181"/>
        </w:trPr>
        <w:tc>
          <w:tcPr>
            <w:tcW w:w="240" w:type="dxa"/>
            <w:vAlign w:val="bottom"/>
          </w:tcPr>
          <w:p>
            <w:pPr>
              <w:spacing w:after="0"/>
              <w:rPr>
                <w:sz w:val="15"/>
                <w:szCs w:val="15"/>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Changes in fair value measurement</w:t>
            </w:r>
          </w:p>
        </w:tc>
        <w:tc>
          <w:tcPr>
            <w:tcW w:w="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29"/>
        </w:trPr>
        <w:tc>
          <w:tcPr>
            <w:tcW w:w="240" w:type="dxa"/>
            <w:vAlign w:val="bottom"/>
          </w:tcPr>
          <w:p>
            <w:pPr>
              <w:spacing w:after="0"/>
              <w:rPr>
                <w:sz w:val="2"/>
                <w:szCs w:val="2"/>
                <w:color w:val="auto"/>
              </w:rPr>
            </w:pPr>
          </w:p>
        </w:tc>
        <w:tc>
          <w:tcPr>
            <w:tcW w:w="4320" w:type="dxa"/>
            <w:vAlign w:val="bottom"/>
            <w:tcBorders>
              <w:bottom w:val="single" w:sz="8" w:color="DBDBDB"/>
            </w:tcBorders>
            <w:gridSpan w:val="2"/>
          </w:tcPr>
          <w:p>
            <w:pPr>
              <w:spacing w:after="0"/>
              <w:rPr>
                <w:sz w:val="2"/>
                <w:szCs w:val="2"/>
                <w:color w:val="auto"/>
              </w:rPr>
            </w:pPr>
          </w:p>
        </w:tc>
        <w:tc>
          <w:tcPr>
            <w:tcW w:w="580" w:type="dxa"/>
            <w:vAlign w:val="bottom"/>
            <w:tcBorders>
              <w:bottom w:val="single" w:sz="8" w:color="DBDBDB"/>
            </w:tcBorders>
          </w:tcPr>
          <w:p>
            <w:pPr>
              <w:spacing w:after="0"/>
              <w:rPr>
                <w:sz w:val="2"/>
                <w:szCs w:val="2"/>
                <w:color w:val="auto"/>
              </w:rPr>
            </w:pPr>
          </w:p>
        </w:tc>
        <w:tc>
          <w:tcPr>
            <w:tcW w:w="1740" w:type="dxa"/>
            <w:vAlign w:val="bottom"/>
            <w:tcBorders>
              <w:bottom w:val="single" w:sz="8" w:color="DBDBDB"/>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060" w:type="dxa"/>
            <w:vAlign w:val="bottom"/>
            <w:tcBorders>
              <w:bottom w:val="single" w:sz="8" w:color="DBDBDB"/>
            </w:tcBorders>
          </w:tcPr>
          <w:p>
            <w:pPr>
              <w:spacing w:after="0"/>
              <w:rPr>
                <w:sz w:val="2"/>
                <w:szCs w:val="2"/>
                <w:color w:val="auto"/>
              </w:rPr>
            </w:pPr>
          </w:p>
        </w:tc>
        <w:tc>
          <w:tcPr>
            <w:tcW w:w="7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79"/>
        </w:trPr>
        <w:tc>
          <w:tcPr>
            <w:tcW w:w="240" w:type="dxa"/>
            <w:vAlign w:val="bottom"/>
          </w:tcPr>
          <w:p>
            <w:pPr>
              <w:spacing w:after="0"/>
              <w:rPr>
                <w:sz w:val="15"/>
                <w:szCs w:val="15"/>
                <w:color w:val="auto"/>
              </w:rPr>
            </w:pPr>
          </w:p>
        </w:tc>
        <w:tc>
          <w:tcPr>
            <w:tcW w:w="43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b w:val="1"/>
                <w:bCs w:val="1"/>
                <w:color w:val="auto"/>
              </w:rPr>
              <w:t>As of June 30, 2023</w:t>
            </w:r>
          </w:p>
        </w:tc>
        <w:tc>
          <w:tcPr>
            <w:tcW w:w="580" w:type="dxa"/>
            <w:vAlign w:val="bottom"/>
            <w:tcBorders>
              <w:bottom w:val="single" w:sz="8" w:color="DBDBDB"/>
            </w:tcBorders>
            <w:shd w:val="clear" w:color="auto" w:fill="DBDBDB"/>
          </w:tcPr>
          <w:p>
            <w:pPr>
              <w:spacing w:after="0"/>
              <w:rPr>
                <w:sz w:val="15"/>
                <w:szCs w:val="15"/>
                <w:color w:val="auto"/>
              </w:rPr>
            </w:pPr>
          </w:p>
        </w:tc>
        <w:tc>
          <w:tcPr>
            <w:tcW w:w="17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206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DBDBDB"/>
            </w:tcBorders>
            <w:shd w:val="clear" w:color="auto" w:fill="DBDBDB"/>
          </w:tcPr>
          <w:p>
            <w:pPr>
              <w:spacing w:after="0"/>
              <w:rPr>
                <w:sz w:val="15"/>
                <w:szCs w:val="15"/>
                <w:color w:val="auto"/>
              </w:rPr>
            </w:pPr>
          </w:p>
        </w:tc>
        <w:tc>
          <w:tcPr>
            <w:tcW w:w="320" w:type="dxa"/>
            <w:vAlign w:val="bottom"/>
            <w:tcBorders>
              <w:bottom w:val="single" w:sz="8" w:color="DBDBDB"/>
            </w:tcBorders>
            <w:shd w:val="clear" w:color="auto" w:fill="DBDBDB"/>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bl>
    <w:p>
      <w:pPr>
        <w:spacing w:after="0" w:line="1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2288540</wp:posOffset>
            </wp:positionH>
            <wp:positionV relativeFrom="page">
              <wp:posOffset>391795</wp:posOffset>
            </wp:positionV>
            <wp:extent cx="49149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1490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The fair value change for the Class C Shares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60260" cy="121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21285"/>
                    </a:xfrm>
                    <a:prstGeom prst="rect">
                      <a:avLst/>
                    </a:prstGeom>
                    <a:noFill/>
                  </pic:spPr>
                </pic:pic>
              </a:graphicData>
            </a:graphic>
          </wp:anchor>
        </w:drawing>
      </w:r>
    </w:p>
    <w:p>
      <w:pPr>
        <w:sectPr>
          <w:pgSz w:w="11900" w:h="16838" w:orient="portrait"/>
          <w:cols w:equalWidth="0" w:num="1">
            <w:col w:w="11360"/>
          </w:cols>
          <w:pgMar w:left="300" w:top="641" w:right="239" w:bottom="1440" w:gutter="0" w:footer="0" w:header="0"/>
        </w:sectPr>
      </w:pPr>
    </w:p>
    <w:p>
      <w:pPr>
        <w:spacing w:after="0" w:line="94" w:lineRule="exact"/>
        <w:rPr>
          <w:sz w:val="20"/>
          <w:szCs w:val="20"/>
          <w:color w:val="auto"/>
        </w:rPr>
      </w:pPr>
    </w:p>
    <w:p>
      <w:pPr>
        <w:jc w:val="center"/>
        <w:ind w:left="5860"/>
        <w:spacing w:after="0"/>
        <w:rPr>
          <w:sz w:val="20"/>
          <w:szCs w:val="20"/>
          <w:color w:val="auto"/>
        </w:rPr>
      </w:pPr>
      <w:r>
        <w:rPr>
          <w:rFonts w:ascii="Arial" w:cs="Arial" w:eastAsia="Arial" w:hAnsi="Arial"/>
          <w:sz w:val="11"/>
          <w:szCs w:val="11"/>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36830</wp:posOffset>
            </wp:positionV>
            <wp:extent cx="173101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31010" cy="6350"/>
                    </a:xfrm>
                    <a:prstGeom prst="rect">
                      <a:avLst/>
                    </a:prstGeom>
                    <a:noFill/>
                  </pic:spPr>
                </pic:pic>
              </a:graphicData>
            </a:graphic>
          </wp:anchor>
        </w:drawing>
      </w:r>
    </w:p>
    <w:p>
      <w:pPr>
        <w:spacing w:after="0" w:line="54" w:lineRule="exact"/>
        <w:rPr>
          <w:sz w:val="20"/>
          <w:szCs w:val="20"/>
          <w:color w:val="auto"/>
        </w:rPr>
      </w:pPr>
    </w:p>
    <w:p>
      <w:pPr>
        <w:ind w:left="6260"/>
        <w:spacing w:after="0"/>
        <w:tabs>
          <w:tab w:leader="none" w:pos="760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36830</wp:posOffset>
            </wp:positionV>
            <wp:extent cx="173101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31010" cy="6350"/>
                    </a:xfrm>
                    <a:prstGeom prst="rect">
                      <a:avLst/>
                    </a:prstGeom>
                    <a:noFill/>
                  </pic:spPr>
                </pic:pic>
              </a:graphicData>
            </a:graphic>
          </wp:anchor>
        </w:drawing>
      </w:r>
    </w:p>
    <w:p>
      <w:pPr>
        <w:spacing w:after="0" w:line="54"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16" w:lineRule="exact"/>
        <w:rPr>
          <w:sz w:val="20"/>
          <w:szCs w:val="20"/>
          <w:color w:val="auto"/>
        </w:rPr>
      </w:pPr>
    </w:p>
    <w:p>
      <w:pPr>
        <w:sectPr>
          <w:pgSz w:w="11900" w:h="16838" w:orient="portrait"/>
          <w:cols w:equalWidth="0" w:num="2">
            <w:col w:w="8280" w:space="720"/>
            <w:col w:w="2360"/>
          </w:cols>
          <w:pgMar w:left="300" w:top="641"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Fair value change - Class C-1 Shares</w:t>
            </w:r>
          </w:p>
        </w:tc>
        <w:tc>
          <w:tcPr>
            <w:tcW w:w="560" w:type="dxa"/>
            <w:vAlign w:val="bottom"/>
            <w:tcBorders>
              <w:top w:val="single" w:sz="8" w:color="auto"/>
              <w:bottom w:val="single" w:sz="8" w:color="DBDBDB"/>
            </w:tcBorders>
            <w:shd w:val="clear" w:color="auto" w:fill="DBDBDB"/>
          </w:tcPr>
          <w:p>
            <w:pPr>
              <w:spacing w:after="0"/>
              <w:rPr>
                <w:sz w:val="17"/>
                <w:szCs w:val="17"/>
                <w:color w:val="auto"/>
              </w:rPr>
            </w:pPr>
          </w:p>
        </w:tc>
        <w:tc>
          <w:tcPr>
            <w:tcW w:w="8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2,870</w:t>
            </w:r>
          </w:p>
        </w:tc>
        <w:tc>
          <w:tcPr>
            <w:tcW w:w="520" w:type="dxa"/>
            <w:vAlign w:val="bottom"/>
            <w:tcBorders>
              <w:top w:val="single" w:sz="8" w:color="auto"/>
              <w:bottom w:val="single" w:sz="8" w:color="DBDBDB"/>
            </w:tcBorders>
            <w:shd w:val="clear" w:color="auto" w:fill="DBDBDB"/>
          </w:tcPr>
          <w:p>
            <w:pPr>
              <w:spacing w:after="0"/>
              <w:rPr>
                <w:sz w:val="17"/>
                <w:szCs w:val="17"/>
                <w:color w:val="auto"/>
              </w:rPr>
            </w:pPr>
          </w:p>
        </w:tc>
        <w:tc>
          <w:tcPr>
            <w:tcW w:w="8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13,760</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520" w:type="dxa"/>
            <w:vAlign w:val="bottom"/>
            <w:tcBorders>
              <w:top w:val="single" w:sz="8" w:color="auto"/>
              <w:bottom w:val="single" w:sz="8" w:color="DBDBDB"/>
            </w:tcBorders>
            <w:shd w:val="clear" w:color="auto" w:fill="DBDBDB"/>
          </w:tcPr>
          <w:p>
            <w:pPr>
              <w:spacing w:after="0"/>
              <w:rPr>
                <w:sz w:val="17"/>
                <w:szCs w:val="17"/>
                <w:color w:val="auto"/>
              </w:rPr>
            </w:pPr>
          </w:p>
        </w:tc>
        <w:tc>
          <w:tcPr>
            <w:tcW w:w="820" w:type="dxa"/>
            <w:vAlign w:val="bottom"/>
            <w:tcBorders>
              <w:top w:val="single" w:sz="8" w:color="auto"/>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rPr>
              <w:t>3,775</w:t>
            </w:r>
          </w:p>
        </w:tc>
        <w:tc>
          <w:tcPr>
            <w:tcW w:w="160" w:type="dxa"/>
            <w:vAlign w:val="bottom"/>
            <w:tcBorders>
              <w:top w:val="single" w:sz="8" w:color="auto"/>
              <w:bottom w:val="single" w:sz="8" w:color="DBDBDB"/>
            </w:tcBorders>
            <w:shd w:val="clear" w:color="auto" w:fill="DBDBDB"/>
          </w:tcPr>
          <w:p>
            <w:pPr>
              <w:spacing w:after="0"/>
              <w:rPr>
                <w:sz w:val="17"/>
                <w:szCs w:val="17"/>
                <w:color w:val="auto"/>
              </w:rPr>
            </w:pPr>
          </w:p>
        </w:tc>
        <w:tc>
          <w:tcPr>
            <w:tcW w:w="12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13,760</w:t>
            </w:r>
          </w:p>
        </w:tc>
        <w:tc>
          <w:tcPr>
            <w:tcW w:w="20" w:type="dxa"/>
            <w:vAlign w:val="bottom"/>
          </w:tcPr>
          <w:p>
            <w:pPr>
              <w:spacing w:after="0"/>
              <w:rPr>
                <w:sz w:val="17"/>
                <w:szCs w:val="17"/>
                <w:color w:val="auto"/>
              </w:rPr>
            </w:pPr>
          </w:p>
        </w:tc>
      </w:tr>
      <w:tr>
        <w:trPr>
          <w:trHeight w:val="181"/>
        </w:trPr>
        <w:tc>
          <w:tcPr>
            <w:tcW w:w="5700" w:type="dxa"/>
            <w:vAlign w:val="bottom"/>
          </w:tcPr>
          <w:p>
            <w:pPr>
              <w:ind w:left="20"/>
              <w:spacing w:after="0"/>
              <w:rPr>
                <w:sz w:val="20"/>
                <w:szCs w:val="20"/>
                <w:color w:val="auto"/>
              </w:rPr>
            </w:pPr>
            <w:r>
              <w:rPr>
                <w:rFonts w:ascii="Arial" w:cs="Arial" w:eastAsia="Arial" w:hAnsi="Arial"/>
                <w:sz w:val="13"/>
                <w:szCs w:val="13"/>
                <w:color w:val="auto"/>
              </w:rPr>
              <w:t>Fair value change - Class C-2 Shares</w:t>
            </w:r>
          </w:p>
        </w:tc>
        <w:tc>
          <w:tcPr>
            <w:tcW w:w="5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630</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7,771</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6,975</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7,771</w:t>
            </w:r>
          </w:p>
        </w:tc>
        <w:tc>
          <w:tcPr>
            <w:tcW w:w="20" w:type="dxa"/>
            <w:vAlign w:val="bottom"/>
          </w:tcPr>
          <w:p>
            <w:pPr>
              <w:spacing w:after="0"/>
              <w:rPr>
                <w:sz w:val="15"/>
                <w:szCs w:val="15"/>
                <w:color w:val="auto"/>
              </w:rPr>
            </w:pPr>
          </w:p>
        </w:tc>
      </w:tr>
      <w:tr>
        <w:trPr>
          <w:trHeight w:val="29"/>
        </w:trPr>
        <w:tc>
          <w:tcPr>
            <w:tcW w:w="5700" w:type="dxa"/>
            <w:vAlign w:val="bottom"/>
            <w:tcBorders>
              <w:bottom w:val="single" w:sz="8" w:color="DBDBDB"/>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5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Fair value change - Class C Shares</w:t>
            </w:r>
          </w:p>
        </w:tc>
        <w:tc>
          <w:tcPr>
            <w:tcW w:w="560" w:type="dxa"/>
            <w:vAlign w:val="bottom"/>
            <w:tcBorders>
              <w:bottom w:val="single" w:sz="8" w:color="DBDBDB"/>
            </w:tcBorders>
            <w:shd w:val="clear" w:color="auto" w:fill="DBDBDB"/>
          </w:tcPr>
          <w:p>
            <w:pPr>
              <w:jc w:val="right"/>
              <w:ind w:right="416"/>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3,500</w:t>
            </w:r>
          </w:p>
        </w:tc>
        <w:tc>
          <w:tcPr>
            <w:tcW w:w="520" w:type="dxa"/>
            <w:vAlign w:val="bottom"/>
            <w:tcBorders>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21,531</w:t>
            </w:r>
          </w:p>
        </w:tc>
        <w:tc>
          <w:tcPr>
            <w:tcW w:w="120" w:type="dxa"/>
            <w:vAlign w:val="bottom"/>
            <w:tcBorders>
              <w:bottom w:val="single" w:sz="8" w:color="DBDBDB"/>
            </w:tcBorders>
            <w:shd w:val="clear" w:color="auto" w:fill="DBDBDB"/>
          </w:tcPr>
          <w:p>
            <w:pPr>
              <w:spacing w:after="0"/>
              <w:rPr>
                <w:sz w:val="17"/>
                <w:szCs w:val="17"/>
                <w:color w:val="auto"/>
              </w:rPr>
            </w:pPr>
          </w:p>
        </w:tc>
        <w:tc>
          <w:tcPr>
            <w:tcW w:w="520" w:type="dxa"/>
            <w:vAlign w:val="bottom"/>
            <w:tcBorders>
              <w:bottom w:val="single" w:sz="8" w:color="DBDBDB"/>
            </w:tcBorders>
            <w:shd w:val="clear" w:color="auto" w:fill="DBDBDB"/>
          </w:tcPr>
          <w:p>
            <w:pPr>
              <w:jc w:val="right"/>
              <w:ind w:right="37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b w:val="1"/>
                <w:bCs w:val="1"/>
                <w:color w:val="auto"/>
              </w:rPr>
              <w:t>10,750</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21,531</w:t>
            </w:r>
          </w:p>
        </w:tc>
        <w:tc>
          <w:tcPr>
            <w:tcW w:w="20" w:type="dxa"/>
            <w:vAlign w:val="bottom"/>
          </w:tcPr>
          <w:p>
            <w:pPr>
              <w:spacing w:after="0"/>
              <w:rPr>
                <w:sz w:val="17"/>
                <w:szCs w:val="17"/>
                <w:color w:val="auto"/>
              </w:rPr>
            </w:pPr>
          </w:p>
        </w:tc>
      </w:tr>
      <w:tr>
        <w:trPr>
          <w:trHeight w:val="275"/>
        </w:trPr>
        <w:tc>
          <w:tcPr>
            <w:tcW w:w="5700" w:type="dxa"/>
            <w:vAlign w:val="bottom"/>
          </w:tcPr>
          <w:p>
            <w:pPr>
              <w:spacing w:after="0"/>
              <w:rPr>
                <w:sz w:val="20"/>
                <w:szCs w:val="20"/>
                <w:color w:val="auto"/>
              </w:rPr>
            </w:pPr>
            <w:r>
              <w:rPr>
                <w:rFonts w:ascii="Arial" w:cs="Arial" w:eastAsia="Arial" w:hAnsi="Arial"/>
                <w:sz w:val="13"/>
                <w:szCs w:val="13"/>
                <w:b w:val="1"/>
                <w:bCs w:val="1"/>
                <w:color w:val="auto"/>
              </w:rPr>
              <w:t>Earn-out rights</w:t>
            </w:r>
          </w:p>
        </w:tc>
        <w:tc>
          <w:tcPr>
            <w:tcW w:w="5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00"/>
        </w:trPr>
        <w:tc>
          <w:tcPr>
            <w:tcW w:w="8560" w:type="dxa"/>
            <w:vAlign w:val="bottom"/>
            <w:gridSpan w:val="6"/>
          </w:tcPr>
          <w:p>
            <w:pPr>
              <w:spacing w:after="0"/>
              <w:rPr>
                <w:sz w:val="20"/>
                <w:szCs w:val="20"/>
                <w:color w:val="auto"/>
              </w:rPr>
            </w:pPr>
            <w:r>
              <w:rPr>
                <w:rFonts w:ascii="Arial" w:cs="Arial" w:eastAsia="Arial" w:hAnsi="Arial"/>
                <w:sz w:val="13"/>
                <w:szCs w:val="13"/>
                <w:color w:val="auto"/>
                <w:w w:val="91"/>
              </w:rPr>
              <w:t xml:space="preserve">Refer to </w:t>
            </w:r>
            <w:r>
              <w:rPr>
                <w:rFonts w:ascii="Arial" w:cs="Arial" w:eastAsia="Arial" w:hAnsi="Arial"/>
                <w:sz w:val="13"/>
                <w:szCs w:val="13"/>
                <w:i w:val="1"/>
                <w:iCs w:val="1"/>
                <w:color w:val="auto"/>
                <w:w w:val="91"/>
              </w:rPr>
              <w:t>Note 1 - Significant accounting policies and judgements</w:t>
            </w:r>
            <w:r>
              <w:rPr>
                <w:rFonts w:ascii="Arial" w:cs="Arial" w:eastAsia="Arial" w:hAnsi="Arial"/>
                <w:sz w:val="13"/>
                <w:szCs w:val="13"/>
                <w:color w:val="auto"/>
                <w:w w:val="91"/>
              </w:rPr>
              <w:t xml:space="preserve"> for further details on the valuation methodology utilized to determine the fair value of the earn-out.</w:t>
            </w: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6"/>
        </w:trPr>
        <w:tc>
          <w:tcPr>
            <w:tcW w:w="5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81"/>
        </w:trPr>
        <w:tc>
          <w:tcPr>
            <w:tcW w:w="570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ind w:right="256"/>
              <w:spacing w:after="0"/>
              <w:rPr>
                <w:sz w:val="20"/>
                <w:szCs w:val="20"/>
                <w:color w:val="auto"/>
              </w:rPr>
            </w:pPr>
            <w:r>
              <w:rPr>
                <w:rFonts w:ascii="Arial" w:cs="Arial" w:eastAsia="Arial" w:hAnsi="Arial"/>
                <w:sz w:val="13"/>
                <w:szCs w:val="13"/>
                <w:b w:val="1"/>
                <w:bCs w:val="1"/>
                <w:color w:val="auto"/>
                <w:w w:val="94"/>
              </w:rPr>
              <w:t>Earn-out rights</w:t>
            </w:r>
          </w:p>
        </w:tc>
        <w:tc>
          <w:tcPr>
            <w:tcW w:w="20" w:type="dxa"/>
            <w:vAlign w:val="bottom"/>
            <w:tcBorders>
              <w:bottom w:val="single" w:sz="8" w:color="auto"/>
            </w:tcBorders>
            <w:shd w:val="clear" w:color="auto" w:fill="DBDBDB"/>
          </w:tcPr>
          <w:p>
            <w:pPr>
              <w:spacing w:after="0"/>
              <w:rPr>
                <w:sz w:val="15"/>
                <w:szCs w:val="15"/>
                <w:color w:val="auto"/>
              </w:rPr>
            </w:pPr>
          </w:p>
        </w:tc>
      </w:tr>
      <w:tr>
        <w:trPr>
          <w:trHeight w:val="180"/>
        </w:trPr>
        <w:tc>
          <w:tcPr>
            <w:tcW w:w="5700" w:type="dxa"/>
            <w:vAlign w:val="bottom"/>
          </w:tcPr>
          <w:p>
            <w:pPr>
              <w:spacing w:after="0"/>
              <w:rPr>
                <w:sz w:val="20"/>
                <w:szCs w:val="20"/>
                <w:color w:val="auto"/>
              </w:rPr>
            </w:pPr>
            <w:r>
              <w:rPr>
                <w:rFonts w:ascii="Arial" w:cs="Arial" w:eastAsia="Arial" w:hAnsi="Arial"/>
                <w:sz w:val="13"/>
                <w:szCs w:val="13"/>
                <w:color w:val="auto"/>
              </w:rPr>
              <w:t>As of January 1, 2023</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598,570</w:t>
            </w:r>
          </w:p>
        </w:tc>
        <w:tc>
          <w:tcPr>
            <w:tcW w:w="20" w:type="dxa"/>
            <w:vAlign w:val="bottom"/>
          </w:tcPr>
          <w:p>
            <w:pPr>
              <w:spacing w:after="0"/>
              <w:rPr>
                <w:sz w:val="15"/>
                <w:szCs w:val="15"/>
                <w:color w:val="auto"/>
              </w:rPr>
            </w:pPr>
          </w:p>
        </w:tc>
      </w:tr>
      <w:tr>
        <w:trPr>
          <w:trHeight w:val="29"/>
        </w:trPr>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7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Changes in fair value measurement</w:t>
            </w:r>
          </w:p>
        </w:tc>
        <w:tc>
          <w:tcPr>
            <w:tcW w:w="56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(232,995)</w:t>
            </w:r>
          </w:p>
        </w:tc>
        <w:tc>
          <w:tcPr>
            <w:tcW w:w="20" w:type="dxa"/>
            <w:vAlign w:val="bottom"/>
            <w:tcBorders>
              <w:bottom w:val="single" w:sz="8" w:color="DBDBDB"/>
            </w:tcBorders>
            <w:shd w:val="clear" w:color="auto" w:fill="DBDBDB"/>
          </w:tcPr>
          <w:p>
            <w:pPr>
              <w:spacing w:after="0"/>
              <w:rPr>
                <w:sz w:val="18"/>
                <w:szCs w:val="18"/>
                <w:color w:val="auto"/>
              </w:rPr>
            </w:pPr>
          </w:p>
        </w:tc>
      </w:tr>
      <w:tr>
        <w:trPr>
          <w:trHeight w:val="171"/>
        </w:trPr>
        <w:tc>
          <w:tcPr>
            <w:tcW w:w="5700" w:type="dxa"/>
            <w:vAlign w:val="bottom"/>
          </w:tcPr>
          <w:p>
            <w:pPr>
              <w:spacing w:after="0"/>
              <w:rPr>
                <w:sz w:val="20"/>
                <w:szCs w:val="20"/>
                <w:color w:val="auto"/>
              </w:rPr>
            </w:pPr>
            <w:r>
              <w:rPr>
                <w:rFonts w:ascii="Arial" w:cs="Arial" w:eastAsia="Arial" w:hAnsi="Arial"/>
                <w:sz w:val="13"/>
                <w:szCs w:val="13"/>
                <w:b w:val="1"/>
                <w:bCs w:val="1"/>
                <w:color w:val="auto"/>
              </w:rPr>
              <w:t>As of June 30, 2023</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365,575</w:t>
            </w:r>
          </w:p>
        </w:tc>
        <w:tc>
          <w:tcPr>
            <w:tcW w:w="20" w:type="dxa"/>
            <w:vAlign w:val="bottom"/>
            <w:tcBorders>
              <w:top w:val="single" w:sz="8" w:color="auto"/>
            </w:tcBorders>
          </w:tcPr>
          <w:p>
            <w:pPr>
              <w:spacing w:after="0"/>
              <w:rPr>
                <w:sz w:val="14"/>
                <w:szCs w:val="14"/>
                <w:color w:val="auto"/>
              </w:rPr>
            </w:pPr>
          </w:p>
        </w:tc>
      </w:tr>
      <w:tr>
        <w:trPr>
          <w:trHeight w:val="29"/>
        </w:trPr>
        <w:tc>
          <w:tcPr>
            <w:tcW w:w="5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change for the Earn-out rights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62230</wp:posOffset>
            </wp:positionV>
            <wp:extent cx="6579235" cy="121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79235" cy="121285"/>
                    </a:xfrm>
                    <a:prstGeom prst="rect">
                      <a:avLst/>
                    </a:prstGeom>
                    <a:noFill/>
                  </pic:spPr>
                </pic:pic>
              </a:graphicData>
            </a:graphic>
          </wp:anchor>
        </w:drawing>
      </w:r>
    </w:p>
    <w:p>
      <w:pPr>
        <w:sectPr>
          <w:pgSz w:w="11900" w:h="16838" w:orient="portrait"/>
          <w:cols w:equalWidth="0" w:num="1">
            <w:col w:w="11360"/>
          </w:cols>
          <w:pgMar w:left="300" w:top="641" w:right="239" w:bottom="1440" w:gutter="0" w:footer="0" w:header="0"/>
          <w:type w:val="continuous"/>
        </w:sectPr>
      </w:pPr>
    </w:p>
    <w:p>
      <w:pPr>
        <w:spacing w:after="0" w:line="104" w:lineRule="exact"/>
        <w:rPr>
          <w:sz w:val="20"/>
          <w:szCs w:val="20"/>
          <w:color w:val="auto"/>
        </w:rPr>
      </w:pPr>
    </w:p>
    <w:p>
      <w:pPr>
        <w:jc w:val="center"/>
        <w:ind w:left="5960"/>
        <w:spacing w:after="0"/>
        <w:rPr>
          <w:sz w:val="20"/>
          <w:szCs w:val="20"/>
          <w:color w:val="auto"/>
        </w:rPr>
      </w:pPr>
      <w:r>
        <w:rPr>
          <w:rFonts w:ascii="Arial" w:cs="Arial" w:eastAsia="Arial" w:hAnsi="Arial"/>
          <w:sz w:val="11"/>
          <w:szCs w:val="11"/>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36830</wp:posOffset>
            </wp:positionV>
            <wp:extent cx="158559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85595" cy="6350"/>
                    </a:xfrm>
                    <a:prstGeom prst="rect">
                      <a:avLst/>
                    </a:prstGeom>
                    <a:noFill/>
                  </pic:spPr>
                </pic:pic>
              </a:graphicData>
            </a:graphic>
          </wp:anchor>
        </w:drawing>
      </w:r>
    </w:p>
    <w:p>
      <w:pPr>
        <w:spacing w:after="0" w:line="54" w:lineRule="exact"/>
        <w:rPr>
          <w:sz w:val="20"/>
          <w:szCs w:val="20"/>
          <w:color w:val="auto"/>
        </w:rPr>
      </w:pPr>
    </w:p>
    <w:p>
      <w:pPr>
        <w:ind w:left="6200"/>
        <w:spacing w:after="0"/>
        <w:tabs>
          <w:tab w:leader="none" w:pos="74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22225</wp:posOffset>
            </wp:positionV>
            <wp:extent cx="6579235" cy="139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79235"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86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36830</wp:posOffset>
            </wp:positionV>
            <wp:extent cx="159194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91945" cy="6350"/>
                    </a:xfrm>
                    <a:prstGeom prst="rect">
                      <a:avLst/>
                    </a:prstGeom>
                    <a:noFill/>
                  </pic:spPr>
                </pic:pic>
              </a:graphicData>
            </a:graphic>
          </wp:anchor>
        </w:drawing>
      </w:r>
    </w:p>
    <w:p>
      <w:pPr>
        <w:spacing w:after="0" w:line="54" w:lineRule="exact"/>
        <w:rPr>
          <w:sz w:val="20"/>
          <w:szCs w:val="20"/>
          <w:color w:val="auto"/>
        </w:rPr>
      </w:pPr>
    </w:p>
    <w:p>
      <w:pPr>
        <w:ind w:left="180"/>
        <w:spacing w:after="0"/>
        <w:tabs>
          <w:tab w:leader="none" w:pos="140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64" w:lineRule="exact"/>
        <w:rPr>
          <w:sz w:val="20"/>
          <w:szCs w:val="20"/>
          <w:color w:val="auto"/>
        </w:rPr>
      </w:pPr>
    </w:p>
    <w:p>
      <w:pPr>
        <w:sectPr>
          <w:pgSz w:w="11900" w:h="16838" w:orient="portrait"/>
          <w:cols w:equalWidth="0" w:num="2">
            <w:col w:w="7940" w:space="700"/>
            <w:col w:w="2720"/>
          </w:cols>
          <w:pgMar w:left="300" w:top="641" w:right="239" w:bottom="1440" w:gutter="0" w:footer="0" w:header="0"/>
          <w:type w:val="continuous"/>
        </w:sectPr>
      </w:pPr>
    </w:p>
    <w:p>
      <w:pPr>
        <w:ind w:left="480"/>
        <w:spacing w:after="0"/>
        <w:tabs>
          <w:tab w:leader="none" w:pos="5700" w:val="left"/>
          <w:tab w:leader="none" w:pos="6540" w:val="left"/>
          <w:tab w:leader="none" w:pos="7720" w:val="left"/>
          <w:tab w:leader="none" w:pos="8320" w:val="left"/>
          <w:tab w:leader="none" w:pos="9080" w:val="left"/>
          <w:tab w:leader="none" w:pos="10340" w:val="left"/>
        </w:tabs>
        <w:rPr>
          <w:sz w:val="20"/>
          <w:szCs w:val="20"/>
          <w:color w:val="auto"/>
        </w:rPr>
      </w:pPr>
      <w:r>
        <w:rPr>
          <w:rFonts w:ascii="Arial" w:cs="Arial" w:eastAsia="Arial" w:hAnsi="Arial"/>
          <w:sz w:val="13"/>
          <w:szCs w:val="13"/>
          <w:color w:val="auto"/>
        </w:rPr>
        <w:t>Fair value change - Earn-out rights</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26,800 $</w:t>
      </w:r>
      <w:r>
        <w:rPr>
          <w:sz w:val="20"/>
          <w:szCs w:val="20"/>
          <w:color w:val="auto"/>
        </w:rPr>
        <w:tab/>
      </w:r>
      <w:r>
        <w:rPr>
          <w:rFonts w:ascii="Arial" w:cs="Arial" w:eastAsia="Arial" w:hAnsi="Arial"/>
          <w:sz w:val="13"/>
          <w:szCs w:val="13"/>
          <w:color w:val="auto"/>
        </w:rPr>
        <w:t>418,707</w:t>
        <w:tab/>
        <w:t>$</w:t>
      </w:r>
      <w:r>
        <w:rPr>
          <w:sz w:val="20"/>
          <w:szCs w:val="20"/>
          <w:color w:val="auto"/>
        </w:rPr>
        <w:tab/>
      </w:r>
      <w:r>
        <w:rPr>
          <w:rFonts w:ascii="Arial" w:cs="Arial" w:eastAsia="Arial" w:hAnsi="Arial"/>
          <w:sz w:val="13"/>
          <w:szCs w:val="13"/>
          <w:color w:val="auto"/>
        </w:rPr>
        <w:t>232,995 $</w:t>
      </w:r>
      <w:r>
        <w:rPr>
          <w:sz w:val="20"/>
          <w:szCs w:val="20"/>
          <w:color w:val="auto"/>
        </w:rPr>
        <w:tab/>
      </w:r>
      <w:r>
        <w:rPr>
          <w:rFonts w:ascii="Arial" w:cs="Arial" w:eastAsia="Arial" w:hAnsi="Arial"/>
          <w:sz w:val="11"/>
          <w:szCs w:val="11"/>
          <w:color w:val="auto"/>
        </w:rPr>
        <w:t>418,707</w:t>
      </w:r>
    </w:p>
    <w:p>
      <w:pPr>
        <w:sectPr>
          <w:pgSz w:w="11900" w:h="16838" w:orient="portrait"/>
          <w:cols w:equalWidth="0" w:num="1">
            <w:col w:w="11360"/>
          </w:cols>
          <w:pgMar w:left="300" w:top="641" w:right="2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 Equity</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Changes in the Group's equity during the six months ended June 30, 2023 were as follows:</w:t>
      </w: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Balance as of January 1, 2023</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Equity-settled share-based payment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Balance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34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rPr>
              <w:t>Class A Shares</w:t>
            </w:r>
          </w:p>
        </w:tc>
        <w:tc>
          <w:tcPr>
            <w:tcW w:w="1140" w:type="dxa"/>
            <w:vAlign w:val="bottom"/>
            <w:vMerge w:val="restart"/>
          </w:tcPr>
          <w:p>
            <w:pPr>
              <w:jc w:val="right"/>
              <w:ind w:right="136"/>
              <w:spacing w:after="0"/>
              <w:rPr>
                <w:sz w:val="20"/>
                <w:szCs w:val="20"/>
                <w:color w:val="auto"/>
              </w:rPr>
            </w:pPr>
            <w:r>
              <w:rPr>
                <w:rFonts w:ascii="Arial" w:cs="Arial" w:eastAsia="Arial" w:hAnsi="Arial"/>
                <w:sz w:val="13"/>
                <w:szCs w:val="13"/>
                <w:b w:val="1"/>
                <w:bCs w:val="1"/>
                <w:color w:val="auto"/>
                <w:w w:val="97"/>
              </w:rPr>
              <w:t>Class B Shares</w:t>
            </w:r>
          </w:p>
        </w:tc>
        <w:tc>
          <w:tcPr>
            <w:tcW w:w="200" w:type="dxa"/>
            <w:vAlign w:val="bottom"/>
          </w:tcPr>
          <w:p>
            <w:pPr>
              <w:spacing w:after="0"/>
              <w:rPr>
                <w:sz w:val="14"/>
                <w:szCs w:val="14"/>
                <w:color w:val="auto"/>
              </w:rPr>
            </w:pPr>
          </w:p>
        </w:tc>
        <w:tc>
          <w:tcPr>
            <w:tcW w:w="1080" w:type="dxa"/>
            <w:vAlign w:val="bottom"/>
            <w:vMerge w:val="restart"/>
          </w:tcPr>
          <w:p>
            <w:pPr>
              <w:jc w:val="right"/>
              <w:ind w:right="216"/>
              <w:spacing w:after="0"/>
              <w:rPr>
                <w:sz w:val="20"/>
                <w:szCs w:val="20"/>
                <w:color w:val="auto"/>
              </w:rPr>
            </w:pPr>
            <w:r>
              <w:rPr>
                <w:rFonts w:ascii="Arial" w:cs="Arial" w:eastAsia="Arial" w:hAnsi="Arial"/>
                <w:sz w:val="13"/>
                <w:szCs w:val="13"/>
                <w:b w:val="1"/>
                <w:bCs w:val="1"/>
                <w:color w:val="auto"/>
                <w:w w:val="96"/>
              </w:rPr>
              <w:t>Share capital</w:t>
            </w:r>
          </w:p>
        </w:tc>
        <w:tc>
          <w:tcPr>
            <w:tcW w:w="100" w:type="dxa"/>
            <w:vAlign w:val="bottom"/>
          </w:tcPr>
          <w:p>
            <w:pPr>
              <w:spacing w:after="0"/>
              <w:rPr>
                <w:sz w:val="14"/>
                <w:szCs w:val="14"/>
                <w:color w:val="auto"/>
              </w:rPr>
            </w:pPr>
          </w:p>
        </w:tc>
        <w:tc>
          <w:tcPr>
            <w:tcW w:w="1160" w:type="dxa"/>
            <w:vAlign w:val="bottom"/>
          </w:tcPr>
          <w:p>
            <w:pPr>
              <w:jc w:val="right"/>
              <w:ind w:right="76"/>
              <w:spacing w:after="0"/>
              <w:rPr>
                <w:sz w:val="20"/>
                <w:szCs w:val="20"/>
                <w:color w:val="auto"/>
              </w:rPr>
            </w:pPr>
            <w:r>
              <w:rPr>
                <w:rFonts w:ascii="Arial" w:cs="Arial" w:eastAsia="Arial" w:hAnsi="Arial"/>
                <w:sz w:val="13"/>
                <w:szCs w:val="13"/>
                <w:b w:val="1"/>
                <w:bCs w:val="1"/>
                <w:color w:val="auto"/>
                <w:w w:val="91"/>
              </w:rPr>
              <w:t>Other contributed</w:t>
            </w:r>
          </w:p>
        </w:tc>
        <w:tc>
          <w:tcPr>
            <w:tcW w:w="0" w:type="dxa"/>
            <w:vAlign w:val="bottom"/>
          </w:tcPr>
          <w:p>
            <w:pPr>
              <w:spacing w:after="0"/>
              <w:rPr>
                <w:sz w:val="1"/>
                <w:szCs w:val="1"/>
                <w:color w:val="auto"/>
              </w:rPr>
            </w:pPr>
          </w:p>
        </w:tc>
      </w:tr>
      <w:tr>
        <w:trPr>
          <w:trHeight w:val="181"/>
        </w:trPr>
        <w:tc>
          <w:tcPr>
            <w:tcW w:w="134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capital</w:t>
            </w:r>
          </w:p>
        </w:tc>
        <w:tc>
          <w:tcPr>
            <w:tcW w:w="0" w:type="dxa"/>
            <w:vAlign w:val="bottom"/>
          </w:tcPr>
          <w:p>
            <w:pPr>
              <w:spacing w:after="0"/>
              <w:rPr>
                <w:sz w:val="1"/>
                <w:szCs w:val="1"/>
                <w:color w:val="auto"/>
              </w:rPr>
            </w:pPr>
          </w:p>
        </w:tc>
      </w:tr>
      <w:tr>
        <w:trPr>
          <w:trHeight w:val="180"/>
        </w:trPr>
        <w:tc>
          <w:tcPr>
            <w:tcW w:w="1340" w:type="dxa"/>
            <w:vAlign w:val="bottom"/>
          </w:tcPr>
          <w:p>
            <w:pPr>
              <w:jc w:val="right"/>
              <w:ind w:right="76"/>
              <w:spacing w:after="0"/>
              <w:rPr>
                <w:sz w:val="20"/>
                <w:szCs w:val="20"/>
                <w:color w:val="auto"/>
              </w:rPr>
            </w:pPr>
            <w:r>
              <w:rPr>
                <w:rFonts w:ascii="Arial" w:cs="Arial" w:eastAsia="Arial" w:hAnsi="Arial"/>
                <w:sz w:val="13"/>
                <w:szCs w:val="13"/>
                <w:color w:val="auto"/>
              </w:rPr>
              <w:t>467,677,673</w:t>
            </w:r>
          </w:p>
        </w:tc>
        <w:tc>
          <w:tcPr>
            <w:tcW w:w="1140" w:type="dxa"/>
            <w:vAlign w:val="bottom"/>
          </w:tcPr>
          <w:p>
            <w:pPr>
              <w:jc w:val="right"/>
              <w:spacing w:after="0"/>
              <w:rPr>
                <w:sz w:val="20"/>
                <w:szCs w:val="20"/>
                <w:color w:val="auto"/>
              </w:rPr>
            </w:pPr>
            <w:r>
              <w:rPr>
                <w:rFonts w:ascii="Arial" w:cs="Arial" w:eastAsia="Arial" w:hAnsi="Arial"/>
                <w:sz w:val="13"/>
                <w:szCs w:val="13"/>
                <w:color w:val="auto"/>
              </w:rPr>
              <w:t>1,642,233,575</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(21,165)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(3,584,232)</w:t>
            </w:r>
          </w:p>
        </w:tc>
        <w:tc>
          <w:tcPr>
            <w:tcW w:w="0" w:type="dxa"/>
            <w:vAlign w:val="bottom"/>
          </w:tcPr>
          <w:p>
            <w:pPr>
              <w:spacing w:after="0"/>
              <w:rPr>
                <w:sz w:val="1"/>
                <w:szCs w:val="1"/>
                <w:color w:val="auto"/>
              </w:rPr>
            </w:pPr>
          </w:p>
        </w:tc>
      </w:tr>
      <w:tr>
        <w:trPr>
          <w:trHeight w:val="210"/>
        </w:trPr>
        <w:tc>
          <w:tcPr>
            <w:tcW w:w="1340" w:type="dxa"/>
            <w:vAlign w:val="bottom"/>
          </w:tcPr>
          <w:p>
            <w:pPr>
              <w:jc w:val="right"/>
              <w:ind w:right="76"/>
              <w:spacing w:after="0"/>
              <w:rPr>
                <w:sz w:val="20"/>
                <w:szCs w:val="20"/>
                <w:color w:val="auto"/>
              </w:rPr>
            </w:pPr>
            <w:r>
              <w:rPr>
                <w:rFonts w:ascii="Arial" w:cs="Arial" w:eastAsia="Arial" w:hAnsi="Arial"/>
                <w:sz w:val="13"/>
                <w:szCs w:val="13"/>
                <w:color w:val="auto"/>
              </w:rPr>
              <w:t>236,575</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(2,656)</w:t>
            </w:r>
          </w:p>
        </w:tc>
        <w:tc>
          <w:tcPr>
            <w:tcW w:w="0" w:type="dxa"/>
            <w:vAlign w:val="bottom"/>
          </w:tcPr>
          <w:p>
            <w:pPr>
              <w:spacing w:after="0"/>
              <w:rPr>
                <w:sz w:val="1"/>
                <w:szCs w:val="1"/>
                <w:color w:val="auto"/>
              </w:rPr>
            </w:pPr>
          </w:p>
        </w:tc>
      </w:tr>
      <w:tr>
        <w:trPr>
          <w:trHeight w:val="29"/>
        </w:trPr>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340" w:type="dxa"/>
            <w:vAlign w:val="bottom"/>
          </w:tcPr>
          <w:p>
            <w:pPr>
              <w:jc w:val="right"/>
              <w:ind w:right="76"/>
              <w:spacing w:after="0"/>
              <w:rPr>
                <w:sz w:val="20"/>
                <w:szCs w:val="20"/>
                <w:color w:val="auto"/>
              </w:rPr>
            </w:pPr>
            <w:r>
              <w:rPr>
                <w:rFonts w:ascii="Arial" w:cs="Arial" w:eastAsia="Arial" w:hAnsi="Arial"/>
                <w:sz w:val="13"/>
                <w:szCs w:val="13"/>
                <w:b w:val="1"/>
                <w:bCs w:val="1"/>
                <w:color w:val="auto"/>
              </w:rPr>
              <w:t>467,914,248</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1,642,233,575</w:t>
            </w:r>
          </w:p>
        </w:tc>
        <w:tc>
          <w:tcPr>
            <w:tcW w:w="200" w:type="dxa"/>
            <w:vAlign w:val="bottom"/>
          </w:tcPr>
          <w:p>
            <w:pPr>
              <w:jc w:val="right"/>
              <w:ind w:right="36"/>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(21,167)</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(3,586,888)</w:t>
            </w:r>
          </w:p>
        </w:tc>
        <w:tc>
          <w:tcPr>
            <w:tcW w:w="0" w:type="dxa"/>
            <w:vAlign w:val="bottom"/>
          </w:tcPr>
          <w:p>
            <w:pPr>
              <w:spacing w:after="0"/>
              <w:rPr>
                <w:sz w:val="1"/>
                <w:szCs w:val="1"/>
                <w:color w:val="auto"/>
              </w:rPr>
            </w:pPr>
          </w:p>
        </w:tc>
      </w:tr>
      <w:tr>
        <w:trPr>
          <w:trHeight w:val="29"/>
        </w:trPr>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-652780</wp:posOffset>
            </wp:positionV>
            <wp:extent cx="6591300" cy="236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1300" cy="23622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-277495</wp:posOffset>
            </wp:positionV>
            <wp:extent cx="6591300" cy="133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91300" cy="13335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5100" w:space="720"/>
            <w:col w:w="5540"/>
          </w:cols>
          <w:pgMar w:left="300" w:top="641" w:right="239" w:bottom="1440" w:gutter="0" w:footer="0" w:header="0"/>
          <w:type w:val="continuous"/>
        </w:sectPr>
      </w:pPr>
    </w:p>
    <w:p>
      <w:pPr>
        <w:spacing w:after="0"/>
        <w:rPr>
          <w:sz w:val="20"/>
          <w:szCs w:val="20"/>
          <w:color w:val="auto"/>
        </w:rPr>
      </w:pPr>
      <w:r>
        <w:rPr>
          <w:rFonts w:ascii="Arial" w:cs="Arial" w:eastAsia="Arial" w:hAnsi="Arial"/>
          <w:sz w:val="11"/>
          <w:szCs w:val="11"/>
          <w:color w:val="auto"/>
        </w:rPr>
        <w:t>The following instruments of the Parent were issued and outstanding in the form of American depositary shares as of June 30, 2023:</w:t>
      </w:r>
    </w:p>
    <w:p>
      <w:pPr>
        <w:spacing w:after="0" w:line="64" w:lineRule="exact"/>
        <w:rPr>
          <w:sz w:val="20"/>
          <w:szCs w:val="20"/>
          <w:color w:val="auto"/>
        </w:rPr>
      </w:pPr>
    </w:p>
    <w:p>
      <w:pPr>
        <w:ind w:left="440" w:hanging="215"/>
        <w:spacing w:after="0"/>
        <w:tabs>
          <w:tab w:leader="none" w:pos="440" w:val="left"/>
        </w:tabs>
        <w:numPr>
          <w:ilvl w:val="0"/>
          <w:numId w:val="2"/>
        </w:numPr>
        <w:rPr>
          <w:rFonts w:ascii="Arial" w:cs="Arial" w:eastAsia="Arial" w:hAnsi="Arial"/>
          <w:sz w:val="14"/>
          <w:szCs w:val="14"/>
          <w:color w:val="auto"/>
        </w:rPr>
      </w:pPr>
      <w:r>
        <w:rPr>
          <w:rFonts w:ascii="Arial" w:cs="Arial" w:eastAsia="Arial" w:hAnsi="Arial"/>
          <w:sz w:val="13"/>
          <w:szCs w:val="13"/>
          <w:color w:val="auto"/>
        </w:rPr>
        <w:t>467,914,248 Class A Shares with a par value of $0.01, of which 221,357,712 were owned by related parties;</w:t>
      </w:r>
    </w:p>
    <w:p>
      <w:pPr>
        <w:spacing w:after="0" w:line="29" w:lineRule="exact"/>
        <w:rPr>
          <w:rFonts w:ascii="Arial" w:cs="Arial" w:eastAsia="Arial" w:hAnsi="Arial"/>
          <w:sz w:val="14"/>
          <w:szCs w:val="14"/>
          <w:color w:val="auto"/>
        </w:rPr>
      </w:pPr>
    </w:p>
    <w:p>
      <w:pPr>
        <w:ind w:left="440" w:hanging="215"/>
        <w:spacing w:after="0"/>
        <w:tabs>
          <w:tab w:leader="none" w:pos="440" w:val="left"/>
        </w:tabs>
        <w:numPr>
          <w:ilvl w:val="0"/>
          <w:numId w:val="2"/>
        </w:numPr>
        <w:rPr>
          <w:rFonts w:ascii="Arial" w:cs="Arial" w:eastAsia="Arial" w:hAnsi="Arial"/>
          <w:sz w:val="14"/>
          <w:szCs w:val="14"/>
          <w:color w:val="auto"/>
        </w:rPr>
      </w:pPr>
      <w:r>
        <w:rPr>
          <w:rFonts w:ascii="Arial" w:cs="Arial" w:eastAsia="Arial" w:hAnsi="Arial"/>
          <w:sz w:val="13"/>
          <w:szCs w:val="13"/>
          <w:color w:val="auto"/>
        </w:rPr>
        <w:t>1,642,233,575 Class B Shares with a par value of $0.01, of which all were owned by related parties;</w:t>
      </w:r>
    </w:p>
    <w:p>
      <w:pPr>
        <w:spacing w:after="0" w:line="20" w:lineRule="exact"/>
        <w:rPr>
          <w:rFonts w:ascii="Arial" w:cs="Arial" w:eastAsia="Arial" w:hAnsi="Arial"/>
          <w:sz w:val="14"/>
          <w:szCs w:val="14"/>
          <w:color w:val="auto"/>
        </w:rPr>
      </w:pPr>
    </w:p>
    <w:p>
      <w:pPr>
        <w:ind w:left="440" w:hanging="215"/>
        <w:spacing w:after="0"/>
        <w:tabs>
          <w:tab w:leader="none" w:pos="440" w:val="left"/>
        </w:tabs>
        <w:numPr>
          <w:ilvl w:val="0"/>
          <w:numId w:val="2"/>
        </w:numPr>
        <w:rPr>
          <w:rFonts w:ascii="Arial" w:cs="Arial" w:eastAsia="Arial" w:hAnsi="Arial"/>
          <w:sz w:val="14"/>
          <w:szCs w:val="14"/>
          <w:color w:val="auto"/>
        </w:rPr>
      </w:pPr>
      <w:r>
        <w:rPr>
          <w:rFonts w:ascii="Arial" w:cs="Arial" w:eastAsia="Arial" w:hAnsi="Arial"/>
          <w:sz w:val="13"/>
          <w:szCs w:val="13"/>
          <w:color w:val="auto"/>
        </w:rPr>
        <w:t>20,499,965 Class C-1 Shares with a par value of $0.10;</w:t>
      </w: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19772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360"/>
          </w:cols>
          <w:pgMar w:left="300" w:top="641" w:right="239" w:bottom="1440" w:gutter="0" w:footer="0" w:header="0"/>
          <w:type w:val="continuous"/>
        </w:sectPr>
      </w:pPr>
    </w:p>
    <w:bookmarkStart w:id="19" w:name="page20"/>
    <w:bookmarkEnd w:id="19"/>
    <w:p>
      <w:pPr>
        <w:ind w:left="440" w:hanging="215"/>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3"/>
          <w:szCs w:val="13"/>
          <w:color w:val="auto"/>
        </w:rPr>
        <w:t>4,500,000 Class C-2 Shares with a par value of $0.10; and</w:t>
      </w:r>
    </w:p>
    <w:p>
      <w:pPr>
        <w:spacing w:after="0" w:line="29" w:lineRule="exact"/>
        <w:rPr>
          <w:rFonts w:ascii="Arial" w:cs="Arial" w:eastAsia="Arial" w:hAnsi="Arial"/>
          <w:sz w:val="14"/>
          <w:szCs w:val="14"/>
          <w:color w:val="auto"/>
        </w:rPr>
      </w:pPr>
    </w:p>
    <w:p>
      <w:pPr>
        <w:ind w:left="440" w:hanging="215"/>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3"/>
          <w:szCs w:val="13"/>
          <w:color w:val="auto"/>
        </w:rPr>
        <w:t>50,000 Redeemable Preferred Shares with a par value of GBP 1.00.</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As of June 30, 2023, there were an additional 4,532,085,752 Class A Shares and 135,133,164 Class B Shares with par values of $0.01 authorized for issuance. No additional Class C Shares or Redeemable Preferred Shares</w:t>
      </w:r>
    </w:p>
    <w:p>
      <w:pPr>
        <w:spacing w:after="0" w:line="7" w:lineRule="exact"/>
        <w:rPr>
          <w:sz w:val="20"/>
          <w:szCs w:val="20"/>
          <w:color w:val="auto"/>
        </w:rPr>
      </w:pPr>
    </w:p>
    <w:p>
      <w:pPr>
        <w:jc w:val="both"/>
        <w:ind w:right="20"/>
        <w:spacing w:after="0" w:line="241" w:lineRule="auto"/>
        <w:rPr>
          <w:sz w:val="20"/>
          <w:szCs w:val="20"/>
          <w:color w:val="auto"/>
        </w:rPr>
      </w:pPr>
      <w:r>
        <w:rPr>
          <w:rFonts w:ascii="Arial" w:cs="Arial" w:eastAsia="Arial" w:hAnsi="Arial"/>
          <w:sz w:val="11"/>
          <w:szCs w:val="11"/>
          <w:color w:val="auto"/>
        </w:rPr>
        <w:t>were authorized for issuance. Holders of Class A Shares in Parent are entitled to one vote per share and holders of Class B Shares in Parent are entitled to ten votes per share. Holders of Class C Shares in Parent are entitled to one vote per share for certain matters but have no voting rights with respect to general matters voted on by holders of Class A Shares and Class B Shares in Parent. Additionally, holders of GBP Redeemable Preferred Shares in Parent have no voting rights. Any dividends or other distributions paid by Parent shall be issued to holders of outstanding Class A Shares and Class B Shares in Parent. Holders of Class C Shares and GBP</w:t>
      </w:r>
    </w:p>
    <w:p>
      <w:pPr>
        <w:jc w:val="both"/>
        <w:spacing w:after="0" w:line="220" w:lineRule="auto"/>
        <w:rPr>
          <w:sz w:val="20"/>
          <w:szCs w:val="20"/>
          <w:color w:val="auto"/>
        </w:rPr>
      </w:pPr>
      <w:r>
        <w:rPr>
          <w:rFonts w:ascii="Arial" w:cs="Arial" w:eastAsia="Arial" w:hAnsi="Arial"/>
          <w:sz w:val="13"/>
          <w:szCs w:val="13"/>
          <w:color w:val="auto"/>
        </w:rPr>
        <w:t xml:space="preserve">Redeemable Preferred Shares in Parent are not entitled to participate in any dividends or other distributions. Refer to </w:t>
      </w:r>
      <w:r>
        <w:rPr>
          <w:rFonts w:ascii="Arial" w:cs="Arial" w:eastAsia="Arial" w:hAnsi="Arial"/>
          <w:sz w:val="13"/>
          <w:szCs w:val="13"/>
          <w:i w:val="1"/>
          <w:iCs w:val="1"/>
          <w:color w:val="auto"/>
        </w:rPr>
        <w:t>Note 8 - Reverse recapitalization</w:t>
      </w:r>
      <w:r>
        <w:rPr>
          <w:rFonts w:ascii="Arial" w:cs="Arial" w:eastAsia="Arial" w:hAnsi="Arial"/>
          <w:sz w:val="13"/>
          <w:szCs w:val="13"/>
          <w:color w:val="auto"/>
        </w:rPr>
        <w:t xml:space="preserve"> for additional information on the Class C Shares which are accounted for as derivative financial liabilities in accordance with IAS 32 and IFRS 9.</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10 - Liabilities to credit institutions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carrying amount of Polestar Group’s liabilities to credit institutions as of June 30, 2023 and December 31, 2022 were as follows: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7560" w:type="dxa"/>
            <w:vAlign w:val="bottom"/>
            <w:vMerge w:val="restart"/>
            <w:shd w:val="clear" w:color="auto" w:fill="DBDBDB"/>
          </w:tcPr>
          <w:p>
            <w:pPr>
              <w:ind w:left="20"/>
              <w:spacing w:after="0"/>
              <w:rPr>
                <w:sz w:val="20"/>
                <w:szCs w:val="20"/>
                <w:color w:val="auto"/>
              </w:rPr>
            </w:pPr>
            <w:r>
              <w:rPr>
                <w:rFonts w:ascii="Arial" w:cs="Arial" w:eastAsia="Arial" w:hAnsi="Arial"/>
                <w:sz w:val="13"/>
                <w:szCs w:val="13"/>
                <w:b w:val="1"/>
                <w:bCs w:val="1"/>
                <w:color w:val="auto"/>
              </w:rPr>
              <w:t>Liabilities to credit institutions</w:t>
            </w:r>
          </w:p>
        </w:tc>
        <w:tc>
          <w:tcPr>
            <w:tcW w:w="6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6"/>
              <w:spacing w:after="0"/>
              <w:rPr>
                <w:sz w:val="20"/>
                <w:szCs w:val="20"/>
                <w:color w:val="auto"/>
              </w:rPr>
            </w:pPr>
            <w:r>
              <w:rPr>
                <w:rFonts w:ascii="Arial" w:cs="Arial" w:eastAsia="Arial" w:hAnsi="Arial"/>
                <w:sz w:val="13"/>
                <w:szCs w:val="13"/>
                <w:b w:val="1"/>
                <w:bCs w:val="1"/>
                <w:color w:val="auto"/>
                <w:w w:val="84"/>
              </w:rPr>
              <w:t>As of December 31,</w:t>
            </w:r>
          </w:p>
        </w:tc>
        <w:tc>
          <w:tcPr>
            <w:tcW w:w="0" w:type="dxa"/>
            <w:vAlign w:val="bottom"/>
          </w:tcPr>
          <w:p>
            <w:pPr>
              <w:spacing w:after="0"/>
              <w:rPr>
                <w:sz w:val="1"/>
                <w:szCs w:val="1"/>
                <w:color w:val="auto"/>
              </w:rPr>
            </w:pPr>
          </w:p>
        </w:tc>
      </w:tr>
      <w:tr>
        <w:trPr>
          <w:trHeight w:val="175"/>
        </w:trPr>
        <w:tc>
          <w:tcPr>
            <w:tcW w:w="7560" w:type="dxa"/>
            <w:vAlign w:val="bottom"/>
            <w:vMerge w:val="continue"/>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6"/>
              </w:rPr>
              <w:t>As of June 30, 2023</w:t>
            </w:r>
          </w:p>
        </w:tc>
        <w:tc>
          <w:tcPr>
            <w:tcW w:w="10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80"/>
        </w:trPr>
        <w:tc>
          <w:tcPr>
            <w:tcW w:w="7560" w:type="dxa"/>
            <w:vAlign w:val="bottom"/>
          </w:tcPr>
          <w:p>
            <w:pPr>
              <w:ind w:left="20"/>
              <w:spacing w:after="0"/>
              <w:rPr>
                <w:sz w:val="20"/>
                <w:szCs w:val="20"/>
                <w:color w:val="auto"/>
              </w:rPr>
            </w:pPr>
            <w:r>
              <w:rPr>
                <w:rFonts w:ascii="Arial" w:cs="Arial" w:eastAsia="Arial" w:hAnsi="Arial"/>
                <w:sz w:val="13"/>
                <w:szCs w:val="13"/>
                <w:color w:val="auto"/>
              </w:rPr>
              <w:t>Working capital loans from banks</w:t>
            </w:r>
          </w:p>
        </w:tc>
        <w:tc>
          <w:tcPr>
            <w:tcW w:w="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1,562,847</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1,300,108</w:t>
            </w:r>
          </w:p>
        </w:tc>
        <w:tc>
          <w:tcPr>
            <w:tcW w:w="0" w:type="dxa"/>
            <w:vAlign w:val="bottom"/>
          </w:tcPr>
          <w:p>
            <w:pPr>
              <w:spacing w:after="0"/>
              <w:rPr>
                <w:sz w:val="1"/>
                <w:szCs w:val="1"/>
                <w:color w:val="auto"/>
              </w:rPr>
            </w:pPr>
          </w:p>
        </w:tc>
      </w:tr>
      <w:tr>
        <w:trPr>
          <w:trHeight w:val="29"/>
        </w:trPr>
        <w:tc>
          <w:tcPr>
            <w:tcW w:w="7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Floorplan facilities</w:t>
            </w:r>
          </w:p>
        </w:tc>
        <w:tc>
          <w:tcPr>
            <w:tcW w:w="6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43,820</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16,925</w:t>
            </w:r>
          </w:p>
        </w:tc>
        <w:tc>
          <w:tcPr>
            <w:tcW w:w="0" w:type="dxa"/>
            <w:vAlign w:val="bottom"/>
          </w:tcPr>
          <w:p>
            <w:pPr>
              <w:spacing w:after="0"/>
              <w:rPr>
                <w:sz w:val="1"/>
                <w:szCs w:val="1"/>
                <w:color w:val="auto"/>
              </w:rPr>
            </w:pPr>
          </w:p>
        </w:tc>
      </w:tr>
      <w:tr>
        <w:trPr>
          <w:trHeight w:val="181"/>
        </w:trPr>
        <w:tc>
          <w:tcPr>
            <w:tcW w:w="7560" w:type="dxa"/>
            <w:vAlign w:val="bottom"/>
          </w:tcPr>
          <w:p>
            <w:pPr>
              <w:ind w:left="20"/>
              <w:spacing w:after="0"/>
              <w:rPr>
                <w:sz w:val="20"/>
                <w:szCs w:val="20"/>
                <w:color w:val="auto"/>
              </w:rPr>
            </w:pPr>
            <w:r>
              <w:rPr>
                <w:rFonts w:ascii="Arial" w:cs="Arial" w:eastAsia="Arial" w:hAnsi="Arial"/>
                <w:sz w:val="13"/>
                <w:szCs w:val="13"/>
                <w:color w:val="auto"/>
              </w:rPr>
              <w:t>Sale-leaseback facilities</w:t>
            </w:r>
          </w:p>
        </w:tc>
        <w:tc>
          <w:tcPr>
            <w:tcW w:w="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16,766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11,719</w:t>
            </w:r>
          </w:p>
        </w:tc>
        <w:tc>
          <w:tcPr>
            <w:tcW w:w="0" w:type="dxa"/>
            <w:vAlign w:val="bottom"/>
          </w:tcPr>
          <w:p>
            <w:pPr>
              <w:spacing w:after="0"/>
              <w:rPr>
                <w:sz w:val="1"/>
                <w:szCs w:val="1"/>
                <w:color w:val="auto"/>
              </w:rPr>
            </w:pPr>
          </w:p>
        </w:tc>
      </w:tr>
      <w:tr>
        <w:trPr>
          <w:trHeight w:val="29"/>
        </w:trPr>
        <w:tc>
          <w:tcPr>
            <w:tcW w:w="7560" w:type="dxa"/>
            <w:vAlign w:val="bottom"/>
            <w:tcBorders>
              <w:bottom w:val="single" w:sz="8" w:color="DBDBDB"/>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1,623,433</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1,328,752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Group had the following working capital loans outstanding as of June 30,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shd w:val="clear" w:color="auto" w:fill="DBDBDB"/>
          </w:tcPr>
          <w:p>
            <w:pPr>
              <w:spacing w:after="0"/>
              <w:rPr>
                <w:sz w:val="13"/>
                <w:szCs w:val="13"/>
                <w:color w:val="auto"/>
              </w:rPr>
            </w:pPr>
          </w:p>
        </w:tc>
        <w:tc>
          <w:tcPr>
            <w:tcW w:w="240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c>
          <w:tcPr>
            <w:tcW w:w="3780" w:type="dxa"/>
            <w:vAlign w:val="bottom"/>
            <w:shd w:val="clear" w:color="auto" w:fill="DBDBDB"/>
          </w:tcPr>
          <w:p>
            <w:pPr>
              <w:spacing w:after="0"/>
              <w:rPr>
                <w:sz w:val="13"/>
                <w:szCs w:val="13"/>
                <w:color w:val="auto"/>
              </w:rPr>
            </w:pPr>
          </w:p>
        </w:tc>
        <w:tc>
          <w:tcPr>
            <w:tcW w:w="1440" w:type="dxa"/>
            <w:vAlign w:val="bottom"/>
            <w:shd w:val="clear" w:color="auto" w:fill="DBDBDB"/>
          </w:tcPr>
          <w:p>
            <w:pPr>
              <w:jc w:val="center"/>
              <w:ind w:left="136"/>
              <w:spacing w:after="0"/>
              <w:rPr>
                <w:sz w:val="20"/>
                <w:szCs w:val="20"/>
                <w:color w:val="auto"/>
              </w:rPr>
            </w:pPr>
            <w:r>
              <w:rPr>
                <w:rFonts w:ascii="Arial" w:cs="Arial" w:eastAsia="Arial" w:hAnsi="Arial"/>
                <w:sz w:val="13"/>
                <w:szCs w:val="13"/>
                <w:b w:val="1"/>
                <w:bCs w:val="1"/>
                <w:color w:val="auto"/>
                <w:w w:val="88"/>
              </w:rPr>
              <w:t>Nominal amount in</w:t>
            </w: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r>
      <w:tr>
        <w:trPr>
          <w:trHeight w:val="153"/>
        </w:trPr>
        <w:tc>
          <w:tcPr>
            <w:tcW w:w="920" w:type="dxa"/>
            <w:vAlign w:val="bottom"/>
            <w:shd w:val="clear" w:color="auto" w:fill="DBDBDB"/>
          </w:tcPr>
          <w:p>
            <w:pPr>
              <w:spacing w:after="0"/>
              <w:rPr>
                <w:sz w:val="13"/>
                <w:szCs w:val="13"/>
                <w:color w:val="auto"/>
              </w:rPr>
            </w:pPr>
          </w:p>
        </w:tc>
        <w:tc>
          <w:tcPr>
            <w:tcW w:w="240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c>
          <w:tcPr>
            <w:tcW w:w="3780" w:type="dxa"/>
            <w:vAlign w:val="bottom"/>
            <w:shd w:val="clear" w:color="auto" w:fill="DBDBDB"/>
          </w:tcPr>
          <w:p>
            <w:pPr>
              <w:spacing w:after="0"/>
              <w:rPr>
                <w:sz w:val="13"/>
                <w:szCs w:val="13"/>
                <w:color w:val="auto"/>
              </w:rPr>
            </w:pPr>
          </w:p>
        </w:tc>
        <w:tc>
          <w:tcPr>
            <w:tcW w:w="1440" w:type="dxa"/>
            <w:vAlign w:val="bottom"/>
            <w:shd w:val="clear" w:color="auto" w:fill="DBDBDB"/>
          </w:tcPr>
          <w:p>
            <w:pPr>
              <w:jc w:val="center"/>
              <w:ind w:left="136"/>
              <w:spacing w:after="0"/>
              <w:rPr>
                <w:sz w:val="20"/>
                <w:szCs w:val="20"/>
                <w:color w:val="auto"/>
              </w:rPr>
            </w:pPr>
            <w:r>
              <w:rPr>
                <w:rFonts w:ascii="Arial" w:cs="Arial" w:eastAsia="Arial" w:hAnsi="Arial"/>
                <w:sz w:val="13"/>
                <w:szCs w:val="13"/>
                <w:b w:val="1"/>
                <w:bCs w:val="1"/>
                <w:color w:val="auto"/>
                <w:w w:val="84"/>
              </w:rPr>
              <w:t>respective currency</w:t>
            </w: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jc w:val="right"/>
              <w:ind w:right="136"/>
              <w:spacing w:after="0"/>
              <w:rPr>
                <w:sz w:val="20"/>
                <w:szCs w:val="20"/>
                <w:color w:val="auto"/>
              </w:rPr>
            </w:pPr>
            <w:r>
              <w:rPr>
                <w:rFonts w:ascii="Arial" w:cs="Arial" w:eastAsia="Arial" w:hAnsi="Arial"/>
                <w:sz w:val="13"/>
                <w:szCs w:val="13"/>
                <w:b w:val="1"/>
                <w:bCs w:val="1"/>
                <w:color w:val="auto"/>
                <w:w w:val="94"/>
              </w:rPr>
              <w:t>Amount in USD</w:t>
            </w:r>
          </w:p>
        </w:tc>
      </w:tr>
      <w:tr>
        <w:trPr>
          <w:trHeight w:val="175"/>
        </w:trPr>
        <w:tc>
          <w:tcPr>
            <w:tcW w:w="920" w:type="dxa"/>
            <w:vAlign w:val="bottom"/>
            <w:tcBorders>
              <w:bottom w:val="single" w:sz="8" w:color="auto"/>
            </w:tcBorders>
            <w:shd w:val="clear" w:color="auto" w:fill="DBDBDB"/>
          </w:tcPr>
          <w:p>
            <w:pPr>
              <w:ind w:left="260"/>
              <w:spacing w:after="0"/>
              <w:rPr>
                <w:sz w:val="20"/>
                <w:szCs w:val="20"/>
                <w:color w:val="auto"/>
              </w:rPr>
            </w:pPr>
            <w:r>
              <w:rPr>
                <w:rFonts w:ascii="Arial" w:cs="Arial" w:eastAsia="Arial" w:hAnsi="Arial"/>
                <w:sz w:val="13"/>
                <w:szCs w:val="13"/>
                <w:b w:val="1"/>
                <w:bCs w:val="1"/>
                <w:color w:val="auto"/>
              </w:rPr>
              <w:t>Currency</w:t>
            </w:r>
          </w:p>
        </w:tc>
        <w:tc>
          <w:tcPr>
            <w:tcW w:w="2400" w:type="dxa"/>
            <w:vAlign w:val="bottom"/>
            <w:tcBorders>
              <w:bottom w:val="single" w:sz="8" w:color="auto"/>
            </w:tcBorders>
            <w:shd w:val="clear" w:color="auto" w:fill="DBDBDB"/>
          </w:tcPr>
          <w:p>
            <w:pPr>
              <w:ind w:left="1360"/>
              <w:spacing w:after="0"/>
              <w:rPr>
                <w:sz w:val="20"/>
                <w:szCs w:val="20"/>
                <w:color w:val="auto"/>
              </w:rPr>
            </w:pPr>
            <w:r>
              <w:rPr>
                <w:rFonts w:ascii="Arial" w:cs="Arial" w:eastAsia="Arial" w:hAnsi="Arial"/>
                <w:sz w:val="13"/>
                <w:szCs w:val="13"/>
                <w:b w:val="1"/>
                <w:bCs w:val="1"/>
                <w:color w:val="auto"/>
              </w:rPr>
              <w:t>Term</w:t>
            </w:r>
          </w:p>
        </w:tc>
        <w:tc>
          <w:tcPr>
            <w:tcW w:w="1500" w:type="dxa"/>
            <w:vAlign w:val="bottom"/>
            <w:tcBorders>
              <w:bottom w:val="single" w:sz="8" w:color="auto"/>
            </w:tcBorders>
            <w:shd w:val="clear" w:color="auto" w:fill="DBDBDB"/>
          </w:tcPr>
          <w:p>
            <w:pPr>
              <w:ind w:left="840"/>
              <w:spacing w:after="0"/>
              <w:rPr>
                <w:sz w:val="20"/>
                <w:szCs w:val="20"/>
                <w:color w:val="auto"/>
              </w:rPr>
            </w:pPr>
            <w:r>
              <w:rPr>
                <w:rFonts w:ascii="Arial" w:cs="Arial" w:eastAsia="Arial" w:hAnsi="Arial"/>
                <w:sz w:val="13"/>
                <w:szCs w:val="13"/>
                <w:b w:val="1"/>
                <w:bCs w:val="1"/>
                <w:color w:val="auto"/>
              </w:rPr>
              <w:t>Security</w:t>
            </w:r>
          </w:p>
        </w:tc>
        <w:tc>
          <w:tcPr>
            <w:tcW w:w="3780" w:type="dxa"/>
            <w:vAlign w:val="bottom"/>
            <w:tcBorders>
              <w:bottom w:val="single" w:sz="8" w:color="auto"/>
            </w:tcBorders>
            <w:shd w:val="clear" w:color="auto" w:fill="DBDBDB"/>
          </w:tcPr>
          <w:p>
            <w:pPr>
              <w:ind w:left="1860"/>
              <w:spacing w:after="0"/>
              <w:rPr>
                <w:sz w:val="20"/>
                <w:szCs w:val="20"/>
                <w:color w:val="auto"/>
              </w:rPr>
            </w:pPr>
            <w:r>
              <w:rPr>
                <w:rFonts w:ascii="Arial" w:cs="Arial" w:eastAsia="Arial" w:hAnsi="Arial"/>
                <w:sz w:val="13"/>
                <w:szCs w:val="13"/>
                <w:b w:val="1"/>
                <w:bCs w:val="1"/>
                <w:color w:val="auto"/>
              </w:rPr>
              <w:t>Interest</w:t>
            </w:r>
          </w:p>
        </w:tc>
        <w:tc>
          <w:tcPr>
            <w:tcW w:w="1440" w:type="dxa"/>
            <w:vAlign w:val="bottom"/>
            <w:tcBorders>
              <w:bottom w:val="single" w:sz="8" w:color="auto"/>
            </w:tcBorders>
            <w:shd w:val="clear" w:color="auto" w:fill="DBDBDB"/>
          </w:tcPr>
          <w:p>
            <w:pPr>
              <w:jc w:val="center"/>
              <w:ind w:left="136"/>
              <w:spacing w:after="0"/>
              <w:rPr>
                <w:sz w:val="20"/>
                <w:szCs w:val="20"/>
                <w:color w:val="auto"/>
              </w:rPr>
            </w:pPr>
            <w:r>
              <w:rPr>
                <w:rFonts w:ascii="Arial" w:cs="Arial" w:eastAsia="Arial" w:hAnsi="Arial"/>
                <w:sz w:val="13"/>
                <w:szCs w:val="13"/>
                <w:b w:val="1"/>
                <w:bCs w:val="1"/>
                <w:color w:val="auto"/>
                <w:w w:val="85"/>
              </w:rPr>
              <w:t>(thousands)</w:t>
            </w: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ind w:right="256"/>
              <w:spacing w:after="0"/>
              <w:rPr>
                <w:sz w:val="20"/>
                <w:szCs w:val="20"/>
                <w:color w:val="auto"/>
              </w:rPr>
            </w:pPr>
            <w:r>
              <w:rPr>
                <w:rFonts w:ascii="Arial" w:cs="Arial" w:eastAsia="Arial" w:hAnsi="Arial"/>
                <w:sz w:val="13"/>
                <w:szCs w:val="13"/>
                <w:b w:val="1"/>
                <w:bCs w:val="1"/>
                <w:color w:val="auto"/>
              </w:rPr>
              <w:t>(thousands)</w:t>
            </w:r>
          </w:p>
        </w:tc>
      </w:tr>
      <w:tr>
        <w:trPr>
          <w:trHeight w:val="209"/>
        </w:trPr>
        <w:tc>
          <w:tcPr>
            <w:tcW w:w="920" w:type="dxa"/>
            <w:vAlign w:val="bottom"/>
          </w:tcPr>
          <w:p>
            <w:pPr>
              <w:spacing w:after="0"/>
              <w:rPr>
                <w:sz w:val="20"/>
                <w:szCs w:val="20"/>
                <w:color w:val="auto"/>
              </w:rPr>
            </w:pPr>
            <w:r>
              <w:rPr>
                <w:rFonts w:ascii="Arial" w:cs="Arial" w:eastAsia="Arial" w:hAnsi="Arial"/>
                <w:sz w:val="13"/>
                <w:szCs w:val="13"/>
                <w:color w:val="auto"/>
              </w:rPr>
              <w:t>CNY</w:t>
            </w:r>
          </w:p>
        </w:tc>
        <w:tc>
          <w:tcPr>
            <w:tcW w:w="2400" w:type="dxa"/>
            <w:vAlign w:val="bottom"/>
          </w:tcPr>
          <w:p>
            <w:pPr>
              <w:ind w:left="120"/>
              <w:spacing w:after="0"/>
              <w:rPr>
                <w:sz w:val="20"/>
                <w:szCs w:val="20"/>
                <w:color w:val="auto"/>
              </w:rPr>
            </w:pPr>
            <w:r>
              <w:rPr>
                <w:rFonts w:ascii="Arial" w:cs="Arial" w:eastAsia="Arial" w:hAnsi="Arial"/>
                <w:sz w:val="13"/>
                <w:szCs w:val="13"/>
                <w:color w:val="auto"/>
              </w:rPr>
              <w:t>August 2022 - August 2023</w:t>
            </w:r>
          </w:p>
        </w:tc>
        <w:tc>
          <w:tcPr>
            <w:tcW w:w="1500" w:type="dxa"/>
            <w:vAlign w:val="bottom"/>
          </w:tcPr>
          <w:p>
            <w:pPr>
              <w:ind w:left="500"/>
              <w:spacing w:after="0"/>
              <w:rPr>
                <w:sz w:val="20"/>
                <w:szCs w:val="20"/>
                <w:color w:val="auto"/>
              </w:rPr>
            </w:pPr>
            <w:r>
              <w:rPr>
                <w:rFonts w:ascii="Arial" w:cs="Arial" w:eastAsia="Arial" w:hAnsi="Arial"/>
                <w:sz w:val="13"/>
                <w:szCs w:val="13"/>
                <w:color w:val="auto"/>
              </w:rPr>
              <w:t>Unsecured</w:t>
            </w:r>
          </w:p>
        </w:tc>
        <w:tc>
          <w:tcPr>
            <w:tcW w:w="3780" w:type="dxa"/>
            <w:vAlign w:val="bottom"/>
          </w:tcPr>
          <w:p>
            <w:pPr>
              <w:ind w:left="180"/>
              <w:spacing w:after="0"/>
              <w:rPr>
                <w:sz w:val="20"/>
                <w:szCs w:val="20"/>
                <w:color w:val="auto"/>
              </w:rPr>
            </w:pPr>
            <w:r>
              <w:rPr>
                <w:rFonts w:ascii="Arial" w:cs="Arial" w:eastAsia="Arial" w:hAnsi="Arial"/>
                <w:sz w:val="13"/>
                <w:szCs w:val="13"/>
                <w:color w:val="auto"/>
              </w:rPr>
              <w:t>12-month LPR</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plus 0.05%, settled quarterly</w:t>
            </w:r>
          </w:p>
        </w:tc>
        <w:tc>
          <w:tcPr>
            <w:tcW w:w="1440" w:type="dxa"/>
            <w:vAlign w:val="bottom"/>
          </w:tcPr>
          <w:p>
            <w:pPr>
              <w:jc w:val="right"/>
              <w:spacing w:after="0"/>
              <w:rPr>
                <w:sz w:val="20"/>
                <w:szCs w:val="20"/>
                <w:color w:val="auto"/>
              </w:rPr>
            </w:pPr>
            <w:r>
              <w:rPr>
                <w:rFonts w:ascii="Arial" w:cs="Arial" w:eastAsia="Arial" w:hAnsi="Arial"/>
                <w:sz w:val="13"/>
                <w:szCs w:val="13"/>
                <w:color w:val="auto"/>
              </w:rPr>
              <w:t>716,000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98,626</w:t>
            </w:r>
          </w:p>
        </w:tc>
      </w:tr>
      <w:tr>
        <w:trPr>
          <w:trHeight w:val="210"/>
        </w:trPr>
        <w:tc>
          <w:tcPr>
            <w:tcW w:w="920" w:type="dxa"/>
            <w:vAlign w:val="bottom"/>
            <w:shd w:val="clear" w:color="auto" w:fill="DBDBDB"/>
          </w:tcPr>
          <w:p>
            <w:pPr>
              <w:spacing w:after="0"/>
              <w:rPr>
                <w:sz w:val="20"/>
                <w:szCs w:val="20"/>
                <w:color w:val="auto"/>
              </w:rPr>
            </w:pPr>
            <w:r>
              <w:rPr>
                <w:rFonts w:ascii="Arial" w:cs="Arial" w:eastAsia="Arial" w:hAnsi="Arial"/>
                <w:sz w:val="13"/>
                <w:szCs w:val="13"/>
                <w:color w:val="auto"/>
              </w:rPr>
              <w:t>USD</w:t>
            </w:r>
          </w:p>
        </w:tc>
        <w:tc>
          <w:tcPr>
            <w:tcW w:w="2400" w:type="dxa"/>
            <w:vAlign w:val="bottom"/>
            <w:shd w:val="clear" w:color="auto" w:fill="DBDBDB"/>
          </w:tcPr>
          <w:p>
            <w:pPr>
              <w:ind w:left="120"/>
              <w:spacing w:after="0"/>
              <w:rPr>
                <w:sz w:val="20"/>
                <w:szCs w:val="20"/>
                <w:color w:val="auto"/>
              </w:rPr>
            </w:pPr>
            <w:r>
              <w:rPr>
                <w:rFonts w:ascii="Arial" w:cs="Arial" w:eastAsia="Arial" w:hAnsi="Arial"/>
                <w:sz w:val="13"/>
                <w:szCs w:val="13"/>
                <w:color w:val="auto"/>
              </w:rPr>
              <w:t>August 2022 - August 2023</w:t>
            </w:r>
          </w:p>
        </w:tc>
        <w:tc>
          <w:tcPr>
            <w:tcW w:w="1500" w:type="dxa"/>
            <w:vAlign w:val="bottom"/>
            <w:shd w:val="clear" w:color="auto" w:fill="DBDBDB"/>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3-month LPR plus 2.3%, settled quarterly</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147,000</w:t>
            </w:r>
          </w:p>
        </w:tc>
      </w:tr>
      <w:tr>
        <w:trPr>
          <w:trHeight w:val="210"/>
        </w:trPr>
        <w:tc>
          <w:tcPr>
            <w:tcW w:w="920" w:type="dxa"/>
            <w:vAlign w:val="bottom"/>
          </w:tcPr>
          <w:p>
            <w:pPr>
              <w:spacing w:after="0"/>
              <w:rPr>
                <w:sz w:val="20"/>
                <w:szCs w:val="20"/>
                <w:color w:val="auto"/>
              </w:rPr>
            </w:pPr>
            <w:r>
              <w:rPr>
                <w:rFonts w:ascii="Arial" w:cs="Arial" w:eastAsia="Arial" w:hAnsi="Arial"/>
                <w:sz w:val="13"/>
                <w:szCs w:val="13"/>
                <w:color w:val="auto"/>
              </w:rPr>
              <w:t>USD</w:t>
            </w:r>
          </w:p>
        </w:tc>
        <w:tc>
          <w:tcPr>
            <w:tcW w:w="2400" w:type="dxa"/>
            <w:vAlign w:val="bottom"/>
          </w:tcPr>
          <w:p>
            <w:pPr>
              <w:ind w:left="120"/>
              <w:spacing w:after="0"/>
              <w:rPr>
                <w:sz w:val="20"/>
                <w:szCs w:val="20"/>
                <w:color w:val="auto"/>
              </w:rPr>
            </w:pPr>
            <w:r>
              <w:rPr>
                <w:rFonts w:ascii="Arial" w:cs="Arial" w:eastAsia="Arial" w:hAnsi="Arial"/>
                <w:sz w:val="13"/>
                <w:szCs w:val="13"/>
                <w:color w:val="auto"/>
              </w:rPr>
              <w:t>September 2022 - September 2023</w:t>
            </w:r>
          </w:p>
        </w:tc>
        <w:tc>
          <w:tcPr>
            <w:tcW w:w="1500" w:type="dxa"/>
            <w:vAlign w:val="bottom"/>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tcPr>
          <w:p>
            <w:pPr>
              <w:ind w:left="180"/>
              <w:spacing w:after="0"/>
              <w:rPr>
                <w:sz w:val="20"/>
                <w:szCs w:val="20"/>
                <w:color w:val="auto"/>
              </w:rPr>
            </w:pPr>
            <w:r>
              <w:rPr>
                <w:rFonts w:ascii="Arial" w:cs="Arial" w:eastAsia="Arial" w:hAnsi="Arial"/>
                <w:sz w:val="13"/>
                <w:szCs w:val="13"/>
                <w:color w:val="auto"/>
              </w:rPr>
              <w:t>3-month LPR plus 2.3%, settled quarterly</w:t>
            </w:r>
          </w:p>
        </w:tc>
        <w:tc>
          <w:tcPr>
            <w:tcW w:w="1440" w:type="dxa"/>
            <w:vAlign w:val="bottom"/>
          </w:tcPr>
          <w:p>
            <w:pPr>
              <w:jc w:val="right"/>
              <w:spacing w:after="0"/>
              <w:rPr>
                <w:sz w:val="20"/>
                <w:szCs w:val="20"/>
                <w:color w:val="auto"/>
              </w:rPr>
            </w:pPr>
            <w:r>
              <w:rPr>
                <w:rFonts w:ascii="Arial" w:cs="Arial" w:eastAsia="Arial" w:hAnsi="Arial"/>
                <w:sz w:val="13"/>
                <w:szCs w:val="13"/>
                <w:color w:val="auto"/>
              </w:rPr>
              <w:t>255,000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255,000</w:t>
            </w:r>
          </w:p>
        </w:tc>
      </w:tr>
      <w:tr>
        <w:trPr>
          <w:trHeight w:val="210"/>
        </w:trPr>
        <w:tc>
          <w:tcPr>
            <w:tcW w:w="920" w:type="dxa"/>
            <w:vAlign w:val="bottom"/>
            <w:shd w:val="clear" w:color="auto" w:fill="DBDBDB"/>
          </w:tcPr>
          <w:p>
            <w:pPr>
              <w:spacing w:after="0"/>
              <w:rPr>
                <w:sz w:val="20"/>
                <w:szCs w:val="20"/>
                <w:color w:val="auto"/>
              </w:rPr>
            </w:pPr>
            <w:r>
              <w:rPr>
                <w:rFonts w:ascii="Arial" w:cs="Arial" w:eastAsia="Arial" w:hAnsi="Arial"/>
                <w:sz w:val="13"/>
                <w:szCs w:val="13"/>
                <w:color w:val="auto"/>
              </w:rPr>
              <w:t>USD</w:t>
            </w:r>
          </w:p>
        </w:tc>
        <w:tc>
          <w:tcPr>
            <w:tcW w:w="2400" w:type="dxa"/>
            <w:vAlign w:val="bottom"/>
            <w:shd w:val="clear" w:color="auto" w:fill="DBDBDB"/>
          </w:tcPr>
          <w:p>
            <w:pPr>
              <w:ind w:left="120"/>
              <w:spacing w:after="0"/>
              <w:rPr>
                <w:sz w:val="20"/>
                <w:szCs w:val="20"/>
                <w:color w:val="auto"/>
              </w:rPr>
            </w:pPr>
            <w:r>
              <w:rPr>
                <w:rFonts w:ascii="Arial" w:cs="Arial" w:eastAsia="Arial" w:hAnsi="Arial"/>
                <w:sz w:val="13"/>
                <w:szCs w:val="13"/>
                <w:color w:val="auto"/>
              </w:rPr>
              <w:t>September 2022 - September 2023</w:t>
            </w:r>
          </w:p>
        </w:tc>
        <w:tc>
          <w:tcPr>
            <w:tcW w:w="1500" w:type="dxa"/>
            <w:vAlign w:val="bottom"/>
            <w:shd w:val="clear" w:color="auto" w:fill="DBDBDB"/>
          </w:tcPr>
          <w:p>
            <w:pPr>
              <w:ind w:left="500"/>
              <w:spacing w:after="0"/>
              <w:rPr>
                <w:sz w:val="20"/>
                <w:szCs w:val="20"/>
                <w:color w:val="auto"/>
              </w:rPr>
            </w:pPr>
            <w:r>
              <w:rPr>
                <w:rFonts w:ascii="Arial" w:cs="Arial" w:eastAsia="Arial" w:hAnsi="Arial"/>
                <w:sz w:val="13"/>
                <w:szCs w:val="13"/>
                <w:color w:val="auto"/>
              </w:rPr>
              <w:t>Secured</w:t>
            </w:r>
            <w:r>
              <w:rPr>
                <w:rFonts w:ascii="Arial" w:cs="Arial" w:eastAsia="Arial" w:hAnsi="Arial"/>
                <w:sz w:val="16"/>
                <w:szCs w:val="16"/>
                <w:color w:val="auto"/>
                <w:vertAlign w:val="superscript"/>
              </w:rPr>
              <w:t>3</w:t>
            </w:r>
          </w:p>
        </w:tc>
        <w:tc>
          <w:tcPr>
            <w:tcW w:w="37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4.48% per annum, settled quarterly</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133,000</w:t>
            </w:r>
          </w:p>
        </w:tc>
      </w:tr>
      <w:tr>
        <w:trPr>
          <w:trHeight w:val="210"/>
        </w:trPr>
        <w:tc>
          <w:tcPr>
            <w:tcW w:w="920" w:type="dxa"/>
            <w:vAlign w:val="bottom"/>
          </w:tcPr>
          <w:p>
            <w:pPr>
              <w:spacing w:after="0"/>
              <w:rPr>
                <w:sz w:val="20"/>
                <w:szCs w:val="20"/>
                <w:color w:val="auto"/>
              </w:rPr>
            </w:pPr>
            <w:r>
              <w:rPr>
                <w:rFonts w:ascii="Arial" w:cs="Arial" w:eastAsia="Arial" w:hAnsi="Arial"/>
                <w:sz w:val="13"/>
                <w:szCs w:val="13"/>
                <w:color w:val="auto"/>
              </w:rPr>
              <w:t>USD</w:t>
            </w:r>
          </w:p>
        </w:tc>
        <w:tc>
          <w:tcPr>
            <w:tcW w:w="2400" w:type="dxa"/>
            <w:vAlign w:val="bottom"/>
          </w:tcPr>
          <w:p>
            <w:pPr>
              <w:ind w:left="120"/>
              <w:spacing w:after="0"/>
              <w:rPr>
                <w:sz w:val="20"/>
                <w:szCs w:val="20"/>
                <w:color w:val="auto"/>
              </w:rPr>
            </w:pPr>
            <w:r>
              <w:rPr>
                <w:rFonts w:ascii="Arial" w:cs="Arial" w:eastAsia="Arial" w:hAnsi="Arial"/>
                <w:sz w:val="13"/>
                <w:szCs w:val="13"/>
                <w:color w:val="auto"/>
              </w:rPr>
              <w:t>September 2022 - September 2023</w:t>
            </w:r>
          </w:p>
        </w:tc>
        <w:tc>
          <w:tcPr>
            <w:tcW w:w="1500" w:type="dxa"/>
            <w:vAlign w:val="bottom"/>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tcPr>
          <w:p>
            <w:pPr>
              <w:ind w:left="180"/>
              <w:spacing w:after="0"/>
              <w:rPr>
                <w:sz w:val="20"/>
                <w:szCs w:val="20"/>
                <w:color w:val="auto"/>
              </w:rPr>
            </w:pPr>
            <w:r>
              <w:rPr>
                <w:rFonts w:ascii="Arial" w:cs="Arial" w:eastAsia="Arial" w:hAnsi="Arial"/>
                <w:sz w:val="13"/>
                <w:szCs w:val="13"/>
                <w:color w:val="auto"/>
              </w:rPr>
              <w:t>3-month SOFR</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plus 2.4%, settled quarterly</w:t>
            </w:r>
          </w:p>
        </w:tc>
        <w:tc>
          <w:tcPr>
            <w:tcW w:w="1440" w:type="dxa"/>
            <w:vAlign w:val="bottom"/>
          </w:tcPr>
          <w:p>
            <w:pPr>
              <w:jc w:val="right"/>
              <w:spacing w:after="0"/>
              <w:rPr>
                <w:sz w:val="20"/>
                <w:szCs w:val="20"/>
                <w:color w:val="auto"/>
              </w:rPr>
            </w:pPr>
            <w:r>
              <w:rPr>
                <w:rFonts w:ascii="Arial" w:cs="Arial" w:eastAsia="Arial" w:hAnsi="Arial"/>
                <w:sz w:val="13"/>
                <w:szCs w:val="13"/>
                <w:color w:val="auto"/>
              </w:rPr>
              <w:t>100,000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100,000</w:t>
            </w:r>
          </w:p>
        </w:tc>
      </w:tr>
      <w:tr>
        <w:trPr>
          <w:trHeight w:val="210"/>
        </w:trPr>
        <w:tc>
          <w:tcPr>
            <w:tcW w:w="920" w:type="dxa"/>
            <w:vAlign w:val="bottom"/>
            <w:shd w:val="clear" w:color="auto" w:fill="DBDBDB"/>
          </w:tcPr>
          <w:p>
            <w:pPr>
              <w:spacing w:after="0"/>
              <w:rPr>
                <w:sz w:val="20"/>
                <w:szCs w:val="20"/>
                <w:color w:val="auto"/>
              </w:rPr>
            </w:pPr>
            <w:r>
              <w:rPr>
                <w:rFonts w:ascii="Arial" w:cs="Arial" w:eastAsia="Arial" w:hAnsi="Arial"/>
                <w:sz w:val="13"/>
                <w:szCs w:val="13"/>
                <w:color w:val="auto"/>
              </w:rPr>
              <w:t>USD</w:t>
            </w:r>
          </w:p>
        </w:tc>
        <w:tc>
          <w:tcPr>
            <w:tcW w:w="2400" w:type="dxa"/>
            <w:vAlign w:val="bottom"/>
            <w:shd w:val="clear" w:color="auto" w:fill="DBDBDB"/>
          </w:tcPr>
          <w:p>
            <w:pPr>
              <w:ind w:left="120"/>
              <w:spacing w:after="0"/>
              <w:rPr>
                <w:sz w:val="20"/>
                <w:szCs w:val="20"/>
                <w:color w:val="auto"/>
              </w:rPr>
            </w:pPr>
            <w:r>
              <w:rPr>
                <w:rFonts w:ascii="Arial" w:cs="Arial" w:eastAsia="Arial" w:hAnsi="Arial"/>
                <w:sz w:val="13"/>
                <w:szCs w:val="13"/>
                <w:color w:val="auto"/>
              </w:rPr>
              <w:t>December 2022 - December 2023</w:t>
            </w:r>
          </w:p>
        </w:tc>
        <w:tc>
          <w:tcPr>
            <w:tcW w:w="1500" w:type="dxa"/>
            <w:vAlign w:val="bottom"/>
            <w:shd w:val="clear" w:color="auto" w:fill="DBDBDB"/>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7.5% per annum, settled quarterly</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200,000</w:t>
            </w:r>
          </w:p>
        </w:tc>
      </w:tr>
      <w:tr>
        <w:trPr>
          <w:trHeight w:val="210"/>
        </w:trPr>
        <w:tc>
          <w:tcPr>
            <w:tcW w:w="920" w:type="dxa"/>
            <w:vAlign w:val="bottom"/>
          </w:tcPr>
          <w:p>
            <w:pPr>
              <w:spacing w:after="0"/>
              <w:rPr>
                <w:sz w:val="20"/>
                <w:szCs w:val="20"/>
                <w:color w:val="auto"/>
              </w:rPr>
            </w:pPr>
            <w:r>
              <w:rPr>
                <w:rFonts w:ascii="Arial" w:cs="Arial" w:eastAsia="Arial" w:hAnsi="Arial"/>
                <w:sz w:val="13"/>
                <w:szCs w:val="13"/>
                <w:color w:val="auto"/>
              </w:rPr>
              <w:t>EUR</w:t>
            </w:r>
          </w:p>
        </w:tc>
        <w:tc>
          <w:tcPr>
            <w:tcW w:w="2400" w:type="dxa"/>
            <w:vAlign w:val="bottom"/>
          </w:tcPr>
          <w:p>
            <w:pPr>
              <w:ind w:left="120"/>
              <w:spacing w:after="0"/>
              <w:rPr>
                <w:sz w:val="20"/>
                <w:szCs w:val="20"/>
                <w:color w:val="auto"/>
              </w:rPr>
            </w:pPr>
            <w:r>
              <w:rPr>
                <w:rFonts w:ascii="Arial" w:cs="Arial" w:eastAsia="Arial" w:hAnsi="Arial"/>
                <w:sz w:val="13"/>
                <w:szCs w:val="13"/>
                <w:color w:val="auto"/>
              </w:rPr>
              <w:t>February 2023 - February 2024</w:t>
            </w:r>
          </w:p>
        </w:tc>
        <w:tc>
          <w:tcPr>
            <w:tcW w:w="1500" w:type="dxa"/>
            <w:vAlign w:val="bottom"/>
          </w:tcPr>
          <w:p>
            <w:pPr>
              <w:ind w:left="500"/>
              <w:spacing w:after="0"/>
              <w:rPr>
                <w:sz w:val="20"/>
                <w:szCs w:val="20"/>
                <w:color w:val="auto"/>
              </w:rPr>
            </w:pPr>
            <w:r>
              <w:rPr>
                <w:rFonts w:ascii="Arial" w:cs="Arial" w:eastAsia="Arial" w:hAnsi="Arial"/>
                <w:sz w:val="13"/>
                <w:szCs w:val="13"/>
                <w:color w:val="auto"/>
              </w:rPr>
              <w:t>Secured</w:t>
            </w:r>
            <w:r>
              <w:rPr>
                <w:rFonts w:ascii="Arial" w:cs="Arial" w:eastAsia="Arial" w:hAnsi="Arial"/>
                <w:sz w:val="16"/>
                <w:szCs w:val="16"/>
                <w:color w:val="auto"/>
                <w:vertAlign w:val="superscript"/>
              </w:rPr>
              <w:t>5</w:t>
            </w:r>
          </w:p>
        </w:tc>
        <w:tc>
          <w:tcPr>
            <w:tcW w:w="3780" w:type="dxa"/>
            <w:vAlign w:val="bottom"/>
          </w:tcPr>
          <w:p>
            <w:pPr>
              <w:ind w:left="180"/>
              <w:spacing w:after="0"/>
              <w:rPr>
                <w:sz w:val="20"/>
                <w:szCs w:val="20"/>
                <w:color w:val="auto"/>
              </w:rPr>
            </w:pPr>
            <w:r>
              <w:rPr>
                <w:rFonts w:ascii="Arial" w:cs="Arial" w:eastAsia="Arial" w:hAnsi="Arial"/>
                <w:sz w:val="13"/>
                <w:szCs w:val="13"/>
                <w:color w:val="auto"/>
                <w:w w:val="95"/>
              </w:rPr>
              <w:t>3-month EURIBOR</w:t>
            </w:r>
            <w:r>
              <w:rPr>
                <w:rFonts w:ascii="Arial" w:cs="Arial" w:eastAsia="Arial" w:hAnsi="Arial"/>
                <w:sz w:val="16"/>
                <w:szCs w:val="16"/>
                <w:color w:val="auto"/>
                <w:w w:val="95"/>
                <w:vertAlign w:val="superscript"/>
              </w:rPr>
              <w:t>6</w:t>
            </w:r>
            <w:r>
              <w:rPr>
                <w:rFonts w:ascii="Arial" w:cs="Arial" w:eastAsia="Arial" w:hAnsi="Arial"/>
                <w:sz w:val="13"/>
                <w:szCs w:val="13"/>
                <w:color w:val="auto"/>
                <w:w w:val="95"/>
              </w:rPr>
              <w:t xml:space="preserve"> plus 2.3% and an arrangement fee of 0.15%</w:t>
            </w:r>
          </w:p>
        </w:tc>
        <w:tc>
          <w:tcPr>
            <w:tcW w:w="1440" w:type="dxa"/>
            <w:vAlign w:val="bottom"/>
          </w:tcPr>
          <w:p>
            <w:pPr>
              <w:jc w:val="right"/>
              <w:spacing w:after="0"/>
              <w:rPr>
                <w:sz w:val="20"/>
                <w:szCs w:val="20"/>
                <w:color w:val="auto"/>
              </w:rPr>
            </w:pPr>
            <w:r>
              <w:rPr>
                <w:rFonts w:ascii="Arial" w:cs="Arial" w:eastAsia="Arial" w:hAnsi="Arial"/>
                <w:sz w:val="13"/>
                <w:szCs w:val="13"/>
                <w:color w:val="auto"/>
              </w:rPr>
              <w:t>382,312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417,312</w:t>
            </w:r>
          </w:p>
        </w:tc>
      </w:tr>
      <w:tr>
        <w:trPr>
          <w:trHeight w:val="210"/>
        </w:trPr>
        <w:tc>
          <w:tcPr>
            <w:tcW w:w="920" w:type="dxa"/>
            <w:vAlign w:val="bottom"/>
            <w:shd w:val="clear" w:color="auto" w:fill="DBDBDB"/>
          </w:tcPr>
          <w:p>
            <w:pPr>
              <w:spacing w:after="0"/>
              <w:rPr>
                <w:sz w:val="20"/>
                <w:szCs w:val="20"/>
                <w:color w:val="auto"/>
              </w:rPr>
            </w:pPr>
            <w:r>
              <w:rPr>
                <w:rFonts w:ascii="Arial" w:cs="Arial" w:eastAsia="Arial" w:hAnsi="Arial"/>
                <w:sz w:val="13"/>
                <w:szCs w:val="13"/>
                <w:color w:val="auto"/>
              </w:rPr>
              <w:t>USD</w:t>
            </w:r>
          </w:p>
        </w:tc>
        <w:tc>
          <w:tcPr>
            <w:tcW w:w="2400" w:type="dxa"/>
            <w:vAlign w:val="bottom"/>
            <w:shd w:val="clear" w:color="auto" w:fill="DBDBDB"/>
          </w:tcPr>
          <w:p>
            <w:pPr>
              <w:ind w:left="120"/>
              <w:spacing w:after="0"/>
              <w:rPr>
                <w:sz w:val="20"/>
                <w:szCs w:val="20"/>
                <w:color w:val="auto"/>
              </w:rPr>
            </w:pPr>
            <w:r>
              <w:rPr>
                <w:rFonts w:ascii="Arial" w:cs="Arial" w:eastAsia="Arial" w:hAnsi="Arial"/>
                <w:sz w:val="13"/>
                <w:szCs w:val="13"/>
                <w:color w:val="auto"/>
              </w:rPr>
              <w:t>March 2023 - March 2024</w:t>
            </w:r>
          </w:p>
        </w:tc>
        <w:tc>
          <w:tcPr>
            <w:tcW w:w="1500" w:type="dxa"/>
            <w:vAlign w:val="bottom"/>
            <w:shd w:val="clear" w:color="auto" w:fill="DBDBDB"/>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7.35% per annum, settled quarterly</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100,000</w:t>
            </w:r>
          </w:p>
        </w:tc>
      </w:tr>
      <w:tr>
        <w:trPr>
          <w:trHeight w:val="210"/>
        </w:trPr>
        <w:tc>
          <w:tcPr>
            <w:tcW w:w="920" w:type="dxa"/>
            <w:vAlign w:val="bottom"/>
          </w:tcPr>
          <w:p>
            <w:pPr>
              <w:spacing w:after="0"/>
              <w:rPr>
                <w:sz w:val="20"/>
                <w:szCs w:val="20"/>
                <w:color w:val="auto"/>
              </w:rPr>
            </w:pPr>
            <w:r>
              <w:rPr>
                <w:rFonts w:ascii="Arial" w:cs="Arial" w:eastAsia="Arial" w:hAnsi="Arial"/>
                <w:sz w:val="13"/>
                <w:szCs w:val="13"/>
                <w:color w:val="auto"/>
              </w:rPr>
              <w:t>CNY</w:t>
            </w:r>
          </w:p>
        </w:tc>
        <w:tc>
          <w:tcPr>
            <w:tcW w:w="2400" w:type="dxa"/>
            <w:vAlign w:val="bottom"/>
          </w:tcPr>
          <w:p>
            <w:pPr>
              <w:ind w:left="120"/>
              <w:spacing w:after="0"/>
              <w:rPr>
                <w:sz w:val="20"/>
                <w:szCs w:val="20"/>
                <w:color w:val="auto"/>
              </w:rPr>
            </w:pPr>
            <w:r>
              <w:rPr>
                <w:rFonts w:ascii="Arial" w:cs="Arial" w:eastAsia="Arial" w:hAnsi="Arial"/>
                <w:sz w:val="13"/>
                <w:szCs w:val="13"/>
                <w:color w:val="auto"/>
              </w:rPr>
              <w:t>March 2023 - March 2024</w:t>
            </w:r>
          </w:p>
        </w:tc>
        <w:tc>
          <w:tcPr>
            <w:tcW w:w="1500" w:type="dxa"/>
            <w:vAlign w:val="bottom"/>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tcPr>
          <w:p>
            <w:pPr>
              <w:ind w:left="180"/>
              <w:spacing w:after="0"/>
              <w:rPr>
                <w:sz w:val="20"/>
                <w:szCs w:val="20"/>
                <w:color w:val="auto"/>
              </w:rPr>
            </w:pPr>
            <w:r>
              <w:rPr>
                <w:rFonts w:ascii="Arial" w:cs="Arial" w:eastAsia="Arial" w:hAnsi="Arial"/>
                <w:sz w:val="13"/>
                <w:szCs w:val="13"/>
                <w:color w:val="auto"/>
              </w:rPr>
              <w:t>12-month LPR plus 0.05%, settled quarterly</w:t>
            </w:r>
          </w:p>
        </w:tc>
        <w:tc>
          <w:tcPr>
            <w:tcW w:w="1440" w:type="dxa"/>
            <w:vAlign w:val="bottom"/>
          </w:tcPr>
          <w:p>
            <w:pPr>
              <w:jc w:val="right"/>
              <w:spacing w:after="0"/>
              <w:rPr>
                <w:sz w:val="20"/>
                <w:szCs w:val="20"/>
                <w:color w:val="auto"/>
              </w:rPr>
            </w:pPr>
            <w:r>
              <w:rPr>
                <w:rFonts w:ascii="Arial" w:cs="Arial" w:eastAsia="Arial" w:hAnsi="Arial"/>
                <w:sz w:val="13"/>
                <w:szCs w:val="13"/>
                <w:color w:val="auto"/>
              </w:rPr>
              <w:t>260,000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35,814</w:t>
            </w:r>
          </w:p>
        </w:tc>
      </w:tr>
      <w:tr>
        <w:trPr>
          <w:trHeight w:val="210"/>
        </w:trPr>
        <w:tc>
          <w:tcPr>
            <w:tcW w:w="920" w:type="dxa"/>
            <w:vAlign w:val="bottom"/>
            <w:shd w:val="clear" w:color="auto" w:fill="DBDBDB"/>
          </w:tcPr>
          <w:p>
            <w:pPr>
              <w:spacing w:after="0"/>
              <w:rPr>
                <w:sz w:val="20"/>
                <w:szCs w:val="20"/>
                <w:color w:val="auto"/>
              </w:rPr>
            </w:pPr>
            <w:r>
              <w:rPr>
                <w:rFonts w:ascii="Arial" w:cs="Arial" w:eastAsia="Arial" w:hAnsi="Arial"/>
                <w:sz w:val="13"/>
                <w:szCs w:val="13"/>
                <w:color w:val="auto"/>
              </w:rPr>
              <w:t>CNY</w:t>
            </w:r>
          </w:p>
        </w:tc>
        <w:tc>
          <w:tcPr>
            <w:tcW w:w="2400" w:type="dxa"/>
            <w:vAlign w:val="bottom"/>
            <w:shd w:val="clear" w:color="auto" w:fill="DBDBDB"/>
          </w:tcPr>
          <w:p>
            <w:pPr>
              <w:ind w:left="120"/>
              <w:spacing w:after="0"/>
              <w:rPr>
                <w:sz w:val="20"/>
                <w:szCs w:val="20"/>
                <w:color w:val="auto"/>
              </w:rPr>
            </w:pPr>
            <w:r>
              <w:rPr>
                <w:rFonts w:ascii="Arial" w:cs="Arial" w:eastAsia="Arial" w:hAnsi="Arial"/>
                <w:sz w:val="13"/>
                <w:szCs w:val="13"/>
                <w:color w:val="auto"/>
              </w:rPr>
              <w:t>April 2023 - April 2024</w:t>
            </w:r>
          </w:p>
        </w:tc>
        <w:tc>
          <w:tcPr>
            <w:tcW w:w="1500" w:type="dxa"/>
            <w:vAlign w:val="bottom"/>
            <w:shd w:val="clear" w:color="auto" w:fill="DBDBDB"/>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12-month LPR plus 0.05%, settled quarterly</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11,430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1,575</w:t>
            </w:r>
          </w:p>
        </w:tc>
      </w:tr>
      <w:tr>
        <w:trPr>
          <w:trHeight w:val="210"/>
        </w:trPr>
        <w:tc>
          <w:tcPr>
            <w:tcW w:w="920" w:type="dxa"/>
            <w:vAlign w:val="bottom"/>
          </w:tcPr>
          <w:p>
            <w:pPr>
              <w:spacing w:after="0"/>
              <w:rPr>
                <w:sz w:val="20"/>
                <w:szCs w:val="20"/>
                <w:color w:val="auto"/>
              </w:rPr>
            </w:pPr>
            <w:r>
              <w:rPr>
                <w:rFonts w:ascii="Arial" w:cs="Arial" w:eastAsia="Arial" w:hAnsi="Arial"/>
                <w:sz w:val="13"/>
                <w:szCs w:val="13"/>
                <w:color w:val="auto"/>
              </w:rPr>
              <w:t>CNY</w:t>
            </w:r>
          </w:p>
        </w:tc>
        <w:tc>
          <w:tcPr>
            <w:tcW w:w="2400" w:type="dxa"/>
            <w:vAlign w:val="bottom"/>
          </w:tcPr>
          <w:p>
            <w:pPr>
              <w:ind w:left="120"/>
              <w:spacing w:after="0"/>
              <w:rPr>
                <w:sz w:val="20"/>
                <w:szCs w:val="20"/>
                <w:color w:val="auto"/>
              </w:rPr>
            </w:pPr>
            <w:r>
              <w:rPr>
                <w:rFonts w:ascii="Arial" w:cs="Arial" w:eastAsia="Arial" w:hAnsi="Arial"/>
                <w:sz w:val="13"/>
                <w:szCs w:val="13"/>
                <w:color w:val="auto"/>
              </w:rPr>
              <w:t>May 2023 - May 2024</w:t>
            </w:r>
          </w:p>
        </w:tc>
        <w:tc>
          <w:tcPr>
            <w:tcW w:w="1500" w:type="dxa"/>
            <w:vAlign w:val="bottom"/>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tcPr>
          <w:p>
            <w:pPr>
              <w:ind w:left="180"/>
              <w:spacing w:after="0"/>
              <w:rPr>
                <w:sz w:val="20"/>
                <w:szCs w:val="20"/>
                <w:color w:val="auto"/>
              </w:rPr>
            </w:pPr>
            <w:r>
              <w:rPr>
                <w:rFonts w:ascii="Arial" w:cs="Arial" w:eastAsia="Arial" w:hAnsi="Arial"/>
                <w:sz w:val="13"/>
                <w:szCs w:val="13"/>
                <w:color w:val="auto"/>
              </w:rPr>
              <w:t>12-month LPR plus 0.45%, settled quarterly</w:t>
            </w:r>
          </w:p>
        </w:tc>
        <w:tc>
          <w:tcPr>
            <w:tcW w:w="1440" w:type="dxa"/>
            <w:vAlign w:val="bottom"/>
          </w:tcPr>
          <w:p>
            <w:pPr>
              <w:jc w:val="right"/>
              <w:spacing w:after="0"/>
              <w:rPr>
                <w:sz w:val="20"/>
                <w:szCs w:val="20"/>
                <w:color w:val="auto"/>
              </w:rPr>
            </w:pPr>
            <w:r>
              <w:rPr>
                <w:rFonts w:ascii="Arial" w:cs="Arial" w:eastAsia="Arial" w:hAnsi="Arial"/>
                <w:sz w:val="13"/>
                <w:szCs w:val="13"/>
                <w:color w:val="auto"/>
              </w:rPr>
              <w:t>231,000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31,819</w:t>
            </w:r>
          </w:p>
        </w:tc>
      </w:tr>
      <w:tr>
        <w:trPr>
          <w:trHeight w:val="210"/>
        </w:trPr>
        <w:tc>
          <w:tcPr>
            <w:tcW w:w="920" w:type="dxa"/>
            <w:vAlign w:val="bottom"/>
            <w:shd w:val="clear" w:color="auto" w:fill="DBDBDB"/>
          </w:tcPr>
          <w:p>
            <w:pPr>
              <w:spacing w:after="0"/>
              <w:rPr>
                <w:sz w:val="20"/>
                <w:szCs w:val="20"/>
                <w:color w:val="auto"/>
              </w:rPr>
            </w:pPr>
            <w:r>
              <w:rPr>
                <w:rFonts w:ascii="Arial" w:cs="Arial" w:eastAsia="Arial" w:hAnsi="Arial"/>
                <w:sz w:val="13"/>
                <w:szCs w:val="13"/>
                <w:color w:val="auto"/>
              </w:rPr>
              <w:t>CNY</w:t>
            </w:r>
          </w:p>
        </w:tc>
        <w:tc>
          <w:tcPr>
            <w:tcW w:w="2400" w:type="dxa"/>
            <w:vAlign w:val="bottom"/>
            <w:shd w:val="clear" w:color="auto" w:fill="DBDBDB"/>
          </w:tcPr>
          <w:p>
            <w:pPr>
              <w:ind w:left="120"/>
              <w:spacing w:after="0"/>
              <w:rPr>
                <w:sz w:val="20"/>
                <w:szCs w:val="20"/>
                <w:color w:val="auto"/>
              </w:rPr>
            </w:pPr>
            <w:r>
              <w:rPr>
                <w:rFonts w:ascii="Arial" w:cs="Arial" w:eastAsia="Arial" w:hAnsi="Arial"/>
                <w:sz w:val="13"/>
                <w:szCs w:val="13"/>
                <w:color w:val="auto"/>
              </w:rPr>
              <w:t>June 2023 - June 2024</w:t>
            </w:r>
          </w:p>
        </w:tc>
        <w:tc>
          <w:tcPr>
            <w:tcW w:w="1500" w:type="dxa"/>
            <w:vAlign w:val="bottom"/>
            <w:shd w:val="clear" w:color="auto" w:fill="DBDBDB"/>
          </w:tcPr>
          <w:p>
            <w:pPr>
              <w:ind w:left="500"/>
              <w:spacing w:after="0"/>
              <w:rPr>
                <w:sz w:val="20"/>
                <w:szCs w:val="20"/>
                <w:color w:val="auto"/>
              </w:rPr>
            </w:pPr>
            <w:r>
              <w:rPr>
                <w:rFonts w:ascii="Arial" w:cs="Arial" w:eastAsia="Arial" w:hAnsi="Arial"/>
                <w:sz w:val="13"/>
                <w:szCs w:val="13"/>
                <w:color w:val="auto"/>
              </w:rPr>
              <w:t>Unsecured</w:t>
            </w:r>
            <w:r>
              <w:rPr>
                <w:rFonts w:ascii="Arial" w:cs="Arial" w:eastAsia="Arial" w:hAnsi="Arial"/>
                <w:sz w:val="16"/>
                <w:szCs w:val="16"/>
                <w:color w:val="auto"/>
                <w:vertAlign w:val="superscript"/>
              </w:rPr>
              <w:t>2</w:t>
            </w:r>
          </w:p>
        </w:tc>
        <w:tc>
          <w:tcPr>
            <w:tcW w:w="3780" w:type="dxa"/>
            <w:vAlign w:val="bottom"/>
            <w:shd w:val="clear" w:color="auto" w:fill="DBDBDB"/>
          </w:tcPr>
          <w:p>
            <w:pPr>
              <w:ind w:left="180"/>
              <w:spacing w:after="0"/>
              <w:rPr>
                <w:sz w:val="20"/>
                <w:szCs w:val="20"/>
                <w:color w:val="auto"/>
              </w:rPr>
            </w:pPr>
            <w:r>
              <w:rPr>
                <w:rFonts w:ascii="Arial" w:cs="Arial" w:eastAsia="Arial" w:hAnsi="Arial"/>
                <w:sz w:val="13"/>
                <w:szCs w:val="13"/>
                <w:color w:val="auto"/>
              </w:rPr>
              <w:t>12-month LPR plus 1.3%, settled monthly</w:t>
            </w:r>
          </w:p>
        </w:tc>
        <w:tc>
          <w:tcPr>
            <w:tcW w:w="14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310,000</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42,701</w:t>
            </w:r>
          </w:p>
        </w:tc>
      </w:tr>
      <w:tr>
        <w:trPr>
          <w:trHeight w:val="171"/>
        </w:trPr>
        <w:tc>
          <w:tcPr>
            <w:tcW w:w="9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2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1,562,847</w:t>
            </w:r>
          </w:p>
        </w:tc>
      </w:tr>
      <w:tr>
        <w:trPr>
          <w:trHeight w:val="29"/>
        </w:trPr>
        <w:tc>
          <w:tcPr>
            <w:tcW w:w="9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8"/>
          <w:szCs w:val="8"/>
          <w:color w:val="auto"/>
        </w:rPr>
        <w:t>1 - People’s Bank of China (“PBOC”) Loan Prime Rate (“LPR").</w:t>
      </w:r>
    </w:p>
    <w:p>
      <w:pPr>
        <w:spacing w:after="0" w:line="223" w:lineRule="auto"/>
        <w:rPr>
          <w:sz w:val="20"/>
          <w:szCs w:val="20"/>
          <w:color w:val="auto"/>
        </w:rPr>
      </w:pPr>
      <w:r>
        <w:rPr>
          <w:rFonts w:ascii="Arial" w:cs="Arial" w:eastAsia="Arial" w:hAnsi="Arial"/>
          <w:sz w:val="8"/>
          <w:szCs w:val="8"/>
          <w:color w:val="auto"/>
        </w:rPr>
        <w:t>2 - Letters of keep well from both Volvo Cars and Geely.</w:t>
      </w:r>
    </w:p>
    <w:p>
      <w:pPr>
        <w:spacing w:after="0" w:line="199" w:lineRule="auto"/>
        <w:rPr>
          <w:sz w:val="20"/>
          <w:szCs w:val="20"/>
          <w:color w:val="auto"/>
        </w:rPr>
      </w:pPr>
      <w:r>
        <w:rPr>
          <w:rFonts w:ascii="Arial" w:cs="Arial" w:eastAsia="Arial" w:hAnsi="Arial"/>
          <w:sz w:val="8"/>
          <w:szCs w:val="8"/>
          <w:color w:val="auto"/>
        </w:rPr>
        <w:t>3 - Secured by Geely, including letters of keep well from both Volvo Cars and Geely.</w:t>
      </w:r>
    </w:p>
    <w:p>
      <w:pPr>
        <w:spacing w:after="0" w:line="224" w:lineRule="auto"/>
        <w:rPr>
          <w:sz w:val="20"/>
          <w:szCs w:val="20"/>
          <w:color w:val="auto"/>
        </w:rPr>
      </w:pPr>
      <w:r>
        <w:rPr>
          <w:rFonts w:ascii="Arial" w:cs="Arial" w:eastAsia="Arial" w:hAnsi="Arial"/>
          <w:sz w:val="8"/>
          <w:szCs w:val="8"/>
          <w:color w:val="auto"/>
        </w:rPr>
        <w:t>4 - Secured Overnight Financing Rate (“SOFR”).</w:t>
      </w:r>
    </w:p>
    <w:p>
      <w:pPr>
        <w:spacing w:after="0" w:line="224" w:lineRule="auto"/>
        <w:rPr>
          <w:sz w:val="20"/>
          <w:szCs w:val="20"/>
          <w:color w:val="auto"/>
        </w:rPr>
      </w:pPr>
      <w:r>
        <w:rPr>
          <w:rFonts w:ascii="Arial" w:cs="Arial" w:eastAsia="Arial" w:hAnsi="Arial"/>
          <w:sz w:val="8"/>
          <w:szCs w:val="8"/>
          <w:color w:val="auto"/>
        </w:rPr>
        <w:t>5 - New vehicle inventory purchased via this facility is pledged as security until repaid. This facility has a repayment period of 90 days and includes a covenant tied to the Group’s financial performance.</w:t>
      </w:r>
    </w:p>
    <w:p>
      <w:pPr>
        <w:spacing w:after="0"/>
        <w:rPr>
          <w:sz w:val="20"/>
          <w:szCs w:val="20"/>
          <w:color w:val="auto"/>
        </w:rPr>
      </w:pPr>
      <w:r>
        <w:rPr>
          <w:rFonts w:ascii="Arial" w:cs="Arial" w:eastAsia="Arial" w:hAnsi="Arial"/>
          <w:sz w:val="8"/>
          <w:szCs w:val="8"/>
          <w:color w:val="auto"/>
        </w:rPr>
        <w:t>6 - Euro Interbank Offered Rate (“EURIBOR”).</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Floorplan facilities</w:t>
      </w:r>
    </w:p>
    <w:p>
      <w:pPr>
        <w:spacing w:after="0" w:line="55" w:lineRule="exact"/>
        <w:rPr>
          <w:sz w:val="20"/>
          <w:szCs w:val="20"/>
          <w:color w:val="auto"/>
        </w:rPr>
      </w:pPr>
    </w:p>
    <w:p>
      <w:pPr>
        <w:ind w:right="20"/>
        <w:spacing w:after="0" w:line="228" w:lineRule="auto"/>
        <w:rPr>
          <w:sz w:val="20"/>
          <w:szCs w:val="20"/>
          <w:color w:val="auto"/>
        </w:rPr>
      </w:pPr>
      <w:r>
        <w:rPr>
          <w:rFonts w:ascii="Arial" w:cs="Arial" w:eastAsia="Arial" w:hAnsi="Arial"/>
          <w:sz w:val="13"/>
          <w:szCs w:val="13"/>
          <w:color w:val="auto"/>
        </w:rPr>
        <w:t>In the ordinary course of business, Polestar, on a market-by-market basis, enters into multiple low-value credit facilities with various financial service providers to fund operations related to vehicle sales. These facilities provide access to credit with the option to renew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19772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300"/>
          </w:cols>
          <w:pgMar w:left="300" w:top="607" w:right="299" w:bottom="1440" w:gutter="0" w:footer="0" w:header="0"/>
        </w:sectPr>
      </w:pPr>
    </w:p>
    <w:bookmarkStart w:id="20" w:name="page21"/>
    <w:bookmarkEnd w:id="20"/>
    <w:p>
      <w:pPr>
        <w:jc w:val="both"/>
        <w:spacing w:after="0" w:line="228" w:lineRule="auto"/>
        <w:rPr>
          <w:sz w:val="20"/>
          <w:szCs w:val="20"/>
          <w:color w:val="auto"/>
        </w:rPr>
      </w:pPr>
      <w:r>
        <w:rPr>
          <w:rFonts w:ascii="Arial" w:cs="Arial" w:eastAsia="Arial" w:hAnsi="Arial"/>
          <w:sz w:val="13"/>
          <w:szCs w:val="13"/>
          <w:color w:val="auto"/>
        </w:rPr>
        <w:t>as mutually determined by Polestar Group and the financial service provider. The facilities are partially secured by the underlying assets on a market-by-market basis. As of June 30, 2023 and December 31, 2022, the aggregate amounts outstanding under these arrangements were $73,103 and $33,615, respectively.</w:t>
      </w:r>
    </w:p>
    <w:p>
      <w:pPr>
        <w:spacing w:after="0" w:line="50" w:lineRule="exact"/>
        <w:rPr>
          <w:sz w:val="20"/>
          <w:szCs w:val="20"/>
          <w:color w:val="auto"/>
        </w:rPr>
      </w:pPr>
    </w:p>
    <w:p>
      <w:pPr>
        <w:jc w:val="both"/>
        <w:ind w:right="20"/>
        <w:spacing w:after="0" w:line="218" w:lineRule="auto"/>
        <w:rPr>
          <w:sz w:val="20"/>
          <w:szCs w:val="20"/>
          <w:color w:val="auto"/>
        </w:rPr>
      </w:pPr>
      <w:r>
        <w:rPr>
          <w:rFonts w:ascii="Arial" w:cs="Arial" w:eastAsia="Arial" w:hAnsi="Arial"/>
          <w:sz w:val="13"/>
          <w:szCs w:val="13"/>
          <w:color w:val="auto"/>
        </w:rPr>
        <w:t xml:space="preserve">The Group maintains one such facility with the related party Volvo Cars that is presented separately in Interest-bearing current liabilities - related parties within the Unaudited Condensed Consolidated Statement of Financial Position. Of the amounts above, the aggregate amounts outstanding as of June 30, 2023 and December 31, 2022 due to related parties were $29,283 and $16,690, respectively. Refer to </w:t>
      </w:r>
      <w:r>
        <w:rPr>
          <w:rFonts w:ascii="Arial" w:cs="Arial" w:eastAsia="Arial" w:hAnsi="Arial"/>
          <w:sz w:val="13"/>
          <w:szCs w:val="13"/>
          <w:i w:val="1"/>
          <w:iCs w:val="1"/>
          <w:color w:val="auto"/>
        </w:rPr>
        <w:t>Note 11 - Related party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transactions </w:t>
      </w:r>
      <w:r>
        <w:rPr>
          <w:rFonts w:ascii="Arial" w:cs="Arial" w:eastAsia="Arial" w:hAnsi="Arial"/>
          <w:sz w:val="13"/>
          <w:szCs w:val="13"/>
          <w:color w:val="auto"/>
        </w:rPr>
        <w:t>for further details.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Sale-leaseback facilities</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June 30, 2023 and December 31, 2022, the aggregate amount outstanding under these arrangements was $16,766 and $11,719,</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respectively.</w:t>
      </w:r>
    </w:p>
    <w:p>
      <w:pPr>
        <w:spacing w:after="0" w:line="41"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w:t>
      </w:r>
      <w:r>
        <w:rPr>
          <w:rFonts w:ascii="Arial" w:cs="Arial" w:eastAsia="Arial" w:hAnsi="Arial"/>
          <w:sz w:val="11"/>
          <w:szCs w:val="11"/>
          <w:i w:val="1"/>
          <w:iCs w:val="1"/>
          <w:color w:val="auto"/>
        </w:rPr>
        <w:t>Note 2 - Financial risk management</w:t>
      </w:r>
      <w:r>
        <w:rPr>
          <w:rFonts w:ascii="Arial" w:cs="Arial" w:eastAsia="Arial" w:hAnsi="Arial"/>
          <w:sz w:val="11"/>
          <w:szCs w:val="11"/>
          <w:color w:val="auto"/>
        </w:rPr>
        <w:t xml:space="preserve"> of the Consolidated Financial Statements, as of December 31, 2022 and 2021, and for the three years ended</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3"/>
          <w:szCs w:val="13"/>
          <w:color w:val="auto"/>
        </w:rPr>
        <w:t>December 31, 2022 that were included in the Form 20-F filed with the SEC on April 14, 2023. There are no changes in terms of risk management policies for the periods presented in these Unaudited Condensed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11 - Related party transactions</w:t>
      </w:r>
    </w:p>
    <w:p>
      <w:pPr>
        <w:spacing w:after="0" w:line="64" w:lineRule="exact"/>
        <w:rPr>
          <w:sz w:val="20"/>
          <w:szCs w:val="20"/>
          <w:color w:val="auto"/>
        </w:rPr>
      </w:pPr>
    </w:p>
    <w:p>
      <w:pPr>
        <w:jc w:val="both"/>
        <w:ind w:right="20"/>
        <w:spacing w:after="0" w:line="268" w:lineRule="auto"/>
        <w:rPr>
          <w:sz w:val="20"/>
          <w:szCs w:val="20"/>
          <w:color w:val="auto"/>
        </w:rPr>
      </w:pPr>
      <w:r>
        <w:rPr>
          <w:rFonts w:ascii="Arial" w:cs="Arial" w:eastAsia="Arial" w:hAnsi="Arial"/>
          <w:sz w:val="11"/>
          <w:szCs w:val="11"/>
          <w:color w:val="auto"/>
        </w:rPr>
        <w:t xml:space="preserve">For a detailed description of the Group’s related parties and related party transactions, refer to </w:t>
      </w:r>
      <w:r>
        <w:rPr>
          <w:rFonts w:ascii="Arial" w:cs="Arial" w:eastAsia="Arial" w:hAnsi="Arial"/>
          <w:sz w:val="11"/>
          <w:szCs w:val="11"/>
          <w:i w:val="1"/>
          <w:iCs w:val="1"/>
          <w:color w:val="auto"/>
        </w:rPr>
        <w:t>Note 25 - Related party transactions</w:t>
      </w:r>
      <w:r>
        <w:rPr>
          <w:rFonts w:ascii="Arial" w:cs="Arial" w:eastAsia="Arial" w:hAnsi="Arial"/>
          <w:sz w:val="11"/>
          <w:szCs w:val="11"/>
          <w:color w:val="auto"/>
        </w:rPr>
        <w:t xml:space="preserve"> of the Consolidated Financial Statements, as of December 31, 2022 and 2021, and for the three years ended December 31, 2022, that were included in the Form 20-F filed with the SEC on April 14, 2023. There are no changes to the Group’s related parties for the periods presented in these Unaudited Condensed Consolidated Financial Statements. Related party activity during the six months ended June 30, 2023 and 2022 and balances as of June 30, 2023 and December 31, 2022 are presented below.</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 xml:space="preserve">In May 2021, the Group entered into a working capital credit facility with Volvo Cars and subsequently drew down on the facility, which has a maturity of one year. As of June 30, 2023, $29,283 of this financing arrangement remained outstanding, which is included in Interest-bearing current liabilities - related parties on the Unaudited Condensed Consolidated Statement of Financial Position. Refer to </w:t>
      </w:r>
      <w:r>
        <w:rPr>
          <w:rFonts w:ascii="Arial" w:cs="Arial" w:eastAsia="Arial" w:hAnsi="Arial"/>
          <w:sz w:val="11"/>
          <w:szCs w:val="11"/>
          <w:i w:val="1"/>
          <w:iCs w:val="1"/>
          <w:color w:val="auto"/>
        </w:rPr>
        <w:t>Note 10 - Liabilities to credit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institutions </w:t>
      </w:r>
      <w:r>
        <w:rPr>
          <w:rFonts w:ascii="Arial" w:cs="Arial" w:eastAsia="Arial" w:hAnsi="Arial"/>
          <w:sz w:val="13"/>
          <w:szCs w:val="13"/>
          <w:color w:val="auto"/>
        </w:rPr>
        <w:t>for further details.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Convertible Credit Facility with Volvo Cars</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On November 3, 2022 the Group entered into a credit facility agreement with Volvo Cars for $800,000, terminating in May 2024. The credit facility can be drawn upon once a month and is utilizable for general corporate</w:t>
      </w:r>
    </w:p>
    <w:p>
      <w:pPr>
        <w:spacing w:after="0" w:line="17"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purposes. Interest will be calculated at the floating six-month SOFR rate plus 4.9% per annum. Prior to May 2024,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w:t>
      </w:r>
    </w:p>
    <w:p>
      <w:pPr>
        <w:jc w:val="both"/>
        <w:ind w:right="20"/>
        <w:spacing w:after="0" w:line="241" w:lineRule="auto"/>
        <w:rPr>
          <w:sz w:val="20"/>
          <w:szCs w:val="20"/>
          <w:color w:val="auto"/>
        </w:rPr>
      </w:pPr>
      <w:r>
        <w:rPr>
          <w:rFonts w:ascii="Arial" w:cs="Arial" w:eastAsia="Arial" w:hAnsi="Arial"/>
          <w:sz w:val="11"/>
          <w:szCs w:val="11"/>
          <w:color w:val="auto"/>
        </w:rPr>
        <w:t>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whether or not the Group conducts a qualified equity offering to investors at a market discount. As such, the financial liability related to Volvo Cars' conversion right is carried at fair value with subsequent changes in fair value recognized in the Consolidated</w:t>
      </w:r>
    </w:p>
    <w:p>
      <w:pPr>
        <w:jc w:val="both"/>
        <w:ind w:right="20"/>
        <w:spacing w:after="0" w:line="220" w:lineRule="auto"/>
        <w:rPr>
          <w:sz w:val="20"/>
          <w:szCs w:val="20"/>
          <w:color w:val="auto"/>
        </w:rPr>
      </w:pPr>
      <w:r>
        <w:rPr>
          <w:rFonts w:ascii="Arial" w:cs="Arial" w:eastAsia="Arial" w:hAnsi="Arial"/>
          <w:sz w:val="13"/>
          <w:szCs w:val="13"/>
          <w:color w:val="auto"/>
        </w:rPr>
        <w:t>Statement of Loss and Comprehensive Loss at each reporting date. As of June 30, 2023, the Group had principal draws of $750,000 outstanding under the facility and the fair value of the financial liability related to Volvo Cars' conversion right was $0.</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 of goods, services and other</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total revenue recognized for each related party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55880</wp:posOffset>
            </wp:positionV>
            <wp:extent cx="6397625" cy="121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97625" cy="12128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sectPr>
      </w:pPr>
    </w:p>
    <w:p>
      <w:pPr>
        <w:spacing w:after="0" w:line="94" w:lineRule="exact"/>
        <w:rPr>
          <w:sz w:val="20"/>
          <w:szCs w:val="20"/>
          <w:color w:val="auto"/>
        </w:rPr>
      </w:pPr>
    </w:p>
    <w:p>
      <w:pPr>
        <w:jc w:val="center"/>
        <w:ind w:left="6200"/>
        <w:spacing w:after="0"/>
        <w:rPr>
          <w:sz w:val="20"/>
          <w:szCs w:val="20"/>
          <w:color w:val="auto"/>
        </w:rPr>
      </w:pPr>
      <w:r>
        <w:rPr>
          <w:rFonts w:ascii="Arial" w:cs="Arial" w:eastAsia="Arial" w:hAnsi="Arial"/>
          <w:sz w:val="11"/>
          <w:szCs w:val="11"/>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36830</wp:posOffset>
            </wp:positionV>
            <wp:extent cx="14287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8750" cy="6350"/>
                    </a:xfrm>
                    <a:prstGeom prst="rect">
                      <a:avLst/>
                    </a:prstGeom>
                    <a:noFill/>
                  </pic:spPr>
                </pic:pic>
              </a:graphicData>
            </a:graphic>
          </wp:anchor>
        </w:drawing>
      </w:r>
    </w:p>
    <w:p>
      <w:pPr>
        <w:spacing w:after="0" w:line="54" w:lineRule="exact"/>
        <w:rPr>
          <w:sz w:val="20"/>
          <w:szCs w:val="20"/>
          <w:color w:val="auto"/>
        </w:rPr>
      </w:pPr>
    </w:p>
    <w:p>
      <w:pPr>
        <w:ind w:left="6500"/>
        <w:spacing w:after="0"/>
        <w:tabs>
          <w:tab w:leader="none" w:pos="760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82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36830</wp:posOffset>
            </wp:positionV>
            <wp:extent cx="14287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28750" cy="6350"/>
                    </a:xfrm>
                    <a:prstGeom prst="rect">
                      <a:avLst/>
                    </a:prstGeom>
                    <a:noFill/>
                  </pic:spPr>
                </pic:pic>
              </a:graphicData>
            </a:graphic>
          </wp:anchor>
        </w:drawing>
      </w:r>
    </w:p>
    <w:p>
      <w:pPr>
        <w:spacing w:after="0" w:line="54" w:lineRule="exact"/>
        <w:rPr>
          <w:sz w:val="20"/>
          <w:szCs w:val="20"/>
          <w:color w:val="auto"/>
        </w:rPr>
      </w:pPr>
    </w:p>
    <w:p>
      <w:pPr>
        <w:ind w:left="220"/>
        <w:spacing w:after="0"/>
        <w:tabs>
          <w:tab w:leader="none" w:pos="13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16" w:lineRule="exact"/>
        <w:rPr>
          <w:sz w:val="20"/>
          <w:szCs w:val="20"/>
          <w:color w:val="auto"/>
        </w:rPr>
      </w:pPr>
    </w:p>
    <w:p>
      <w:pPr>
        <w:sectPr>
          <w:pgSz w:w="11900" w:h="16838" w:orient="portrait"/>
          <w:cols w:equalWidth="0" w:num="2">
            <w:col w:w="8180" w:space="460"/>
            <w:col w:w="2660"/>
          </w:cols>
          <w:pgMar w:left="300" w:top="655" w:right="299" w:bottom="1440" w:gutter="0" w:footer="0" w:header="0"/>
          <w:type w:val="continuous"/>
        </w:sectPr>
      </w:pPr>
    </w:p>
    <w:tbl>
      <w:tblPr>
        <w:tblLayout w:type="fixed"/>
        <w:tblInd w:w="600" w:type="dxa"/>
        <w:tblCellMar>
          <w:top w:w="0" w:type="dxa"/>
          <w:left w:w="0" w:type="dxa"/>
          <w:bottom w:w="0" w:type="dxa"/>
          <w:right w:w="0" w:type="dxa"/>
        </w:tblCellMar>
      </w:tblPr>
      <w:tr>
        <w:trPr>
          <w:trHeight w:val="198"/>
        </w:trPr>
        <w:tc>
          <w:tcPr>
            <w:tcW w:w="54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Volvo Cars</w:t>
            </w:r>
          </w:p>
        </w:tc>
        <w:tc>
          <w:tcPr>
            <w:tcW w:w="400" w:type="dxa"/>
            <w:vAlign w:val="bottom"/>
            <w:tcBorders>
              <w:top w:val="single" w:sz="8" w:color="auto"/>
              <w:bottom w:val="single" w:sz="8" w:color="DBDBDB"/>
            </w:tcBorders>
            <w:shd w:val="clear" w:color="auto" w:fill="DBDBDB"/>
          </w:tcPr>
          <w:p>
            <w:pPr>
              <w:spacing w:after="0"/>
              <w:rPr>
                <w:sz w:val="17"/>
                <w:szCs w:val="17"/>
                <w:color w:val="auto"/>
              </w:rPr>
            </w:pPr>
          </w:p>
        </w:tc>
        <w:tc>
          <w:tcPr>
            <w:tcW w:w="7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34,403</w:t>
            </w:r>
          </w:p>
        </w:tc>
        <w:tc>
          <w:tcPr>
            <w:tcW w:w="420" w:type="dxa"/>
            <w:vAlign w:val="bottom"/>
            <w:tcBorders>
              <w:top w:val="single" w:sz="8" w:color="auto"/>
              <w:bottom w:val="single" w:sz="8" w:color="DBDBDB"/>
            </w:tcBorders>
            <w:shd w:val="clear" w:color="auto" w:fill="DBDBDB"/>
          </w:tcPr>
          <w:p>
            <w:pPr>
              <w:spacing w:after="0"/>
              <w:rPr>
                <w:sz w:val="17"/>
                <w:szCs w:val="17"/>
                <w:color w:val="auto"/>
              </w:rPr>
            </w:pPr>
          </w:p>
        </w:tc>
        <w:tc>
          <w:tcPr>
            <w:tcW w:w="7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20,931</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400" w:type="dxa"/>
            <w:vAlign w:val="bottom"/>
            <w:tcBorders>
              <w:top w:val="single" w:sz="8" w:color="auto"/>
              <w:bottom w:val="single" w:sz="8" w:color="DBDBDB"/>
            </w:tcBorders>
            <w:shd w:val="clear" w:color="auto" w:fill="DBDBDB"/>
          </w:tcPr>
          <w:p>
            <w:pPr>
              <w:spacing w:after="0"/>
              <w:rPr>
                <w:sz w:val="17"/>
                <w:szCs w:val="17"/>
                <w:color w:val="auto"/>
              </w:rPr>
            </w:pPr>
          </w:p>
        </w:tc>
        <w:tc>
          <w:tcPr>
            <w:tcW w:w="70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49,768</w:t>
            </w:r>
          </w:p>
        </w:tc>
        <w:tc>
          <w:tcPr>
            <w:tcW w:w="420" w:type="dxa"/>
            <w:vAlign w:val="bottom"/>
            <w:tcBorders>
              <w:top w:val="single" w:sz="8" w:color="auto"/>
              <w:bottom w:val="single" w:sz="8" w:color="DBDBDB"/>
            </w:tcBorders>
            <w:shd w:val="clear" w:color="auto" w:fill="DBDBDB"/>
          </w:tcPr>
          <w:p>
            <w:pPr>
              <w:spacing w:after="0"/>
              <w:rPr>
                <w:sz w:val="17"/>
                <w:szCs w:val="17"/>
                <w:color w:val="auto"/>
              </w:rPr>
            </w:pPr>
          </w:p>
        </w:tc>
        <w:tc>
          <w:tcPr>
            <w:tcW w:w="7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44,452</w:t>
            </w:r>
          </w:p>
        </w:tc>
      </w:tr>
      <w:tr>
        <w:trPr>
          <w:trHeight w:val="181"/>
        </w:trPr>
        <w:tc>
          <w:tcPr>
            <w:tcW w:w="5460" w:type="dxa"/>
            <w:vAlign w:val="bottom"/>
          </w:tcPr>
          <w:p>
            <w:pPr>
              <w:ind w:left="20"/>
              <w:spacing w:after="0"/>
              <w:rPr>
                <w:sz w:val="20"/>
                <w:szCs w:val="20"/>
                <w:color w:val="auto"/>
              </w:rPr>
            </w:pPr>
            <w:r>
              <w:rPr>
                <w:rFonts w:ascii="Arial" w:cs="Arial" w:eastAsia="Arial" w:hAnsi="Arial"/>
                <w:sz w:val="13"/>
                <w:szCs w:val="13"/>
                <w:color w:val="auto"/>
              </w:rPr>
              <w:t>Volvofinans Bank AB</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14,311</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18,627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21,754</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39,115</w:t>
            </w:r>
          </w:p>
        </w:tc>
      </w:tr>
      <w:tr>
        <w:trPr>
          <w:trHeight w:val="29"/>
        </w:trPr>
        <w:tc>
          <w:tcPr>
            <w:tcW w:w="5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0"/>
        </w:trPr>
        <w:tc>
          <w:tcPr>
            <w:tcW w:w="5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Geely</w:t>
            </w:r>
          </w:p>
        </w:tc>
        <w:tc>
          <w:tcPr>
            <w:tcW w:w="40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1,245</w:t>
            </w:r>
          </w:p>
        </w:tc>
        <w:tc>
          <w:tcPr>
            <w:tcW w:w="42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1,245</w:t>
            </w:r>
          </w:p>
        </w:tc>
        <w:tc>
          <w:tcPr>
            <w:tcW w:w="42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4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49,959</w:t>
            </w:r>
          </w:p>
        </w:tc>
        <w:tc>
          <w:tcPr>
            <w:tcW w:w="420" w:type="dxa"/>
            <w:vAlign w:val="bottom"/>
            <w:tcBorders>
              <w:top w:val="single" w:sz="8" w:color="auto"/>
            </w:tcBorders>
          </w:tcPr>
          <w:p>
            <w:pPr>
              <w:jc w:val="right"/>
              <w:ind w:right="276"/>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39,558</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9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72,767</w:t>
            </w:r>
          </w:p>
        </w:tc>
        <w:tc>
          <w:tcPr>
            <w:tcW w:w="42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83,567</w:t>
            </w:r>
          </w:p>
        </w:tc>
      </w:tr>
      <w:tr>
        <w:trPr>
          <w:trHeight w:val="29"/>
        </w:trPr>
        <w:tc>
          <w:tcPr>
            <w:tcW w:w="5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line="228" w:lineRule="auto"/>
        <w:rPr>
          <w:sz w:val="20"/>
          <w:szCs w:val="20"/>
          <w:color w:val="auto"/>
        </w:rPr>
      </w:pPr>
      <w:r>
        <w:rPr>
          <w:rFonts w:ascii="Arial" w:cs="Arial" w:eastAsia="Arial" w:hAnsi="Arial"/>
          <w:sz w:val="13"/>
          <w:szCs w:val="13"/>
          <w:color w:val="auto"/>
        </w:rPr>
        <w:t>For the three months ended June 30, 2023 and 2022, revenue from related parties was $49,959 (7.29%) and $39,558 (6.72%) of total revenue, respectively. For the six months ended June 30, 2023 and 2022, revenue from related parties was $72,767 (5.91%) and $83,567 (8.03%) of total revenue,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Purchases of goods, services and other</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The total purchases of goods, services and other for each related party were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19772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300"/>
          </w:cols>
          <w:pgMar w:left="300" w:top="655" w:right="299" w:bottom="1440" w:gutter="0" w:footer="0" w:header="0"/>
          <w:type w:val="continuous"/>
        </w:sectPr>
      </w:pPr>
    </w:p>
    <w:bookmarkStart w:id="21" w:name="page22"/>
    <w:bookmarkEnd w:id="21"/>
    <w:p>
      <w:pPr>
        <w:jc w:val="center"/>
        <w:ind w:left="628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454660</wp:posOffset>
            </wp:positionH>
            <wp:positionV relativeFrom="page">
              <wp:posOffset>391795</wp:posOffset>
            </wp:positionV>
            <wp:extent cx="6640195" cy="121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40195" cy="121285"/>
                    </a:xfrm>
                    <a:prstGeom prst="rect">
                      <a:avLst/>
                    </a:prstGeom>
                    <a:noFill/>
                  </pic:spPr>
                </pic:pic>
              </a:graphicData>
            </a:graphic>
          </wp:anchor>
        </w:drawing>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36830</wp:posOffset>
            </wp:positionV>
            <wp:extent cx="147701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77010" cy="6350"/>
                    </a:xfrm>
                    <a:prstGeom prst="rect">
                      <a:avLst/>
                    </a:prstGeom>
                    <a:noFill/>
                  </pic:spPr>
                </pic:pic>
              </a:graphicData>
            </a:graphic>
          </wp:anchor>
        </w:drawing>
      </w:r>
    </w:p>
    <w:p>
      <w:pPr>
        <w:spacing w:after="0" w:line="54" w:lineRule="exact"/>
        <w:rPr>
          <w:sz w:val="20"/>
          <w:szCs w:val="20"/>
          <w:color w:val="auto"/>
        </w:rPr>
      </w:pPr>
    </w:p>
    <w:p>
      <w:pPr>
        <w:ind w:left="6560"/>
        <w:spacing w:after="0"/>
        <w:tabs>
          <w:tab w:leader="none" w:pos="770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jc w:val="center"/>
        <w:ind w:right="66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36830</wp:posOffset>
            </wp:positionV>
            <wp:extent cx="147701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77010" cy="6350"/>
                    </a:xfrm>
                    <a:prstGeom prst="rect">
                      <a:avLst/>
                    </a:prstGeom>
                    <a:noFill/>
                  </pic:spPr>
                </pic:pic>
              </a:graphicData>
            </a:graphic>
          </wp:anchor>
        </w:drawing>
      </w:r>
    </w:p>
    <w:p>
      <w:pPr>
        <w:spacing w:after="0" w:line="54" w:lineRule="exact"/>
        <w:rPr>
          <w:sz w:val="20"/>
          <w:szCs w:val="20"/>
          <w:color w:val="auto"/>
        </w:rPr>
      </w:pPr>
    </w:p>
    <w:p>
      <w:pPr>
        <w:ind w:left="220"/>
        <w:spacing w:after="0"/>
        <w:tabs>
          <w:tab w:leader="none" w:pos="136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16" w:lineRule="exact"/>
        <w:rPr>
          <w:sz w:val="20"/>
          <w:szCs w:val="20"/>
          <w:color w:val="auto"/>
        </w:rPr>
      </w:pPr>
    </w:p>
    <w:p>
      <w:pPr>
        <w:sectPr>
          <w:pgSz w:w="11900" w:h="16838" w:orient="portrait"/>
          <w:cols w:equalWidth="0" w:num="2">
            <w:col w:w="8260" w:space="520"/>
            <w:col w:w="2520"/>
          </w:cols>
          <w:pgMar w:left="300" w:top="622" w:right="299" w:bottom="1440" w:gutter="0" w:footer="0" w:header="0"/>
        </w:sectPr>
      </w:pPr>
    </w:p>
    <w:tbl>
      <w:tblPr>
        <w:tblLayout w:type="fixed"/>
        <w:tblInd w:w="420" w:type="dxa"/>
        <w:tblCellMar>
          <w:top w:w="0" w:type="dxa"/>
          <w:left w:w="0" w:type="dxa"/>
          <w:bottom w:w="0" w:type="dxa"/>
          <w:right w:w="0" w:type="dxa"/>
        </w:tblCellMar>
      </w:tblPr>
      <w:tr>
        <w:trPr>
          <w:trHeight w:val="198"/>
        </w:trPr>
        <w:tc>
          <w:tcPr>
            <w:tcW w:w="568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Volvo Cars</w:t>
            </w:r>
          </w:p>
        </w:tc>
        <w:tc>
          <w:tcPr>
            <w:tcW w:w="400" w:type="dxa"/>
            <w:vAlign w:val="bottom"/>
            <w:tcBorders>
              <w:top w:val="single" w:sz="8" w:color="auto"/>
              <w:bottom w:val="single" w:sz="8" w:color="DBDBDB"/>
            </w:tcBorders>
            <w:shd w:val="clear" w:color="auto" w:fill="DBDBDB"/>
          </w:tcPr>
          <w:p>
            <w:pPr>
              <w:spacing w:after="0"/>
              <w:rPr>
                <w:sz w:val="17"/>
                <w:szCs w:val="17"/>
                <w:color w:val="auto"/>
              </w:rPr>
            </w:pPr>
          </w:p>
        </w:tc>
        <w:tc>
          <w:tcPr>
            <w:tcW w:w="7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598,959</w:t>
            </w:r>
          </w:p>
        </w:tc>
        <w:tc>
          <w:tcPr>
            <w:tcW w:w="400" w:type="dxa"/>
            <w:vAlign w:val="bottom"/>
            <w:tcBorders>
              <w:top w:val="single" w:sz="8" w:color="auto"/>
              <w:bottom w:val="single" w:sz="8" w:color="DBDBDB"/>
            </w:tcBorders>
            <w:shd w:val="clear" w:color="auto" w:fill="DBDBDB"/>
          </w:tcPr>
          <w:p>
            <w:pPr>
              <w:spacing w:after="0"/>
              <w:rPr>
                <w:sz w:val="17"/>
                <w:szCs w:val="17"/>
                <w:color w:val="auto"/>
              </w:rPr>
            </w:pPr>
          </w:p>
        </w:tc>
        <w:tc>
          <w:tcPr>
            <w:tcW w:w="7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232,448</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340" w:type="dxa"/>
            <w:vAlign w:val="bottom"/>
            <w:tcBorders>
              <w:top w:val="single" w:sz="8" w:color="auto"/>
              <w:bottom w:val="single" w:sz="8" w:color="DBDBDB"/>
            </w:tcBorders>
            <w:shd w:val="clear" w:color="auto" w:fill="DBDBDB"/>
          </w:tcPr>
          <w:p>
            <w:pPr>
              <w:spacing w:after="0"/>
              <w:rPr>
                <w:sz w:val="17"/>
                <w:szCs w:val="17"/>
                <w:color w:val="auto"/>
              </w:rPr>
            </w:pPr>
          </w:p>
        </w:tc>
        <w:tc>
          <w:tcPr>
            <w:tcW w:w="8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1,241,837</w:t>
            </w:r>
          </w:p>
        </w:tc>
        <w:tc>
          <w:tcPr>
            <w:tcW w:w="400" w:type="dxa"/>
            <w:vAlign w:val="bottom"/>
            <w:tcBorders>
              <w:top w:val="single" w:sz="8" w:color="auto"/>
              <w:bottom w:val="single" w:sz="8" w:color="DBDBDB"/>
            </w:tcBorders>
            <w:shd w:val="clear" w:color="auto" w:fill="DBDBDB"/>
          </w:tcPr>
          <w:p>
            <w:pPr>
              <w:spacing w:after="0"/>
              <w:rPr>
                <w:sz w:val="17"/>
                <w:szCs w:val="17"/>
                <w:color w:val="auto"/>
              </w:rPr>
            </w:pPr>
          </w:p>
        </w:tc>
        <w:tc>
          <w:tcPr>
            <w:tcW w:w="7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752,493</w:t>
            </w:r>
          </w:p>
        </w:tc>
      </w:tr>
      <w:tr>
        <w:trPr>
          <w:trHeight w:val="181"/>
        </w:trPr>
        <w:tc>
          <w:tcPr>
            <w:tcW w:w="5680" w:type="dxa"/>
            <w:vAlign w:val="bottom"/>
          </w:tcPr>
          <w:p>
            <w:pPr>
              <w:spacing w:after="0"/>
              <w:rPr>
                <w:sz w:val="20"/>
                <w:szCs w:val="20"/>
                <w:color w:val="auto"/>
              </w:rPr>
            </w:pPr>
            <w:r>
              <w:rPr>
                <w:rFonts w:ascii="Arial" w:cs="Arial" w:eastAsia="Arial" w:hAnsi="Arial"/>
                <w:sz w:val="13"/>
                <w:szCs w:val="13"/>
                <w:color w:val="auto"/>
              </w:rPr>
              <w:t>Volvofinans Bank AB</w:t>
            </w: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227</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312</w:t>
            </w: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334</w:t>
            </w:r>
          </w:p>
        </w:tc>
      </w:tr>
      <w:tr>
        <w:trPr>
          <w:trHeight w:val="29"/>
        </w:trPr>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0"/>
        </w:trPr>
        <w:tc>
          <w:tcPr>
            <w:tcW w:w="56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Geely</w:t>
            </w:r>
          </w:p>
        </w:tc>
        <w:tc>
          <w:tcPr>
            <w:tcW w:w="4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46,447</w:t>
            </w:r>
          </w:p>
        </w:tc>
        <w:tc>
          <w:tcPr>
            <w:tcW w:w="4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24,914</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91,736</w:t>
            </w:r>
          </w:p>
        </w:tc>
        <w:tc>
          <w:tcPr>
            <w:tcW w:w="4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106,862</w:t>
            </w:r>
          </w:p>
        </w:tc>
      </w:tr>
      <w:tr>
        <w:trPr>
          <w:trHeight w:val="171"/>
        </w:trPr>
        <w:tc>
          <w:tcPr>
            <w:tcW w:w="568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645,633</w:t>
            </w:r>
          </w:p>
        </w:tc>
        <w:tc>
          <w:tcPr>
            <w:tcW w:w="40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257,426</w:t>
            </w:r>
          </w:p>
        </w:tc>
        <w:tc>
          <w:tcPr>
            <w:tcW w:w="100" w:type="dxa"/>
            <w:vAlign w:val="bottom"/>
          </w:tcPr>
          <w:p>
            <w:pPr>
              <w:spacing w:after="0"/>
              <w:rPr>
                <w:sz w:val="14"/>
                <w:szCs w:val="14"/>
                <w:color w:val="auto"/>
              </w:rPr>
            </w:pPr>
          </w:p>
        </w:tc>
        <w:tc>
          <w:tcPr>
            <w:tcW w:w="34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1,333,885</w:t>
            </w:r>
          </w:p>
        </w:tc>
        <w:tc>
          <w:tcPr>
            <w:tcW w:w="400" w:type="dxa"/>
            <w:vAlign w:val="bottom"/>
            <w:tcBorders>
              <w:top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859,689</w:t>
            </w:r>
          </w:p>
        </w:tc>
      </w:tr>
      <w:tr>
        <w:trPr>
          <w:trHeight w:val="29"/>
        </w:trPr>
        <w:tc>
          <w:tcPr>
            <w:tcW w:w="5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 of R&amp;D and intellectual property</w:t>
      </w:r>
    </w:p>
    <w:p>
      <w:pPr>
        <w:spacing w:after="0" w:line="55" w:lineRule="exact"/>
        <w:rPr>
          <w:sz w:val="20"/>
          <w:szCs w:val="20"/>
          <w:color w:val="auto"/>
        </w:rPr>
      </w:pPr>
    </w:p>
    <w:p>
      <w:pPr>
        <w:spacing w:after="0" w:line="253" w:lineRule="auto"/>
        <w:rPr>
          <w:sz w:val="20"/>
          <w:szCs w:val="20"/>
          <w:color w:val="auto"/>
        </w:rPr>
      </w:pPr>
      <w:r>
        <w:rPr>
          <w:rFonts w:ascii="Arial" w:cs="Arial" w:eastAsia="Arial" w:hAnsi="Arial"/>
          <w:sz w:val="11"/>
          <w:szCs w:val="11"/>
          <w:color w:val="auto"/>
        </w:rPr>
        <w:t>Polestar Group entered into agreements with Volvo Cars and Geely regarding the development of technology leveraged in the development of the Polestar 2, Polestar 3, and Polestar 4. In 2020, the Group entered into similar agreements with Volvo Cars to acquire technology leveraged in the development of the Polestar 1, Polestar 2, and Polestar 3. The Group is in control of the developed product either through a license or through</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2"/>
          <w:szCs w:val="12"/>
          <w:color w:val="auto"/>
        </w:rPr>
        <w:t>ownership of the IP and the recognized asset reflects the relevant proportion of Polestar Group’s interest. The recognized asset associated with these agreements as of June 30, 2023 was $1,175,284, of which acquisitions attributable to 2023 were $125,411. As of December 31, 2022, the recognized asset associated with these agreements was $1,144,240, of which acquisitions attributable to 2022 were $218,031.</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Amounts due to related parties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Amounts due to related parties were as follows:</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59"/>
        </w:trPr>
        <w:tc>
          <w:tcPr>
            <w:tcW w:w="76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120" w:type="dxa"/>
            <w:vAlign w:val="bottom"/>
            <w:gridSpan w:val="2"/>
            <w:shd w:val="clear" w:color="auto" w:fill="DBDBDB"/>
          </w:tcPr>
          <w:p>
            <w:pPr>
              <w:ind w:left="40"/>
              <w:spacing w:after="0"/>
              <w:rPr>
                <w:sz w:val="20"/>
                <w:szCs w:val="20"/>
                <w:color w:val="auto"/>
              </w:rPr>
            </w:pPr>
            <w:r>
              <w:rPr>
                <w:rFonts w:ascii="Arial" w:cs="Arial" w:eastAsia="Arial" w:hAnsi="Arial"/>
                <w:sz w:val="13"/>
                <w:szCs w:val="13"/>
                <w:b w:val="1"/>
                <w:bCs w:val="1"/>
                <w:color w:val="auto"/>
                <w:w w:val="87"/>
              </w:rPr>
              <w:t>As of December 31,</w:t>
            </w:r>
          </w:p>
        </w:tc>
      </w:tr>
      <w:tr>
        <w:trPr>
          <w:trHeight w:val="184"/>
        </w:trPr>
        <w:tc>
          <w:tcPr>
            <w:tcW w:w="7680" w:type="dxa"/>
            <w:vAlign w:val="bottom"/>
            <w:shd w:val="clear" w:color="auto" w:fill="DBDBDB"/>
          </w:tcPr>
          <w:p>
            <w:pPr>
              <w:spacing w:after="0"/>
              <w:rPr>
                <w:sz w:val="20"/>
                <w:szCs w:val="20"/>
                <w:color w:val="auto"/>
              </w:rPr>
            </w:pPr>
            <w:r>
              <w:rPr>
                <w:rFonts w:ascii="Arial" w:cs="Arial" w:eastAsia="Arial" w:hAnsi="Arial"/>
                <w:sz w:val="13"/>
                <w:szCs w:val="13"/>
                <w:b w:val="1"/>
                <w:bCs w:val="1"/>
                <w:color w:val="auto"/>
                <w:w w:val="94"/>
              </w:rPr>
              <w:t>Trade payables - related parties, accrued expenses, other current liabilities and interest-bearing current liabilities to related parties</w:t>
            </w:r>
          </w:p>
        </w:tc>
        <w:tc>
          <w:tcPr>
            <w:tcW w:w="1100" w:type="dxa"/>
            <w:vAlign w:val="bottom"/>
            <w:tcBorders>
              <w:bottom w:val="single" w:sz="8" w:color="auto"/>
            </w:tcBorders>
            <w:gridSpan w:val="2"/>
            <w:shd w:val="clear" w:color="auto" w:fill="DBDBDB"/>
          </w:tcPr>
          <w:p>
            <w:pPr>
              <w:ind w:left="40"/>
              <w:spacing w:after="0"/>
              <w:rPr>
                <w:sz w:val="20"/>
                <w:szCs w:val="20"/>
                <w:color w:val="auto"/>
              </w:rPr>
            </w:pPr>
            <w:r>
              <w:rPr>
                <w:rFonts w:ascii="Arial" w:cs="Arial" w:eastAsia="Arial" w:hAnsi="Arial"/>
                <w:sz w:val="13"/>
                <w:szCs w:val="13"/>
                <w:b w:val="1"/>
                <w:bCs w:val="1"/>
                <w:color w:val="auto"/>
                <w:w w:val="86"/>
              </w:rPr>
              <w:t>As of June 30, 2023</w:t>
            </w:r>
          </w:p>
        </w:tc>
        <w:tc>
          <w:tcPr>
            <w:tcW w:w="26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ind w:right="356"/>
              <w:spacing w:after="0"/>
              <w:rPr>
                <w:sz w:val="20"/>
                <w:szCs w:val="20"/>
                <w:color w:val="auto"/>
              </w:rPr>
            </w:pPr>
            <w:r>
              <w:rPr>
                <w:rFonts w:ascii="Arial" w:cs="Arial" w:eastAsia="Arial" w:hAnsi="Arial"/>
                <w:sz w:val="13"/>
                <w:szCs w:val="13"/>
                <w:b w:val="1"/>
                <w:bCs w:val="1"/>
                <w:color w:val="auto"/>
              </w:rPr>
              <w:t>2022</w:t>
            </w:r>
          </w:p>
        </w:tc>
      </w:tr>
      <w:tr>
        <w:trPr>
          <w:trHeight w:val="171"/>
        </w:trPr>
        <w:tc>
          <w:tcPr>
            <w:tcW w:w="7680" w:type="dxa"/>
            <w:vAlign w:val="bottom"/>
          </w:tcPr>
          <w:p>
            <w:pPr>
              <w:spacing w:after="0"/>
              <w:rPr>
                <w:sz w:val="20"/>
                <w:szCs w:val="20"/>
                <w:color w:val="auto"/>
              </w:rPr>
            </w:pPr>
            <w:r>
              <w:rPr>
                <w:rFonts w:ascii="Arial" w:cs="Arial" w:eastAsia="Arial" w:hAnsi="Arial"/>
                <w:sz w:val="13"/>
                <w:szCs w:val="13"/>
                <w:color w:val="auto"/>
              </w:rPr>
              <w:t>Volvo Cars</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1,691,224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1,136,746</w:t>
            </w:r>
          </w:p>
        </w:tc>
      </w:tr>
      <w:tr>
        <w:trPr>
          <w:trHeight w:val="29"/>
        </w:trPr>
        <w:tc>
          <w:tcPr>
            <w:tcW w:w="7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76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Geely</w:t>
            </w:r>
          </w:p>
        </w:tc>
        <w:tc>
          <w:tcPr>
            <w:tcW w:w="32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91,231</w:t>
            </w:r>
          </w:p>
        </w:tc>
        <w:tc>
          <w:tcPr>
            <w:tcW w:w="26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71,212</w:t>
            </w:r>
          </w:p>
        </w:tc>
      </w:tr>
      <w:tr>
        <w:trPr>
          <w:trHeight w:val="181"/>
        </w:trPr>
        <w:tc>
          <w:tcPr>
            <w:tcW w:w="7680" w:type="dxa"/>
            <w:vAlign w:val="bottom"/>
          </w:tcPr>
          <w:p>
            <w:pPr>
              <w:spacing w:after="0"/>
              <w:rPr>
                <w:sz w:val="20"/>
                <w:szCs w:val="20"/>
                <w:color w:val="auto"/>
              </w:rPr>
            </w:pPr>
            <w:r>
              <w:rPr>
                <w:rFonts w:ascii="Arial" w:cs="Arial" w:eastAsia="Arial" w:hAnsi="Arial"/>
                <w:sz w:val="13"/>
                <w:szCs w:val="13"/>
                <w:color w:val="auto"/>
              </w:rPr>
              <w:t>Volvofinans Bank AB</w:t>
            </w: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1,141</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1,389</w:t>
            </w:r>
          </w:p>
        </w:tc>
      </w:tr>
      <w:tr>
        <w:trPr>
          <w:trHeight w:val="29"/>
        </w:trPr>
        <w:tc>
          <w:tcPr>
            <w:tcW w:w="768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9"/>
        </w:trPr>
        <w:tc>
          <w:tcPr>
            <w:tcW w:w="76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1,783,596</w:t>
            </w:r>
          </w:p>
        </w:tc>
        <w:tc>
          <w:tcPr>
            <w:tcW w:w="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1,209,347</w:t>
            </w:r>
          </w:p>
        </w:tc>
      </w:tr>
      <w:tr>
        <w:trPr>
          <w:trHeight w:val="20"/>
        </w:trPr>
        <w:tc>
          <w:tcPr>
            <w:tcW w:w="7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25" w:lineRule="exact"/>
        <w:rPr>
          <w:sz w:val="20"/>
          <w:szCs w:val="20"/>
          <w:color w:val="auto"/>
        </w:rPr>
      </w:pPr>
    </w:p>
    <w:p>
      <w:pPr>
        <w:ind w:right="20"/>
        <w:spacing w:after="0" w:line="228" w:lineRule="auto"/>
        <w:rPr>
          <w:sz w:val="20"/>
          <w:szCs w:val="20"/>
          <w:color w:val="auto"/>
        </w:rPr>
      </w:pPr>
      <w:r>
        <w:rPr>
          <w:rFonts w:ascii="Arial" w:cs="Arial" w:eastAsia="Arial" w:hAnsi="Arial"/>
          <w:sz w:val="13"/>
          <w:szCs w:val="13"/>
          <w:color w:val="auto"/>
        </w:rPr>
        <w:t>In addition to current liabilities to related parties, Polestar had non-current lease liabilities to related parties amounting to $35,041 as of June 30, 2023 and $27,123 as of December 31, 2022 included in Other non-current interest-bearing liabilities.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The Group’s interest expense from related party liabilities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48195" cy="121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ectPr>
          <w:pgSz w:w="11900" w:h="16838" w:orient="portrait"/>
          <w:cols w:equalWidth="0" w:num="1">
            <w:col w:w="11300"/>
          </w:cols>
          <w:pgMar w:left="300" w:top="622" w:right="299" w:bottom="1440" w:gutter="0" w:footer="0" w:header="0"/>
          <w:type w:val="continuous"/>
        </w:sectPr>
      </w:pPr>
    </w:p>
    <w:p>
      <w:pPr>
        <w:spacing w:after="0" w:line="47" w:lineRule="exact"/>
        <w:rPr>
          <w:sz w:val="20"/>
          <w:szCs w:val="20"/>
          <w:color w:val="auto"/>
        </w:rPr>
      </w:pPr>
    </w:p>
    <w:p>
      <w:pPr>
        <w:jc w:val="center"/>
        <w:ind w:left="6380"/>
        <w:spacing w:after="0"/>
        <w:rPr>
          <w:sz w:val="20"/>
          <w:szCs w:val="20"/>
          <w:color w:val="auto"/>
        </w:rPr>
      </w:pPr>
      <w:r>
        <w:rPr>
          <w:rFonts w:ascii="Arial" w:cs="Arial" w:eastAsia="Arial" w:hAnsi="Arial"/>
          <w:sz w:val="11"/>
          <w:szCs w:val="11"/>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36830</wp:posOffset>
            </wp:positionV>
            <wp:extent cx="158559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85595" cy="6350"/>
                    </a:xfrm>
                    <a:prstGeom prst="rect">
                      <a:avLst/>
                    </a:prstGeom>
                    <a:noFill/>
                  </pic:spPr>
                </pic:pic>
              </a:graphicData>
            </a:graphic>
          </wp:anchor>
        </w:drawing>
      </w:r>
    </w:p>
    <w:p>
      <w:pPr>
        <w:spacing w:after="0" w:line="54" w:lineRule="exact"/>
        <w:rPr>
          <w:sz w:val="20"/>
          <w:szCs w:val="20"/>
          <w:color w:val="auto"/>
        </w:rPr>
      </w:pPr>
    </w:p>
    <w:p>
      <w:pPr>
        <w:ind w:left="6620"/>
        <w:spacing w:after="0"/>
        <w:tabs>
          <w:tab w:leader="none" w:pos="786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1"/>
          <w:szCs w:val="11"/>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36830</wp:posOffset>
            </wp:positionV>
            <wp:extent cx="159194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91945" cy="6350"/>
                    </a:xfrm>
                    <a:prstGeom prst="rect">
                      <a:avLst/>
                    </a:prstGeom>
                    <a:noFill/>
                  </pic:spPr>
                </pic:pic>
              </a:graphicData>
            </a:graphic>
          </wp:anchor>
        </w:drawing>
      </w:r>
    </w:p>
    <w:p>
      <w:pPr>
        <w:spacing w:after="0" w:line="54"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16" w:lineRule="exact"/>
        <w:rPr>
          <w:sz w:val="20"/>
          <w:szCs w:val="20"/>
          <w:color w:val="auto"/>
        </w:rPr>
      </w:pPr>
    </w:p>
    <w:p>
      <w:pPr>
        <w:sectPr>
          <w:pgSz w:w="11900" w:h="16838" w:orient="portrait"/>
          <w:cols w:equalWidth="0" w:num="2">
            <w:col w:w="8360" w:space="720"/>
            <w:col w:w="2220"/>
          </w:cols>
          <w:pgMar w:left="300" w:top="622" w:right="29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6120" w:type="dxa"/>
            <w:vAlign w:val="bottom"/>
            <w:tcBorders>
              <w:top w:val="single" w:sz="8" w:color="DBDBDB"/>
              <w:bottom w:val="single" w:sz="8" w:color="DBDBDB"/>
            </w:tcBorders>
            <w:gridSpan w:val="2"/>
            <w:shd w:val="clear" w:color="auto" w:fill="DBDBDB"/>
          </w:tcPr>
          <w:p>
            <w:pPr>
              <w:spacing w:after="0"/>
              <w:rPr>
                <w:sz w:val="20"/>
                <w:szCs w:val="20"/>
                <w:color w:val="auto"/>
              </w:rPr>
            </w:pPr>
            <w:r>
              <w:rPr>
                <w:rFonts w:ascii="Arial" w:cs="Arial" w:eastAsia="Arial" w:hAnsi="Arial"/>
                <w:sz w:val="13"/>
                <w:szCs w:val="13"/>
                <w:color w:val="auto"/>
              </w:rPr>
              <w:t>Interest expense - related parties</w:t>
            </w:r>
          </w:p>
        </w:tc>
        <w:tc>
          <w:tcPr>
            <w:tcW w:w="460" w:type="dxa"/>
            <w:vAlign w:val="bottom"/>
            <w:tcBorders>
              <w:top w:val="single" w:sz="8" w:color="auto"/>
              <w:bottom w:val="single" w:sz="8" w:color="DBDBDB"/>
            </w:tcBorders>
            <w:shd w:val="clear" w:color="auto" w:fill="DBDBDB"/>
          </w:tcPr>
          <w:p>
            <w:pPr>
              <w:jc w:val="right"/>
              <w:ind w:right="31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17,755</w:t>
            </w:r>
          </w:p>
        </w:tc>
        <w:tc>
          <w:tcPr>
            <w:tcW w:w="480" w:type="dxa"/>
            <w:vAlign w:val="bottom"/>
            <w:tcBorders>
              <w:top w:val="single" w:sz="8" w:color="auto"/>
              <w:bottom w:val="single" w:sz="8" w:color="DBDBDB"/>
            </w:tcBorders>
            <w:shd w:val="clear" w:color="auto" w:fill="DBDBDB"/>
          </w:tcPr>
          <w:p>
            <w:pPr>
              <w:jc w:val="right"/>
              <w:ind w:right="316"/>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12,248</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DBDBDB"/>
            </w:tcBorders>
            <w:gridSpan w:val="2"/>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25,948</w:t>
            </w:r>
          </w:p>
        </w:tc>
        <w:tc>
          <w:tcPr>
            <w:tcW w:w="1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24,275</w:t>
            </w:r>
          </w:p>
        </w:tc>
      </w:tr>
      <w:tr>
        <w:trPr>
          <w:trHeight w:val="210"/>
        </w:trPr>
        <w:tc>
          <w:tcPr>
            <w:tcW w:w="6120" w:type="dxa"/>
            <w:vAlign w:val="bottom"/>
            <w:gridSpan w:val="2"/>
          </w:tcPr>
          <w:p>
            <w:pPr>
              <w:spacing w:after="0"/>
              <w:rPr>
                <w:sz w:val="20"/>
                <w:szCs w:val="20"/>
                <w:color w:val="auto"/>
              </w:rPr>
            </w:pPr>
            <w:r>
              <w:rPr>
                <w:rFonts w:ascii="Arial" w:cs="Arial" w:eastAsia="Arial" w:hAnsi="Arial"/>
                <w:sz w:val="13"/>
                <w:szCs w:val="13"/>
                <w:b w:val="1"/>
                <w:bCs w:val="1"/>
                <w:color w:val="auto"/>
              </w:rPr>
              <w:t>Amounts due from related parties</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0"/>
        </w:trPr>
        <w:tc>
          <w:tcPr>
            <w:tcW w:w="6120" w:type="dxa"/>
            <w:vAlign w:val="bottom"/>
            <w:gridSpan w:val="2"/>
          </w:tcPr>
          <w:p>
            <w:pPr>
              <w:spacing w:after="0"/>
              <w:rPr>
                <w:sz w:val="20"/>
                <w:szCs w:val="20"/>
                <w:color w:val="auto"/>
              </w:rPr>
            </w:pPr>
            <w:r>
              <w:rPr>
                <w:rFonts w:ascii="Arial" w:cs="Arial" w:eastAsia="Arial" w:hAnsi="Arial"/>
                <w:sz w:val="13"/>
                <w:szCs w:val="13"/>
                <w:color w:val="auto"/>
              </w:rPr>
              <w:t>Amounts due from related parties were as follows:</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76"/>
        </w:trPr>
        <w:tc>
          <w:tcPr>
            <w:tcW w:w="40" w:type="dxa"/>
            <w:vAlign w:val="bottom"/>
          </w:tcPr>
          <w:p>
            <w:pPr>
              <w:spacing w:after="0"/>
              <w:rPr>
                <w:sz w:val="6"/>
                <w:szCs w:val="6"/>
                <w:color w:val="auto"/>
              </w:rPr>
            </w:pPr>
          </w:p>
        </w:tc>
        <w:tc>
          <w:tcPr>
            <w:tcW w:w="6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r>
      <w:tr>
        <w:trPr>
          <w:trHeight w:val="159"/>
        </w:trPr>
        <w:tc>
          <w:tcPr>
            <w:tcW w:w="40" w:type="dxa"/>
            <w:vAlign w:val="bottom"/>
          </w:tcPr>
          <w:p>
            <w:pPr>
              <w:spacing w:after="0"/>
              <w:rPr>
                <w:sz w:val="13"/>
                <w:szCs w:val="13"/>
                <w:color w:val="auto"/>
              </w:rPr>
            </w:pPr>
          </w:p>
        </w:tc>
        <w:tc>
          <w:tcPr>
            <w:tcW w:w="608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jc w:val="right"/>
              <w:ind w:right="36"/>
              <w:spacing w:after="0"/>
              <w:rPr>
                <w:sz w:val="20"/>
                <w:szCs w:val="20"/>
                <w:color w:val="auto"/>
              </w:rPr>
            </w:pPr>
            <w:r>
              <w:rPr>
                <w:rFonts w:ascii="Arial" w:cs="Arial" w:eastAsia="Arial" w:hAnsi="Arial"/>
                <w:sz w:val="13"/>
                <w:szCs w:val="13"/>
                <w:b w:val="1"/>
                <w:bCs w:val="1"/>
                <w:color w:val="auto"/>
                <w:w w:val="86"/>
              </w:rPr>
              <w:t>As of December 31,</w:t>
            </w:r>
          </w:p>
        </w:tc>
      </w:tr>
      <w:tr>
        <w:trPr>
          <w:trHeight w:val="184"/>
        </w:trPr>
        <w:tc>
          <w:tcPr>
            <w:tcW w:w="40" w:type="dxa"/>
            <w:vAlign w:val="bottom"/>
          </w:tcPr>
          <w:p>
            <w:pPr>
              <w:spacing w:after="0"/>
              <w:rPr>
                <w:sz w:val="16"/>
                <w:szCs w:val="16"/>
                <w:color w:val="auto"/>
              </w:rPr>
            </w:pPr>
          </w:p>
        </w:tc>
        <w:tc>
          <w:tcPr>
            <w:tcW w:w="6080" w:type="dxa"/>
            <w:vAlign w:val="bottom"/>
            <w:shd w:val="clear" w:color="auto" w:fill="DBDBDB"/>
          </w:tcPr>
          <w:p>
            <w:pPr>
              <w:spacing w:after="0"/>
              <w:rPr>
                <w:sz w:val="20"/>
                <w:szCs w:val="20"/>
                <w:color w:val="auto"/>
              </w:rPr>
            </w:pPr>
            <w:r>
              <w:rPr>
                <w:rFonts w:ascii="Arial" w:cs="Arial" w:eastAsia="Arial" w:hAnsi="Arial"/>
                <w:sz w:val="13"/>
                <w:szCs w:val="13"/>
                <w:b w:val="1"/>
                <w:bCs w:val="1"/>
                <w:color w:val="auto"/>
              </w:rPr>
              <w:t>Trade receivables - related parties and accrued income - related parties</w:t>
            </w: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b w:val="1"/>
                <w:bCs w:val="1"/>
                <w:color w:val="auto"/>
                <w:w w:val="86"/>
              </w:rPr>
              <w:t>As of June 30, 2023</w:t>
            </w:r>
          </w:p>
        </w:tc>
        <w:tc>
          <w:tcPr>
            <w:tcW w:w="12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ind w:right="436"/>
              <w:spacing w:after="0"/>
              <w:rPr>
                <w:sz w:val="20"/>
                <w:szCs w:val="20"/>
                <w:color w:val="auto"/>
              </w:rPr>
            </w:pPr>
            <w:r>
              <w:rPr>
                <w:rFonts w:ascii="Arial" w:cs="Arial" w:eastAsia="Arial" w:hAnsi="Arial"/>
                <w:sz w:val="13"/>
                <w:szCs w:val="13"/>
                <w:b w:val="1"/>
                <w:bCs w:val="1"/>
                <w:color w:val="auto"/>
              </w:rPr>
              <w:t>2022</w:t>
            </w:r>
          </w:p>
        </w:tc>
      </w:tr>
      <w:tr>
        <w:trPr>
          <w:trHeight w:val="180"/>
        </w:trPr>
        <w:tc>
          <w:tcPr>
            <w:tcW w:w="4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3"/>
                <w:szCs w:val="13"/>
                <w:color w:val="auto"/>
              </w:rPr>
              <w:t>Volvo Cars</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97,340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120,302</w:t>
            </w:r>
          </w:p>
        </w:tc>
      </w:tr>
      <w:tr>
        <w:trPr>
          <w:trHeight w:val="199"/>
        </w:trPr>
        <w:tc>
          <w:tcPr>
            <w:tcW w:w="40" w:type="dxa"/>
            <w:vAlign w:val="bottom"/>
          </w:tcPr>
          <w:p>
            <w:pPr>
              <w:spacing w:after="0"/>
              <w:rPr>
                <w:sz w:val="17"/>
                <w:szCs w:val="17"/>
                <w:color w:val="auto"/>
              </w:rPr>
            </w:pPr>
          </w:p>
        </w:tc>
        <w:tc>
          <w:tcPr>
            <w:tcW w:w="60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color w:val="auto"/>
              </w:rPr>
              <w:t>Geely</w:t>
            </w:r>
          </w:p>
        </w:tc>
        <w:tc>
          <w:tcPr>
            <w:tcW w:w="4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4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4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1,340</w:t>
            </w:r>
          </w:p>
        </w:tc>
        <w:tc>
          <w:tcPr>
            <w:tcW w:w="12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3,751</w:t>
            </w:r>
          </w:p>
        </w:tc>
      </w:tr>
      <w:tr>
        <w:trPr>
          <w:trHeight w:val="181"/>
        </w:trPr>
        <w:tc>
          <w:tcPr>
            <w:tcW w:w="40" w:type="dxa"/>
            <w:vAlign w:val="bottom"/>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3"/>
                <w:szCs w:val="13"/>
                <w:color w:val="auto"/>
              </w:rPr>
              <w:t>Volvofinans Bank AB</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4,383</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9"/>
        </w:trPr>
        <w:tc>
          <w:tcPr>
            <w:tcW w:w="40" w:type="dxa"/>
            <w:vAlign w:val="bottom"/>
          </w:tcPr>
          <w:p>
            <w:pPr>
              <w:spacing w:after="0"/>
              <w:rPr>
                <w:sz w:val="2"/>
                <w:szCs w:val="2"/>
                <w:color w:val="auto"/>
              </w:rPr>
            </w:pPr>
          </w:p>
        </w:tc>
        <w:tc>
          <w:tcPr>
            <w:tcW w:w="6080" w:type="dxa"/>
            <w:vAlign w:val="bottom"/>
            <w:tcBorders>
              <w:bottom w:val="single" w:sz="8" w:color="DBDBDB"/>
            </w:tcBorders>
          </w:tcPr>
          <w:p>
            <w:pPr>
              <w:spacing w:after="0"/>
              <w:rPr>
                <w:sz w:val="2"/>
                <w:szCs w:val="2"/>
                <w:color w:val="auto"/>
              </w:rPr>
            </w:pPr>
          </w:p>
        </w:tc>
        <w:tc>
          <w:tcPr>
            <w:tcW w:w="460" w:type="dxa"/>
            <w:vAlign w:val="bottom"/>
            <w:tcBorders>
              <w:bottom w:val="single" w:sz="8" w:color="DBDBDB"/>
            </w:tcBorders>
          </w:tcPr>
          <w:p>
            <w:pPr>
              <w:spacing w:after="0"/>
              <w:rPr>
                <w:sz w:val="2"/>
                <w:szCs w:val="2"/>
                <w:color w:val="auto"/>
              </w:rPr>
            </w:pPr>
          </w:p>
        </w:tc>
        <w:tc>
          <w:tcPr>
            <w:tcW w:w="780" w:type="dxa"/>
            <w:vAlign w:val="bottom"/>
            <w:tcBorders>
              <w:bottom w:val="single" w:sz="8" w:color="DBDBDB"/>
            </w:tcBorders>
          </w:tcPr>
          <w:p>
            <w:pPr>
              <w:spacing w:after="0"/>
              <w:rPr>
                <w:sz w:val="2"/>
                <w:szCs w:val="2"/>
                <w:color w:val="auto"/>
              </w:rPr>
            </w:pPr>
          </w:p>
        </w:tc>
        <w:tc>
          <w:tcPr>
            <w:tcW w:w="480" w:type="dxa"/>
            <w:vAlign w:val="bottom"/>
            <w:tcBorders>
              <w:bottom w:val="single" w:sz="8" w:color="DBDBDB"/>
            </w:tcBorders>
          </w:tcPr>
          <w:p>
            <w:pPr>
              <w:spacing w:after="0"/>
              <w:rPr>
                <w:sz w:val="2"/>
                <w:szCs w:val="2"/>
                <w:color w:val="auto"/>
              </w:rPr>
            </w:pPr>
          </w:p>
        </w:tc>
        <w:tc>
          <w:tcPr>
            <w:tcW w:w="780" w:type="dxa"/>
            <w:vAlign w:val="bottom"/>
            <w:tcBorders>
              <w:bottom w:val="single" w:sz="8" w:color="DBDBDB"/>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4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9"/>
        </w:trPr>
        <w:tc>
          <w:tcPr>
            <w:tcW w:w="40" w:type="dxa"/>
            <w:vAlign w:val="bottom"/>
          </w:tcPr>
          <w:p>
            <w:pPr>
              <w:spacing w:after="0"/>
              <w:rPr>
                <w:sz w:val="15"/>
                <w:szCs w:val="15"/>
                <w:color w:val="auto"/>
              </w:rPr>
            </w:pPr>
          </w:p>
        </w:tc>
        <w:tc>
          <w:tcPr>
            <w:tcW w:w="60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3"/>
                <w:szCs w:val="13"/>
                <w:b w:val="1"/>
                <w:bCs w:val="1"/>
                <w:color w:val="auto"/>
              </w:rPr>
              <w:t>Total</w:t>
            </w:r>
          </w:p>
        </w:tc>
        <w:tc>
          <w:tcPr>
            <w:tcW w:w="46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480" w:type="dxa"/>
            <w:vAlign w:val="bottom"/>
            <w:tcBorders>
              <w:bottom w:val="single" w:sz="8" w:color="DBDBDB"/>
            </w:tcBorders>
            <w:shd w:val="clear" w:color="auto" w:fill="DBDBDB"/>
          </w:tcPr>
          <w:p>
            <w:pPr>
              <w:spacing w:after="0"/>
              <w:rPr>
                <w:sz w:val="15"/>
                <w:szCs w:val="15"/>
                <w:color w:val="auto"/>
              </w:rPr>
            </w:pPr>
          </w:p>
        </w:tc>
        <w:tc>
          <w:tcPr>
            <w:tcW w:w="78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c>
          <w:tcPr>
            <w:tcW w:w="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103,063</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124,056</w:t>
            </w:r>
          </w:p>
        </w:tc>
      </w:tr>
      <w:tr>
        <w:trPr>
          <w:trHeight w:val="20"/>
        </w:trPr>
        <w:tc>
          <w:tcPr>
            <w:tcW w:w="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Assets held for sale</w:t>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In December 2022, the Group committed to a plan to sell, to a related party, the Chengdu manufacturing plant held by its subsidiary, Polestar New Energy Vehicle Co. Ltd., that was previously used to manufacture the</w:t>
      </w:r>
    </w:p>
    <w:p>
      <w:pPr>
        <w:spacing w:after="0" w:line="17" w:lineRule="exact"/>
        <w:rPr>
          <w:sz w:val="20"/>
          <w:szCs w:val="20"/>
          <w:color w:val="auto"/>
        </w:rPr>
      </w:pPr>
    </w:p>
    <w:p>
      <w:pPr>
        <w:jc w:val="both"/>
        <w:ind w:right="20"/>
        <w:spacing w:after="0" w:line="231" w:lineRule="auto"/>
        <w:rPr>
          <w:sz w:val="20"/>
          <w:szCs w:val="20"/>
          <w:color w:val="auto"/>
        </w:rPr>
      </w:pPr>
      <w:r>
        <w:rPr>
          <w:rFonts w:ascii="Arial" w:cs="Arial" w:eastAsia="Arial" w:hAnsi="Arial"/>
          <w:sz w:val="12"/>
          <w:szCs w:val="12"/>
          <w:color w:val="auto"/>
        </w:rPr>
        <w:t>Polestar 1 and special edition Polestar 2 BST 270. Accordingly, the Chengdu plant and certain related assets are presented as a disposal group held for sale. Polestar has initiated selling efforts and expects to close the sale by July 31, 2023. The assets related to the Chengdu Plant that have been classified as held for sale have a net value of $53,094. The cumulative expense related to exchange rate differences from translation of the disposal group that are included in other comprehensive income amount to $4,260. Prior to December 2022, the Group did not hold any assets classified as held for sale.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As of June 30, 2023, the disposal group was stated at the Group's carrying value and was comprised of the following:</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19772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7725" cy="37465"/>
                    </a:xfrm>
                    <a:prstGeom prst="rect">
                      <a:avLst/>
                    </a:prstGeom>
                    <a:noFill/>
                  </pic:spPr>
                </pic:pic>
              </a:graphicData>
            </a:graphic>
          </wp:anchor>
        </w:drawing>
      </w:r>
    </w:p>
    <w:p>
      <w:pPr>
        <w:sectPr>
          <w:pgSz w:w="11900" w:h="16838" w:orient="portrait"/>
          <w:cols w:equalWidth="0" w:num="1">
            <w:col w:w="11300"/>
          </w:cols>
          <w:pgMar w:left="300" w:top="622" w:right="299" w:bottom="1440" w:gutter="0" w:footer="0" w:header="0"/>
          <w:type w:val="continuous"/>
        </w:sectPr>
      </w:pPr>
    </w:p>
    <w:bookmarkStart w:id="22" w:name="page23"/>
    <w:bookmarkEnd w:id="22"/>
    <w:tbl>
      <w:tblPr>
        <w:tblLayout w:type="fixed"/>
        <w:tblInd w:w="20" w:type="dxa"/>
        <w:tblCellMar>
          <w:top w:w="0" w:type="dxa"/>
          <w:left w:w="0" w:type="dxa"/>
          <w:bottom w:w="0" w:type="dxa"/>
          <w:right w:w="0" w:type="dxa"/>
        </w:tblCellMar>
      </w:tblPr>
      <w:tr>
        <w:trPr>
          <w:trHeight w:val="190"/>
        </w:trPr>
        <w:tc>
          <w:tcPr>
            <w:tcW w:w="10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Property, plant and equipment</w:t>
            </w:r>
          </w:p>
        </w:tc>
        <w:tc>
          <w:tcPr>
            <w:tcW w:w="46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ind w:right="16"/>
              <w:spacing w:after="0"/>
              <w:rPr>
                <w:sz w:val="20"/>
                <w:szCs w:val="20"/>
                <w:color w:val="auto"/>
              </w:rPr>
            </w:pPr>
            <w:r>
              <w:rPr>
                <w:rFonts w:ascii="Arial" w:cs="Arial" w:eastAsia="Arial" w:hAnsi="Arial"/>
                <w:sz w:val="13"/>
                <w:szCs w:val="13"/>
                <w:color w:val="auto"/>
              </w:rPr>
              <w:t>53,080</w:t>
            </w:r>
          </w:p>
        </w:tc>
      </w:tr>
      <w:tr>
        <w:trPr>
          <w:trHeight w:val="181"/>
        </w:trPr>
        <w:tc>
          <w:tcPr>
            <w:tcW w:w="10000" w:type="dxa"/>
            <w:vAlign w:val="bottom"/>
          </w:tcPr>
          <w:p>
            <w:pPr>
              <w:ind w:left="20"/>
              <w:spacing w:after="0"/>
              <w:rPr>
                <w:sz w:val="20"/>
                <w:szCs w:val="20"/>
                <w:color w:val="auto"/>
              </w:rPr>
            </w:pPr>
            <w:r>
              <w:rPr>
                <w:rFonts w:ascii="Arial" w:cs="Arial" w:eastAsia="Arial" w:hAnsi="Arial"/>
                <w:sz w:val="13"/>
                <w:szCs w:val="13"/>
                <w:color w:val="auto"/>
              </w:rPr>
              <w:t>Other current assets</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9"/>
        </w:trPr>
        <w:tc>
          <w:tcPr>
            <w:tcW w:w="10000" w:type="dxa"/>
            <w:vAlign w:val="bottom"/>
            <w:tcBorders>
              <w:bottom w:val="single" w:sz="8" w:color="DBDBDB"/>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9"/>
        </w:trPr>
        <w:tc>
          <w:tcPr>
            <w:tcW w:w="10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Assets held for sale</w:t>
            </w:r>
          </w:p>
        </w:tc>
        <w:tc>
          <w:tcPr>
            <w:tcW w:w="460" w:type="dxa"/>
            <w:vAlign w:val="bottom"/>
            <w:tcBorders>
              <w:bottom w:val="single" w:sz="8" w:color="DBDBDB"/>
            </w:tcBorders>
            <w:shd w:val="clear" w:color="auto" w:fill="DBDBDB"/>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DBDBDB"/>
            </w:tcBorders>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53,094</w:t>
            </w:r>
          </w:p>
        </w:tc>
      </w:tr>
      <w:tr>
        <w:trPr>
          <w:trHeight w:val="20"/>
        </w:trPr>
        <w:tc>
          <w:tcPr>
            <w:tcW w:w="10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 Commitments and contingencies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Commitments</w:t>
      </w:r>
    </w:p>
    <w:p>
      <w:pPr>
        <w:spacing w:after="0" w:line="55" w:lineRule="exact"/>
        <w:rPr>
          <w:sz w:val="20"/>
          <w:szCs w:val="20"/>
          <w:color w:val="auto"/>
        </w:rPr>
      </w:pPr>
    </w:p>
    <w:p>
      <w:pPr>
        <w:spacing w:after="0"/>
        <w:rPr>
          <w:sz w:val="20"/>
          <w:szCs w:val="20"/>
          <w:color w:val="auto"/>
        </w:rPr>
      </w:pPr>
      <w:r>
        <w:rPr>
          <w:rFonts w:ascii="Arial" w:cs="Arial" w:eastAsia="Arial" w:hAnsi="Arial"/>
          <w:sz w:val="11"/>
          <w:szCs w:val="11"/>
          <w:color w:val="auto"/>
        </w:rPr>
        <w:t>As of June 30, 2023, commitments to acquire PPE and intangible assets were $143,961 and $148,802, respectively. As of December 31, 2022, commitments to acquire PPE and intangible assets were $179,690 and</w:t>
      </w:r>
    </w:p>
    <w:p>
      <w:pPr>
        <w:spacing w:after="0" w:line="17"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$216,572, respectively. These commitments are contractual obligations to invest in PPE and intangible assets for the production of upcoming vehicle models Polestar 3 and Polestar 4. For the production of Polestar 3 and Polestar 2, contract manufacturing agreements are yet to be signed that define the upcoming investment commitments in Volvo Cars Charleston plant and Geely’s Chongqing plant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Contingencies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Subsequent events</w:t>
      </w:r>
    </w:p>
    <w:p>
      <w:pPr>
        <w:spacing w:after="0" w:line="64"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Management has evaluated events subsequent to June 30, 2023 and through August 31, 2023, the date these Unaudited Condensed Consolidated Financial Statements were authorized for issuance by the Board of Directors. The following events which occurred subsequent to June 30, 2023 merited disclosure in these Unaudited Condensed Consolidated Financial Statements. Management determined that no adjustments were required to the figures presented as a result of these events.</w:t>
      </w:r>
    </w:p>
    <w:p>
      <w:pPr>
        <w:spacing w:after="0" w:line="50" w:lineRule="exact"/>
        <w:rPr>
          <w:sz w:val="20"/>
          <w:szCs w:val="20"/>
          <w:color w:val="auto"/>
        </w:rPr>
      </w:pPr>
    </w:p>
    <w:p>
      <w:pPr>
        <w:jc w:val="both"/>
        <w:spacing w:after="0" w:line="228" w:lineRule="auto"/>
        <w:rPr>
          <w:sz w:val="20"/>
          <w:szCs w:val="20"/>
          <w:color w:val="auto"/>
        </w:rPr>
      </w:pPr>
      <w:r>
        <w:rPr>
          <w:rFonts w:ascii="Arial" w:cs="Arial" w:eastAsia="Arial" w:hAnsi="Arial"/>
          <w:sz w:val="13"/>
          <w:szCs w:val="13"/>
          <w:color w:val="auto"/>
        </w:rPr>
        <w:t xml:space="preserve">On July 7, 2023, the Group drew down the remaining $50,000 of the $800,000 aggregate principal amount under its 18-month credit facility with Volvo Cars that was secured on November 3, 2022. Refer to </w:t>
      </w:r>
      <w:r>
        <w:rPr>
          <w:rFonts w:ascii="Arial" w:cs="Arial" w:eastAsia="Arial" w:hAnsi="Arial"/>
          <w:sz w:val="13"/>
          <w:szCs w:val="13"/>
          <w:i w:val="1"/>
          <w:iCs w:val="1"/>
          <w:color w:val="auto"/>
        </w:rPr>
        <w:t>Note 11 -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Related party transactions </w:t>
      </w:r>
      <w:r>
        <w:rPr>
          <w:rFonts w:ascii="Arial" w:cs="Arial" w:eastAsia="Arial" w:hAnsi="Arial"/>
          <w:sz w:val="13"/>
          <w:szCs w:val="13"/>
          <w:color w:val="auto"/>
        </w:rPr>
        <w:t>for further details on the facility with Volvo Cars.</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On August 1, 2023, the Group completed the sale of the Chengdu manufacturing plant held by its subsidiary, Polestar New Energy Vehicle Co. Ltd., to Zhejiang Geely Property Investment Holding Co. Ltd. The total consideration received from the sale of the plant was $71,043.</w:t>
      </w:r>
    </w:p>
    <w:p>
      <w:pPr>
        <w:spacing w:after="0" w:line="40" w:lineRule="exact"/>
        <w:rPr>
          <w:sz w:val="20"/>
          <w:szCs w:val="20"/>
          <w:color w:val="auto"/>
        </w:rPr>
      </w:pPr>
    </w:p>
    <w:p>
      <w:pPr>
        <w:jc w:val="both"/>
        <w:spacing w:after="0" w:line="228" w:lineRule="auto"/>
        <w:rPr>
          <w:sz w:val="20"/>
          <w:szCs w:val="20"/>
          <w:color w:val="auto"/>
        </w:rPr>
      </w:pPr>
      <w:r>
        <w:rPr>
          <w:rFonts w:ascii="Arial" w:cs="Arial" w:eastAsia="Arial" w:hAnsi="Arial"/>
          <w:sz w:val="13"/>
          <w:szCs w:val="13"/>
          <w:color w:val="auto"/>
        </w:rPr>
        <w:t>On August 24, 2023, the Group entered into a 12-month working capital loan for $320,000 with a bank in China. This loans carries interest at the 12-month Secured Overnight Financing Rate plus 0.9% and is secured by Geely. This loan benefits from letters of comfort from Volvo Cars and Geely.</w:t>
      </w:r>
    </w:p>
    <w:p>
      <w:pPr>
        <w:spacing w:after="0" w:line="50" w:lineRule="exact"/>
        <w:rPr>
          <w:sz w:val="20"/>
          <w:szCs w:val="20"/>
          <w:color w:val="auto"/>
        </w:rPr>
      </w:pPr>
    </w:p>
    <w:p>
      <w:pPr>
        <w:jc w:val="both"/>
        <w:spacing w:after="0" w:line="228" w:lineRule="auto"/>
        <w:rPr>
          <w:sz w:val="20"/>
          <w:szCs w:val="20"/>
          <w:color w:val="auto"/>
        </w:rPr>
      </w:pPr>
      <w:r>
        <w:rPr>
          <w:rFonts w:ascii="Arial" w:cs="Arial" w:eastAsia="Arial" w:hAnsi="Arial"/>
          <w:sz w:val="13"/>
          <w:szCs w:val="13"/>
          <w:color w:val="auto"/>
        </w:rPr>
        <w:t>On August 24, 2023, the Group entered into an unsecured 12-month working capital loan for $82,000 with a bank in China. This loans carries interest at the 12-month Secured Overnight Financing Rate plus 1.1%. This loan benefits from letters of comfort from Volvo Cars and Geely.</w:t>
      </w:r>
    </w:p>
    <w:p>
      <w:pPr>
        <w:spacing w:after="0" w:line="40"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On August 30, 2023, the Group entered into an unsecured 12-month working capital loan for $402,000 with a bank in China. This loans carries interest at the 3-month Secured Overnight Financing Rate plus 2.3%. This loan benefits from letters of comfort from Volvo Cars and Geely.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sectPr>
      <w:pgSz w:w="11900" w:h="16838" w:orient="portrait"/>
      <w:cols w:equalWidth="0" w:num="1">
        <w:col w:w="11280"/>
      </w:cols>
      <w:pgMar w:left="300" w:top="69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0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2023-09-14T15:12:14Z</dcterms:created>
  <dcterms:modified xsi:type="dcterms:W3CDTF">2023-09-14T15:12:14Z</dcterms:modified>
</cp:coreProperties>
</file>