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Polestar Automotive Holding UK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American Depositary Shares, Class A Ordinary Shares, par value $0.01 each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731105201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Zhejiang Geely Holding Group</w:t>
              <w:br/>
              <w:t>No. 1760 Jiangling Road, Binjiang District</w:t>
              <w:br/>
              <w:t>Hangzhou, F4, 310051</w:t>
              <w:br/>
              <w:t>86 (571) 2809 8282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12/19/2025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Eric Li</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72,799,747.00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63,831,976.00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63,831,976.00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Volvo Car Corporation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12,677,431.00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12,677,431.00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12,677,431.00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PSD Investment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42,917,431.00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33,949,660.00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33,949,660.00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PSD Capital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42,917,431.00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33,949,660.00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33,949,660.00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Snita Holding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12,677,431.00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12,677,431.00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12,677,431.00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16.5 %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Volvo Car AB</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12,677,431.00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12,677,431.00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12,677,431.00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Geely Sweden Holdings AB</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29,882,316.00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Shanghai Geely Zhaoyuan International Investment Co.,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29,882,316.00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Beijing Geely Wanyuan International Investment Co.,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29,882,316.00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Beijing Geely Kaisheng International Investment Co.,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29,882,316.00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Zhejiang Geely Holding Group Company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29,882,316.00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29,882,316.00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731105201</w:t>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Geely Sweden Automative Investment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16,738,542.00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16,738,542.00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16,738,542.00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21.7 %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item1to7"/>
      <w:bookmarkStart w:id="55" w:name="item1to7"/>
      <w:bookmarkEnd w:id="5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American Depositary Shares, Class A Ordinary Shares, par value $0.01 each</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Polestar Automotive Holding UK PLC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Assar Gabrielssons Vag 9, Gothenburg, SWEDEN , 405 31.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8 to Schedule 13D ("Amendment No. 8") amends and supplements the Statement on Schedule 13D filed with the United States Securities and Exchange Commission on July 7, 2022 (as amended to date, the "Statement"), relating to Class A ordinary shares, par value $0.01 per share (the "Class A Shares"), of Polestar Automotive Holding UK PLC, a limited company incorporated under the laws of England and Wales (the "Issuer"). Capitalized terms used herein without definition shall have the meaning set forth in the Statement.</w:t>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4 of the Statement is hereby amended and supplemented by inserting the following: PUT OPTIONS AND GUARANTEE AGREEMENTS On December 19, 2025, Polestar Automotive Holding UK PLC (the "Issuer") entered into securities purchase agreements (collectively, the "Purchase Agreements") with each of Banco Bilbao Vizcaya Argentaria, S.A. and NATIXIS (each, a "Purchaser" and collectively, the "Purchasers"), pursuant to which the Issuer agreed to sell an aggregate of 15,511,892 Class A American Depositary Shares (the "Class A ADS") to the Purchasers through a private investment in public equity ("PIPE"). Concurrent with the entry into the Purchase Agreements, the Purchasers have each entered into a put option arrangement (each a "Put Option" and collectively, the "Put Options") with Geely Sweden Automotive Investment AB ("GSAI"), whose obligations under the Put Options are guaranteed (collectively, the "Guarantees") by Geely Sweden Holdings AB ("Geely Sweden"). GSAI is a wholly owned subsidiary of Geely Sweden. Each Put Option carries a three-year term and is extendable by one-year subject to mutual consent. Each Put Option allows the relevant Purchaser to sell the Class A ADSs acquired from the PIPE to GSAI at the end of the term at a pre-determined price to the extent such Purchaser has not disposed of such Class A ADSs before the end of the term. Upon the occurrence of certain events (e.g., delisting of the Issuer, acceleration of credit facilities of the Issuer and certain events of defaults by GSAI or Geely Sweden), a Purchaser could exercise its Put Option before the maturity date. In addition, GSAI can choose to early settle the Put Options in certain circumstances. The foregoing descriptions of the Put Options and the Guarantees do not purport to be complete, and are qualified in their entirety by reference to the form of each such agreement, which are attached as exhibits to this Schedule 13D and incorporated herein by reference. CONVERSION AGREEMENT Also on December 19, 2025, GSAI and the Issuer entered into a conversion agreement (the "Conversion Agreement") pursuant to which GSAI has agreed to convert approximately USD 300,000,000 of its outstanding principal and interest owed by the Issuer under the Term Facility Agreement, dated November 8, 2023, into equity. This conversion is expected to be completed after receipt of any necessary regulatory approvals. Upon signing of the Conversion Agreement and prior to completion of the conversion, it is expected that GSAI will transfer its rights under the Conversion Agreement to Geely Sweden Automotive Investment B.V. by means of a capital contribution.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Item 5(a) of the Statement is hereby amended and restated in its entirety as follows: The information contained on the cover pages to this Statement is incorporated herein by reference. The percentages of beneficial ownership set forth herein are based on 75,995,830 Class A ADSs and (ii) 996,419 Class B ADSs, issued and outstanding as of December 19, 2025. On December 9, 2025, the Company effected an ADS ratio change, pursuant to which the Issuer's Class A, Class B, Class C-1 and Class C-2 American Depositary Shares (collectively, the "ADSs") ratio to the respective Class A, Class B, Class C-1 and Class C-2 ordinary shares (the "ADS Ratio") changed from the ADS Ratio of one ADS to one (1) ordinary share, to the new ADS Ratio of one ADS to 30 ordinary shares (the "ADS Ratio Change"). The reporting person's beneficial ownership reported herein is presented on a post-ADS Ratio Change basis.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0"/>
              <w:jc w:val="left"/>
              <w:rPr/>
            </w:pPr>
            <w:r>
              <w:rPr/>
              <w:t>Item 5(b) of the Statement is hereby amended and restated in its entirety as follows: The information contained on the cover pages to this Statement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0"/>
              <w:jc w:val="left"/>
              <w:rPr/>
            </w:pPr>
            <w:r>
              <w:rPr/>
              <w:t>Item 5(c) of the Statement is hereby amended and supplemented as follows: Except as described in Item 4 of this Amendment No. 8, the Reporting Persons have not effected any transactions in the Issuer's Shares 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6 of the Statement is hereby amended and supplemented by inserting the following: Item 4 above summarizes certain provisions of the Put Options and the Guarantees and is incorporated herein by reference. A copy of the form of each agreement is filed as an exhibit to this Schedule 13D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7 of the Statement is hereby amended and supplemented by inserting the following: Exhibit 5: Form of Put Option Exhibit 6: Form of Guarantee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signatureInfo"/>
      <w:bookmarkStart w:id="57" w:name="signatureInfo"/>
      <w:bookmarkEnd w:id="5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862" w:type="dxa"/>
        <w:jc w:val="left"/>
        <w:tblInd w:w="0" w:type="dxa"/>
        <w:tblLayout w:type="fixed"/>
        <w:tblCellMar>
          <w:top w:w="28" w:type="dxa"/>
          <w:left w:w="28" w:type="dxa"/>
          <w:bottom w:w="28" w:type="dxa"/>
          <w:right w:w="28" w:type="dxa"/>
        </w:tblCellMar>
      </w:tblPr>
      <w:tblGrid>
        <w:gridCol w:w="931"/>
        <w:gridCol w:w="931"/>
      </w:tblGrid>
      <w:tr>
        <w:trPr/>
        <w:tc>
          <w:tcPr>
            <w:tcW w:w="931" w:type="dxa"/>
            <w:tcBorders/>
            <w:vAlign w:val="center"/>
          </w:tcPr>
          <w:p>
            <w:pPr>
              <w:pStyle w:val="TableContents"/>
              <w:bidi w:val="0"/>
              <w:spacing w:before="0" w:after="0"/>
              <w:jc w:val="left"/>
              <w:rPr/>
            </w:pPr>
            <w:r>
              <w:rPr/>
              <w:t> </w:t>
            </w:r>
          </w:p>
          <w:tbl>
            <w:tblPr>
              <w:tblW w:w="826" w:type="dxa"/>
              <w:jc w:val="left"/>
              <w:tblInd w:w="0" w:type="dxa"/>
              <w:tblLayout w:type="fixed"/>
              <w:tblCellMar>
                <w:top w:w="28" w:type="dxa"/>
                <w:left w:w="28" w:type="dxa"/>
                <w:bottom w:w="28" w:type="dxa"/>
                <w:right w:w="28" w:type="dxa"/>
              </w:tblCellMar>
            </w:tblPr>
            <w:tblGrid>
              <w:gridCol w:w="826"/>
            </w:tblGrid>
            <w:tr>
              <w:trPr/>
              <w:tc>
                <w:tcPr>
                  <w:tcW w:w="826" w:type="dxa"/>
                  <w:tcBorders/>
                  <w:vAlign w:val="center"/>
                </w:tcPr>
                <w:p>
                  <w:pPr>
                    <w:pStyle w:val="TableContents"/>
                    <w:bidi w:val="0"/>
                    <w:spacing w:before="0" w:after="0"/>
                    <w:jc w:val="left"/>
                    <w:rPr/>
                  </w:pPr>
                  <w:r>
                    <w:rPr/>
                    <w:t>Eric Li</w:t>
                  </w:r>
                </w:p>
              </w:tc>
            </w:tr>
          </w:tbl>
          <w:p>
            <w:pPr>
              <w:pStyle w:val="TableContents"/>
              <w:bidi w:val="0"/>
              <w:spacing w:before="0" w:after="283"/>
              <w:jc w:val="left"/>
              <w:rPr/>
            </w:pPr>
            <w:r>
              <w:rPr/>
            </w:r>
          </w:p>
        </w:tc>
        <w:tc>
          <w:tcPr>
            <w:tcW w:w="9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/s/ Eric Li</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Eric Li (Shufu Li)</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Volvo Car Corporation</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Hakan Samuelsson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Hakan Samuelsson,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Helen Hu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Helen Hu, Director &amp;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PSD Investment Limited</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Shufu Li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Shufu Li, Sole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PSD Capital Limited</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Shufu Li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Shufu Li, Sole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Snita Holding B.V.</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Fredrik Hansson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Fredrik Hansson, 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Helen Hu</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Helen Hu, Director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Volvo Car AB</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Hakan Samuelsson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Hakan Samuelsson,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Helen Hu</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Helen Hu, Director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Geely Sweden Holdings AB</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Shufu Li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Shufu Li,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Donghui Li</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Donghui Li, 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17"/>
        <w:gridCol w:w="4988"/>
      </w:tblGrid>
      <w:tr>
        <w:trPr/>
        <w:tc>
          <w:tcPr>
            <w:tcW w:w="5217" w:type="dxa"/>
            <w:tcBorders/>
            <w:vAlign w:val="center"/>
          </w:tcPr>
          <w:p>
            <w:pPr>
              <w:pStyle w:val="TableContents"/>
              <w:bidi w:val="0"/>
              <w:spacing w:before="0" w:after="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0"/>
                    <w:jc w:val="left"/>
                    <w:rPr/>
                  </w:pPr>
                  <w:r>
                    <w:rPr/>
                    <w:t>Shanghai Geely Zhaoyuan International Investment Co., Ltd</w:t>
                  </w:r>
                </w:p>
              </w:tc>
            </w:tr>
          </w:tbl>
          <w:p>
            <w:pPr>
              <w:pStyle w:val="TableContents"/>
              <w:bidi w:val="0"/>
              <w:spacing w:before="0" w:after="283"/>
              <w:jc w:val="left"/>
              <w:rPr/>
            </w:pPr>
            <w:r>
              <w:rPr/>
            </w:r>
          </w:p>
        </w:tc>
        <w:tc>
          <w:tcPr>
            <w:tcW w:w="49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Quang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2"/>
        <w:gridCol w:w="5013"/>
      </w:tblGrid>
      <w:tr>
        <w:trPr/>
        <w:tc>
          <w:tcPr>
            <w:tcW w:w="5192" w:type="dxa"/>
            <w:tcBorders/>
            <w:vAlign w:val="center"/>
          </w:tcPr>
          <w:p>
            <w:pPr>
              <w:pStyle w:val="TableContents"/>
              <w:bidi w:val="0"/>
              <w:spacing w:before="0" w:after="0"/>
              <w:jc w:val="left"/>
              <w:rPr/>
            </w:pPr>
            <w:r>
              <w:rPr/>
              <w:t> </w:t>
            </w:r>
          </w:p>
          <w:tbl>
            <w:tblPr>
              <w:tblW w:w="5656" w:type="dxa"/>
              <w:jc w:val="left"/>
              <w:tblInd w:w="0" w:type="dxa"/>
              <w:tblLayout w:type="fixed"/>
              <w:tblCellMar>
                <w:top w:w="28" w:type="dxa"/>
                <w:left w:w="28" w:type="dxa"/>
                <w:bottom w:w="28" w:type="dxa"/>
                <w:right w:w="28" w:type="dxa"/>
              </w:tblCellMar>
            </w:tblPr>
            <w:tblGrid>
              <w:gridCol w:w="5656"/>
            </w:tblGrid>
            <w:tr>
              <w:trPr/>
              <w:tc>
                <w:tcPr>
                  <w:tcW w:w="5656" w:type="dxa"/>
                  <w:tcBorders/>
                  <w:vAlign w:val="center"/>
                </w:tcPr>
                <w:p>
                  <w:pPr>
                    <w:pStyle w:val="TableContents"/>
                    <w:bidi w:val="0"/>
                    <w:spacing w:before="0" w:after="0"/>
                    <w:jc w:val="left"/>
                    <w:rPr/>
                  </w:pPr>
                  <w:r>
                    <w:rPr/>
                    <w:t>Beijing Geely Wanyuan International Investment Co., Ltd</w:t>
                  </w:r>
                </w:p>
              </w:tc>
            </w:tr>
          </w:tbl>
          <w:p>
            <w:pPr>
              <w:pStyle w:val="TableContents"/>
              <w:bidi w:val="0"/>
              <w:spacing w:before="0" w:after="283"/>
              <w:jc w:val="left"/>
              <w:rPr/>
            </w:pPr>
            <w:r>
              <w:rPr/>
            </w:r>
          </w:p>
        </w:tc>
        <w:tc>
          <w:tcPr>
            <w:tcW w:w="50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0"/>
        <w:gridCol w:w="5015"/>
      </w:tblGrid>
      <w:tr>
        <w:trPr/>
        <w:tc>
          <w:tcPr>
            <w:tcW w:w="5190" w:type="dxa"/>
            <w:tcBorders/>
            <w:vAlign w:val="center"/>
          </w:tcPr>
          <w:p>
            <w:pPr>
              <w:pStyle w:val="TableContents"/>
              <w:bidi w:val="0"/>
              <w:spacing w:before="0" w:after="0"/>
              <w:jc w:val="left"/>
              <w:rPr/>
            </w:pPr>
            <w:r>
              <w:rPr/>
              <w:t> </w:t>
            </w:r>
          </w:p>
          <w:tbl>
            <w:tblPr>
              <w:tblW w:w="5641" w:type="dxa"/>
              <w:jc w:val="left"/>
              <w:tblInd w:w="0" w:type="dxa"/>
              <w:tblLayout w:type="fixed"/>
              <w:tblCellMar>
                <w:top w:w="28" w:type="dxa"/>
                <w:left w:w="28" w:type="dxa"/>
                <w:bottom w:w="28" w:type="dxa"/>
                <w:right w:w="28" w:type="dxa"/>
              </w:tblCellMar>
            </w:tblPr>
            <w:tblGrid>
              <w:gridCol w:w="5641"/>
            </w:tblGrid>
            <w:tr>
              <w:trPr/>
              <w:tc>
                <w:tcPr>
                  <w:tcW w:w="5641" w:type="dxa"/>
                  <w:tcBorders/>
                  <w:vAlign w:val="center"/>
                </w:tcPr>
                <w:p>
                  <w:pPr>
                    <w:pStyle w:val="TableContents"/>
                    <w:bidi w:val="0"/>
                    <w:spacing w:before="0" w:after="0"/>
                    <w:jc w:val="left"/>
                    <w:rPr/>
                  </w:pPr>
                  <w:r>
                    <w:rPr/>
                    <w:t>Beijing Geely Kaisheng International Investment Co., Ltd</w:t>
                  </w:r>
                </w:p>
              </w:tc>
            </w:tr>
          </w:tbl>
          <w:p>
            <w:pPr>
              <w:pStyle w:val="TableContents"/>
              <w:bidi w:val="0"/>
              <w:spacing w:before="0" w:after="283"/>
              <w:jc w:val="left"/>
              <w:rPr/>
            </w:pPr>
            <w:r>
              <w:rPr/>
            </w:r>
          </w:p>
        </w:tc>
        <w:tc>
          <w:tcPr>
            <w:tcW w:w="5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Zhejiang Geely Holding Group Company Limited</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3"/>
        <w:gridCol w:w="4162"/>
      </w:tblGrid>
      <w:tr>
        <w:trPr/>
        <w:tc>
          <w:tcPr>
            <w:tcW w:w="60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Donghui Li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Donghui Li, Legal Representative &amp;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9030" w:type="dxa"/>
        <w:jc w:val="left"/>
        <w:tblInd w:w="0" w:type="dxa"/>
        <w:tblLayout w:type="fixed"/>
        <w:tblCellMar>
          <w:top w:w="28" w:type="dxa"/>
          <w:left w:w="28" w:type="dxa"/>
          <w:bottom w:w="28" w:type="dxa"/>
          <w:right w:w="28" w:type="dxa"/>
        </w:tblCellMar>
      </w:tblPr>
      <w:tblGrid>
        <w:gridCol w:w="4515"/>
        <w:gridCol w:w="4515"/>
      </w:tblGrid>
      <w:tr>
        <w:trPr/>
        <w:tc>
          <w:tcPr>
            <w:tcW w:w="4515" w:type="dxa"/>
            <w:tcBorders/>
            <w:vAlign w:val="center"/>
          </w:tcPr>
          <w:p>
            <w:pPr>
              <w:pStyle w:val="TableContents"/>
              <w:bidi w:val="0"/>
              <w:spacing w:before="0" w:after="0"/>
              <w:jc w:val="left"/>
              <w:rPr/>
            </w:pPr>
            <w:r>
              <w:rPr/>
              <w:t> </w:t>
            </w:r>
          </w:p>
          <w:tbl>
            <w:tblPr>
              <w:tblW w:w="4351" w:type="dxa"/>
              <w:jc w:val="left"/>
              <w:tblInd w:w="0" w:type="dxa"/>
              <w:tblLayout w:type="fixed"/>
              <w:tblCellMar>
                <w:top w:w="28" w:type="dxa"/>
                <w:left w:w="28" w:type="dxa"/>
                <w:bottom w:w="28" w:type="dxa"/>
                <w:right w:w="28" w:type="dxa"/>
              </w:tblCellMar>
            </w:tblPr>
            <w:tblGrid>
              <w:gridCol w:w="4351"/>
            </w:tblGrid>
            <w:tr>
              <w:trPr/>
              <w:tc>
                <w:tcPr>
                  <w:tcW w:w="4351" w:type="dxa"/>
                  <w:tcBorders/>
                  <w:vAlign w:val="center"/>
                </w:tcPr>
                <w:p>
                  <w:pPr>
                    <w:pStyle w:val="TableContents"/>
                    <w:bidi w:val="0"/>
                    <w:spacing w:before="0" w:after="0"/>
                    <w:jc w:val="left"/>
                    <w:rPr/>
                  </w:pPr>
                  <w:r>
                    <w:rPr/>
                    <w:t>Geely Sweden Automative Investment B.V.</w:t>
                  </w:r>
                </w:p>
              </w:tc>
            </w:tr>
          </w:tbl>
          <w:p>
            <w:pPr>
              <w:pStyle w:val="TableContents"/>
              <w:bidi w:val="0"/>
              <w:spacing w:before="0" w:after="283"/>
              <w:jc w:val="left"/>
              <w:rPr/>
            </w:pPr>
            <w:r>
              <w:rPr/>
            </w:r>
          </w:p>
        </w:tc>
        <w:tc>
          <w:tcPr>
            <w:tcW w:w="45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Per Ansgar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Per Ansgar, 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12/19/2025</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bookmarkStart w:id="58" w:name="tm2533976d1_ex-5.htm"/>
      <w:bookmarkStart w:id="59" w:name="kstm2533976d1_ex5"/>
      <w:bookmarkEnd w:id="58"/>
      <w:bookmarkEnd w:id="5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Confirmation of a Put Option Transaction dated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letter agreement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confirm the terms and conditions of the transaction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entered into between [NAME OF PARTY A] ( “</w:t>
      </w:r>
      <w:r>
        <w:rPr>
          <w:rFonts w:ascii="Times New Roman;Times;Serif" w:hAnsi="Times New Roman;Times;Serif"/>
          <w:b/>
          <w:i w:val="false"/>
          <w:caps w:val="false"/>
          <w:smallCaps w:val="false"/>
          <w:sz w:val="20"/>
        </w:rPr>
        <w:t>Party A</w:t>
      </w:r>
      <w:r>
        <w:rPr>
          <w:rFonts w:ascii="Times New Roman;Times;Serif" w:hAnsi="Times New Roman;Times;Serif"/>
          <w:b w:val="false"/>
          <w:i w:val="false"/>
          <w:caps w:val="false"/>
          <w:smallCaps w:val="false"/>
          <w:sz w:val="20"/>
        </w:rPr>
        <w:t>”) and GEELY SWEDEN AUTOMOTIVE INVESTMENT AB, a private company incorporated under the laws of the Kingdom of Sweden with company number 559263-3035 and LEI number 636700WH9NXF93UD7E07 (“</w:t>
      </w:r>
      <w:r>
        <w:rPr>
          <w:rFonts w:ascii="Times New Roman;Times;Serif" w:hAnsi="Times New Roman;Times;Serif"/>
          <w:b/>
          <w:i w:val="false"/>
          <w:caps w:val="false"/>
          <w:smallCaps w:val="false"/>
          <w:sz w:val="20"/>
        </w:rPr>
        <w:t>Party B</w:t>
      </w:r>
      <w:r>
        <w:rPr>
          <w:rFonts w:ascii="Times New Roman;Times;Serif" w:hAnsi="Times New Roman;Times;Serif"/>
          <w:b w:val="false"/>
          <w:i w:val="false"/>
          <w:caps w:val="false"/>
          <w:smallCaps w:val="false"/>
          <w:sz w:val="20"/>
        </w:rPr>
        <w:t>”) on the date of this Confirmation specified above (the “</w:t>
      </w:r>
      <w:r>
        <w:rPr>
          <w:rFonts w:ascii="Times New Roman;Times;Serif" w:hAnsi="Times New Roman;Times;Serif"/>
          <w:b/>
          <w:i w:val="false"/>
          <w:caps w:val="false"/>
          <w:smallCaps w:val="false"/>
          <w:sz w:val="20"/>
        </w:rPr>
        <w:t>Trade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constitutes a “Confirmation” as referred to in the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and provisions contained in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the 2007 Partial Lookthrough Depositary Receipt Supplement to the Equity Definitions (the “</w:t>
      </w:r>
      <w:r>
        <w:rPr>
          <w:rFonts w:ascii="Times New Roman;Times;Serif" w:hAnsi="Times New Roman;Times;Serif"/>
          <w:b/>
          <w:i w:val="false"/>
          <w:caps w:val="false"/>
          <w:smallCaps w:val="false"/>
          <w:sz w:val="20"/>
        </w:rPr>
        <w:t>DR Supplement</w:t>
      </w:r>
      <w:r>
        <w:rPr>
          <w:rFonts w:ascii="Times New Roman;Times;Serif" w:hAnsi="Times New Roman;Times;Serif"/>
          <w:b w:val="false"/>
          <w:i w:val="false"/>
          <w:caps w:val="false"/>
          <w:smallCaps w:val="false"/>
          <w:sz w:val="20"/>
        </w:rPr>
        <w:t>”, and together with the 2006 Definitions and the Equity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are incorporated into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constitutes a “Share Option Transaction” for the purposes of the Equity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Party A and Party B as to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shall supplement, form a part of, and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ISDA 2002 Master Agreement as published by ISDA together with the elections and amendments set out in Schedule A to this Confirmation as if Party A and Party B had executed an agreement in such form on the Trade Date. In the event of any inconsistency between this Confirmation, the Definitions and the Agreement, as the case may be, the following will prevail in the order of precedence indicated: (i) this Confirmation, (ii) the Definitions and (iii)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shall be the sole Transaction under the Agreement. If there exists any other ISDA Master Agreement between Party A and Party B or any confirmation or other agreement between Party A and Party B pursuant to which an ISDA Master Agreement is deemed to exist between Party A and Party B, then notwithstanding anything to the contrary in such ISDA Master Agreement, such confirmation or agreement or any other agreement to which Party A and Party B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 are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844"/>
        <w:gridCol w:w="9201"/>
      </w:tblGrid>
      <w:tr>
        <w:trPr/>
        <w:tc>
          <w:tcPr>
            <w:tcW w:w="1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b/>
              </w:rPr>
            </w:pPr>
            <w:r>
              <w:rPr>
                <w:b/>
              </w:rPr>
              <w:t>1.</w:t>
            </w:r>
          </w:p>
        </w:tc>
        <w:tc>
          <w:tcPr>
            <w:tcW w:w="9201" w:type="dxa"/>
            <w:tcBorders/>
            <w:vAlign w:val="center"/>
          </w:tcPr>
          <w:p>
            <w:pPr>
              <w:pStyle w:val="TableContents"/>
              <w:bidi w:val="0"/>
              <w:spacing w:before="0" w:after="283"/>
              <w:jc w:val="left"/>
              <w:rPr>
                <w:b/>
              </w:rPr>
            </w:pPr>
            <w:r>
              <w:rPr>
                <w:b/>
              </w:rPr>
              <w:t>GENERAL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9"/>
        <w:gridCol w:w="9216"/>
      </w:tblGrid>
      <w:tr>
        <w:trPr/>
        <w:tc>
          <w:tcPr>
            <w:tcW w:w="98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w:t>
            </w:r>
          </w:p>
          <w:p>
            <w:pPr>
              <w:pStyle w:val="TableContents"/>
              <w:bidi w:val="0"/>
              <w:spacing w:before="0" w:after="0"/>
              <w:ind w:left="0" w:right="0" w:hanging="0"/>
              <w:jc w:val="left"/>
              <w:rPr>
                <w:caps w:val="false"/>
                <w:smallCaps w:val="false"/>
              </w:rPr>
            </w:pPr>
            <w:r>
              <w:rPr>
                <w:caps w:val="false"/>
                <w:smallCaps w:val="false"/>
              </w:rPr>
              <w:t> </w:t>
            </w:r>
          </w:p>
        </w:tc>
        <w:tc>
          <w:tcPr>
            <w:tcW w:w="9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w:t>
            </w:r>
          </w:p>
        </w:tc>
      </w:tr>
      <w:tr>
        <w:trPr/>
        <w:tc>
          <w:tcPr>
            <w:tcW w:w="98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w:t>
            </w:r>
          </w:p>
          <w:p>
            <w:pPr>
              <w:pStyle w:val="TableContents"/>
              <w:bidi w:val="0"/>
              <w:spacing w:before="0" w:after="0"/>
              <w:ind w:left="0" w:right="0" w:hanging="0"/>
              <w:jc w:val="left"/>
              <w:rPr>
                <w:caps w:val="false"/>
                <w:smallCaps w:val="false"/>
              </w:rPr>
            </w:pPr>
            <w:r>
              <w:rPr>
                <w:caps w:val="false"/>
                <w:smallCaps w:val="false"/>
              </w:rPr>
              <w:t> </w:t>
            </w:r>
          </w:p>
        </w:tc>
        <w:tc>
          <w:tcPr>
            <w:tcW w:w="9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w:t>
            </w:r>
          </w:p>
        </w:tc>
      </w:tr>
      <w:tr>
        <w:trPr/>
        <w:tc>
          <w:tcPr>
            <w:tcW w:w="98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Style:</w:t>
            </w:r>
          </w:p>
          <w:p>
            <w:pPr>
              <w:pStyle w:val="TableContents"/>
              <w:bidi w:val="0"/>
              <w:spacing w:before="0" w:after="0"/>
              <w:ind w:left="0" w:right="0" w:hanging="0"/>
              <w:jc w:val="left"/>
              <w:rPr>
                <w:caps w:val="false"/>
                <w:smallCaps w:val="false"/>
              </w:rPr>
            </w:pPr>
            <w:r>
              <w:rPr>
                <w:caps w:val="false"/>
                <w:smallCaps w:val="false"/>
              </w:rPr>
              <w:t> </w:t>
            </w:r>
          </w:p>
        </w:tc>
        <w:tc>
          <w:tcPr>
            <w:tcW w:w="9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Bermuda.</w:t>
            </w:r>
          </w:p>
        </w:tc>
      </w:tr>
      <w:tr>
        <w:trPr/>
        <w:tc>
          <w:tcPr>
            <w:tcW w:w="98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Type:</w:t>
            </w:r>
          </w:p>
          <w:p>
            <w:pPr>
              <w:pStyle w:val="TableContents"/>
              <w:bidi w:val="0"/>
              <w:spacing w:before="0" w:after="0"/>
              <w:ind w:left="0" w:right="0" w:hanging="0"/>
              <w:jc w:val="left"/>
              <w:rPr>
                <w:caps w:val="false"/>
                <w:smallCaps w:val="false"/>
              </w:rPr>
            </w:pPr>
            <w:r>
              <w:rPr>
                <w:caps w:val="false"/>
                <w:smallCaps w:val="false"/>
              </w:rPr>
              <w:t> </w:t>
            </w:r>
          </w:p>
        </w:tc>
        <w:tc>
          <w:tcPr>
            <w:tcW w:w="9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Put.</w:t>
            </w:r>
          </w:p>
        </w:tc>
      </w:tr>
      <w:tr>
        <w:trPr/>
        <w:tc>
          <w:tcPr>
            <w:tcW w:w="98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left"/>
              <w:rPr>
                <w:caps w:val="false"/>
                <w:smallCaps w:val="false"/>
              </w:rPr>
            </w:pPr>
            <w:r>
              <w:rPr>
                <w:caps w:val="false"/>
                <w:smallCaps w:val="false"/>
              </w:rPr>
              <w:t> </w:t>
            </w:r>
          </w:p>
        </w:tc>
        <w:tc>
          <w:tcPr>
            <w:tcW w:w="9216" w:type="dxa"/>
            <w:tcBorders/>
            <w:vAlign w:val="center"/>
          </w:tcPr>
          <w:p>
            <w:pPr>
              <w:pStyle w:val="TableContents"/>
              <w:bidi w:val="0"/>
              <w:spacing w:before="0" w:after="0"/>
              <w:ind w:left="8" w:right="0" w:hanging="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American Depositary Shares of the Underlying Shares Issuer, each representing as on the date of this Confirmation, 30 Underlying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1"/>
        <w:gridCol w:w="8754"/>
      </w:tblGrid>
      <w:tr>
        <w:trPr/>
        <w:tc>
          <w:tcPr>
            <w:tcW w:w="1451" w:type="dxa"/>
            <w:tcBorders/>
            <w:vAlign w:val="center"/>
          </w:tcPr>
          <w:p>
            <w:pPr>
              <w:pStyle w:val="TableContents"/>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Underlying Shares:</w:t>
            </w:r>
          </w:p>
        </w:tc>
        <w:tc>
          <w:tcPr>
            <w:tcW w:w="87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of the Underlying Shares Issuer, par value US$0.01 each.</w:t>
            </w:r>
          </w:p>
          <w:p>
            <w:pPr>
              <w:pStyle w:val="TableContents"/>
              <w:bidi w:val="0"/>
              <w:spacing w:before="0" w:after="0"/>
              <w:ind w:left="0" w:right="0" w:hanging="0"/>
              <w:jc w:val="both"/>
              <w:rPr>
                <w:caps w:val="false"/>
                <w:smallCaps w:val="false"/>
              </w:rPr>
            </w:pPr>
            <w:r>
              <w:rPr>
                <w:caps w:val="false"/>
                <w:smallCaps w:val="false"/>
              </w:rPr>
              <w:t> </w:t>
            </w:r>
          </w:p>
        </w:tc>
      </w:tr>
      <w:tr>
        <w:trPr/>
        <w:tc>
          <w:tcPr>
            <w:tcW w:w="14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Unseasoned Shares:</w:t>
            </w:r>
          </w:p>
        </w:tc>
        <w:tc>
          <w:tcPr>
            <w:tcW w:w="87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that are subject to a 40-day distribution compliance period in the form of “Restricted ADSs” (as defined in the Deposit Agreement).</w:t>
            </w:r>
          </w:p>
        </w:tc>
      </w:tr>
      <w:tr>
        <w:trPr/>
        <w:tc>
          <w:tcPr>
            <w:tcW w:w="1451" w:type="dxa"/>
            <w:tcBorders/>
            <w:vAlign w:val="center"/>
          </w:tcPr>
          <w:p>
            <w:pPr>
              <w:pStyle w:val="TableContents"/>
              <w:bidi w:val="0"/>
              <w:spacing w:before="0" w:after="283"/>
              <w:jc w:val="left"/>
              <w:rPr/>
            </w:pPr>
            <w:r>
              <w:rPr/>
              <w:t> </w:t>
            </w:r>
          </w:p>
        </w:tc>
        <w:tc>
          <w:tcPr>
            <w:tcW w:w="8754" w:type="dxa"/>
            <w:tcBorders/>
            <w:vAlign w:val="center"/>
          </w:tcPr>
          <w:p>
            <w:pPr>
              <w:pStyle w:val="TableContents"/>
              <w:bidi w:val="0"/>
              <w:spacing w:before="0" w:after="283"/>
              <w:jc w:val="both"/>
              <w:rPr/>
            </w:pPr>
            <w:r>
              <w:rPr/>
              <w:t> </w:t>
            </w:r>
          </w:p>
        </w:tc>
      </w:tr>
      <w:tr>
        <w:trPr/>
        <w:tc>
          <w:tcPr>
            <w:tcW w:w="14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Seasoned Shares:</w:t>
            </w:r>
          </w:p>
        </w:tc>
        <w:tc>
          <w:tcPr>
            <w:tcW w:w="87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are in book-entry form without any restrictive legends and allowed to be settled through the Clearance System’s regular book-entry settlement services.</w:t>
            </w:r>
          </w:p>
          <w:p>
            <w:pPr>
              <w:pStyle w:val="TableContents"/>
              <w:bidi w:val="0"/>
              <w:spacing w:before="0" w:after="0"/>
              <w:ind w:left="0" w:right="0" w:hanging="0"/>
              <w:jc w:val="both"/>
              <w:rPr>
                <w:caps w:val="false"/>
                <w:smallCaps w:val="false"/>
              </w:rPr>
            </w:pPr>
            <w:r>
              <w:rPr>
                <w:caps w:val="false"/>
                <w:smallCaps w:val="false"/>
              </w:rPr>
              <w:t> </w:t>
            </w:r>
          </w:p>
        </w:tc>
      </w:tr>
      <w:tr>
        <w:trPr/>
        <w:tc>
          <w:tcPr>
            <w:tcW w:w="1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87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r>
          </w:p>
          <w:p>
            <w:pPr>
              <w:pStyle w:val="TableContents"/>
              <w:bidi w:val="0"/>
              <w:spacing w:before="0" w:after="0"/>
              <w:ind w:left="0" w:right="0" w:hanging="0"/>
              <w:jc w:val="both"/>
              <w:rPr>
                <w:caps w:val="false"/>
                <w:smallCaps w:val="false"/>
              </w:rPr>
            </w:pPr>
            <w:r>
              <w:rPr>
                <w:caps w:val="false"/>
                <w:smallCaps w:val="false"/>
              </w:rPr>
              <w:t> </w:t>
            </w:r>
          </w:p>
        </w:tc>
      </w:tr>
      <w:tr>
        <w:trPr/>
        <w:tc>
          <w:tcPr>
            <w:tcW w:w="14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Underlying Shares Issuer:</w:t>
            </w:r>
          </w:p>
        </w:tc>
        <w:tc>
          <w:tcPr>
            <w:tcW w:w="87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Automotive Holding UK PLC, a public limited company incorporated under the laws of England and Wales with company number 13624182.</w:t>
            </w:r>
          </w:p>
          <w:p>
            <w:pPr>
              <w:pStyle w:val="TableContents"/>
              <w:bidi w:val="0"/>
              <w:spacing w:before="0" w:after="0"/>
              <w:ind w:left="0" w:right="0" w:hanging="0"/>
              <w:jc w:val="both"/>
              <w:rPr>
                <w:caps w:val="false"/>
                <w:smallCaps w:val="false"/>
              </w:rPr>
            </w:pPr>
            <w:r>
              <w:rPr>
                <w:caps w:val="false"/>
                <w:smallCaps w:val="false"/>
              </w:rPr>
              <w:t> </w:t>
            </w:r>
          </w:p>
        </w:tc>
      </w:tr>
      <w:tr>
        <w:trPr/>
        <w:tc>
          <w:tcPr>
            <w:tcW w:w="14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Agreement:</w:t>
            </w:r>
          </w:p>
        </w:tc>
        <w:tc>
          <w:tcPr>
            <w:tcW w:w="87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by and among the Underlying Shares Issuer, the Issuer as depositary and the holders and beneficial owners of Class A American depositary shares issued thereunder dated as of 23 June 2022, and in the case of Unseasoned Shares, as supplemented by the Restricted Shares Agreement.</w:t>
            </w:r>
          </w:p>
          <w:p>
            <w:pPr>
              <w:pStyle w:val="TableContents"/>
              <w:bidi w:val="0"/>
              <w:spacing w:before="0" w:after="0"/>
              <w:ind w:left="0" w:right="0" w:hanging="0"/>
              <w:jc w:val="both"/>
              <w:rPr>
                <w:caps w:val="false"/>
                <w:smallCaps w:val="false"/>
              </w:rPr>
            </w:pPr>
            <w:r>
              <w:rPr>
                <w:caps w:val="false"/>
                <w:smallCaps w:val="false"/>
              </w:rPr>
              <w:t> </w:t>
            </w:r>
          </w:p>
        </w:tc>
      </w:tr>
      <w:tr>
        <w:trPr/>
        <w:tc>
          <w:tcPr>
            <w:tcW w:w="14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Shares Agreement:</w:t>
            </w:r>
          </w:p>
        </w:tc>
        <w:tc>
          <w:tcPr>
            <w:tcW w:w="87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A Restricted ADS Letter Agreement by and between the Underlying Shares Issuer and the Issuer as depositary dated as of 23 June 2022.</w:t>
            </w:r>
          </w:p>
        </w:tc>
      </w:tr>
      <w:tr>
        <w:trPr/>
        <w:tc>
          <w:tcPr>
            <w:tcW w:w="1451" w:type="dxa"/>
            <w:tcBorders/>
            <w:vAlign w:val="center"/>
          </w:tcPr>
          <w:p>
            <w:pPr>
              <w:pStyle w:val="TableContents"/>
              <w:bidi w:val="0"/>
              <w:spacing w:before="0" w:after="283"/>
              <w:jc w:val="left"/>
              <w:rPr/>
            </w:pPr>
            <w:r>
              <w:rPr/>
              <w:t> </w:t>
            </w:r>
          </w:p>
        </w:tc>
        <w:tc>
          <w:tcPr>
            <w:tcW w:w="8754" w:type="dxa"/>
            <w:tcBorders/>
            <w:vAlign w:val="center"/>
          </w:tcPr>
          <w:p>
            <w:pPr>
              <w:pStyle w:val="TableContents"/>
              <w:bidi w:val="0"/>
              <w:spacing w:before="0" w:after="283"/>
              <w:jc w:val="both"/>
              <w:rPr/>
            </w:pPr>
            <w:r>
              <w:rPr/>
              <w:t> </w:t>
            </w:r>
          </w:p>
        </w:tc>
      </w:tr>
      <w:tr>
        <w:trPr/>
        <w:tc>
          <w:tcPr>
            <w:tcW w:w="14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w:t>
            </w:r>
          </w:p>
        </w:tc>
        <w:tc>
          <w:tcPr>
            <w:tcW w:w="87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Underlying Shares, any other shares, preferred shares, warrants, rights, options or other similar instruments or securities which are convertible into or exercisable or exchangeable for, or which carry a right to subscribe for or purchase Underlying Shares or other ordinary shares of the Underlying Shares Issuer.</w:t>
            </w:r>
          </w:p>
          <w:p>
            <w:pPr>
              <w:pStyle w:val="TableContents"/>
              <w:bidi w:val="0"/>
              <w:spacing w:before="0" w:after="0"/>
              <w:ind w:left="0" w:right="0" w:hanging="0"/>
              <w:jc w:val="both"/>
              <w:rPr>
                <w:caps w:val="false"/>
                <w:smallCaps w:val="false"/>
              </w:rPr>
            </w:pPr>
            <w:r>
              <w:rPr>
                <w:caps w:val="false"/>
                <w:smallCaps w:val="false"/>
              </w:rPr>
              <w:t> </w:t>
            </w:r>
          </w:p>
        </w:tc>
      </w:tr>
      <w:tr>
        <w:trPr/>
        <w:tc>
          <w:tcPr>
            <w:tcW w:w="14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w:t>
            </w:r>
          </w:p>
        </w:tc>
        <w:tc>
          <w:tcPr>
            <w:tcW w:w="87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 The additional consideration for Party B entering into the Transaction shall be the entry by Party A of the Securities Purchase Agreement.</w:t>
            </w:r>
          </w:p>
          <w:p>
            <w:pPr>
              <w:pStyle w:val="TableContents"/>
              <w:bidi w:val="0"/>
              <w:spacing w:before="0" w:after="0"/>
              <w:ind w:left="0" w:right="0" w:hanging="0"/>
              <w:jc w:val="both"/>
              <w:rPr>
                <w:caps w:val="false"/>
                <w:smallCaps w:val="false"/>
              </w:rPr>
            </w:pPr>
            <w:r>
              <w:rPr>
                <w:caps w:val="false"/>
                <w:smallCaps w:val="false"/>
              </w:rPr>
              <w:t> </w:t>
            </w:r>
          </w:p>
        </w:tc>
      </w:tr>
      <w:tr>
        <w:trPr/>
        <w:tc>
          <w:tcPr>
            <w:tcW w:w="1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Premium Payment Date:</w:t>
            </w:r>
          </w:p>
        </w:tc>
        <w:tc>
          <w:tcPr>
            <w:tcW w:w="87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4"/>
        <w:gridCol w:w="8751"/>
      </w:tblGrid>
      <w:tr>
        <w:trPr/>
        <w:tc>
          <w:tcPr>
            <w:tcW w:w="145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Options:</w:t>
            </w:r>
          </w:p>
          <w:p>
            <w:pPr>
              <w:pStyle w:val="TableContents"/>
              <w:bidi w:val="0"/>
              <w:spacing w:before="0" w:after="0"/>
              <w:ind w:left="0" w:right="0" w:hanging="0"/>
              <w:jc w:val="left"/>
              <w:rPr>
                <w:caps w:val="false"/>
                <w:smallCaps w:val="false"/>
              </w:rPr>
            </w:pPr>
            <w:r>
              <w:rPr>
                <w:caps w:val="false"/>
                <w:smallCaps w:val="false"/>
              </w:rPr>
              <w:t> </w:t>
            </w:r>
          </w:p>
        </w:tc>
        <w:tc>
          <w:tcPr>
            <w:tcW w:w="87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day (a “</w:t>
            </w:r>
            <w:r>
              <w:rPr>
                <w:rFonts w:ascii="Times New Roman;Times;Serif" w:hAnsi="Times New Roman;Times;Serif"/>
                <w:b/>
                <w:i w:val="false"/>
                <w:caps w:val="false"/>
                <w:smallCaps w:val="false"/>
                <w:sz w:val="20"/>
              </w:rPr>
              <w:t>Determination Day</w:t>
            </w:r>
            <w:r>
              <w:rPr>
                <w:rFonts w:ascii="Times New Roman;Times;Serif" w:hAnsi="Times New Roman;Times;Serif"/>
                <w:b w:val="false"/>
                <w:i w:val="false"/>
                <w:caps w:val="false"/>
                <w:smallCaps w:val="false"/>
                <w:sz w:val="20"/>
              </w:rPr>
              <w:t>”) during the period from (and including) the Trade Date to (and including) the Expiration Date, a number of Options equal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(x) the number of Placement Shares that have been purchased and fully paid for by Party A in the Share Subscription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 xml:space="preserve">(y) the Option Entitlement; </w:t>
            </w:r>
            <w:r>
              <w:rPr>
                <w:rFonts w:ascii="Times New Roman;Times;Serif" w:hAnsi="Times New Roman;Times;Serif"/>
                <w:b w:val="false"/>
                <w:i/>
                <w:caps w:val="false"/>
                <w:smallCaps w:val="false"/>
                <w:sz w:val="20"/>
              </w:rPr>
              <w:t>minus</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(x) the sum of the Number of Disposed Shares in respect of all Relevant Transactions entered into by Party A or any of its Affiliates during the period from (and including) the Trade Date to (and including) such Determination Day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 xml:space="preserve">(y) the Option Entitlement; </w:t>
            </w:r>
            <w:r>
              <w:rPr>
                <w:rFonts w:ascii="Times New Roman;Times;Serif" w:hAnsi="Times New Roman;Times;Serif"/>
                <w:b w:val="false"/>
                <w:i/>
                <w:caps w:val="false"/>
                <w:smallCaps w:val="false"/>
                <w:sz w:val="20"/>
              </w:rPr>
              <w:t>minus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sum of the Number of Options to be Exercised for each Exercise Date that has occurred prior to (but excluding) such Determination Day; </w:t>
            </w:r>
            <w:r>
              <w:rPr>
                <w:rFonts w:ascii="Times New Roman;Times;Serif" w:hAnsi="Times New Roman;Times;Serif"/>
                <w:b w:val="false"/>
                <w:i/>
                <w:caps w:val="false"/>
                <w:smallCaps w:val="false"/>
                <w:sz w:val="20"/>
              </w:rPr>
              <w:t>minus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sum of the Number of Options to be Early Settled for each Early Settlement Date that has occurred prior to (but excluding) such Determination Day.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Number of Options shall not be adjusted if Party A or any of its Affiliates purchases or acquires any additional Shares outside of the Share Subscription, except that the Number of Options may be adjusted upwards to reflect any adjustment made by the Calculation Agent due to distribution of bonus shares.</w:t>
            </w:r>
          </w:p>
          <w:p>
            <w:pPr>
              <w:pStyle w:val="TableContents"/>
              <w:bidi w:val="0"/>
              <w:spacing w:before="0" w:after="0"/>
              <w:ind w:left="0" w:right="0" w:hanging="0"/>
              <w:jc w:val="both"/>
              <w:rPr>
                <w:caps w:val="false"/>
                <w:smallCaps w:val="false"/>
              </w:rPr>
            </w:pPr>
            <w:r>
              <w:rPr>
                <w:caps w:val="false"/>
                <w:smallCaps w:val="false"/>
              </w:rPr>
              <w:t> </w:t>
            </w:r>
          </w:p>
        </w:tc>
      </w:tr>
      <w:tr>
        <w:trPr/>
        <w:tc>
          <w:tcPr>
            <w:tcW w:w="145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Exercisable Options:</w:t>
            </w:r>
          </w:p>
          <w:p>
            <w:pPr>
              <w:pStyle w:val="TableContents"/>
              <w:bidi w:val="0"/>
              <w:spacing w:before="0" w:after="0"/>
              <w:ind w:left="0" w:right="0" w:hanging="0"/>
              <w:jc w:val="left"/>
              <w:rPr>
                <w:caps w:val="false"/>
                <w:smallCaps w:val="false"/>
              </w:rPr>
            </w:pPr>
            <w:r>
              <w:rPr>
                <w:caps w:val="false"/>
                <w:smallCaps w:val="false"/>
              </w:rPr>
              <w:t> </w:t>
            </w:r>
          </w:p>
        </w:tc>
        <w:tc>
          <w:tcPr>
            <w:tcW w:w="87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day (a “</w:t>
            </w:r>
            <w:r>
              <w:rPr>
                <w:rFonts w:ascii="Times New Roman;Times;Serif" w:hAnsi="Times New Roman;Times;Serif"/>
                <w:b/>
                <w:i w:val="false"/>
                <w:caps w:val="false"/>
                <w:smallCaps w:val="false"/>
                <w:sz w:val="20"/>
              </w:rPr>
              <w:t>Determination Day</w:t>
            </w:r>
            <w:r>
              <w:rPr>
                <w:rFonts w:ascii="Times New Roman;Times;Serif" w:hAnsi="Times New Roman;Times;Serif"/>
                <w:b w:val="false"/>
                <w:i w:val="false"/>
                <w:caps w:val="false"/>
                <w:smallCaps w:val="false"/>
                <w:sz w:val="20"/>
              </w:rPr>
              <w:t>”) during the period from (and including) the Trade Date to (and including) the Expiration Date, a number of Options equal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Number of Options on such Determination Day; </w:t>
            </w:r>
            <w:r>
              <w:rPr>
                <w:rFonts w:ascii="Times New Roman;Times;Serif" w:hAnsi="Times New Roman;Times;Serif"/>
                <w:b w:val="false"/>
                <w:i/>
                <w:caps w:val="false"/>
                <w:smallCaps w:val="false"/>
                <w:sz w:val="20"/>
              </w:rPr>
              <w:t>minus</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maximum number of Options proposed to be exercised on a future Exercise Date as specified in any Buyer Exercise Notice or Early Buyer Exercise Notice delivered prior to such Determination Day; </w:t>
            </w:r>
            <w:r>
              <w:rPr>
                <w:rFonts w:ascii="Times New Roman;Times;Serif" w:hAnsi="Times New Roman;Times;Serif"/>
                <w:b w:val="false"/>
                <w:i/>
                <w:caps w:val="false"/>
                <w:smallCaps w:val="false"/>
                <w:sz w:val="20"/>
              </w:rPr>
              <w:t>minus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maximum number of Options proposed to be early settled on a future Early Settlement Date as specified in any Seller Settlement Notice delivered prior to such Determination Day,</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subject to the “Early Buyer Exercise Notice” provision below and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such calculation yields a number which is less than zero, then the Number of Exercisable Options shall be deemed to be zero.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7"/>
        <w:gridCol w:w="8968"/>
      </w:tblGrid>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Entitlement:</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Share per Option.</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day (a “</w:t>
            </w:r>
            <w:r>
              <w:rPr>
                <w:rFonts w:ascii="Times New Roman;Times;Serif" w:hAnsi="Times New Roman;Times;Serif"/>
                <w:b/>
                <w:i w:val="false"/>
                <w:caps w:val="false"/>
                <w:smallCaps w:val="false"/>
                <w:sz w:val="20"/>
              </w:rPr>
              <w:t>Strike Price Determination Day</w:t>
            </w:r>
            <w:r>
              <w:rPr>
                <w:rFonts w:ascii="Times New Roman;Times;Serif" w:hAnsi="Times New Roman;Times;Serif"/>
                <w:b w:val="false"/>
                <w:i w:val="false"/>
                <w:caps w:val="false"/>
                <w:smallCaps w:val="false"/>
                <w:sz w:val="20"/>
              </w:rPr>
              <w:t>”) from the Closing Date, an amount in USD equal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drawing>
                <wp:inline distT="0" distB="0" distL="0" distR="0">
                  <wp:extent cx="3095625" cy="3524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3095625" cy="352425"/>
                          </a:xfrm>
                          <a:prstGeom prst="rect">
                            <a:avLst/>
                          </a:prstGeom>
                        </pic:spPr>
                      </pic:pic>
                    </a:graphicData>
                  </a:graphic>
                </wp:inline>
              </w:drawing>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calendar days from (and including) the Closing Date to (and excluding) the Strike Price Determination Day.</w:t>
            </w:r>
          </w:p>
          <w:p>
            <w:pPr>
              <w:pStyle w:val="TableContents"/>
              <w:bidi w:val="0"/>
              <w:spacing w:before="0" w:after="0"/>
              <w:ind w:left="654" w:right="0" w:hanging="654"/>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8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“Closing Date” as defined in the Securities Purchase Agreement.</w:t>
            </w:r>
          </w:p>
        </w:tc>
      </w:tr>
      <w:tr>
        <w:trPr/>
        <w:tc>
          <w:tcPr>
            <w:tcW w:w="1237"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both"/>
              <w:rPr/>
            </w:pPr>
            <w:r>
              <w:rPr/>
              <w:t> </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Rate:</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w:t>
            </w:r>
          </w:p>
        </w:tc>
      </w:tr>
      <w:tr>
        <w:trPr/>
        <w:tc>
          <w:tcPr>
            <w:tcW w:w="1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Market.</w:t>
            </w:r>
          </w:p>
          <w:p>
            <w:pPr>
              <w:pStyle w:val="TableContents"/>
              <w:bidi w:val="0"/>
              <w:spacing w:before="0" w:after="0"/>
              <w:ind w:left="0" w:right="0" w:hanging="0"/>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Exchange:</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Exchanges</w:t>
            </w:r>
          </w:p>
          <w:p>
            <w:pPr>
              <w:pStyle w:val="TableContents"/>
              <w:bidi w:val="0"/>
              <w:spacing w:before="0" w:after="0"/>
              <w:ind w:left="0" w:right="0" w:hanging="0"/>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Currency:</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USD.</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Geely Sweden Holdings AB, a company incorporated under the laws of the Kingdom of Sweden with corporate identity number 556810-9010.</w:t>
            </w:r>
          </w:p>
          <w:p>
            <w:pPr>
              <w:pStyle w:val="TableContents"/>
              <w:bidi w:val="0"/>
              <w:spacing w:before="0" w:after="0"/>
              <w:ind w:left="0" w:right="0" w:hanging="0"/>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deed of guarantee dated on or about the Trade Date between the Guarantor and Party A.</w:t>
            </w:r>
          </w:p>
          <w:p>
            <w:pPr>
              <w:pStyle w:val="TableContents"/>
              <w:bidi w:val="0"/>
              <w:spacing w:before="0" w:after="0"/>
              <w:ind w:left="0" w:right="0" w:hanging="0"/>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Keepwell Provider:</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Zhejiang Geely Holding Group Co., Ltd. (</w:t>
            </w:r>
            <w:r>
              <w:rPr>
                <w:rFonts w:eastAsia="Times New Roman;Times;Serif"/>
                <w:b w:val="false"/>
                <w:i w:val="false"/>
                <w:caps w:val="false"/>
                <w:smallCaps w:val="false"/>
                <w:sz w:val="20"/>
              </w:rPr>
              <w:t>浙江吉利控股集团有限公司</w:t>
            </w:r>
            <w:r>
              <w:rPr>
                <w:rFonts w:ascii="Times New Roman;Times;Serif" w:hAnsi="Times New Roman;Times;Serif"/>
                <w:b w:val="false"/>
                <w:i w:val="false"/>
                <w:caps w:val="false"/>
                <w:smallCaps w:val="false"/>
                <w:sz w:val="20"/>
              </w:rPr>
              <w:t>), a company incorporated in the PRC with unified credit number 91330000747735638J.</w:t>
            </w:r>
          </w:p>
          <w:p>
            <w:pPr>
              <w:pStyle w:val="TableContents"/>
              <w:bidi w:val="0"/>
              <w:spacing w:before="0" w:after="0"/>
              <w:ind w:left="0" w:right="0" w:hanging="0"/>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Keepwell Deed:</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keepwell deed dated on or about the Trade Date between the Keepwell Provider and Party A.</w:t>
            </w:r>
          </w:p>
          <w:p>
            <w:pPr>
              <w:pStyle w:val="TableContents"/>
              <w:bidi w:val="0"/>
              <w:spacing w:before="0" w:after="0"/>
              <w:ind w:left="0" w:right="0" w:hanging="0"/>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Documents:</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(including this Confirmation), the Guarantee and the Keepwell Deed.</w:t>
            </w:r>
          </w:p>
          <w:p>
            <w:pPr>
              <w:pStyle w:val="TableContents"/>
              <w:bidi w:val="0"/>
              <w:spacing w:before="0" w:after="0"/>
              <w:ind w:left="0" w:right="0" w:hanging="0"/>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 Agreement:</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entered into between Party A (as purchaser) and the Underlying Shares Issuer (as company) on or about the Trade Date pursuant to which the Underlying Shares Issuer agrees to sell and cause the Depositary to issue to Party A, and Party A agrees to purchase, the Placement Shares at a price equal to the Initial Issue Price per Share (the “</w:t>
            </w:r>
            <w:r>
              <w:rPr>
                <w:rFonts w:ascii="Times New Roman;Times;Serif" w:hAnsi="Times New Roman;Times;Serif"/>
                <w:b/>
                <w:i w:val="false"/>
                <w:caps w:val="false"/>
                <w:smallCaps w:val="false"/>
                <w:sz w:val="20"/>
              </w:rPr>
              <w:t>Share Subscription</w:t>
            </w:r>
            <w:r>
              <w:rPr>
                <w:rFonts w:ascii="Times New Roman;Times;Serif" w:hAnsi="Times New Roman;Times;Serif"/>
                <w:b w:val="false"/>
                <w:i w:val="false"/>
                <w:caps w:val="false"/>
                <w:smallCaps w:val="false"/>
                <w:sz w:val="20"/>
              </w:rPr>
              <w:t>”).</w:t>
            </w:r>
          </w:p>
          <w:p>
            <w:pPr>
              <w:pStyle w:val="TableContents"/>
              <w:bidi w:val="0"/>
              <w:spacing w:before="0" w:after="0"/>
              <w:ind w:left="360" w:right="0" w:hanging="0"/>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Shares:</w:t>
            </w:r>
          </w:p>
          <w:p>
            <w:pPr>
              <w:pStyle w:val="TableContents"/>
              <w:bidi w:val="0"/>
              <w:spacing w:before="0" w:after="0"/>
              <w:ind w:left="0" w:right="0" w:hanging="0"/>
              <w:jc w:val="left"/>
              <w:rPr>
                <w:caps w:val="false"/>
                <w:smallCaps w:val="false"/>
              </w:rPr>
            </w:pPr>
            <w:r>
              <w:rPr>
                <w:caps w:val="false"/>
                <w:smallCaps w:val="false"/>
              </w:rPr>
              <w:t> </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 ] Unseasoned Shares subscribed and fully paid for by Party A pursuant to the Share Subscription, and any Seasoned Shares converted therefrom.</w:t>
            </w:r>
          </w:p>
          <w:p>
            <w:pPr>
              <w:pStyle w:val="TableContents"/>
              <w:bidi w:val="0"/>
              <w:spacing w:before="0" w:after="0"/>
              <w:ind w:left="0" w:right="0" w:hanging="0"/>
              <w:jc w:val="both"/>
              <w:rPr>
                <w:caps w:val="false"/>
                <w:smallCaps w:val="false"/>
              </w:rPr>
            </w:pPr>
            <w:r>
              <w:rPr>
                <w:caps w:val="false"/>
                <w:smallCaps w:val="false"/>
              </w:rPr>
              <w:t> </w:t>
            </w:r>
          </w:p>
        </w:tc>
      </w:tr>
      <w:tr>
        <w:trPr/>
        <w:tc>
          <w:tcPr>
            <w:tcW w:w="12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Issue Price:</w:t>
            </w:r>
          </w:p>
        </w:tc>
        <w:tc>
          <w:tcPr>
            <w:tcW w:w="8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22"/>
        <w:gridCol w:w="8983"/>
      </w:tblGrid>
      <w:tr>
        <w:trPr/>
        <w:tc>
          <w:tcPr>
            <w:tcW w:w="122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Geely Facilities Agreement:</w:t>
            </w:r>
          </w:p>
          <w:p>
            <w:pPr>
              <w:pStyle w:val="TableContents"/>
              <w:bidi w:val="0"/>
              <w:spacing w:before="0" w:after="0"/>
              <w:ind w:left="0" w:right="0" w:hanging="0"/>
              <w:jc w:val="left"/>
              <w:rPr>
                <w:caps w:val="false"/>
                <w:smallCaps w:val="false"/>
              </w:rPr>
            </w:pPr>
            <w:r>
              <w:rPr>
                <w:caps w:val="false"/>
                <w:smallCaps w:val="false"/>
              </w:rPr>
              <w:t> </w:t>
            </w:r>
          </w:p>
        </w:tc>
        <w:tc>
          <w:tcPr>
            <w:tcW w:w="89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 to €2,400,000,000 equivalent credit facilities agreement dated 25 February 2025 between (among others) Geely Sweden Financials AB and Geely Finance (Hong Kong) Limited as borrowers (the “</w:t>
            </w:r>
            <w:r>
              <w:rPr>
                <w:rFonts w:ascii="Times New Roman;Times;Serif" w:hAnsi="Times New Roman;Times;Serif"/>
                <w:b/>
                <w:i w:val="false"/>
                <w:caps w:val="false"/>
                <w:smallCaps w:val="false"/>
                <w:sz w:val="20"/>
              </w:rPr>
              <w:t>Facility Borrowers</w:t>
            </w:r>
            <w:r>
              <w:rPr>
                <w:rFonts w:ascii="Times New Roman;Times;Serif" w:hAnsi="Times New Roman;Times;Serif"/>
                <w:b w:val="false"/>
                <w:i w:val="false"/>
                <w:caps w:val="false"/>
                <w:smallCaps w:val="false"/>
                <w:sz w:val="20"/>
              </w:rPr>
              <w:t>”) and BNP Paribas as facility agent (the “</w:t>
            </w:r>
            <w:r>
              <w:rPr>
                <w:rFonts w:ascii="Times New Roman;Times;Serif" w:hAnsi="Times New Roman;Times;Serif"/>
                <w:b/>
                <w:i w:val="false"/>
                <w:caps w:val="false"/>
                <w:smallCaps w:val="false"/>
                <w:sz w:val="20"/>
              </w:rPr>
              <w:t>Facility Agent</w:t>
            </w:r>
            <w:r>
              <w:rPr>
                <w:rFonts w:ascii="Times New Roman;Times;Serif" w:hAnsi="Times New Roman;Times;Serif"/>
                <w:b w:val="false"/>
                <w:i w:val="false"/>
                <w:caps w:val="false"/>
                <w:smallCaps w:val="false"/>
                <w:sz w:val="20"/>
              </w:rPr>
              <w:t>”) and security agent (the “</w:t>
            </w:r>
            <w:r>
              <w:rPr>
                <w:rFonts w:ascii="Times New Roman;Times;Serif" w:hAnsi="Times New Roman;Times;Serif"/>
                <w:b/>
                <w:i w:val="false"/>
                <w:caps w:val="false"/>
                <w:smallCaps w:val="false"/>
                <w:sz w:val="20"/>
              </w:rPr>
              <w:t>Initial Geely Facilities Agreement</w:t>
            </w:r>
            <w:r>
              <w:rPr>
                <w:rFonts w:ascii="Times New Roman;Times;Serif" w:hAnsi="Times New Roman;Times;Serif"/>
                <w:b w:val="false"/>
                <w:i w:val="false"/>
                <w:caps w:val="false"/>
                <w:smallCaps w:val="false"/>
                <w:sz w:val="20"/>
              </w:rPr>
              <w:t>”) and/or any subsequent agreement or instrument entered into by the Facility Borrower(s) and guaranteed by the Guarantor to refinance the Initial Geely Facilities Agreement and/or any further refinancing thereof entered into by the Facility Borrower(s) and guaranteed by the Guarantor.</w:t>
            </w:r>
          </w:p>
          <w:p>
            <w:pPr>
              <w:pStyle w:val="TableContents"/>
              <w:bidi w:val="0"/>
              <w:spacing w:before="0" w:after="0"/>
              <w:ind w:left="0" w:right="0" w:hanging="0"/>
              <w:jc w:val="both"/>
              <w:rPr>
                <w:caps w:val="false"/>
                <w:smallCaps w:val="false"/>
              </w:rPr>
            </w:pPr>
            <w:r>
              <w:rPr>
                <w:caps w:val="false"/>
                <w:smallCaps w:val="false"/>
              </w:rPr>
              <w:t> </w:t>
            </w:r>
          </w:p>
        </w:tc>
      </w:tr>
      <w:tr>
        <w:trPr/>
        <w:tc>
          <w:tcPr>
            <w:tcW w:w="122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Facilities Agreement:</w:t>
            </w:r>
          </w:p>
          <w:p>
            <w:pPr>
              <w:pStyle w:val="TableContents"/>
              <w:bidi w:val="0"/>
              <w:spacing w:before="0" w:after="0"/>
              <w:ind w:left="0" w:right="0" w:hanging="0"/>
              <w:jc w:val="left"/>
              <w:rPr>
                <w:caps w:val="false"/>
                <w:smallCaps w:val="false"/>
              </w:rPr>
            </w:pPr>
            <w:r>
              <w:rPr>
                <w:caps w:val="false"/>
                <w:smallCaps w:val="false"/>
              </w:rPr>
              <w:t> </w:t>
            </w:r>
          </w:p>
        </w:tc>
        <w:tc>
          <w:tcPr>
            <w:tcW w:w="89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agreement dated 22 February 2024 between (among others) the Underlying Shares Issuer (as borrower) and Standard Chartered Bank (as agent, security agent and account bank) (the “</w:t>
            </w:r>
            <w:r>
              <w:rPr>
                <w:rFonts w:ascii="Times New Roman;Times;Serif" w:hAnsi="Times New Roman;Times;Serif"/>
                <w:b/>
                <w:i w:val="false"/>
                <w:caps w:val="false"/>
                <w:smallCaps w:val="false"/>
                <w:sz w:val="20"/>
              </w:rPr>
              <w:t>Initial Polestar Facilities Agreement</w:t>
            </w:r>
            <w:r>
              <w:rPr>
                <w:rFonts w:ascii="Times New Roman;Times;Serif" w:hAnsi="Times New Roman;Times;Serif"/>
                <w:b w:val="false"/>
                <w:i w:val="false"/>
                <w:caps w:val="false"/>
                <w:smallCaps w:val="false"/>
                <w:sz w:val="20"/>
              </w:rPr>
              <w:t>”) and/or any subsequent agreement or instrument entered into by the Underlying Shares Issuer to refinance the Initial Polestar Facilities Agreement and/or any further refinancing thereof entered into by the Underlying Shares Issuer.</w:t>
            </w:r>
          </w:p>
          <w:p>
            <w:pPr>
              <w:pStyle w:val="TableContents"/>
              <w:bidi w:val="0"/>
              <w:spacing w:before="0" w:after="0"/>
              <w:ind w:left="0" w:right="0" w:hanging="0"/>
              <w:jc w:val="both"/>
              <w:rPr>
                <w:caps w:val="false"/>
                <w:smallCaps w:val="false"/>
              </w:rPr>
            </w:pPr>
            <w:r>
              <w:rPr>
                <w:caps w:val="false"/>
                <w:smallCaps w:val="false"/>
              </w:rPr>
              <w:t> </w:t>
            </w:r>
          </w:p>
        </w:tc>
      </w:tr>
      <w:tr>
        <w:trPr/>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Business Day:</w:t>
            </w:r>
          </w:p>
        </w:tc>
        <w:tc>
          <w:tcPr>
            <w:tcW w:w="89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Business Day in the PRC, Hong Kong, New York and the Party A Business Day Centre.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means, for this purpose, the People’s Republic of China, excluding Hong Kong, Macau or Taiwan.</w:t>
            </w:r>
          </w:p>
          <w:p>
            <w:pPr>
              <w:pStyle w:val="TableContents"/>
              <w:bidi w:val="0"/>
              <w:spacing w:before="0" w:after="0"/>
              <w:ind w:left="0" w:right="0" w:hanging="0"/>
              <w:jc w:val="both"/>
              <w:rPr>
                <w:caps w:val="false"/>
                <w:smallCaps w:val="false"/>
              </w:rPr>
            </w:pPr>
            <w:r>
              <w:rPr>
                <w:caps w:val="false"/>
                <w:smallCaps w:val="false"/>
              </w:rPr>
              <w:t> </w:t>
            </w:r>
          </w:p>
        </w:tc>
      </w:tr>
      <w:tr>
        <w:trPr/>
        <w:tc>
          <w:tcPr>
            <w:tcW w:w="122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Business Day Centre:</w:t>
            </w:r>
          </w:p>
          <w:p>
            <w:pPr>
              <w:pStyle w:val="TableContents"/>
              <w:bidi w:val="0"/>
              <w:spacing w:before="0" w:after="0"/>
              <w:ind w:left="0" w:right="0" w:hanging="0"/>
              <w:jc w:val="left"/>
              <w:rPr>
                <w:caps w:val="false"/>
                <w:smallCaps w:val="false"/>
              </w:rPr>
            </w:pPr>
            <w:r>
              <w:rPr>
                <w:caps w:val="false"/>
                <w:smallCaps w:val="false"/>
              </w:rPr>
              <w:t> </w:t>
            </w:r>
          </w:p>
        </w:tc>
        <w:tc>
          <w:tcPr>
            <w:tcW w:w="89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caps w:val="false"/>
                <w:smallCaps w:val="false"/>
              </w:rPr>
            </w:pPr>
            <w:r>
              <w:rPr>
                <w:caps w:val="false"/>
                <w:smallCaps w:val="false"/>
              </w:rPr>
              <w:t> </w:t>
            </w:r>
          </w:p>
        </w:tc>
      </w:tr>
      <w:tr>
        <w:trPr/>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Equivalent Transaction:</w:t>
            </w:r>
          </w:p>
        </w:tc>
        <w:tc>
          <w:tcPr>
            <w:tcW w:w="89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put option transaction in respect of Shares on substantially the same terms as the Transaction entered into between Party B (as seller) and another party (as buyer) concurrently with a subscription of Shares by such party similar to the Share Subscription.</w:t>
            </w:r>
          </w:p>
          <w:p>
            <w:pPr>
              <w:pStyle w:val="TableContents"/>
              <w:bidi w:val="0"/>
              <w:spacing w:before="0" w:after="0"/>
              <w:ind w:left="0" w:right="0" w:hanging="0"/>
              <w:jc w:val="both"/>
              <w:rPr>
                <w:caps w:val="false"/>
                <w:smallCaps w:val="false"/>
              </w:rPr>
            </w:pPr>
            <w:r>
              <w:rPr>
                <w:caps w:val="false"/>
                <w:smallCaps w:val="false"/>
              </w:rPr>
              <w:t> </w:t>
            </w:r>
          </w:p>
        </w:tc>
      </w:tr>
      <w:tr>
        <w:trPr/>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w:t>
            </w:r>
          </w:p>
        </w:tc>
        <w:tc>
          <w:tcPr>
            <w:tcW w:w="8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period starting on one day in a calendar month and ending on the numerically corresponding day in the next calendar month, except that if there is no numerically corresponding day in the calendar month in which that period is to end, that period shall end on the last day in that calendar month. The above rules will only apply to the last Month of any period.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529"/>
        <w:gridCol w:w="9576"/>
      </w:tblGrid>
      <w:tr>
        <w:trPr/>
        <w:tc>
          <w:tcPr>
            <w:tcW w:w="10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b/>
              </w:rPr>
            </w:pPr>
            <w:r>
              <w:rPr>
                <w:b/>
              </w:rPr>
              <w:t>2.</w:t>
            </w:r>
          </w:p>
        </w:tc>
        <w:tc>
          <w:tcPr>
            <w:tcW w:w="9576" w:type="dxa"/>
            <w:tcBorders/>
            <w:vAlign w:val="center"/>
          </w:tcPr>
          <w:p>
            <w:pPr>
              <w:pStyle w:val="TableContents"/>
              <w:bidi w:val="0"/>
              <w:spacing w:before="0" w:after="283"/>
              <w:jc w:val="left"/>
              <w:rPr>
                <w:b/>
              </w:rPr>
            </w:pPr>
            <w:r>
              <w:rPr>
                <w:b/>
              </w:rPr>
              <w:t>PROCEDURES FOR EXERCISE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1"/>
        <w:gridCol w:w="7894"/>
      </w:tblGrid>
      <w:tr>
        <w:trPr/>
        <w:tc>
          <w:tcPr>
            <w:tcW w:w="231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Exercise:</w:t>
            </w:r>
          </w:p>
          <w:p>
            <w:pPr>
              <w:pStyle w:val="TableContents"/>
              <w:bidi w:val="0"/>
              <w:spacing w:before="0" w:after="0"/>
              <w:ind w:left="0" w:right="0" w:hanging="0"/>
              <w:jc w:val="left"/>
              <w:rPr>
                <w:caps w:val="false"/>
                <w:smallCaps w:val="false"/>
              </w:rPr>
            </w:pPr>
            <w:r>
              <w:rPr>
                <w:caps w:val="false"/>
                <w:smallCaps w:val="false"/>
              </w:rPr>
              <w:t> </w:t>
            </w:r>
          </w:p>
        </w:tc>
        <w:tc>
          <w:tcPr>
            <w:tcW w:w="78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under the Transaction may be exercised in the following manner: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44"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by the delivery from Party A to Party B of a duly signed and completed Buyer Exercise Notice during the Buyer Notice Delivery Period, in which case:</w:t>
            </w:r>
          </w:p>
          <w:p>
            <w:pPr>
              <w:pStyle w:val="TableContents"/>
              <w:bidi w:val="0"/>
              <w:spacing w:before="0" w:after="0"/>
              <w:ind w:left="744" w:right="0" w:hanging="0"/>
              <w:jc w:val="both"/>
              <w:rPr>
                <w:caps w:val="false"/>
                <w:smallCaps w:val="false"/>
              </w:rPr>
            </w:pPr>
            <w:r>
              <w:rPr>
                <w:caps w:val="false"/>
                <w:smallCaps w:val="false"/>
              </w:rPr>
              <w:t> </w:t>
            </w:r>
          </w:p>
          <w:p>
            <w:pPr>
              <w:pStyle w:val="TableContents"/>
              <w:bidi w:val="0"/>
              <w:spacing w:before="0" w:after="0"/>
              <w:ind w:left="1374"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applicable Number of Options to be Exercised shall be deemed automatically exercised on the Expiration Date; and</w:t>
            </w:r>
          </w:p>
          <w:p>
            <w:pPr>
              <w:pStyle w:val="TableContents"/>
              <w:bidi w:val="0"/>
              <w:spacing w:before="0" w:after="0"/>
              <w:ind w:left="1374" w:right="0" w:hanging="0"/>
              <w:jc w:val="both"/>
              <w:rPr>
                <w:caps w:val="false"/>
                <w:smallCaps w:val="false"/>
              </w:rPr>
            </w:pPr>
            <w:r>
              <w:rPr>
                <w:caps w:val="false"/>
                <w:smallCaps w:val="false"/>
              </w:rPr>
              <w:t> </w:t>
            </w:r>
          </w:p>
          <w:p>
            <w:pPr>
              <w:pStyle w:val="TableContents"/>
              <w:bidi w:val="0"/>
              <w:spacing w:before="0" w:after="0"/>
              <w:ind w:left="1374"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Expiration Date shall be deemed an “Exercise Date” in relation to such number of Options; and</w:t>
            </w:r>
          </w:p>
          <w:p>
            <w:pPr>
              <w:pStyle w:val="TableContents"/>
              <w:bidi w:val="0"/>
              <w:spacing w:before="0" w:after="0"/>
              <w:ind w:left="744" w:right="0" w:hanging="0"/>
              <w:jc w:val="both"/>
              <w:rPr>
                <w:caps w:val="false"/>
                <w:smallCaps w:val="false"/>
              </w:rPr>
            </w:pPr>
            <w:r>
              <w:rPr>
                <w:caps w:val="false"/>
                <w:smallCaps w:val="false"/>
              </w:rPr>
              <w:t> </w:t>
            </w:r>
          </w:p>
          <w:p>
            <w:pPr>
              <w:pStyle w:val="TableContents"/>
              <w:bidi w:val="0"/>
              <w:spacing w:before="0" w:after="0"/>
              <w:ind w:left="744"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following the occurrence of an Early Exercise Event which is continuing, by the delivery from Party A to Party B of a duly signed and completed Early Buyer Exercise Notice during the applicable Early Buyer Exercise Notice Delivery Period, in which case:</w:t>
            </w:r>
          </w:p>
          <w:p>
            <w:pPr>
              <w:pStyle w:val="TableContents"/>
              <w:bidi w:val="0"/>
              <w:spacing w:before="0" w:after="0"/>
              <w:ind w:left="744" w:right="0" w:hanging="0"/>
              <w:jc w:val="both"/>
              <w:rPr>
                <w:caps w:val="false"/>
                <w:smallCaps w:val="false"/>
              </w:rPr>
            </w:pPr>
            <w:r>
              <w:rPr>
                <w:caps w:val="false"/>
                <w:smallCaps w:val="false"/>
              </w:rPr>
              <w:t> </w:t>
            </w:r>
          </w:p>
          <w:p>
            <w:pPr>
              <w:pStyle w:val="TableContents"/>
              <w:bidi w:val="0"/>
              <w:spacing w:before="0" w:after="0"/>
              <w:ind w:left="1374"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applicable Number of Options to be Exercised shall be deemed automatically exercised on the Early Expiration Date; and</w:t>
            </w:r>
          </w:p>
          <w:p>
            <w:pPr>
              <w:pStyle w:val="TableContents"/>
              <w:bidi w:val="0"/>
              <w:spacing w:before="0" w:after="0"/>
              <w:ind w:left="1374" w:right="0" w:hanging="0"/>
              <w:jc w:val="both"/>
              <w:rPr>
                <w:caps w:val="false"/>
                <w:smallCaps w:val="false"/>
              </w:rPr>
            </w:pPr>
            <w:r>
              <w:rPr>
                <w:caps w:val="false"/>
                <w:smallCaps w:val="false"/>
              </w:rPr>
              <w:t> </w:t>
            </w:r>
          </w:p>
          <w:p>
            <w:pPr>
              <w:pStyle w:val="TableContents"/>
              <w:bidi w:val="0"/>
              <w:spacing w:before="0" w:after="0"/>
              <w:ind w:left="1374"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Early Expiration Date shall be deemed an “Exercise Date” in relation to such number of Options.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procedures set out herein shall apply in lieu of the procedures set out in Section 3.2 of the Equity Definitions.</w:t>
            </w:r>
          </w:p>
          <w:p>
            <w:pPr>
              <w:pStyle w:val="TableContents"/>
              <w:bidi w:val="0"/>
              <w:spacing w:before="0" w:after="0"/>
              <w:ind w:left="0" w:right="0" w:hanging="0"/>
              <w:jc w:val="both"/>
              <w:rPr>
                <w:caps w:val="false"/>
                <w:smallCaps w:val="false"/>
              </w:rPr>
            </w:pPr>
            <w:r>
              <w:rPr>
                <w:caps w:val="false"/>
                <w:smallCaps w:val="false"/>
              </w:rPr>
              <w:t> </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Exercise Notice:</w:t>
            </w:r>
          </w:p>
          <w:p>
            <w:pPr>
              <w:pStyle w:val="TableContents"/>
              <w:bidi w:val="0"/>
              <w:spacing w:before="0" w:after="0"/>
              <w:ind w:left="0" w:right="0" w:hanging="0"/>
              <w:jc w:val="left"/>
              <w:rPr>
                <w:caps w:val="false"/>
                <w:smallCaps w:val="false"/>
              </w:rPr>
            </w:pPr>
            <w:r>
              <w:rPr>
                <w:caps w:val="false"/>
                <w:smallCaps w:val="false"/>
              </w:rPr>
              <w:t> </w:t>
            </w:r>
          </w:p>
        </w:tc>
        <w:tc>
          <w:tcPr>
            <w:tcW w:w="78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substantially in the form set out in Schedule B signed by one or more Authorised Signatory (as defined in Schedule A hereto) of Party A.</w:t>
            </w:r>
          </w:p>
          <w:p>
            <w:pPr>
              <w:pStyle w:val="TableContents"/>
              <w:bidi w:val="0"/>
              <w:spacing w:before="0" w:after="0"/>
              <w:ind w:left="0" w:right="0" w:hanging="0"/>
              <w:jc w:val="both"/>
              <w:rPr>
                <w:caps w:val="false"/>
                <w:smallCaps w:val="false"/>
              </w:rPr>
            </w:pPr>
            <w:r>
              <w:rPr>
                <w:caps w:val="false"/>
                <w:smallCaps w:val="false"/>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Notice Delivery Period:</w:t>
            </w:r>
          </w:p>
          <w:p>
            <w:pPr>
              <w:pStyle w:val="TableContents"/>
              <w:bidi w:val="0"/>
              <w:spacing w:before="0" w:after="0"/>
              <w:ind w:left="0" w:right="0" w:hanging="0"/>
              <w:jc w:val="left"/>
              <w:rPr>
                <w:caps w:val="false"/>
                <w:smallCaps w:val="false"/>
              </w:rPr>
            </w:pPr>
            <w:r>
              <w:rPr>
                <w:caps w:val="false"/>
                <w:smallCaps w:val="false"/>
              </w:rPr>
              <w:t> </w:t>
            </w:r>
          </w:p>
        </w:tc>
        <w:tc>
          <w:tcPr>
            <w:tcW w:w="78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commencing at 9:00 a.m. (Hong Kong time) on the Buyer Notice Delivery Period Commencement Date and ending at the Expiration Time on the Buyer Notice Delivery Period End Date.</w:t>
            </w:r>
          </w:p>
          <w:p>
            <w:pPr>
              <w:pStyle w:val="TableContents"/>
              <w:bidi w:val="0"/>
              <w:spacing w:before="0" w:after="0"/>
              <w:ind w:left="0" w:right="0" w:hanging="0"/>
              <w:jc w:val="both"/>
              <w:rPr>
                <w:caps w:val="false"/>
                <w:smallCaps w:val="false"/>
              </w:rPr>
            </w:pPr>
            <w:r>
              <w:rPr>
                <w:caps w:val="false"/>
                <w:smallCaps w:val="false"/>
              </w:rPr>
              <w:t> </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Notice Delivery Period Commencement Date:</w:t>
            </w:r>
          </w:p>
          <w:p>
            <w:pPr>
              <w:pStyle w:val="TableContents"/>
              <w:bidi w:val="0"/>
              <w:spacing w:before="0" w:after="0"/>
              <w:ind w:left="0" w:right="0" w:hanging="0"/>
              <w:jc w:val="left"/>
              <w:rPr>
                <w:caps w:val="false"/>
                <w:smallCaps w:val="false"/>
              </w:rPr>
            </w:pPr>
            <w:r>
              <w:rPr>
                <w:caps w:val="false"/>
                <w:smallCaps w:val="false"/>
              </w:rPr>
              <w:t> </w:t>
            </w:r>
          </w:p>
        </w:tc>
        <w:tc>
          <w:tcPr>
            <w:tcW w:w="78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Business Day immediately following the Seller Notice Delivery Period End Date.</w:t>
            </w:r>
          </w:p>
          <w:p>
            <w:pPr>
              <w:pStyle w:val="TableContents"/>
              <w:bidi w:val="0"/>
              <w:spacing w:before="0" w:after="0"/>
              <w:ind w:left="0" w:right="0" w:hanging="0"/>
              <w:jc w:val="both"/>
              <w:rPr>
                <w:caps w:val="false"/>
                <w:smallCaps w:val="false"/>
              </w:rPr>
            </w:pPr>
            <w:r>
              <w:rPr>
                <w:caps w:val="false"/>
                <w:smallCaps w:val="false"/>
              </w:rPr>
              <w:t> </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Notice Delivery Period End Date:</w:t>
            </w:r>
          </w:p>
          <w:p>
            <w:pPr>
              <w:pStyle w:val="TableContents"/>
              <w:bidi w:val="0"/>
              <w:spacing w:before="0" w:after="0"/>
              <w:ind w:left="0" w:right="0" w:hanging="0"/>
              <w:jc w:val="left"/>
              <w:rPr>
                <w:caps w:val="false"/>
                <w:smallCaps w:val="false"/>
              </w:rPr>
            </w:pPr>
            <w:r>
              <w:rPr>
                <w:caps w:val="false"/>
                <w:smallCaps w:val="false"/>
              </w:rPr>
              <w:t> </w:t>
            </w:r>
          </w:p>
        </w:tc>
        <w:tc>
          <w:tcPr>
            <w:tcW w:w="78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falling 60 days prior to the Expiration Date.</w:t>
            </w:r>
          </w:p>
          <w:p>
            <w:pPr>
              <w:pStyle w:val="TableContents"/>
              <w:bidi w:val="0"/>
              <w:spacing w:before="0" w:after="0"/>
              <w:ind w:left="0" w:right="0" w:hanging="0"/>
              <w:jc w:val="both"/>
              <w:rPr>
                <w:caps w:val="false"/>
                <w:smallCaps w:val="false"/>
              </w:rPr>
            </w:pPr>
            <w:r>
              <w:rPr>
                <w:caps w:val="false"/>
                <w:smallCaps w:val="false"/>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Time:</w:t>
            </w:r>
          </w:p>
          <w:p>
            <w:pPr>
              <w:pStyle w:val="TableContents"/>
              <w:bidi w:val="0"/>
              <w:spacing w:before="0" w:after="0"/>
              <w:ind w:left="0" w:right="0" w:hanging="0"/>
              <w:jc w:val="left"/>
              <w:rPr>
                <w:caps w:val="false"/>
                <w:smallCaps w:val="false"/>
              </w:rPr>
            </w:pPr>
            <w:r>
              <w:rPr>
                <w:caps w:val="false"/>
                <w:smallCaps w:val="false"/>
              </w:rPr>
              <w:t> </w:t>
            </w:r>
          </w:p>
        </w:tc>
        <w:tc>
          <w:tcPr>
            <w:tcW w:w="7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5:00 p.m. (Hong Kong time).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p>
            <w:pPr>
              <w:pStyle w:val="TableContents"/>
              <w:bidi w:val="0"/>
              <w:spacing w:before="0" w:after="0"/>
              <w:ind w:left="0" w:right="0" w:hanging="0"/>
              <w:jc w:val="left"/>
              <w:rPr>
                <w:caps w:val="false"/>
                <w:smallCaps w:val="false"/>
              </w:rPr>
            </w:pPr>
            <w:r>
              <w:rPr>
                <w:caps w:val="false"/>
                <w:smallCaps w:val="false"/>
              </w:rPr>
              <w:t> </w:t>
            </w:r>
          </w:p>
        </w:tc>
        <w:tc>
          <w:tcPr>
            <w:tcW w:w="887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falling 36 Months from the Closing Date (the “</w:t>
            </w:r>
            <w:r>
              <w:rPr>
                <w:rFonts w:ascii="Times New Roman;Times;Serif" w:hAnsi="Times New Roman;Times;Serif"/>
                <w:b/>
                <w:i w:val="false"/>
                <w:caps w:val="false"/>
                <w:smallCaps w:val="false"/>
                <w:sz w:val="20"/>
              </w:rPr>
              <w:t>Initial 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unless</w:t>
            </w:r>
            <w:r>
              <w:rPr>
                <w:rFonts w:ascii="Times New Roman;Times;Serif" w:hAnsi="Times New Roman;Times;Serif"/>
                <w:b w:val="false"/>
                <w:i w:val="false"/>
                <w:caps w:val="false"/>
                <w:smallCaps w:val="false"/>
                <w:sz w:val="20"/>
              </w:rPr>
              <w:t xml:space="preserve"> Party B, Party A, the Guarantor and the Keepwell Provider have agreed to postpone the Expiration Date in accordance with “Extension of Expiration Date” below, in which case the Expiration Date shall fall on the Extended Expiration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3.1(f) of the Equity Definitions shall be amended by deleting the provisions after the words “Scheduled Trading Day)” in the third line thereof.</w:t>
            </w:r>
          </w:p>
          <w:p>
            <w:pPr>
              <w:pStyle w:val="TableContents"/>
              <w:bidi w:val="0"/>
              <w:spacing w:before="0" w:after="0"/>
              <w:ind w:left="0" w:right="0" w:hanging="0"/>
              <w:jc w:val="both"/>
              <w:rPr>
                <w:caps w:val="false"/>
                <w:smallCaps w:val="false"/>
              </w:rPr>
            </w:pPr>
            <w:r>
              <w:rPr>
                <w:caps w:val="false"/>
                <w:smallCaps w:val="false"/>
              </w:rPr>
              <w:t> </w:t>
            </w:r>
          </w:p>
        </w:tc>
      </w:tr>
      <w:tr>
        <w:trPr/>
        <w:tc>
          <w:tcPr>
            <w:tcW w:w="13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of Expiration Date:</w:t>
            </w:r>
          </w:p>
          <w:p>
            <w:pPr>
              <w:pStyle w:val="TableContents"/>
              <w:bidi w:val="0"/>
              <w:spacing w:before="0" w:after="0"/>
              <w:ind w:left="0" w:right="0" w:hanging="0"/>
              <w:jc w:val="left"/>
              <w:rPr>
                <w:caps w:val="false"/>
                <w:smallCaps w:val="false"/>
              </w:rPr>
            </w:pPr>
            <w:r>
              <w:rPr>
                <w:caps w:val="false"/>
                <w:smallCaps w:val="false"/>
              </w:rPr>
              <w:t> </w:t>
            </w:r>
          </w:p>
        </w:tc>
        <w:tc>
          <w:tcPr>
            <w:tcW w:w="887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Party A, the Guarantor and the Keepwell Provider may, by mutual agreement prior to the Buyer Notice Delivery Period Commencement Date, postpone the Expiration Date to the date falling a further 12 Months from the Initial Expiration Date (such date, the “</w:t>
            </w:r>
            <w:r>
              <w:rPr>
                <w:rFonts w:ascii="Times New Roman;Times;Serif" w:hAnsi="Times New Roman;Times;Serif"/>
                <w:b/>
                <w:i w:val="false"/>
                <w:caps w:val="false"/>
                <w:smallCaps w:val="false"/>
                <w:sz w:val="20"/>
              </w:rPr>
              <w:t>Extended Expiration Date</w:t>
            </w:r>
            <w:r>
              <w:rPr>
                <w:rFonts w:ascii="Times New Roman;Times;Serif" w:hAnsi="Times New Roman;Times;Serif"/>
                <w:b w:val="false"/>
                <w:i w:val="false"/>
                <w:caps w:val="false"/>
                <w:smallCaps w:val="false"/>
                <w:sz w:val="20"/>
              </w:rPr>
              <w:t>”), subject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payment from Party B to Party A of an extension fee in the Settlement Currency equal to the product of (1) the Number of Options as on the Initial Expiration Date; (2) the Strike Price as on the Initial Expiration Date; and (3) [ ]%;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adjustment to the Accrual Rate mutually agreed between Party B, the Guarantor, the Keepwell Provider and Party A based on the then prevailing market conditions.</w:t>
            </w:r>
          </w:p>
          <w:p>
            <w:pPr>
              <w:pStyle w:val="TableContents"/>
              <w:bidi w:val="0"/>
              <w:spacing w:before="0" w:after="0"/>
              <w:ind w:left="654" w:right="0" w:hanging="654"/>
              <w:jc w:val="both"/>
              <w:rPr>
                <w:caps w:val="false"/>
                <w:smallCaps w:val="false"/>
              </w:rPr>
            </w:pPr>
            <w:r>
              <w:rPr>
                <w:caps w:val="false"/>
                <w:smallCaps w:val="false"/>
              </w:rPr>
              <w:t> </w:t>
            </w:r>
          </w:p>
        </w:tc>
      </w:tr>
      <w:tr>
        <w:trPr/>
        <w:tc>
          <w:tcPr>
            <w:tcW w:w="13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 Exercise:</w:t>
            </w:r>
          </w:p>
          <w:p>
            <w:pPr>
              <w:pStyle w:val="TableContents"/>
              <w:bidi w:val="0"/>
              <w:spacing w:before="0" w:after="0"/>
              <w:ind w:left="0" w:right="0" w:hanging="0"/>
              <w:jc w:val="left"/>
              <w:rPr>
                <w:caps w:val="false"/>
                <w:smallCaps w:val="false"/>
              </w:rPr>
            </w:pPr>
            <w:r>
              <w:rPr>
                <w:caps w:val="false"/>
                <w:smallCaps w:val="false"/>
              </w:rPr>
              <w:t> </w:t>
            </w:r>
          </w:p>
        </w:tc>
        <w:tc>
          <w:tcPr>
            <w:tcW w:w="887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Notwithstanding section 3.4 of the Equity Definitions, Party A shall be deemed to have delivered to Party B a duly completed Buyer Exercise Notice specifying that the maximum number of Options proposed to be exercised on the Expiration Date shall be equal to the Number of Exercisable Options on the Buyer Notice Delivery Period End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Party A notifies Party B prior to the Expiration Time on the Buyer Notice Delivery Period End Date that it does not wish Automatic Exercise to occur, then Automatic Exercise will not apply.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4"/>
        <w:gridCol w:w="9487"/>
      </w:tblGrid>
      <w:tr>
        <w:trPr/>
        <w:tc>
          <w:tcPr>
            <w:tcW w:w="1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b/>
              </w:rPr>
            </w:pPr>
            <w:r>
              <w:rPr>
                <w:b/>
              </w:rPr>
              <w:t>3.</w:t>
            </w:r>
          </w:p>
        </w:tc>
        <w:tc>
          <w:tcPr>
            <w:tcW w:w="9487" w:type="dxa"/>
            <w:tcBorders/>
            <w:vAlign w:val="center"/>
          </w:tcPr>
          <w:p>
            <w:pPr>
              <w:pStyle w:val="TableContents"/>
              <w:bidi w:val="0"/>
              <w:spacing w:before="0" w:after="283"/>
              <w:jc w:val="left"/>
              <w:rPr>
                <w:b/>
              </w:rPr>
            </w:pPr>
            <w:r>
              <w:rPr>
                <w:b/>
              </w:rPr>
              <w:t>EARLY EXERCISE EVENT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5"/>
        <w:gridCol w:w="9160"/>
      </w:tblGrid>
      <w:tr>
        <w:trPr/>
        <w:tc>
          <w:tcPr>
            <w:tcW w:w="10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Exercise Event:</w:t>
            </w:r>
          </w:p>
          <w:p>
            <w:pPr>
              <w:pStyle w:val="TableContents"/>
              <w:bidi w:val="0"/>
              <w:spacing w:before="0" w:after="0"/>
              <w:ind w:left="0" w:right="0" w:hanging="0"/>
              <w:jc w:val="left"/>
              <w:rPr>
                <w:caps w:val="false"/>
                <w:smallCaps w:val="false"/>
              </w:rPr>
            </w:pPr>
            <w:r>
              <w:rPr>
                <w:caps w:val="false"/>
                <w:smallCaps w:val="false"/>
              </w:rPr>
              <w:t> </w:t>
            </w:r>
          </w:p>
        </w:tc>
        <w:tc>
          <w:tcPr>
            <w:tcW w:w="91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at any time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Event of Default or a Termination Event in respect of which Party B is the Defaulting Party or an Affected Party (as the case may be) (a “</w:t>
            </w:r>
            <w:r>
              <w:rPr>
                <w:rFonts w:ascii="Times New Roman;Times;Serif" w:hAnsi="Times New Roman;Times;Serif"/>
                <w:b/>
                <w:i w:val="false"/>
                <w:caps w:val="false"/>
                <w:smallCaps w:val="false"/>
                <w:sz w:val="20"/>
              </w:rPr>
              <w:t>Party B Event</w:t>
            </w:r>
            <w:r>
              <w:rPr>
                <w:rFonts w:ascii="Times New Roman;Times;Serif" w:hAnsi="Times New Roman;Times;Serif"/>
                <w:b w:val="false"/>
                <w:i w:val="false"/>
                <w:caps w:val="false"/>
                <w:smallCaps w:val="false"/>
                <w:sz w:val="20"/>
              </w:rPr>
              <w:t>”);</w:t>
            </w:r>
          </w:p>
          <w:p>
            <w:pPr>
              <w:pStyle w:val="TableContents"/>
              <w:bidi w:val="0"/>
              <w:spacing w:before="0" w:after="0"/>
              <w:ind w:left="645"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“Party B Event” under any Equivalent Transaction (an “</w:t>
            </w:r>
            <w:r>
              <w:rPr>
                <w:rFonts w:ascii="Times New Roman;Times;Serif" w:hAnsi="Times New Roman;Times;Serif"/>
                <w:b/>
                <w:i w:val="false"/>
                <w:caps w:val="false"/>
                <w:smallCaps w:val="false"/>
                <w:sz w:val="20"/>
              </w:rPr>
              <w:t>Equivalent Transaction Event</w:t>
            </w:r>
            <w:r>
              <w:rPr>
                <w:rFonts w:ascii="Times New Roman;Times;Serif" w:hAnsi="Times New Roman;Times;Serif"/>
                <w:b w:val="false"/>
                <w:i w:val="false"/>
                <w:caps w:val="false"/>
                <w:smallCaps w:val="false"/>
                <w:sz w:val="20"/>
              </w:rPr>
              <w:t>”);</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event of default (howsoever described) under the Geely Facilities Agreement (a “</w:t>
            </w:r>
            <w:r>
              <w:rPr>
                <w:rFonts w:ascii="Times New Roman;Times;Serif" w:hAnsi="Times New Roman;Times;Serif"/>
                <w:b/>
                <w:i w:val="false"/>
                <w:caps w:val="false"/>
                <w:smallCaps w:val="false"/>
                <w:sz w:val="20"/>
              </w:rPr>
              <w:t>Geely Facilities Event</w:t>
            </w:r>
            <w:r>
              <w:rPr>
                <w:rFonts w:ascii="Times New Roman;Times;Serif" w:hAnsi="Times New Roman;Times;Serif"/>
                <w:b w:val="false"/>
                <w:i w:val="false"/>
                <w:caps w:val="false"/>
                <w:smallCaps w:val="false"/>
                <w:sz w:val="20"/>
              </w:rPr>
              <w:t>”);</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“Guarantor/Keepwell Provider Cross-Default Event”;</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event of default (howsoever described) under the Polestar Facilities Agreement which has resulted in the facility agent under the Polestar Facilities Agreement delivering an acceleration notice to the Underlying Shares Issuer (a “</w:t>
            </w:r>
            <w:r>
              <w:rPr>
                <w:rFonts w:ascii="Times New Roman;Times;Serif" w:hAnsi="Times New Roman;Times;Serif"/>
                <w:b/>
                <w:i w:val="false"/>
                <w:caps w:val="false"/>
                <w:smallCaps w:val="false"/>
                <w:sz w:val="20"/>
              </w:rPr>
              <w:t>Polestar Facility Event</w:t>
            </w:r>
            <w:r>
              <w:rPr>
                <w:rFonts w:ascii="Times New Roman;Times;Serif" w:hAnsi="Times New Roman;Times;Serif"/>
                <w:b w:val="false"/>
                <w:i w:val="false"/>
                <w:caps w:val="false"/>
                <w:smallCaps w:val="false"/>
                <w:sz w:val="20"/>
              </w:rPr>
              <w:t>”);</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failure by the Underlying Shares Issuer to comply with or perform any agreement or obligation to be complied with or performed by it in accordance with the Securities Purchase Agreement (a “</w:t>
            </w:r>
            <w:r>
              <w:rPr>
                <w:rFonts w:ascii="Times New Roman;Times;Serif" w:hAnsi="Times New Roman;Times;Serif"/>
                <w:b/>
                <w:i w:val="false"/>
                <w:caps w:val="false"/>
                <w:smallCaps w:val="false"/>
                <w:sz w:val="20"/>
              </w:rPr>
              <w:t>Securities Purchase Agreement Event</w:t>
            </w:r>
            <w:r>
              <w:rPr>
                <w:rFonts w:ascii="Times New Roman;Times;Serif" w:hAnsi="Times New Roman;Times;Serif"/>
                <w:b w:val="false"/>
                <w:i w:val="false"/>
                <w:caps w:val="false"/>
                <w:smallCaps w:val="false"/>
                <w:sz w:val="20"/>
              </w:rPr>
              <w:t>”);</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Change of Control; or</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Extraordinary Cancellation Event.</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2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notify Party A of any Early Exercise Event promptly upon becoming aware of its occurrence.</w:t>
            </w:r>
          </w:p>
          <w:p>
            <w:pPr>
              <w:pStyle w:val="TableContents"/>
              <w:bidi w:val="0"/>
              <w:spacing w:before="0" w:after="0"/>
              <w:ind w:left="24" w:right="0" w:hanging="0"/>
              <w:jc w:val="both"/>
              <w:rPr>
                <w:caps w:val="false"/>
                <w:smallCaps w:val="false"/>
              </w:rPr>
            </w:pPr>
            <w:r>
              <w:rPr>
                <w:caps w:val="false"/>
                <w:smallCaps w:val="false"/>
              </w:rPr>
              <w:t> </w:t>
            </w:r>
          </w:p>
          <w:p>
            <w:pPr>
              <w:pStyle w:val="TableContents"/>
              <w:bidi w:val="0"/>
              <w:spacing w:before="0" w:after="0"/>
              <w:ind w:left="2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Early Exercise Event (other than a Geely Facilities Non-FoP Event, a Credit Support Default, a Guarantor/Keepwell Provider Cross-Default Event, a Change of Control or an Extraordinary Cancellation Event) is “continuing” if it has not been remedied or waived by Party A.</w:t>
            </w:r>
          </w:p>
          <w:p>
            <w:pPr>
              <w:pStyle w:val="TableContents"/>
              <w:bidi w:val="0"/>
              <w:spacing w:before="0" w:after="0"/>
              <w:ind w:left="24" w:right="0" w:hanging="0"/>
              <w:jc w:val="both"/>
              <w:rPr>
                <w:caps w:val="false"/>
                <w:smallCaps w:val="false"/>
              </w:rPr>
            </w:pPr>
            <w:r>
              <w:rPr>
                <w:caps w:val="false"/>
                <w:smallCaps w:val="false"/>
              </w:rPr>
              <w:t> </w:t>
            </w:r>
          </w:p>
          <w:p>
            <w:pPr>
              <w:pStyle w:val="TableContents"/>
              <w:bidi w:val="0"/>
              <w:spacing w:before="0" w:after="0"/>
              <w:ind w:left="2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Geely Facilities Non-FoP Event, a Guarantor/Keepwell Provider Cross-Default Event, a Change of Control or a Credit Support Default is “continuing” if it has not been remedied or waived by Party A, </w:t>
            </w:r>
            <w:r>
              <w:rPr>
                <w:rFonts w:ascii="Times New Roman;Times;Serif" w:hAnsi="Times New Roman;Times;Serif"/>
                <w:b w:val="false"/>
                <w:i/>
                <w:caps w:val="false"/>
                <w:smallCaps w:val="false"/>
                <w:sz w:val="20"/>
              </w:rPr>
              <w:t>provided that:</w:t>
            </w:r>
          </w:p>
          <w:p>
            <w:pPr>
              <w:pStyle w:val="TableContents"/>
              <w:bidi w:val="0"/>
              <w:spacing w:before="0" w:after="0"/>
              <w:ind w:left="24"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any of such events constitutes both a (x) Geely Non-FoP Facilities Event and (y) one or more Early Exercise Event hereunder, then any waiver given by the Facility Agent for such Geely Facilities Non-FoP Event shall automatically be deemed to also constitute a waiver given by Party A in relation to such Early Exercise Event(s); and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as a condition to the waiver given by the Facility Agent for such Geely Facilities Non-FoP Event, the obligors under the Geely Facilities Agreement have agreed to provide any credit enhancements or other benefits to the lenders under such facility, then Party B shall promptly agree to provide equivalent credit enhancements or other benefits to Party A under the Transaction to ensure that the credit risk exposure of Party A under the Transaction remains broadly comparable to the credit risk exposure of such lenders under the Geely Facilities Agreement (or if the parties are unable to agree on what constitutes equivalent credit enhancements or other benefits, such determination shall be made by the Calculation Agent in good faith and in a commercially reasonable manner).</w:t>
            </w:r>
          </w:p>
          <w:p>
            <w:pPr>
              <w:pStyle w:val="TableContents"/>
              <w:bidi w:val="0"/>
              <w:spacing w:before="0" w:after="0"/>
              <w:ind w:left="24" w:right="0" w:hanging="0"/>
              <w:jc w:val="both"/>
              <w:rPr>
                <w:caps w:val="false"/>
                <w:smallCaps w:val="false"/>
              </w:rPr>
            </w:pPr>
            <w:r>
              <w:rPr>
                <w:caps w:val="false"/>
                <w:smallCaps w:val="false"/>
              </w:rPr>
              <w:t> </w:t>
            </w:r>
          </w:p>
          <w:p>
            <w:pPr>
              <w:pStyle w:val="TableContents"/>
              <w:bidi w:val="0"/>
              <w:spacing w:before="0" w:after="0"/>
              <w:ind w:left="2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Extraordinary Cancellation Event is “continuing” if it has not been waived.</w:t>
            </w:r>
          </w:p>
          <w:p>
            <w:pPr>
              <w:pStyle w:val="TableContents"/>
              <w:bidi w:val="0"/>
              <w:spacing w:before="0" w:after="0"/>
              <w:ind w:left="24"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Geely Facilities Non-FoP Event</w:t>
            </w:r>
            <w:r>
              <w:rPr>
                <w:rFonts w:ascii="Times New Roman;Times;Serif" w:hAnsi="Times New Roman;Times;Serif"/>
                <w:b w:val="false"/>
                <w:i w:val="false"/>
                <w:caps w:val="false"/>
                <w:smallCaps w:val="false"/>
                <w:sz w:val="20"/>
              </w:rPr>
              <w:t>” means an event of default under the Geely Facilities Agreement other than an event arising from a failure to pay (howsoever described) by an obligor under the Geely Facilities Agreement to pay on the due date any amount payable pursuant to the relevant finance documents relating to the Geely Facilities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i w:val="false"/>
                <w:caps w:val="false"/>
                <w:smallCaps w:val="false"/>
                <w:sz w:val="20"/>
              </w:rPr>
              <w:t>Extraordinary Cancellation Event</w:t>
            </w:r>
            <w:r>
              <w:rPr>
                <w:rFonts w:ascii="Times New Roman;Times;Serif" w:hAnsi="Times New Roman;Times;Serif"/>
                <w:b w:val="false"/>
                <w:i w:val="false"/>
                <w:caps w:val="false"/>
                <w:smallCaps w:val="false"/>
                <w:sz w:val="20"/>
              </w:rPr>
              <w:t>” means: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Extraordinary Event which (but for the provisions of “Consequences of Event of Default, Termination Event or Extraordinary Event”) would result in “Cancellation and Payment” or a Cancellation Amount being required to be determined in accordance with Article 12 of the Equity Definitions; or</w:t>
            </w:r>
          </w:p>
          <w:p>
            <w:pPr>
              <w:pStyle w:val="TableContents"/>
              <w:bidi w:val="0"/>
              <w:spacing w:before="0" w:after="0"/>
              <w:ind w:left="744" w:right="0" w:hanging="744"/>
              <w:jc w:val="both"/>
              <w:rPr>
                <w:caps w:val="false"/>
                <w:smallCaps w:val="false"/>
              </w:rPr>
            </w:pPr>
            <w:r>
              <w:rPr>
                <w:caps w:val="false"/>
                <w:smallCaps w:val="false"/>
              </w:rPr>
              <w:t> </w:t>
            </w:r>
          </w:p>
          <w:p>
            <w:pPr>
              <w:pStyle w:val="TableContents"/>
              <w:bidi w:val="0"/>
              <w:spacing w:before="0" w:after="0"/>
              <w:ind w:left="744" w:right="0" w:hanging="7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“Share-for-Other” Merger Event where the “Other Consideration” consists solely of cash.</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98"/>
        <w:gridCol w:w="9107"/>
      </w:tblGrid>
      <w:tr>
        <w:trPr/>
        <w:tc>
          <w:tcPr>
            <w:tcW w:w="1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Early Buyer Exercise Notice:</w:t>
            </w:r>
          </w:p>
        </w:tc>
        <w:tc>
          <w:tcPr>
            <w:tcW w:w="91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substantially in the form set out in Schedule C signed by an Authorised Signatory of Party 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Early Buyer Exercise Notice shall not be regarded as having been duly completed unless: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specifies the relevant Early Exercise Event to which such notice relates;</w:t>
            </w:r>
          </w:p>
          <w:p>
            <w:pPr>
              <w:pStyle w:val="TableContents"/>
              <w:bidi w:val="0"/>
              <w:spacing w:before="0" w:after="0"/>
              <w:ind w:left="647" w:right="0" w:hanging="654"/>
              <w:jc w:val="both"/>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designates a Transaction Business Day during the Permitted Early Expiration Date Period as the “</w:t>
            </w:r>
            <w:r>
              <w:rPr>
                <w:rFonts w:ascii="Times New Roman;Times;Serif" w:hAnsi="Times New Roman;Times;Serif"/>
                <w:b/>
                <w:i w:val="false"/>
                <w:caps w:val="false"/>
                <w:smallCaps w:val="false"/>
                <w:sz w:val="20"/>
              </w:rPr>
              <w:t>Early Expiration Date</w:t>
            </w:r>
            <w:r>
              <w:rPr>
                <w:rFonts w:ascii="Times New Roman;Times;Serif" w:hAnsi="Times New Roman;Times;Serif"/>
                <w:b w:val="false"/>
                <w:i w:val="false"/>
                <w:caps w:val="false"/>
                <w:smallCaps w:val="false"/>
                <w:sz w:val="20"/>
              </w:rPr>
              <w:t>”; and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maximum number of Options proposed to be exercised on the Early Expiration Date is no greater than the Number of Exercisable Options on the date of such Early Buyer Exercise Notice.</w:t>
            </w:r>
          </w:p>
          <w:p>
            <w:pPr>
              <w:pStyle w:val="TableContents"/>
              <w:bidi w:val="0"/>
              <w:spacing w:before="0" w:after="0"/>
              <w:ind w:left="24" w:right="0" w:hanging="0"/>
              <w:jc w:val="both"/>
              <w:rPr>
                <w:caps w:val="false"/>
                <w:smallCaps w:val="false"/>
              </w:rPr>
            </w:pPr>
            <w:r>
              <w:rPr>
                <w:caps w:val="false"/>
                <w:smallCaps w:val="false"/>
              </w:rPr>
              <w:t> </w:t>
            </w:r>
          </w:p>
          <w:p>
            <w:pPr>
              <w:pStyle w:val="TableContents"/>
              <w:bidi w:val="0"/>
              <w:spacing w:before="0" w:after="0"/>
              <w:ind w:left="2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to the contrary in this Confirmation, if an Early Exercise Event has occurred (x) after the delivery or deemed delivery of a Buyer Exercise Notice or (y) after the delivery of a Seller Settlement Notice but before the Early Settlement Date specified in such Seller Settlement Notice, then:</w:t>
            </w:r>
          </w:p>
          <w:p>
            <w:pPr>
              <w:pStyle w:val="TableContents"/>
              <w:bidi w:val="0"/>
              <w:spacing w:before="0" w:after="0"/>
              <w:ind w:left="24" w:right="0" w:hanging="0"/>
              <w:jc w:val="both"/>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(y) only), such earlier Seller Settlement Notice shall automatically be deemed to be void and of no effect (and the maximum number of Options proposed to be exercised as specified in such Seller Settlement Notice shall not be counted in the calculation of the Number of Exercisable Options as if the Seller Settlement Notice has never been delivered); and</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(x) or (y)), for the avoidance of doubt, Party A shall continue to have the right to deliver an Early Buyer Exercise Notice during the applicable Early Buyer Exercise Notice Delivery Period, and if a duly signed and completed Early Buyer Exercise Notice were so delivered in the case of (x), Party A may in its sole and absolute discretion specify in such Early Buyer Exercise Notice whether such earlier Buyer Exercise Notice shall be deemed to be void and of no effect (and the maximum number of Options proposed to be exercised as specified in such Buyer Exercise Notice shall not be counted in the calculation of the Number of Exercisable Options either (1) as from the date of such Early Buyer Exercise Notice or (2) as if such Early Buyer Exercise Notice has never been delivered).</w:t>
            </w:r>
          </w:p>
          <w:p>
            <w:pPr>
              <w:pStyle w:val="TableContents"/>
              <w:bidi w:val="0"/>
              <w:spacing w:before="0" w:after="0"/>
              <w:ind w:left="24" w:right="0" w:hanging="0"/>
              <w:jc w:val="both"/>
              <w:rPr>
                <w:caps w:val="false"/>
                <w:smallCaps w:val="false"/>
              </w:rPr>
            </w:pPr>
            <w:r>
              <w:rPr>
                <w:caps w:val="false"/>
                <w:smallCaps w:val="false"/>
              </w:rPr>
              <w:t> </w:t>
            </w:r>
          </w:p>
        </w:tc>
      </w:tr>
      <w:tr>
        <w:trPr/>
        <w:tc>
          <w:tcPr>
            <w:tcW w:w="109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Buyer Exercise Notice Delivery Period:</w:t>
            </w:r>
          </w:p>
        </w:tc>
        <w:tc>
          <w:tcPr>
            <w:tcW w:w="91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 Early Exercise Event which is continuing, the period commencing at the time of the first occurrence of such Early Exercise Event and ending at the Expiration Time on the date falling 15 Transaction Business Days prior to the Expiration Date.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89"/>
        <w:gridCol w:w="8516"/>
      </w:tblGrid>
      <w:tr>
        <w:trPr/>
        <w:tc>
          <w:tcPr>
            <w:tcW w:w="168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Early Expiration Date Period:</w:t>
            </w:r>
          </w:p>
          <w:p>
            <w:pPr>
              <w:pStyle w:val="TableContents"/>
              <w:bidi w:val="0"/>
              <w:spacing w:before="0" w:after="0"/>
              <w:ind w:left="0" w:right="0" w:hanging="0"/>
              <w:jc w:val="left"/>
              <w:rPr>
                <w:caps w:val="false"/>
                <w:smallCaps w:val="false"/>
              </w:rPr>
            </w:pPr>
            <w:r>
              <w:rPr>
                <w:caps w:val="false"/>
                <w:smallCaps w:val="false"/>
              </w:rPr>
              <w:t> </w:t>
            </w:r>
          </w:p>
        </w:tc>
        <w:tc>
          <w:tcPr>
            <w:tcW w:w="85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 Early Exercise Event which is continuing, the period commencing on (and including) the date falling the applicable Earliest Expiration Date from the date of the relevant Early Buyer Exercise Notice specifying such event and ending on (and including) the Expiration Date.</w:t>
            </w:r>
          </w:p>
          <w:p>
            <w:pPr>
              <w:pStyle w:val="TableContents"/>
              <w:bidi w:val="0"/>
              <w:spacing w:before="0" w:after="0"/>
              <w:ind w:left="0" w:right="0" w:hanging="0"/>
              <w:jc w:val="both"/>
              <w:rPr>
                <w:caps w:val="false"/>
                <w:smallCaps w:val="false"/>
              </w:rPr>
            </w:pPr>
            <w:r>
              <w:rPr>
                <w:caps w:val="false"/>
                <w:smallCaps w:val="false"/>
              </w:rPr>
              <w:t> </w:t>
            </w:r>
          </w:p>
        </w:tc>
      </w:tr>
      <w:tr>
        <w:trPr/>
        <w:tc>
          <w:tcPr>
            <w:tcW w:w="168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Earliest Expiration Date:</w:t>
            </w:r>
          </w:p>
          <w:p>
            <w:pPr>
              <w:pStyle w:val="TableContents"/>
              <w:bidi w:val="0"/>
              <w:spacing w:before="0" w:after="0"/>
              <w:ind w:left="0" w:right="0" w:hanging="0"/>
              <w:jc w:val="left"/>
              <w:rPr>
                <w:caps w:val="false"/>
                <w:smallCaps w:val="false"/>
              </w:rPr>
            </w:pPr>
            <w:r>
              <w:rPr>
                <w:caps w:val="false"/>
                <w:smallCaps w:val="false"/>
              </w:rPr>
              <w:t> </w:t>
            </w:r>
          </w:p>
        </w:tc>
        <w:tc>
          <w:tcPr>
            <w:tcW w:w="85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Party B Event, five Transaction Business Days;</w:t>
            </w:r>
          </w:p>
          <w:p>
            <w:pPr>
              <w:pStyle w:val="TableContents"/>
              <w:bidi w:val="0"/>
              <w:spacing w:before="0" w:after="0"/>
              <w:ind w:left="645" w:right="0" w:hanging="0"/>
              <w:jc w:val="both"/>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Equivalent Transaction Event, five Transaction Business Days;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Geely Facilities Event, five Transaction Business Days;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Guarantor/Keepwell Provider Cross-Default Event, five Transaction Business Days;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Polestar Facilities Event, five Transaction Business Days;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Securities Purchase Agreement Event, if such event results in Party A being unable to hold Shares, eight Transaction Business Days, otherwise, 60 Transaction Business Days;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Change of Control, 15 Transaction Business Days;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 Extraordinary Cancellation Event arising from Insolvency or Insolvency Filing, five Transaction Business Days;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 Extraordinary Cancellation Event arising from a Change in Law, 30 Transaction Business Days (or if earlier, the last day of any applicable grace period permitted by law);</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 Extraordinary Cancellation Event arising from a Hedging Disruption and/or Increased Cost of Hedging, 15 Transaction Business Days (or if earlier, the last day of any applicable grace period permitted by law); and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44" w:right="0" w:hanging="7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 Extraordinary Cancellation Event arising from any other Extraordinary Event not specified above, 30 Transaction Business Days.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39"/>
        <w:gridCol w:w="9366"/>
      </w:tblGrid>
      <w:tr>
        <w:trPr/>
        <w:tc>
          <w:tcPr>
            <w:tcW w:w="83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Support Default:</w:t>
            </w:r>
          </w:p>
          <w:p>
            <w:pPr>
              <w:pStyle w:val="TableContents"/>
              <w:bidi w:val="0"/>
              <w:spacing w:before="0" w:after="0"/>
              <w:ind w:left="0" w:right="0" w:hanging="0"/>
              <w:jc w:val="left"/>
              <w:rPr>
                <w:caps w:val="false"/>
                <w:smallCaps w:val="false"/>
              </w:rPr>
            </w:pPr>
            <w:r>
              <w:rPr>
                <w:caps w:val="false"/>
                <w:smallCaps w:val="false"/>
              </w:rPr>
              <w:t> </w:t>
            </w:r>
          </w:p>
        </w:tc>
        <w:tc>
          <w:tcPr>
            <w:tcW w:w="93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5(a)(iii)(1) of the Agreement is replaced in its entirety with the following: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44" w:right="0" w:hanging="81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           Failure by any Credit Support Provider of Party B to comply with or perform any agreement or obligation to be complied with or performed by it in accordance with any Credit Support Document to which it is a party in the following manner: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1374" w:right="0" w:hanging="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Credit Support Provider does not pay on the due date any amount payable pursuant to a Credit Support Document to which it is a party in the manner and at the place and in the currency in which it is expressed to be payable, unless (i) its failure to pay is caused by (A) technical and administrative error; or (B) a Disruption Event; and (ii) payment is made within three CSD Business Days of its due date;</w:t>
            </w:r>
          </w:p>
          <w:p>
            <w:pPr>
              <w:pStyle w:val="TableContents"/>
              <w:bidi w:val="0"/>
              <w:spacing w:before="0" w:after="0"/>
              <w:ind w:left="1374" w:right="0" w:hanging="724"/>
              <w:jc w:val="both"/>
              <w:rPr>
                <w:caps w:val="false"/>
                <w:smallCaps w:val="false"/>
              </w:rPr>
            </w:pPr>
            <w:r>
              <w:rPr>
                <w:caps w:val="false"/>
                <w:smallCaps w:val="false"/>
              </w:rPr>
              <w:t> </w:t>
            </w:r>
          </w:p>
          <w:p>
            <w:pPr>
              <w:pStyle w:val="TableContents"/>
              <w:bidi w:val="0"/>
              <w:spacing w:before="0" w:after="0"/>
              <w:ind w:left="1374" w:right="0" w:hanging="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requirement of paragraph 20 (</w:t>
            </w:r>
            <w:r>
              <w:rPr>
                <w:rFonts w:ascii="Times New Roman;Times;Serif" w:hAnsi="Times New Roman;Times;Serif"/>
                <w:b w:val="false"/>
                <w:i/>
                <w:caps w:val="false"/>
                <w:smallCaps w:val="false"/>
                <w:sz w:val="20"/>
              </w:rPr>
              <w:t>Anti-bribery, anti- corruption, anti-money laundering and counter-terrorism</w:t>
            </w:r>
            <w:r>
              <w:rPr>
                <w:rFonts w:ascii="Times New Roman;Times;Serif" w:hAnsi="Times New Roman;Times;Serif"/>
                <w:b w:val="false"/>
                <w:i w:val="false"/>
                <w:caps w:val="false"/>
                <w:smallCaps w:val="false"/>
                <w:sz w:val="20"/>
              </w:rPr>
              <w:t>) of Part B (</w:t>
            </w:r>
            <w:r>
              <w:rPr>
                <w:rFonts w:ascii="Times New Roman;Times;Serif" w:hAnsi="Times New Roman;Times;Serif"/>
                <w:b w:val="false"/>
                <w:i/>
                <w:caps w:val="false"/>
                <w:smallCaps w:val="false"/>
                <w:sz w:val="20"/>
              </w:rPr>
              <w:t>Representations</w:t>
            </w:r>
            <w:r>
              <w:rPr>
                <w:rFonts w:ascii="Times New Roman;Times;Serif" w:hAnsi="Times New Roman;Times;Serif"/>
                <w:b w:val="false"/>
                <w:i w:val="false"/>
                <w:caps w:val="false"/>
                <w:smallCaps w:val="false"/>
                <w:sz w:val="20"/>
              </w:rPr>
              <w:t>) of Schedule 1 to the Guarantee, paragraph 15 (</w:t>
            </w:r>
            <w:r>
              <w:rPr>
                <w:rFonts w:ascii="Times New Roman;Times;Serif" w:hAnsi="Times New Roman;Times;Serif"/>
                <w:b w:val="false"/>
                <w:i/>
                <w:caps w:val="false"/>
                <w:smallCaps w:val="false"/>
                <w:sz w:val="20"/>
              </w:rPr>
              <w:t>Anti-bribery, anti-corruption, anti-money laundering and counter-terrorism</w:t>
            </w:r>
            <w:r>
              <w:rPr>
                <w:rFonts w:ascii="Times New Roman;Times;Serif" w:hAnsi="Times New Roman;Times;Serif"/>
                <w:b w:val="false"/>
                <w:i w:val="false"/>
                <w:caps w:val="false"/>
                <w:smallCaps w:val="false"/>
                <w:sz w:val="20"/>
              </w:rPr>
              <w:t>) of Part E (</w:t>
            </w:r>
            <w:r>
              <w:rPr>
                <w:rFonts w:ascii="Times New Roman;Times;Serif" w:hAnsi="Times New Roman;Times;Serif"/>
                <w:b w:val="false"/>
                <w:i/>
                <w:caps w:val="false"/>
                <w:smallCaps w:val="false"/>
                <w:sz w:val="20"/>
              </w:rPr>
              <w:t>General Undertakings</w:t>
            </w:r>
            <w:r>
              <w:rPr>
                <w:rFonts w:ascii="Times New Roman;Times;Serif" w:hAnsi="Times New Roman;Times;Serif"/>
                <w:b w:val="false"/>
                <w:i w:val="false"/>
                <w:caps w:val="false"/>
                <w:smallCaps w:val="false"/>
                <w:sz w:val="20"/>
              </w:rPr>
              <w:t>) of Schedule 1 to the Guarantee or any undertakings in Part D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 of Schedule 1 to the Guarantee is not satisfied;</w:t>
            </w:r>
          </w:p>
          <w:p>
            <w:pPr>
              <w:pStyle w:val="TableContents"/>
              <w:bidi w:val="0"/>
              <w:spacing w:before="0" w:after="0"/>
              <w:ind w:left="1374" w:right="0" w:hanging="724"/>
              <w:jc w:val="left"/>
              <w:rPr>
                <w:caps w:val="false"/>
                <w:smallCaps w:val="false"/>
              </w:rPr>
            </w:pPr>
            <w:r>
              <w:rPr>
                <w:caps w:val="false"/>
                <w:smallCaps w:val="false"/>
              </w:rPr>
              <w:t> </w:t>
            </w:r>
          </w:p>
          <w:p>
            <w:pPr>
              <w:pStyle w:val="TableContents"/>
              <w:bidi w:val="0"/>
              <w:spacing w:before="0" w:after="0"/>
              <w:ind w:left="1374" w:right="0" w:hanging="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Credit Support Provider does not comply with any provision of the Credit Support Documents to which it is a party (other than those referred to in paragraphs (a) and (b) above) and (if such failure to comply is capable of remedy) such failure is continuing after 15 CSD Business Days of the earlier of (i) Party A giving notice to the relevant Credit Support Provider of the failure to comply and (ii) any Credit Support Provider becoming aware of the failure to comply; or</w:t>
            </w:r>
          </w:p>
          <w:p>
            <w:pPr>
              <w:pStyle w:val="TableContents"/>
              <w:bidi w:val="0"/>
              <w:spacing w:before="0" w:after="0"/>
              <w:ind w:left="1374" w:right="0" w:hanging="724"/>
              <w:jc w:val="left"/>
              <w:rPr>
                <w:caps w:val="false"/>
                <w:smallCaps w:val="false"/>
              </w:rPr>
            </w:pPr>
            <w:r>
              <w:rPr>
                <w:caps w:val="false"/>
                <w:smallCaps w:val="false"/>
              </w:rPr>
              <w:t> </w:t>
            </w:r>
          </w:p>
          <w:p>
            <w:pPr>
              <w:pStyle w:val="TableContents"/>
              <w:bidi w:val="0"/>
              <w:spacing w:before="0" w:after="0"/>
              <w:ind w:left="1374" w:right="0" w:hanging="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representation, warranty or statement made or deemed to be made by any Credit Support Provider in the Credit Support Documents to which it is a party or in any other document delivered by or on behalf of any Credit Support Provider under or in connection with such Credit Support Documents is or proves to have been incorrect or misleading in any material respect when made or deemed to be made, unless the circumstances giving rise to the misrepresentation or misstatement (i) are capable of remedy; and (ii) are remedied within 15 CSD Business Days of the earlier of (A) Party A giving notice of the misrepresentation, breach of warranty or misstatement to the relevant Credit Support Provider and (B) the relevant Credit Support Provider becoming aware of the misrepresentation, breach of warranty or misstatement;”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25"/>
        <w:gridCol w:w="9080"/>
      </w:tblGrid>
      <w:tr>
        <w:trPr/>
        <w:tc>
          <w:tcPr>
            <w:tcW w:w="1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Disruption Event:</w:t>
            </w:r>
          </w:p>
        </w:tc>
        <w:tc>
          <w:tcPr>
            <w:tcW w:w="9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or both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material disruption to the payment or communications systems or to the financial markets which are, in each case, required to operate in order for payments to be made in connection with a Credit Support Document, provided that the disruption is not caused by, and is beyond the control of, any of the parties to the relevant Credit Support Document; or</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occurrence of any other event which results in a disruption (of a technical or systems-related nature) to the treasury or payments operations of a party to a Credit Support Document preventing that, or any other party (x) from performing its payment obligations under such Credit Support Document or (y) from communicating with other parties in accordance with the terms of such Credit Support Document and which (in either case) is not caused by, and is beyond the control of, the party whose operations are disrupted.</w:t>
            </w:r>
          </w:p>
          <w:p>
            <w:pPr>
              <w:pStyle w:val="TableContents"/>
              <w:bidi w:val="0"/>
              <w:spacing w:before="0" w:after="0"/>
              <w:ind w:left="0" w:right="0" w:hanging="0"/>
              <w:jc w:val="both"/>
              <w:rPr>
                <w:caps w:val="false"/>
                <w:smallCaps w:val="false"/>
              </w:rPr>
            </w:pPr>
            <w:r>
              <w:rPr>
                <w:caps w:val="false"/>
                <w:smallCaps w:val="false"/>
              </w:rPr>
              <w:t> </w:t>
            </w:r>
          </w:p>
        </w:tc>
      </w:tr>
      <w:tr>
        <w:trPr/>
        <w:tc>
          <w:tcPr>
            <w:tcW w:w="11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Support Provider:</w:t>
            </w:r>
          </w:p>
          <w:p>
            <w:pPr>
              <w:pStyle w:val="TableContents"/>
              <w:bidi w:val="0"/>
              <w:spacing w:before="0" w:after="0"/>
              <w:ind w:left="0" w:right="0" w:hanging="0"/>
              <w:jc w:val="left"/>
              <w:rPr>
                <w:caps w:val="false"/>
                <w:smallCaps w:val="false"/>
              </w:rPr>
            </w:pPr>
            <w:r>
              <w:rPr>
                <w:caps w:val="false"/>
                <w:smallCaps w:val="false"/>
              </w:rPr>
              <w:t> </w:t>
            </w:r>
          </w:p>
        </w:tc>
        <w:tc>
          <w:tcPr>
            <w:tcW w:w="9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and the Keepwell Provider shall each be a Credit Support Provider in respect of Party B:</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any time prior to the prepayment or repayment of the Geely Facilities Agreement in full, for the purposes of Section 5(a)(iii) only (but not, for the avoidance of doubt, for the purposes of any other Events of Default or Termination Events under the Agreement); and</w:t>
            </w:r>
          </w:p>
          <w:p>
            <w:pPr>
              <w:pStyle w:val="TableContents"/>
              <w:bidi w:val="0"/>
              <w:spacing w:before="0" w:after="0"/>
              <w:ind w:left="654"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any time after the prepayment or repayment of the Geely Facilities Agreement in full, for the purposes of all Events of Default or Termination Events under the Agreement.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43"/>
        <w:gridCol w:w="8062"/>
      </w:tblGrid>
      <w:tr>
        <w:trPr/>
        <w:tc>
          <w:tcPr>
            <w:tcW w:w="214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Support Document:</w:t>
            </w:r>
          </w:p>
          <w:p>
            <w:pPr>
              <w:pStyle w:val="TableContents"/>
              <w:bidi w:val="0"/>
              <w:spacing w:before="0" w:after="0"/>
              <w:ind w:left="0" w:right="0" w:hanging="0"/>
              <w:jc w:val="left"/>
              <w:rPr>
                <w:caps w:val="false"/>
                <w:smallCaps w:val="false"/>
              </w:rPr>
            </w:pPr>
            <w:r>
              <w:rPr>
                <w:caps w:val="false"/>
                <w:smallCaps w:val="false"/>
              </w:rPr>
              <w:t> </w:t>
            </w:r>
          </w:p>
        </w:tc>
        <w:tc>
          <w:tcPr>
            <w:tcW w:w="806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 and the Keepwell Deed shall each be a Credit Support Document: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any time prior to the prepayment or repayment of the Geely Facilities Agreement in full, for the purposes of Section 5(a)(iii) only (but not, for the avoidance of doubt, for the purposes of any other Events of Default or Termination Events under this Agreement); and</w:t>
            </w:r>
          </w:p>
          <w:p>
            <w:pPr>
              <w:pStyle w:val="TableContents"/>
              <w:bidi w:val="0"/>
              <w:spacing w:before="0" w:after="0"/>
              <w:ind w:left="654"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any time after the prepayment or repayment of the Geely Facilities Agreement in full, for the purposes of all Events of Default or Termination Events under the Agreement.</w:t>
            </w:r>
          </w:p>
          <w:p>
            <w:pPr>
              <w:pStyle w:val="TableContents"/>
              <w:bidi w:val="0"/>
              <w:spacing w:before="0" w:after="0"/>
              <w:ind w:left="0" w:right="0" w:hanging="0"/>
              <w:jc w:val="both"/>
              <w:rPr>
                <w:caps w:val="false"/>
                <w:smallCaps w:val="false"/>
              </w:rPr>
            </w:pPr>
            <w:r>
              <w:rPr>
                <w:caps w:val="false"/>
                <w:smallCaps w:val="false"/>
              </w:rPr>
              <w:t> </w:t>
            </w:r>
          </w:p>
        </w:tc>
      </w:tr>
      <w:tr>
        <w:trPr/>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CSD Business Day:</w:t>
            </w:r>
          </w:p>
        </w:tc>
        <w:tc>
          <w:tcPr>
            <w:tcW w:w="806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Business Day in Hong Kong, New York, PRC, Luxembourg, Brussels, Stockholm and Paris.</w:t>
            </w:r>
          </w:p>
          <w:p>
            <w:pPr>
              <w:pStyle w:val="TableContents"/>
              <w:bidi w:val="0"/>
              <w:spacing w:before="0" w:after="0"/>
              <w:ind w:left="0" w:right="0" w:hanging="0"/>
              <w:jc w:val="both"/>
              <w:rPr>
                <w:caps w:val="false"/>
                <w:smallCaps w:val="false"/>
              </w:rPr>
            </w:pPr>
            <w:r>
              <w:rPr>
                <w:caps w:val="false"/>
                <w:smallCaps w:val="false"/>
              </w:rPr>
              <w:t> </w:t>
            </w:r>
          </w:p>
        </w:tc>
      </w:tr>
      <w:tr>
        <w:trPr/>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Guarantor/Keepwell Provider Cross-Default Event:</w:t>
            </w:r>
          </w:p>
        </w:tc>
        <w:tc>
          <w:tcPr>
            <w:tcW w:w="806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occurs in respect of (x) the Guarantor and its Subsidiaries from time to time or (y) the Keepwell Provider: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of its Financial Indebtedness is not paid when due (after the expiry of any originally applicable grace period);</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of its Financial Indebtedness is declared to be or otherwise becomes due and payable before its specified maturity as a result of an event of default (however described);</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commitment for any of its Financial Indebtedness is cancelled or suspended by any of its creditors as a result of an event of default (however described); or</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of its creditors becomes entitled to declare any of its Financial Indebtedness due and payable before its specified maturity as a result of any event of default (however described),</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aggregate amount of Financial Indebtedness or commitment for Financial Indebtedness falling within all or any of paragraphs (i) to (iv) (without double counting) is less than €[ ] (or its equivalent in any other currency or currencies).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70"/>
        <w:gridCol w:w="8935"/>
      </w:tblGrid>
      <w:tr>
        <w:trPr/>
        <w:tc>
          <w:tcPr>
            <w:tcW w:w="1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Indebtedness:</w:t>
            </w:r>
          </w:p>
        </w:tc>
        <w:tc>
          <w:tcPr>
            <w:tcW w:w="89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indebtedness for or in respect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moneys borrowed;</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acceptance under any acceptance credit facility (including any dematerialised equivalent);</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note purchase facility or the issue of bonds, notes, debentures, loan stock or any similar instrument;</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redeemable preference share;</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lease, hire purchase contract or similar agreement which would, in accordance with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be treated as a balance sheet liability (other than a lease or hire purchase contract which would, in accordance with applicable GAAP in force immediately before the adoption of IFRS 16 (Lease) (where applicable), be treated as an operating lease but would be required to be classified as a finance or capital lease as a result of the application of IFRS 16 (Lease));</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receivables sold or discounted (other than any receivables to the extent they are sold or discounted on a non-recourse basis);</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will be taken into account);</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counter-indemnity obligation in respect of a guarantee, indemnity, bond, standby or documentary letter of credit or any other instrument issued by a bank or financial institution;</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acquisition cost of any asset or service to the extent payable before or after its acquisition or possession by the party liable where the advance or deferred payment:</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1368"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arranged primarily as a method of raising finance or of financing the acquisition or the construction of that asset or service; 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1368"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 due to be made more than six Months before or after the date of acquisition or supply; or</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other transaction (including any forward sale or purchase agreement) of a type not referred to in any other paragraph of this definition having the commercial effect of a borrowing;</w:t>
            </w:r>
          </w:p>
          <w:p>
            <w:pPr>
              <w:pStyle w:val="TableContents"/>
              <w:bidi w:val="0"/>
              <w:spacing w:before="0" w:after="0"/>
              <w:ind w:left="648" w:right="0" w:hanging="648"/>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guarantee, indemnity or similar assurance against financial loss of any person in respect of any item referred to in paragraphs (a) to (j) above.</w:t>
            </w:r>
          </w:p>
          <w:p>
            <w:pPr>
              <w:pStyle w:val="TableContents"/>
              <w:bidi w:val="0"/>
              <w:spacing w:before="0" w:after="0"/>
              <w:ind w:left="0" w:right="0" w:hanging="0"/>
              <w:jc w:val="lef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Control:</w:t>
            </w:r>
          </w:p>
        </w:tc>
        <w:tc>
          <w:tcPr>
            <w:tcW w:w="91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of Control occurs if: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caps w:val="false"/>
                <w:smallCaps w:val="false"/>
              </w:rPr>
            </w:pPr>
            <w:r>
              <w:rPr>
                <w:rFonts w:ascii="Times New Roman;Times;Serif" w:hAnsi="Times New Roman;Times;Serif"/>
                <w:b w:val="false"/>
                <w:i w:val="false"/>
                <w:caps w:val="false"/>
                <w:smallCaps w:val="false"/>
                <w:sz w:val="20"/>
              </w:rPr>
              <w:t>(i)            Mr Li Shufu (</w:t>
            </w:r>
            <w:r>
              <w:rPr>
                <w:rFonts w:eastAsia="Times New Roman;Times;Serif"/>
                <w:b w:val="false"/>
                <w:i w:val="false"/>
                <w:caps w:val="false"/>
                <w:smallCaps w:val="false"/>
                <w:sz w:val="20"/>
              </w:rPr>
              <w:t>李书福</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Mr Li</w:t>
            </w:r>
            <w:r>
              <w:rPr>
                <w:rFonts w:ascii="Times New Roman;Times;Serif" w:hAnsi="Times New Roman;Times;Serif"/>
                <w:b w:val="false"/>
                <w:i w:val="false"/>
                <w:caps w:val="false"/>
                <w:smallCaps w:val="false"/>
                <w:sz w:val="20"/>
              </w:rPr>
              <w:t>”) ceases to be:</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1374"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beneficial owner of, whether directly or indirectly through Subsidiaries, at least 80 per cent. of the voting capital of the Keepwell Provider;</w:t>
            </w:r>
          </w:p>
          <w:p>
            <w:pPr>
              <w:pStyle w:val="TableContents"/>
              <w:bidi w:val="0"/>
              <w:spacing w:before="0" w:after="0"/>
              <w:ind w:left="1374" w:right="0" w:hanging="720"/>
              <w:jc w:val="both"/>
              <w:rPr>
                <w:caps w:val="false"/>
                <w:smallCaps w:val="false"/>
              </w:rPr>
            </w:pPr>
            <w:r>
              <w:rPr>
                <w:caps w:val="false"/>
                <w:smallCaps w:val="false"/>
              </w:rPr>
              <w:t> </w:t>
            </w:r>
          </w:p>
          <w:p>
            <w:pPr>
              <w:pStyle w:val="TableContents"/>
              <w:bidi w:val="0"/>
              <w:spacing w:before="0" w:after="0"/>
              <w:ind w:left="1374"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single largest beneficial owner of, whether directly or indirectly through Subsidiaries, Geely Automobile Holdings Limited; or</w:t>
            </w:r>
          </w:p>
          <w:p>
            <w:pPr>
              <w:pStyle w:val="TableContents"/>
              <w:bidi w:val="0"/>
              <w:spacing w:before="0" w:after="0"/>
              <w:ind w:left="1374" w:right="0" w:hanging="720"/>
              <w:jc w:val="left"/>
              <w:rPr>
                <w:caps w:val="false"/>
                <w:smallCaps w:val="false"/>
              </w:rPr>
            </w:pPr>
            <w:r>
              <w:rPr>
                <w:caps w:val="false"/>
                <w:smallCaps w:val="false"/>
              </w:rPr>
              <w:t> </w:t>
            </w:r>
          </w:p>
          <w:p>
            <w:pPr>
              <w:pStyle w:val="TableContents"/>
              <w:bidi w:val="0"/>
              <w:spacing w:before="0" w:after="0"/>
              <w:ind w:left="1374"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beneficial owner of, whether directly or indirectly through Subsidiaries, at least 25 per cent. of the voting capital of Geely Automobile Holdings Limited;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Keepwell Provider ceases to be the beneficial owner of, whether directly or indirectly through wholly-owned Subsidiaries, 100 per cent. of the voting capital of the Guarantor; or</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Guarantor ceases to be the beneficial owner of, whether directly or indirectly through Subsidiaries or through Volvo Car AB (as defined in the Guarantee), at least 51 per cent. of the voting capital of Volvo Car Corporation (as defined in the Guarantee);</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Mr. Li ceases to the beneficial owner of, whether directly or indirectly through wholly- owned Subsidiaries, 100 per cent. of the voting capital of Party B; 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83"/>
        <w:gridCol w:w="8122"/>
      </w:tblGrid>
      <w:tr>
        <w:trPr/>
        <w:tc>
          <w:tcPr>
            <w:tcW w:w="2083" w:type="dxa"/>
            <w:tcBorders/>
            <w:vAlign w:val="center"/>
          </w:tcPr>
          <w:p>
            <w:pPr>
              <w:pStyle w:val="TableContents"/>
              <w:bidi w:val="0"/>
              <w:spacing w:before="0" w:after="283"/>
              <w:jc w:val="left"/>
              <w:rPr/>
            </w:pPr>
            <w:r>
              <w:rPr/>
              <w:t> </w:t>
            </w:r>
          </w:p>
        </w:tc>
        <w:tc>
          <w:tcPr>
            <w:tcW w:w="812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(1) Volvo Car Corporation, (2) PSD INVESTMENT LIMITED, a BVI business company incorporated under the laws of the British Virgin Islands with company number 2033695 (“</w:t>
            </w:r>
            <w:r>
              <w:rPr>
                <w:rFonts w:ascii="Times New Roman;Times;Serif" w:hAnsi="Times New Roman;Times;Serif"/>
                <w:b/>
                <w:i w:val="false"/>
                <w:caps w:val="false"/>
                <w:smallCaps w:val="false"/>
                <w:sz w:val="20"/>
              </w:rPr>
              <w:t>PSD</w:t>
            </w:r>
            <w:r>
              <w:rPr>
                <w:rFonts w:ascii="Times New Roman;Times;Serif" w:hAnsi="Times New Roman;Times;Serif"/>
                <w:b w:val="false"/>
                <w:i w:val="false"/>
                <w:caps w:val="false"/>
                <w:smallCaps w:val="false"/>
                <w:sz w:val="20"/>
              </w:rPr>
              <w:t>”), (3) the Guarantor and/or (4) any other person in which Mr. Li directly or indirectly holds at least 51 per cent. of the shares or equity interests, collectively, cease to be the beneficial owner of, whether directly or indirectly through Subsidiaries, at least 51 per cent. of the voting capital of the Underlying Shares Issuer.</w:t>
            </w:r>
          </w:p>
          <w:p>
            <w:pPr>
              <w:pStyle w:val="TableContents"/>
              <w:bidi w:val="0"/>
              <w:spacing w:before="0" w:after="0"/>
              <w:ind w:left="0" w:right="0" w:hanging="0"/>
              <w:jc w:val="left"/>
              <w:rPr>
                <w:caps w:val="false"/>
                <w:smallCaps w:val="false"/>
              </w:rPr>
            </w:pPr>
            <w:r>
              <w:rPr>
                <w:caps w:val="false"/>
                <w:smallCaps w:val="false"/>
              </w:rPr>
              <w:t> </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Event of Default, Termination Event or Extraordinary Event:</w:t>
            </w:r>
          </w:p>
          <w:p>
            <w:pPr>
              <w:pStyle w:val="TableContents"/>
              <w:bidi w:val="0"/>
              <w:spacing w:before="0" w:after="0"/>
              <w:ind w:left="720" w:right="0" w:hanging="720"/>
              <w:jc w:val="both"/>
              <w:rPr>
                <w:caps w:val="false"/>
                <w:smallCaps w:val="false"/>
              </w:rPr>
            </w:pPr>
            <w:r>
              <w:rPr>
                <w:caps w:val="false"/>
                <w:smallCaps w:val="false"/>
              </w:rPr>
              <w:t> </w:t>
            </w:r>
          </w:p>
        </w:tc>
        <w:tc>
          <w:tcPr>
            <w:tcW w:w="812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Agreement or the Equity Definitions: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 event is both (x) an Event of Default (other than a Specified Event of Default) or a Termination Event (other than a Specified Termination Event) and (y) an Early Exercise Event, then the consequences set out in Section 6 of the Agreement shall not apply; and</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 event is both (x) an Extraordinary Event and (y) an Early Exercise Event, then the consequences set out in Sections 12.7, 12.8 and 12.9 of the Equity Definitions shall not apply,</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either case, Party A may instead exercise the Options by the delivery of an Early Buyer Exercise Notice in accordance with the procedures set out herein.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an event is both (x) a Specified Event of Default or a Specified Termination Event and (y) an Early Exercise Event, then Party A may, in its discretion, while such event is continuing: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designate an Early Termination Date in respect of the Transaction in accordance with Section 6(a) of the Agreement; or</w:t>
            </w:r>
          </w:p>
          <w:p>
            <w:pPr>
              <w:pStyle w:val="TableContents"/>
              <w:bidi w:val="0"/>
              <w:spacing w:before="0" w:after="0"/>
              <w:ind w:left="654"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early exercise the Options by delivering an Early Buyer Exercise Notice in accordance with the procedures set out herein.</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2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Specified Event of Default</w:t>
            </w:r>
            <w:r>
              <w:rPr>
                <w:rFonts w:ascii="Times New Roman;Times;Serif" w:hAnsi="Times New Roman;Times;Serif"/>
                <w:b w:val="false"/>
                <w:i w:val="false"/>
                <w:caps w:val="false"/>
                <w:smallCaps w:val="false"/>
                <w:sz w:val="20"/>
              </w:rPr>
              <w:t>” means the occurrence of Section 5(a)(i) (</w:t>
            </w:r>
            <w:r>
              <w:rPr>
                <w:rFonts w:ascii="Times New Roman;Times;Serif" w:hAnsi="Times New Roman;Times;Serif"/>
                <w:b w:val="false"/>
                <w:i/>
                <w:caps w:val="false"/>
                <w:smallCaps w:val="false"/>
                <w:sz w:val="20"/>
              </w:rPr>
              <w:t>Failure to Pay or Deliver</w:t>
            </w:r>
            <w:r>
              <w:rPr>
                <w:rFonts w:ascii="Times New Roman;Times;Serif" w:hAnsi="Times New Roman;Times;Serif"/>
                <w:b w:val="false"/>
                <w:i w:val="false"/>
                <w:caps w:val="false"/>
                <w:smallCaps w:val="false"/>
                <w:sz w:val="20"/>
              </w:rPr>
              <w:t>), Section 5(a)(vii) (</w:t>
            </w:r>
            <w:r>
              <w:rPr>
                <w:rFonts w:ascii="Times New Roman;Times;Serif" w:hAnsi="Times New Roman;Times;Serif"/>
                <w:b w:val="false"/>
                <w:i/>
                <w:caps w:val="false"/>
                <w:smallCaps w:val="false"/>
                <w:sz w:val="20"/>
              </w:rPr>
              <w:t>Bankruptcy</w:t>
            </w:r>
            <w:r>
              <w:rPr>
                <w:rFonts w:ascii="Times New Roman;Times;Serif" w:hAnsi="Times New Roman;Times;Serif"/>
                <w:b w:val="false"/>
                <w:i w:val="false"/>
                <w:caps w:val="false"/>
                <w:smallCaps w:val="false"/>
                <w:sz w:val="20"/>
              </w:rPr>
              <w:t>) or Section 5(a)(viii) (</w:t>
            </w:r>
            <w:r>
              <w:rPr>
                <w:rFonts w:ascii="Times New Roman;Times;Serif" w:hAnsi="Times New Roman;Times;Serif"/>
                <w:b w:val="false"/>
                <w:i/>
                <w:caps w:val="false"/>
                <w:smallCaps w:val="false"/>
                <w:sz w:val="20"/>
              </w:rPr>
              <w:t>Merger Without Assumption</w:t>
            </w:r>
            <w:r>
              <w:rPr>
                <w:rFonts w:ascii="Times New Roman;Times;Serif" w:hAnsi="Times New Roman;Times;Serif"/>
                <w:b w:val="false"/>
                <w:i w:val="false"/>
                <w:caps w:val="false"/>
                <w:smallCaps w:val="false"/>
                <w:sz w:val="20"/>
              </w:rPr>
              <w:t>) in respect of which Party B is the Defaulting Party.</w:t>
            </w:r>
          </w:p>
          <w:p>
            <w:pPr>
              <w:pStyle w:val="TableContents"/>
              <w:bidi w:val="0"/>
              <w:spacing w:before="0" w:after="0"/>
              <w:ind w:left="24" w:right="0" w:hanging="0"/>
              <w:jc w:val="both"/>
              <w:rPr>
                <w:caps w:val="false"/>
                <w:smallCaps w:val="false"/>
              </w:rPr>
            </w:pPr>
            <w:r>
              <w:rPr>
                <w:caps w:val="false"/>
                <w:smallCaps w:val="false"/>
              </w:rPr>
              <w:t> </w:t>
            </w:r>
          </w:p>
          <w:p>
            <w:pPr>
              <w:pStyle w:val="TableContents"/>
              <w:bidi w:val="0"/>
              <w:spacing w:before="0" w:after="0"/>
              <w:ind w:left="2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Specified Termination Event</w:t>
            </w:r>
            <w:r>
              <w:rPr>
                <w:rFonts w:ascii="Times New Roman;Times;Serif" w:hAnsi="Times New Roman;Times;Serif"/>
                <w:b w:val="false"/>
                <w:i w:val="false"/>
                <w:caps w:val="false"/>
                <w:smallCaps w:val="false"/>
                <w:sz w:val="20"/>
              </w:rPr>
              <w:t>” means the occurrence of Section 5(b)(iv) (</w:t>
            </w:r>
            <w:r>
              <w:rPr>
                <w:rFonts w:ascii="Times New Roman;Times;Serif" w:hAnsi="Times New Roman;Times;Serif"/>
                <w:b w:val="false"/>
                <w:i/>
                <w:caps w:val="false"/>
                <w:smallCaps w:val="false"/>
                <w:sz w:val="20"/>
              </w:rPr>
              <w:t>Tax Event Upon Merger</w:t>
            </w:r>
            <w:r>
              <w:rPr>
                <w:rFonts w:ascii="Times New Roman;Times;Serif" w:hAnsi="Times New Roman;Times;Serif"/>
                <w:b w:val="false"/>
                <w:i w:val="false"/>
                <w:caps w:val="false"/>
                <w:smallCaps w:val="false"/>
                <w:sz w:val="20"/>
              </w:rPr>
              <w:t>) or Section 5(b)(v) (</w:t>
            </w:r>
            <w:r>
              <w:rPr>
                <w:rFonts w:ascii="Times New Roman;Times;Serif" w:hAnsi="Times New Roman;Times;Serif"/>
                <w:b w:val="false"/>
                <w:i/>
                <w:caps w:val="false"/>
                <w:smallCaps w:val="false"/>
                <w:sz w:val="20"/>
              </w:rPr>
              <w:t>Credit Event Upon Merger</w:t>
            </w:r>
            <w:r>
              <w:rPr>
                <w:rFonts w:ascii="Times New Roman;Times;Serif" w:hAnsi="Times New Roman;Times;Serif"/>
                <w:b w:val="false"/>
                <w:i w:val="false"/>
                <w:caps w:val="false"/>
                <w:smallCaps w:val="false"/>
                <w:sz w:val="20"/>
              </w:rPr>
              <w:t>) in respect of which Party B is an Affected Party.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b/>
              </w:rPr>
            </w:pPr>
            <w:r>
              <w:rPr>
                <w:b/>
              </w:rPr>
              <w:t>4.</w:t>
            </w:r>
          </w:p>
        </w:tc>
        <w:tc>
          <w:tcPr>
            <w:tcW w:w="9368" w:type="dxa"/>
            <w:tcBorders/>
            <w:vAlign w:val="center"/>
          </w:tcPr>
          <w:p>
            <w:pPr>
              <w:pStyle w:val="TableContents"/>
              <w:bidi w:val="0"/>
              <w:spacing w:before="0" w:after="283"/>
              <w:jc w:val="left"/>
              <w:rPr>
                <w:b/>
              </w:rPr>
            </w:pPr>
            <w:r>
              <w:rPr>
                <w:b/>
              </w:rPr>
              <w:t>EARLY SETTLEMENT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6"/>
        <w:gridCol w:w="9049"/>
      </w:tblGrid>
      <w:tr>
        <w:trPr/>
        <w:tc>
          <w:tcPr>
            <w:tcW w:w="1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Seller Settlement Notice: </w:t>
            </w:r>
          </w:p>
        </w:tc>
        <w:tc>
          <w:tcPr>
            <w:tcW w:w="90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substantially in the form set out in Schedule D signed by an Authorised Signatory of Party B.</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Settlement Notice shall not be regarded as having been duly completed unless: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54"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designates a Transaction Business Day during the Permitted Seller Settlement Date Period as an “</w:t>
            </w:r>
            <w:r>
              <w:rPr>
                <w:rFonts w:ascii="Times New Roman;Times;Serif" w:hAnsi="Times New Roman;Times;Serif"/>
                <w:b/>
                <w:i w:val="false"/>
                <w:caps w:val="false"/>
                <w:smallCaps w:val="false"/>
                <w:sz w:val="20"/>
              </w:rPr>
              <w:t>Early Settlement Date</w:t>
            </w:r>
            <w:r>
              <w:rPr>
                <w:rFonts w:ascii="Times New Roman;Times;Serif" w:hAnsi="Times New Roman;Times;Serif"/>
                <w:b w:val="false"/>
                <w:i w:val="false"/>
                <w:caps w:val="false"/>
                <w:smallCaps w:val="false"/>
                <w:sz w:val="20"/>
              </w:rPr>
              <w:t>”; and</w:t>
            </w:r>
          </w:p>
          <w:p>
            <w:pPr>
              <w:pStyle w:val="TableContents"/>
              <w:bidi w:val="0"/>
              <w:spacing w:before="0" w:after="0"/>
              <w:ind w:left="654" w:right="0" w:hanging="0"/>
              <w:jc w:val="both"/>
              <w:rPr>
                <w:caps w:val="false"/>
                <w:smallCaps w:val="false"/>
              </w:rPr>
            </w:pPr>
            <w:r>
              <w:rPr>
                <w:caps w:val="false"/>
                <w:smallCaps w:val="false"/>
              </w:rPr>
              <w:t> </w:t>
            </w:r>
          </w:p>
          <w:p>
            <w:pPr>
              <w:pStyle w:val="TableContents"/>
              <w:bidi w:val="0"/>
              <w:spacing w:before="0" w:after="0"/>
              <w:ind w:left="654"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specifies:</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1206" w:right="0" w:hanging="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of the maximum number of Options proposed to be early settled under the Transaction and all other outstanding Equivalent Transactions on the same date;</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1206" w:right="0" w:hanging="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applicable Pro Rata Ratio; and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1206" w:right="0" w:hanging="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maximum number of Options proposed to be early settled under the Transaction on the Early Settlement Date, which shall be equal to the product of sub-paragraphs (A) and (B) above (rounded up or down to the nearest integer, as the case may be, by Party B in its sole and absolute discretion).</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Settlement Notice or equivalent notice may only be given by Party B under the Transaction or under any other outstanding Equivalent Transaction if each such notice (x) is given on the same date and (y) designates the same date as the Early Settlement Date. For this purpose, an Equivalent Transaction is “outstanding” on the date a Seller Settlement Notice is given if Party B is permitted to give an equivalent notice under that Equivalent Transaction on the same date.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98"/>
        <w:gridCol w:w="7607"/>
      </w:tblGrid>
      <w:tr>
        <w:trPr/>
        <w:tc>
          <w:tcPr>
            <w:tcW w:w="2598" w:type="dxa"/>
            <w:tcBorders/>
            <w:vAlign w:val="center"/>
          </w:tcPr>
          <w:p>
            <w:pPr>
              <w:pStyle w:val="TableContents"/>
              <w:bidi w:val="0"/>
              <w:spacing w:before="0" w:after="283"/>
              <w:jc w:val="left"/>
              <w:rPr/>
            </w:pPr>
            <w:r>
              <w:rPr/>
              <w:t> </w:t>
            </w:r>
          </w:p>
        </w:tc>
        <w:tc>
          <w:tcPr>
            <w:tcW w:w="76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duly signed and completed Seller Settlement Notice is delivered by Party B to Party A during the Seller Notice Delivery Period;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Early Exercise Event or Potential Event of Default in respect of Party B as the Defaulting Party has occurred and is continuing at the time of such delivery,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applicable Number of Options to be Early Settled shall be early settled on the Early Settlement Date in accordance with section 6 (</w:t>
            </w:r>
            <w:r>
              <w:rPr>
                <w:rFonts w:ascii="Times New Roman;Times;Serif" w:hAnsi="Times New Roman;Times;Serif"/>
                <w:b w:val="false"/>
                <w:i/>
                <w:caps w:val="false"/>
                <w:smallCaps w:val="false"/>
                <w:sz w:val="20"/>
              </w:rPr>
              <w:t>Settlement Terms</w:t>
            </w:r>
            <w:r>
              <w:rPr>
                <w:rFonts w:ascii="Times New Roman;Times;Serif" w:hAnsi="Times New Roman;Times;Serif"/>
                <w:b w:val="false"/>
                <w:i w:val="false"/>
                <w:caps w:val="false"/>
                <w:smallCaps w:val="false"/>
                <w:sz w:val="20"/>
              </w:rPr>
              <w:t>) of this Confirmation below.</w:t>
            </w:r>
          </w:p>
          <w:p>
            <w:pPr>
              <w:pStyle w:val="TableContents"/>
              <w:bidi w:val="0"/>
              <w:spacing w:before="0" w:after="0"/>
              <w:ind w:left="0" w:right="0" w:hanging="0"/>
              <w:jc w:val="left"/>
              <w:rPr>
                <w:caps w:val="false"/>
                <w:smallCaps w:val="false"/>
              </w:rPr>
            </w:pPr>
            <w:r>
              <w:rPr>
                <w:caps w:val="false"/>
                <w:smallCaps w:val="false"/>
              </w:rPr>
              <w:t> </w:t>
            </w:r>
          </w:p>
        </w:tc>
      </w:tr>
      <w:tr>
        <w:trPr/>
        <w:tc>
          <w:tcPr>
            <w:tcW w:w="259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Rata Ratio:</w:t>
            </w:r>
          </w:p>
          <w:p>
            <w:pPr>
              <w:pStyle w:val="TableContents"/>
              <w:bidi w:val="0"/>
              <w:spacing w:before="0" w:after="0"/>
              <w:ind w:left="0" w:right="0" w:hanging="0"/>
              <w:jc w:val="left"/>
              <w:rPr>
                <w:caps w:val="false"/>
                <w:smallCaps w:val="false"/>
              </w:rPr>
            </w:pPr>
            <w:r>
              <w:rPr>
                <w:caps w:val="false"/>
                <w:smallCaps w:val="false"/>
              </w:rPr>
              <w:t> </w:t>
            </w:r>
          </w:p>
        </w:tc>
        <w:tc>
          <w:tcPr>
            <w:tcW w:w="76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Seller Settlement Notice, the ratio (expressed as a percentage and rounded to the nearest two decimal points) equal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Number of Exercisable Options under the Transaction on the date of such Seller Settlement Notice; </w:t>
            </w:r>
            <w:r>
              <w:rPr>
                <w:rFonts w:ascii="Times New Roman;Times;Serif" w:hAnsi="Times New Roman;Times;Serif"/>
                <w:b w:val="false"/>
                <w:i/>
                <w:caps w:val="false"/>
                <w:smallCaps w:val="false"/>
                <w:sz w:val="20"/>
              </w:rPr>
              <w:t>divided by</w:t>
            </w:r>
          </w:p>
          <w:p>
            <w:pPr>
              <w:pStyle w:val="TableContents"/>
              <w:bidi w:val="0"/>
              <w:spacing w:before="0" w:after="0"/>
              <w:ind w:left="639"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sum of the Number of Exercisable Options under the Transaction and any other outstanding Equivalent Transaction on such date.</w:t>
            </w:r>
          </w:p>
          <w:p>
            <w:pPr>
              <w:pStyle w:val="TableContents"/>
              <w:bidi w:val="0"/>
              <w:spacing w:before="0" w:after="0"/>
              <w:ind w:left="0" w:right="0" w:hanging="0"/>
              <w:jc w:val="both"/>
              <w:rPr>
                <w:caps w:val="false"/>
                <w:smallCaps w:val="false"/>
              </w:rPr>
            </w:pPr>
            <w:r>
              <w:rPr>
                <w:caps w:val="false"/>
                <w:smallCaps w:val="false"/>
              </w:rPr>
              <w:t> </w:t>
            </w:r>
          </w:p>
        </w:tc>
      </w:tr>
      <w:tr>
        <w:trPr/>
        <w:tc>
          <w:tcPr>
            <w:tcW w:w="2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Notice Delivery Period:</w:t>
            </w:r>
          </w:p>
        </w:tc>
        <w:tc>
          <w:tcPr>
            <w:tcW w:w="76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commencing at 9:00 a.m. (Hong Kong time) on the Seller Notice Delivery Period Commencement Date and ending at the Expiration Time on the Seller Notice Delivery Period End Date.</w:t>
            </w:r>
          </w:p>
          <w:p>
            <w:pPr>
              <w:pStyle w:val="TableContents"/>
              <w:bidi w:val="0"/>
              <w:spacing w:before="0" w:after="0"/>
              <w:ind w:left="0" w:right="0" w:hanging="0"/>
              <w:jc w:val="both"/>
              <w:rPr>
                <w:caps w:val="false"/>
                <w:smallCaps w:val="false"/>
              </w:rPr>
            </w:pPr>
            <w:r>
              <w:rPr>
                <w:caps w:val="false"/>
                <w:smallCaps w:val="false"/>
              </w:rPr>
              <w:t> </w:t>
            </w:r>
          </w:p>
        </w:tc>
      </w:tr>
      <w:tr>
        <w:trPr/>
        <w:tc>
          <w:tcPr>
            <w:tcW w:w="259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Notice Delivery Period Commencement Date:</w:t>
            </w:r>
          </w:p>
          <w:p>
            <w:pPr>
              <w:pStyle w:val="TableContents"/>
              <w:bidi w:val="0"/>
              <w:spacing w:before="0" w:after="0"/>
              <w:ind w:left="0" w:right="0" w:hanging="0"/>
              <w:jc w:val="left"/>
              <w:rPr>
                <w:caps w:val="false"/>
                <w:smallCaps w:val="false"/>
              </w:rPr>
            </w:pPr>
            <w:r>
              <w:rPr>
                <w:caps w:val="false"/>
                <w:smallCaps w:val="false"/>
              </w:rPr>
              <w:t> </w:t>
            </w:r>
          </w:p>
        </w:tc>
        <w:tc>
          <w:tcPr>
            <w:tcW w:w="76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falling 6 Months from the Trade Date.</w:t>
            </w:r>
          </w:p>
        </w:tc>
      </w:tr>
      <w:tr>
        <w:trPr/>
        <w:tc>
          <w:tcPr>
            <w:tcW w:w="259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Notice Delivery Period End Date:</w:t>
            </w:r>
          </w:p>
          <w:p>
            <w:pPr>
              <w:pStyle w:val="TableContents"/>
              <w:bidi w:val="0"/>
              <w:spacing w:before="0" w:after="0"/>
              <w:ind w:left="0" w:right="0" w:hanging="0"/>
              <w:jc w:val="left"/>
              <w:rPr>
                <w:caps w:val="false"/>
                <w:smallCaps w:val="false"/>
              </w:rPr>
            </w:pPr>
            <w:r>
              <w:rPr>
                <w:caps w:val="false"/>
                <w:smallCaps w:val="false"/>
              </w:rPr>
              <w:t> </w:t>
            </w:r>
          </w:p>
        </w:tc>
        <w:tc>
          <w:tcPr>
            <w:tcW w:w="76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falling 90 days prior to the Expiration Date.</w:t>
            </w:r>
          </w:p>
          <w:p>
            <w:pPr>
              <w:pStyle w:val="TableContents"/>
              <w:bidi w:val="0"/>
              <w:spacing w:before="0" w:after="0"/>
              <w:ind w:left="0" w:right="0" w:hanging="0"/>
              <w:jc w:val="both"/>
              <w:rPr>
                <w:caps w:val="false"/>
                <w:smallCaps w:val="false"/>
              </w:rPr>
            </w:pPr>
            <w:r>
              <w:rPr>
                <w:caps w:val="false"/>
                <w:smallCaps w:val="false"/>
              </w:rPr>
              <w:t> </w:t>
            </w:r>
          </w:p>
        </w:tc>
      </w:tr>
      <w:tr>
        <w:trPr/>
        <w:tc>
          <w:tcPr>
            <w:tcW w:w="2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Seller Settlement Date Period:</w:t>
            </w:r>
          </w:p>
        </w:tc>
        <w:tc>
          <w:tcPr>
            <w:tcW w:w="76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commencing on (and including) the date falling 60 days from the date of the relevant Seller Settlement Notice and ending on (and including) the Expiration Date.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3"/>
        <w:gridCol w:w="9464"/>
      </w:tblGrid>
      <w:tr>
        <w:trPr/>
        <w:tc>
          <w:tcPr>
            <w:tcW w:w="1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b/>
              </w:rPr>
            </w:pPr>
            <w:r>
              <w:rPr>
                <w:b/>
              </w:rPr>
              <w:t>5.</w:t>
            </w:r>
          </w:p>
        </w:tc>
        <w:tc>
          <w:tcPr>
            <w:tcW w:w="9464" w:type="dxa"/>
            <w:tcBorders/>
            <w:vAlign w:val="center"/>
          </w:tcPr>
          <w:p>
            <w:pPr>
              <w:pStyle w:val="TableContents"/>
              <w:bidi w:val="0"/>
              <w:spacing w:before="0" w:after="283"/>
              <w:jc w:val="left"/>
              <w:rPr>
                <w:b/>
              </w:rPr>
            </w:pPr>
            <w:r>
              <w:rPr>
                <w:b/>
              </w:rPr>
              <w:t>CONFIRMATION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9"/>
        <w:gridCol w:w="8946"/>
      </w:tblGrid>
      <w:tr>
        <w:trPr/>
        <w:tc>
          <w:tcPr>
            <w:tcW w:w="12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Confirmation Notice:</w:t>
            </w:r>
          </w:p>
        </w:tc>
        <w:tc>
          <w:tcPr>
            <w:tcW w:w="894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 or Early Settlement Date, a written notice substantially in the form set out in Schedule E signed by an Authorised Signatory of Party 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44" w:right="0" w:hanging="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certifying:</w:t>
            </w:r>
          </w:p>
          <w:p>
            <w:pPr>
              <w:pStyle w:val="TableContents"/>
              <w:bidi w:val="0"/>
              <w:spacing w:before="0" w:after="0"/>
              <w:ind w:left="744" w:right="0" w:hanging="810"/>
              <w:jc w:val="both"/>
              <w:rPr>
                <w:caps w:val="false"/>
                <w:smallCaps w:val="false"/>
              </w:rPr>
            </w:pPr>
            <w:r>
              <w:rPr>
                <w:caps w:val="false"/>
                <w:smallCaps w:val="false"/>
              </w:rPr>
              <w:t> </w:t>
            </w:r>
          </w:p>
          <w:p>
            <w:pPr>
              <w:pStyle w:val="TableContents"/>
              <w:bidi w:val="0"/>
              <w:spacing w:before="0" w:after="0"/>
              <w:ind w:left="1374"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of Options as on such Exercise Date or Early Settlement Date;</w:t>
            </w:r>
          </w:p>
          <w:p>
            <w:pPr>
              <w:pStyle w:val="TableContents"/>
              <w:bidi w:val="0"/>
              <w:spacing w:before="0" w:after="0"/>
              <w:ind w:left="1374" w:right="0" w:hanging="630"/>
              <w:jc w:val="both"/>
              <w:rPr>
                <w:caps w:val="false"/>
                <w:smallCaps w:val="false"/>
              </w:rPr>
            </w:pPr>
            <w:r>
              <w:rPr>
                <w:caps w:val="false"/>
                <w:smallCaps w:val="false"/>
              </w:rPr>
              <w:t> </w:t>
            </w:r>
          </w:p>
          <w:p>
            <w:pPr>
              <w:pStyle w:val="TableContents"/>
              <w:bidi w:val="0"/>
              <w:spacing w:before="0" w:after="0"/>
              <w:ind w:left="1374"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(x) the Number of Options to be Exercised on such Exercise Date or (y) the Number of Options to be Early Settled on such Early Settlement Date (as the case may be); and</w:t>
            </w:r>
          </w:p>
          <w:p>
            <w:pPr>
              <w:pStyle w:val="TableContents"/>
              <w:bidi w:val="0"/>
              <w:spacing w:before="0" w:after="0"/>
              <w:ind w:left="1374" w:right="0" w:hanging="630"/>
              <w:jc w:val="both"/>
              <w:rPr>
                <w:caps w:val="false"/>
                <w:smallCaps w:val="false"/>
              </w:rPr>
            </w:pPr>
            <w:r>
              <w:rPr>
                <w:caps w:val="false"/>
                <w:smallCaps w:val="false"/>
              </w:rPr>
              <w:t> </w:t>
            </w:r>
          </w:p>
          <w:p>
            <w:pPr>
              <w:pStyle w:val="TableContents"/>
              <w:bidi w:val="0"/>
              <w:spacing w:before="0" w:after="0"/>
              <w:ind w:left="1374"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Confirmation Notice is given in response to an Early Buyer Exercise Notice or a Seller Settlement Notice, to the extent such amount can be determined on or prior to the date of such Confirmation Notice, the amount of any IR Unwind Losses incurred by Party A or its Affiliates in connection with such Exercise Date or Early Settlement Date; and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attaching, if any IR Unwind Losses is specified in such Confirmation Notice, a statement displaying in reasonable details the basis for such determination; and</w:t>
            </w:r>
          </w:p>
          <w:p>
            <w:pPr>
              <w:pStyle w:val="TableContents"/>
              <w:bidi w:val="0"/>
              <w:spacing w:before="0" w:after="0"/>
              <w:ind w:left="654" w:right="0" w:hanging="72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the option of Party A) specifying whether “Cash Settlement” or “Physical Settlement” shall apply to such Exercise Date or Early Settlement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designation of an Exercise Date in a Buyer Exercise Notice or an Early Buyer Exercise Notice, or the designation of an Early Settlement Date in a Seller Settlement Notice, Party A shall deliver to Party B a duly signed and completed Confirmation Notice during the applicable Confirmation Notice Period,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if no Confirmation Notice had been delivered by Party A by the end of the applicable Confirmation Notice Period, Party A shall be deemed to have nevertheless delivered a duly completed Confirmation Notice except that the Number of Options as on such Exercise Date or Early Settlement Date shall be determined by Party B based on the details of all Relevant Transactions that have been notified to Party B in accordance with paragraph 9(f) (</w:t>
            </w:r>
            <w:r>
              <w:rPr>
                <w:rFonts w:ascii="Times New Roman;Times;Serif" w:hAnsi="Times New Roman;Times;Serif"/>
                <w:b w:val="false"/>
                <w:i/>
                <w:caps w:val="false"/>
                <w:smallCaps w:val="false"/>
                <w:sz w:val="20"/>
              </w:rPr>
              <w:t>Notification of any Transaction in Equity Securities</w:t>
            </w:r>
            <w:r>
              <w:rPr>
                <w:rFonts w:ascii="Times New Roman;Times;Serif" w:hAnsi="Times New Roman;Times;Serif"/>
                <w:b w:val="false"/>
                <w:i w:val="false"/>
                <w:caps w:val="false"/>
                <w:smallCaps w:val="false"/>
                <w:sz w:val="20"/>
              </w:rPr>
              <w:t>) of the Confirmation prior to Confirmation Notice Period End Date.</w:t>
            </w:r>
          </w:p>
          <w:p>
            <w:pPr>
              <w:pStyle w:val="TableContents"/>
              <w:bidi w:val="0"/>
              <w:spacing w:before="0" w:after="0"/>
              <w:ind w:left="0" w:right="0" w:hanging="0"/>
              <w:jc w:val="both"/>
              <w:rPr>
                <w:caps w:val="false"/>
                <w:smallCaps w:val="false"/>
              </w:rPr>
            </w:pPr>
            <w:r>
              <w:rPr>
                <w:caps w:val="false"/>
                <w:smallCaps w:val="false"/>
              </w:rPr>
              <w:t> </w:t>
            </w:r>
          </w:p>
        </w:tc>
      </w:tr>
      <w:tr>
        <w:trPr/>
        <w:tc>
          <w:tcPr>
            <w:tcW w:w="12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Confirmation Notice Period:</w:t>
            </w:r>
          </w:p>
        </w:tc>
        <w:tc>
          <w:tcPr>
            <w:tcW w:w="894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 or Early Settlement Date, the period commencing at 9:00 a.m. (Hong Kong time) on the Confirmation Notice Period Commencement Date and ending at the Expiration Time on the Confirmation Notice Period End Date.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14"/>
        <w:gridCol w:w="8291"/>
      </w:tblGrid>
      <w:tr>
        <w:trPr/>
        <w:tc>
          <w:tcPr>
            <w:tcW w:w="19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Notice Period Commencement Date:</w:t>
            </w:r>
          </w:p>
          <w:p>
            <w:pPr>
              <w:pStyle w:val="TableContents"/>
              <w:bidi w:val="0"/>
              <w:spacing w:before="0" w:after="0"/>
              <w:ind w:left="0" w:right="0" w:hanging="0"/>
              <w:jc w:val="both"/>
              <w:rPr>
                <w:caps w:val="false"/>
                <w:smallCaps w:val="false"/>
              </w:rPr>
            </w:pPr>
            <w:r>
              <w:rPr>
                <w:caps w:val="false"/>
                <w:smallCaps w:val="false"/>
              </w:rPr>
              <w:t> </w:t>
            </w:r>
          </w:p>
        </w:tc>
        <w:tc>
          <w:tcPr>
            <w:tcW w:w="82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 or Early Settlement Date, the date falling five Transaction Business Days prior to such Exercise Date or Early Settlement Date.</w:t>
            </w:r>
          </w:p>
          <w:p>
            <w:pPr>
              <w:pStyle w:val="TableContents"/>
              <w:bidi w:val="0"/>
              <w:spacing w:before="0" w:after="0"/>
              <w:ind w:left="0" w:right="0" w:hanging="0"/>
              <w:jc w:val="both"/>
              <w:rPr>
                <w:caps w:val="false"/>
                <w:smallCaps w:val="false"/>
              </w:rPr>
            </w:pPr>
            <w:r>
              <w:rPr>
                <w:caps w:val="false"/>
                <w:smallCaps w:val="false"/>
              </w:rPr>
              <w:t> </w:t>
            </w:r>
          </w:p>
        </w:tc>
      </w:tr>
      <w:tr>
        <w:trPr/>
        <w:tc>
          <w:tcPr>
            <w:tcW w:w="19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Notice Period End Date:</w:t>
            </w:r>
          </w:p>
          <w:p>
            <w:pPr>
              <w:pStyle w:val="TableContents"/>
              <w:bidi w:val="0"/>
              <w:spacing w:before="0" w:after="0"/>
              <w:ind w:left="0" w:right="0" w:hanging="0"/>
              <w:jc w:val="both"/>
              <w:rPr>
                <w:caps w:val="false"/>
                <w:smallCaps w:val="false"/>
              </w:rPr>
            </w:pPr>
            <w:r>
              <w:rPr>
                <w:caps w:val="false"/>
                <w:smallCaps w:val="false"/>
              </w:rPr>
              <w:t> </w:t>
            </w:r>
          </w:p>
        </w:tc>
        <w:tc>
          <w:tcPr>
            <w:tcW w:w="82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 or Early Settlement Date, the date falling one Transaction Business Days prior to such Exercise Date or Early Settlement Date.</w:t>
            </w:r>
          </w:p>
          <w:p>
            <w:pPr>
              <w:pStyle w:val="TableContents"/>
              <w:bidi w:val="0"/>
              <w:spacing w:before="0" w:after="0"/>
              <w:ind w:left="0" w:right="0" w:hanging="0"/>
              <w:jc w:val="both"/>
              <w:rPr>
                <w:caps w:val="false"/>
                <w:smallCaps w:val="false"/>
              </w:rPr>
            </w:pPr>
            <w:r>
              <w:rPr>
                <w:caps w:val="false"/>
                <w:smallCaps w:val="false"/>
              </w:rPr>
              <w:t> </w:t>
            </w:r>
          </w:p>
        </w:tc>
      </w:tr>
      <w:tr>
        <w:trPr/>
        <w:tc>
          <w:tcPr>
            <w:tcW w:w="1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Options to be Exercised:</w:t>
            </w:r>
          </w:p>
        </w:tc>
        <w:tc>
          <w:tcPr>
            <w:tcW w:w="82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 a number of Options equal to the lower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maximum number of Options proposed to be exercised on such Exercise Date as specified in the relevant Buyer Exercise Notice or Early Buyer Exercise Notice (as the case may be); and</w:t>
            </w:r>
          </w:p>
          <w:p>
            <w:pPr>
              <w:pStyle w:val="TableContents"/>
              <w:bidi w:val="0"/>
              <w:spacing w:before="0" w:after="0"/>
              <w:ind w:left="654" w:right="0" w:hanging="63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Options as on such Exercise Date as certified in the Confirmation Notice delivered by Party A (or if no such notice had been given by the end of the applicable Confirmation Notice Period, as determined by Party B) in connection with such Exercise Date.</w:t>
            </w:r>
          </w:p>
          <w:p>
            <w:pPr>
              <w:pStyle w:val="TableContents"/>
              <w:bidi w:val="0"/>
              <w:spacing w:before="0" w:after="0"/>
              <w:ind w:left="1374" w:right="0" w:hanging="720"/>
              <w:jc w:val="both"/>
              <w:rPr>
                <w:caps w:val="false"/>
                <w:smallCaps w:val="false"/>
              </w:rPr>
            </w:pPr>
            <w:r>
              <w:rPr>
                <w:caps w:val="false"/>
                <w:smallCaps w:val="false"/>
              </w:rPr>
              <w:t> </w:t>
            </w:r>
          </w:p>
        </w:tc>
      </w:tr>
      <w:tr>
        <w:trPr/>
        <w:tc>
          <w:tcPr>
            <w:tcW w:w="1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Options to be Early Settled:</w:t>
            </w:r>
          </w:p>
        </w:tc>
        <w:tc>
          <w:tcPr>
            <w:tcW w:w="82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Early Settlement Date, a number of Options equal to the lower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maximum number of Options proposed to be early settled on such Early Settlement Date as specified in the relevant Seller Settlement Notice; and</w:t>
            </w:r>
          </w:p>
          <w:p>
            <w:pPr>
              <w:pStyle w:val="TableContents"/>
              <w:bidi w:val="0"/>
              <w:spacing w:before="0" w:after="0"/>
              <w:ind w:left="654" w:right="0" w:hanging="63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Options as on such Early Settlement Date as certified in the Confirmation Notice delivered by Party A (or if no such notice had been given by the end of the applicable Confirmation Notice Period, as determined by Party B) in connection with such Early Settlement Date.</w:t>
            </w:r>
          </w:p>
          <w:p>
            <w:pPr>
              <w:pStyle w:val="TableContents"/>
              <w:bidi w:val="0"/>
              <w:spacing w:before="0" w:after="0"/>
              <w:ind w:left="0" w:right="0" w:hanging="0"/>
              <w:jc w:val="both"/>
              <w:rPr>
                <w:caps w:val="false"/>
                <w:smallCaps w:val="false"/>
              </w:rPr>
            </w:pPr>
            <w:r>
              <w:rPr>
                <w:caps w:val="false"/>
                <w:smallCaps w:val="false"/>
              </w:rPr>
              <w:t> </w:t>
            </w:r>
          </w:p>
        </w:tc>
      </w:tr>
      <w:tr>
        <w:trPr/>
        <w:tc>
          <w:tcPr>
            <w:tcW w:w="1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 Unwind Losses:</w:t>
            </w:r>
          </w:p>
        </w:tc>
        <w:tc>
          <w:tcPr>
            <w:tcW w:w="82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 Exercise Date which has occurred as a result of the delivery of an Early Buyer Exercise Notice or an Early Settlement Date which has occurred as a result of the delivery of a Seller Settlement Notice, the amount of any cost, loss or expenses incurred by Party A and/or its Affiliates in unwinding, adjusting or terminating any corresponding IR Hedge Positions due solely to the designation of such Exercise Date or Early Settlement Date.</w:t>
            </w:r>
          </w:p>
          <w:p>
            <w:pPr>
              <w:pStyle w:val="TableContents"/>
              <w:bidi w:val="0"/>
              <w:spacing w:before="0" w:after="0"/>
              <w:ind w:left="0" w:right="0" w:hanging="0"/>
              <w:jc w:val="both"/>
              <w:rPr>
                <w:caps w:val="false"/>
                <w:smallCaps w:val="false"/>
              </w:rPr>
            </w:pPr>
            <w:r>
              <w:rPr>
                <w:caps w:val="false"/>
                <w:smallCaps w:val="false"/>
              </w:rPr>
              <w:t> </w:t>
            </w:r>
          </w:p>
        </w:tc>
      </w:tr>
      <w:tr>
        <w:trPr/>
        <w:tc>
          <w:tcPr>
            <w:tcW w:w="19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Hedge Positions:</w:t>
            </w:r>
          </w:p>
          <w:p>
            <w:pPr>
              <w:pStyle w:val="TableContents"/>
              <w:bidi w:val="0"/>
              <w:spacing w:before="0" w:after="0"/>
              <w:ind w:left="0" w:right="0" w:hanging="0"/>
              <w:jc w:val="both"/>
              <w:rPr>
                <w:caps w:val="false"/>
                <w:smallCaps w:val="false"/>
              </w:rPr>
            </w:pPr>
            <w:r>
              <w:rPr>
                <w:caps w:val="false"/>
                <w:smallCaps w:val="false"/>
              </w:rPr>
              <w:t> </w:t>
            </w:r>
          </w:p>
        </w:tc>
        <w:tc>
          <w:tcPr>
            <w:tcW w:w="82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hedge position established by Party A and/or any of its Affiliates for the purpose of hedging Party A’s USD interest rate exposure under the transactions contemplated by Transaction Documents and the Share Subscription.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b/>
              </w:rPr>
            </w:pPr>
            <w:r>
              <w:rPr>
                <w:b/>
              </w:rPr>
              <w:t>6.</w:t>
            </w:r>
          </w:p>
        </w:tc>
        <w:tc>
          <w:tcPr>
            <w:tcW w:w="9368" w:type="dxa"/>
            <w:tcBorders/>
            <w:vAlign w:val="center"/>
          </w:tcPr>
          <w:p>
            <w:pPr>
              <w:pStyle w:val="TableContents"/>
              <w:bidi w:val="0"/>
              <w:spacing w:before="0" w:after="283"/>
              <w:jc w:val="left"/>
              <w:rPr>
                <w:b/>
              </w:rPr>
            </w:pPr>
            <w:r>
              <w:rPr>
                <w:b/>
              </w:rPr>
              <w:t>SETTLEMENT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Election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1"/>
        <w:gridCol w:w="8904"/>
      </w:tblGrid>
      <w:tr>
        <w:trPr/>
        <w:tc>
          <w:tcPr>
            <w:tcW w:w="13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Method Election:</w:t>
            </w:r>
          </w:p>
        </w:tc>
        <w:tc>
          <w:tcPr>
            <w:tcW w:w="89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7.1 of the Equity Definitions, if either Electing Party gives irrevocable written notice to the other party (which in the case of Party A, must be given in the Confirmation Notice), on before the Settlement Method Election Date, of its election to have Physical Settlement or Cash Settlement to apply to an Exercise Date or Early Settlement Date, then such elected settlement method shall apply to such Exercise Date or Early Settlement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such written notice is received from either Electing Party on or prior to the Settlement Method Election Date, then the Default Settlement Method shall apply.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A and Party B elect for different settlement methods to apply, then the election by Party A shall prevail.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both Party B and Party A elect for Cash Settlement to apply, then the election by Party A shall prevail, and the provisions of “Cash Settlement Amount Determination Procedure (Private Auction)” shall apply.</w:t>
            </w:r>
          </w:p>
          <w:p>
            <w:pPr>
              <w:pStyle w:val="TableContents"/>
              <w:bidi w:val="0"/>
              <w:spacing w:before="0" w:after="0"/>
              <w:ind w:left="0" w:right="0" w:hanging="0"/>
              <w:jc w:val="both"/>
              <w:rPr>
                <w:caps w:val="false"/>
                <w:smallCaps w:val="false"/>
              </w:rPr>
            </w:pPr>
            <w:r>
              <w:rPr>
                <w:caps w:val="false"/>
                <w:smallCaps w:val="false"/>
              </w:rPr>
              <w:t> </w:t>
            </w:r>
          </w:p>
        </w:tc>
      </w:tr>
      <w:tr>
        <w:trPr/>
        <w:tc>
          <w:tcPr>
            <w:tcW w:w="13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Electing Party:</w:t>
            </w:r>
          </w:p>
        </w:tc>
        <w:tc>
          <w:tcPr>
            <w:tcW w:w="89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or Party B.</w:t>
            </w:r>
          </w:p>
          <w:p>
            <w:pPr>
              <w:pStyle w:val="TableContents"/>
              <w:bidi w:val="0"/>
              <w:spacing w:before="0" w:after="0"/>
              <w:ind w:left="0" w:right="0" w:hanging="0"/>
              <w:jc w:val="both"/>
              <w:rPr>
                <w:caps w:val="false"/>
                <w:smallCaps w:val="false"/>
              </w:rPr>
            </w:pPr>
            <w:r>
              <w:rPr>
                <w:caps w:val="false"/>
                <w:smallCaps w:val="false"/>
              </w:rPr>
              <w:t> </w:t>
            </w:r>
          </w:p>
        </w:tc>
      </w:tr>
      <w:tr>
        <w:trPr/>
        <w:tc>
          <w:tcPr>
            <w:tcW w:w="13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Method Election Date:</w:t>
            </w:r>
          </w:p>
        </w:tc>
        <w:tc>
          <w:tcPr>
            <w:tcW w:w="89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 or Early Settlement Date, the applicable Confirmation Notice Period End Date.</w:t>
            </w:r>
          </w:p>
          <w:p>
            <w:pPr>
              <w:pStyle w:val="TableContents"/>
              <w:bidi w:val="0"/>
              <w:spacing w:before="0" w:after="0"/>
              <w:ind w:left="0" w:right="0" w:hanging="0"/>
              <w:jc w:val="both"/>
              <w:rPr>
                <w:caps w:val="false"/>
                <w:smallCaps w:val="false"/>
              </w:rPr>
            </w:pPr>
            <w:r>
              <w:rPr>
                <w:caps w:val="false"/>
                <w:smallCaps w:val="false"/>
              </w:rPr>
              <w:t> </w:t>
            </w:r>
          </w:p>
        </w:tc>
      </w:tr>
      <w:tr>
        <w:trPr/>
        <w:tc>
          <w:tcPr>
            <w:tcW w:w="13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Settlement Method:</w:t>
            </w:r>
          </w:p>
        </w:tc>
        <w:tc>
          <w:tcPr>
            <w:tcW w:w="89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Settlement.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Amount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2"/>
        <w:gridCol w:w="8983"/>
      </w:tblGrid>
      <w:tr>
        <w:trPr/>
        <w:tc>
          <w:tcPr>
            <w:tcW w:w="1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Amount:</w:t>
            </w:r>
          </w:p>
        </w:tc>
        <w:tc>
          <w:tcPr>
            <w:tcW w:w="89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 or Early Settlement Date, irrespective of whether “Cash Settlement” or “Physical Settlement” is applicable, Party B shall, as an unconditional obligation, pay to Party A for value on the applicable Settlement Amount Payment Date in cleared funds an amount (the “</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in the Settlement Currency equal to the sum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(x) Strike Price as on such Exercise Date or Early Settlement Date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(y) the Number of Shares to be Delivered; and</w:t>
            </w:r>
          </w:p>
          <w:p>
            <w:pPr>
              <w:pStyle w:val="TableContents"/>
              <w:bidi w:val="0"/>
              <w:spacing w:before="0" w:after="0"/>
              <w:ind w:left="647" w:right="0" w:hanging="63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such Exercise Date occurred as a result of the delivery of an Early Buyer Exercise Notice (but not for the avoidance of doubt a Buyer Exercise Notice) or such Early Settlement Date occurred as a result of the delivery of a Seller Settlement Notice, the applicable IR Unwind Losses specified in the corresponding Confirmation Notice delivered by Party A (if any).</w:t>
            </w:r>
          </w:p>
          <w:p>
            <w:pPr>
              <w:pStyle w:val="TableContents"/>
              <w:bidi w:val="0"/>
              <w:spacing w:before="0" w:after="0"/>
              <w:ind w:left="0" w:right="0" w:hanging="0"/>
              <w:jc w:val="both"/>
              <w:rPr>
                <w:caps w:val="false"/>
                <w:smallCaps w:val="false"/>
              </w:rPr>
            </w:pPr>
            <w:r>
              <w:rPr>
                <w:caps w:val="false"/>
                <w:smallCaps w:val="false"/>
              </w:rPr>
              <w:t> </w:t>
            </w:r>
          </w:p>
        </w:tc>
      </w:tr>
      <w:tr>
        <w:trPr/>
        <w:tc>
          <w:tcPr>
            <w:tcW w:w="1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Amount Payment Date:</w:t>
            </w:r>
          </w:p>
        </w:tc>
        <w:tc>
          <w:tcPr>
            <w:tcW w:w="89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Exercise Date or Early Settlement Date (or if such date is not a Transaction Business Day, the next following Transaction Business Day).</w:t>
            </w:r>
          </w:p>
          <w:p>
            <w:pPr>
              <w:pStyle w:val="TableContents"/>
              <w:bidi w:val="0"/>
              <w:spacing w:before="0" w:after="0"/>
              <w:ind w:left="0" w:right="0" w:hanging="0"/>
              <w:jc w:val="both"/>
              <w:rPr>
                <w:caps w:val="false"/>
                <w:smallCaps w:val="false"/>
              </w:rPr>
            </w:pPr>
            <w:r>
              <w:rPr>
                <w:caps w:val="false"/>
                <w:smallCaps w:val="false"/>
              </w:rPr>
              <w:t> </w:t>
            </w:r>
          </w:p>
        </w:tc>
      </w:tr>
      <w:tr>
        <w:trPr/>
        <w:tc>
          <w:tcPr>
            <w:tcW w:w="1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 Unwind Losses True-Up:</w:t>
            </w:r>
          </w:p>
        </w:tc>
        <w:tc>
          <w:tcPr>
            <w:tcW w:w="89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Exercise Date has occurred as a result of the delivery of an Early Buyer Exercise Notice (but not for the avoidance of doubt a Buyer Exercise Notice) or an Early Settlement Date has occurred as a result of the delivery of a Seller Settlement Notice, unless the amount of the IR Unwind Losses has been included in the calculation of the relevant Settlement Amount, Party A may, on any Transaction Business Day falling on or prior to the IR Unwind Losses True-Up Long-Stop Date, provide Party B with a notice (an “</w:t>
            </w:r>
            <w:r>
              <w:rPr>
                <w:rFonts w:ascii="Times New Roman;Times;Serif" w:hAnsi="Times New Roman;Times;Serif"/>
                <w:b/>
                <w:i w:val="false"/>
                <w:caps w:val="false"/>
                <w:smallCaps w:val="false"/>
                <w:sz w:val="20"/>
              </w:rPr>
              <w:t>IR Unwind Losses True-Up Notice</w:t>
            </w:r>
            <w:r>
              <w:rPr>
                <w:rFonts w:ascii="Times New Roman;Times;Serif" w:hAnsi="Times New Roman;Times;Serif"/>
                <w:b w:val="false"/>
                <w:i w:val="false"/>
                <w:caps w:val="false"/>
                <w:smallCaps w:val="false"/>
                <w:sz w:val="20"/>
              </w:rPr>
              <w:t>”) signed by an Authorised Signatory of Party A certifying the amount of IR Unwind Losses incurred by Party A or its Affiliates in connection with such Exercise Date or Early Settlement Date and attaching a statement displaying in reasonable details the basis for such determination.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duly signed IR Unwind Losses True-Up Notice is delivered in accordance with the foregoing paragraph on or prior to the applicable IR Unwind Losses True-Up Long-Stop Date, Party B shall promptly pay to Party A an amount in the Settlement Currency equal to the IR Unwind Losses specified in such IR Unwind Losses True-Up Notice within five Transaction Business Days of the date of such notice.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(1) only one IR Unwind Losses True-Up Notice may be delivered by Party A and (2) if no IR Unwind Losses True-Up Notice is received from Party A by the applicable IR Unwind Losses True-Up Long-Stop Date and no IR Unwind Losses is specified in the relevant Confirmation Notice, then Party A’s IR Unwind Losses shall be deemed to be zero.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promptly upon request provide Party B with any quotation, market data or information from internal or external sources used in making its determination of any actual or estimated IR Unwind Losses.</w:t>
            </w:r>
          </w:p>
          <w:p>
            <w:pPr>
              <w:pStyle w:val="TableContents"/>
              <w:bidi w:val="0"/>
              <w:spacing w:before="0" w:after="0"/>
              <w:ind w:left="0" w:right="0" w:hanging="0"/>
              <w:jc w:val="both"/>
              <w:rPr>
                <w:caps w:val="false"/>
                <w:smallCaps w:val="false"/>
              </w:rPr>
            </w:pPr>
            <w:r>
              <w:rPr>
                <w:caps w:val="false"/>
                <w:smallCaps w:val="false"/>
              </w:rPr>
              <w:t> </w:t>
            </w:r>
          </w:p>
        </w:tc>
      </w:tr>
      <w:tr>
        <w:trPr/>
        <w:tc>
          <w:tcPr>
            <w:tcW w:w="122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Unwind Losses True-Up Long-Stop Date:</w:t>
            </w:r>
          </w:p>
          <w:p>
            <w:pPr>
              <w:pStyle w:val="TableContents"/>
              <w:bidi w:val="0"/>
              <w:spacing w:before="0" w:after="0"/>
              <w:ind w:left="0" w:right="0" w:hanging="0"/>
              <w:jc w:val="both"/>
              <w:rPr>
                <w:caps w:val="false"/>
                <w:smallCaps w:val="false"/>
              </w:rPr>
            </w:pPr>
            <w:r>
              <w:rPr>
                <w:caps w:val="false"/>
                <w:smallCaps w:val="false"/>
              </w:rPr>
              <w:t> </w:t>
            </w:r>
          </w:p>
        </w:tc>
        <w:tc>
          <w:tcPr>
            <w:tcW w:w="89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falling five Transaction Business Days from the relevant Exercise Date or Early Settlement Date.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Physical Settlement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63"/>
        <w:gridCol w:w="9142"/>
      </w:tblGrid>
      <w:tr>
        <w:trPr/>
        <w:tc>
          <w:tcPr>
            <w:tcW w:w="10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Settlement: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914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 for which Physical Settlement is applicable, subject to the condition precedent that Party A has received or otherwise recovered (whether by the exercise of any right or remedy under any Transaction Document or otherwise) the Settlement Amount in cleared funds (such condition, the “</w:t>
            </w:r>
            <w:r>
              <w:rPr>
                <w:rFonts w:ascii="Times New Roman;Times;Serif" w:hAnsi="Times New Roman;Times;Serif"/>
                <w:b/>
                <w:i w:val="false"/>
                <w:caps w:val="false"/>
                <w:smallCaps w:val="false"/>
                <w:sz w:val="20"/>
              </w:rPr>
              <w:t>Settlement Amount Payment Condition</w:t>
            </w:r>
            <w:r>
              <w:rPr>
                <w:rFonts w:ascii="Times New Roman;Times;Serif" w:hAnsi="Times New Roman;Times;Serif"/>
                <w:b w:val="false"/>
                <w:i w:val="false"/>
                <w:caps w:val="false"/>
                <w:smallCaps w:val="false"/>
                <w:sz w:val="20"/>
              </w:rPr>
              <w:t>”), Party A shall deliver to the relevant Party B Receiving Party the Number of Shares to be Delivered (in the form of Unseasoned Shares and/or Seasoned Shares) in accordance with the Settlement Procedures on the applicable Settlement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(x) references to “Exercise Date” in Article 9 of the Equity Definitions or the section headed “Physical Settlement” herein shall be deemed to include an “Early Settlement Date”; and (y) the procedures set out herein shall apply in lieu of the procedures set out in Section 9.1(b) of the Equity Definitions.</w:t>
            </w:r>
          </w:p>
          <w:p>
            <w:pPr>
              <w:pStyle w:val="TableContents"/>
              <w:bidi w:val="0"/>
              <w:spacing w:before="0" w:after="0"/>
              <w:ind w:left="0" w:right="0" w:hanging="0"/>
              <w:jc w:val="both"/>
              <w:rPr>
                <w:caps w:val="false"/>
                <w:smallCaps w:val="false"/>
              </w:rPr>
            </w:pPr>
            <w:r>
              <w:rPr>
                <w:caps w:val="false"/>
                <w:smallCaps w:val="false"/>
              </w:rPr>
              <w:t> </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to be Delivered:</w:t>
            </w:r>
          </w:p>
          <w:p>
            <w:pPr>
              <w:pStyle w:val="TableContents"/>
              <w:bidi w:val="0"/>
              <w:spacing w:before="0" w:after="0"/>
              <w:ind w:left="0" w:right="0" w:hanging="0"/>
              <w:jc w:val="left"/>
              <w:rPr>
                <w:caps w:val="false"/>
                <w:smallCaps w:val="false"/>
              </w:rPr>
            </w:pPr>
            <w:r>
              <w:rPr>
                <w:caps w:val="false"/>
                <w:smallCaps w:val="false"/>
              </w:rPr>
              <w:t> </w:t>
            </w:r>
          </w:p>
        </w:tc>
        <w:tc>
          <w:tcPr>
            <w:tcW w:w="91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respect of each Exercise Date, a number of Shares equal to (x) the Number of Options to be Exercised or the Number of Options to be Early Settled (as the case may be) on such Exercise Date </w:t>
            </w:r>
            <w:r>
              <w:rPr>
                <w:rFonts w:ascii="Times New Roman;Times;Serif" w:hAnsi="Times New Roman;Times;Serif"/>
                <w:i/>
                <w:sz w:val="20"/>
              </w:rPr>
              <w:t>multiplied by</w:t>
            </w:r>
            <w:r>
              <w:rPr>
                <w:rFonts w:ascii="Times New Roman;Times;Serif" w:hAnsi="Times New Roman;Times;Serif"/>
                <w:sz w:val="20"/>
              </w:rPr>
              <w:t xml:space="preserve"> (y) the Option Entitlement.</w:t>
            </w:r>
          </w:p>
        </w:tc>
      </w:tr>
      <w:tr>
        <w:trPr/>
        <w:tc>
          <w:tcPr>
            <w:tcW w:w="1063" w:type="dxa"/>
            <w:tcBorders/>
            <w:vAlign w:val="center"/>
          </w:tcPr>
          <w:p>
            <w:pPr>
              <w:pStyle w:val="TableContents"/>
              <w:bidi w:val="0"/>
              <w:spacing w:before="0" w:after="283"/>
              <w:jc w:val="left"/>
              <w:rPr/>
            </w:pPr>
            <w:r>
              <w:rPr/>
              <w:t> </w:t>
            </w:r>
          </w:p>
        </w:tc>
        <w:tc>
          <w:tcPr>
            <w:tcW w:w="9142" w:type="dxa"/>
            <w:tcBorders/>
            <w:vAlign w:val="center"/>
          </w:tcPr>
          <w:p>
            <w:pPr>
              <w:pStyle w:val="TableContents"/>
              <w:bidi w:val="0"/>
              <w:spacing w:before="0" w:after="283"/>
              <w:jc w:val="both"/>
              <w:rPr/>
            </w:pPr>
            <w:r>
              <w:rPr/>
              <w:t> </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w:t>
            </w:r>
          </w:p>
          <w:p>
            <w:pPr>
              <w:pStyle w:val="TableContents"/>
              <w:bidi w:val="0"/>
              <w:spacing w:before="0" w:after="0"/>
              <w:ind w:left="0" w:right="0" w:hanging="0"/>
              <w:jc w:val="left"/>
              <w:rPr>
                <w:caps w:val="false"/>
                <w:smallCaps w:val="false"/>
              </w:rPr>
            </w:pPr>
            <w:r>
              <w:rPr>
                <w:caps w:val="false"/>
                <w:smallCaps w:val="false"/>
              </w:rPr>
              <w:t> </w:t>
            </w:r>
          </w:p>
        </w:tc>
        <w:tc>
          <w:tcPr>
            <w:tcW w:w="914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Settlement Delivery Day after the date on which the Settlement Amount Payment Condition is satisfied (if such condition is satisfied at or before 9:00 p.m. (Hong Kong time)) or the second Settlement Delivery Day after the date on which the Settlement Amount Payment Condition is satisfied (if such condition is satisfied after 9:00 p.m. (Hong Kong time) (the “</w:t>
            </w:r>
            <w:r>
              <w:rPr>
                <w:rFonts w:ascii="Times New Roman;Times;Serif" w:hAnsi="Times New Roman;Times;Serif"/>
                <w:b/>
                <w:i w:val="false"/>
                <w:caps w:val="false"/>
                <w:smallCaps w:val="false"/>
                <w:sz w:val="20"/>
              </w:rPr>
              <w:t>Scheduled Settlement Date</w:t>
            </w:r>
            <w:r>
              <w:rPr>
                <w:rFonts w:ascii="Times New Roman;Times;Serif" w:hAnsi="Times New Roman;Times;Serif"/>
                <w:b w:val="false"/>
                <w:i w:val="false"/>
                <w:caps w:val="false"/>
                <w:smallCaps w:val="false"/>
                <w:sz w:val="20"/>
              </w:rPr>
              <w:t>”), unless: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54" w:right="0" w:hanging="65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Settlement Disruption Event prevents delivery of such Shares on that date in accordance with the Settlement Procedure, in which case, the Settlement Date shall be:</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1374" w:right="0" w:hanging="65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delivery of Unseasoned Shares, the first succeeding date on which delivery of the Shares can take place in any commercially reasonable manner (and such Shares shall be delivered in such other commercially reasonable manner); or</w:t>
            </w:r>
          </w:p>
          <w:p>
            <w:pPr>
              <w:pStyle w:val="TableContents"/>
              <w:bidi w:val="0"/>
              <w:spacing w:before="0" w:after="0"/>
              <w:ind w:left="1374" w:right="0" w:hanging="654"/>
              <w:jc w:val="both"/>
              <w:rPr>
                <w:caps w:val="false"/>
                <w:smallCaps w:val="false"/>
              </w:rPr>
            </w:pPr>
            <w:r>
              <w:rPr>
                <w:caps w:val="false"/>
                <w:smallCaps w:val="false"/>
              </w:rPr>
              <w:t> </w:t>
            </w:r>
          </w:p>
          <w:p>
            <w:pPr>
              <w:pStyle w:val="TableContents"/>
              <w:bidi w:val="0"/>
              <w:spacing w:before="0" w:after="0"/>
              <w:ind w:left="1374" w:right="0" w:hanging="65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 delivery of Seasoned Shares, as determined in accordance with Section 9.4 of the Equity Definitions; or</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654" w:right="0" w:hanging="65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Party B has delivered to Party A a written notice at least five Transaction Business Days prior to the Scheduled Settlement Date (x) informing Party A that due to a Settlement Regulatory Event, the relevant Party B Receiving Party is unable to accept delivery of, or is able to accept delivery of some but not all of, the Number of Shares to be Delivered (and if the relevant Settlement Regulatory Event is due to paragraph (a) of that definition, confirming that the relevant Party B Receiving Party has made or has a firm intention to make an application for the relevant regulatory approval) and (y) specifying the number of Shares that are affected by such Settlement Regulatory Event, in which case the Settlement Date for the Shares that are not affected by the Settlement Regulatory Event shall remain the Scheduled Settlement Date, and the Settlement Date for the Shares that are affected by the Settlement Regulatory Event shall be the first succeeding date on which the relevant Party B Receiving Party is able to accept the delivery of such Shares. For the avoidance of doubt, there shall be no adjustment to the Settlement Amount paid by Party B as a result of any such partial settlement,</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if, as a consequence of the foregoing, the Settlement Date does not occur by the Settlement Longstop Date, then a “</w:t>
            </w:r>
            <w:r>
              <w:rPr>
                <w:rFonts w:ascii="Times New Roman;Times;Serif" w:hAnsi="Times New Roman;Times;Serif"/>
                <w:b/>
                <w:i w:val="false"/>
                <w:caps w:val="false"/>
                <w:smallCaps w:val="false"/>
                <w:sz w:val="20"/>
              </w:rPr>
              <w:t>Delayed Settlement Event</w:t>
            </w:r>
            <w:r>
              <w:rPr>
                <w:rFonts w:ascii="Times New Roman;Times;Serif" w:hAnsi="Times New Roman;Times;Serif"/>
                <w:b w:val="false"/>
                <w:i w:val="false"/>
                <w:caps w:val="false"/>
                <w:smallCaps w:val="false"/>
                <w:sz w:val="20"/>
              </w:rPr>
              <w:t>” shall be deemed to have occurred, and Cash Settlement shall apply in lieu in respect of such number of Shares which have yet to be delivered by Party A to the relevant Party B Receiving Party on the Settlement Longstop Date (such number of undelivered Shares, the “</w:t>
            </w:r>
            <w:r>
              <w:rPr>
                <w:rFonts w:ascii="Times New Roman;Times;Serif" w:hAnsi="Times New Roman;Times;Serif"/>
                <w:b/>
                <w:i w:val="false"/>
                <w:caps w:val="false"/>
                <w:smallCaps w:val="false"/>
                <w:sz w:val="20"/>
              </w:rPr>
              <w:t>Affected Number of Shares to be Delivered</w:t>
            </w:r>
            <w:r>
              <w:rPr>
                <w:rFonts w:ascii="Times New Roman;Times;Serif" w:hAnsi="Times New Roman;Times;Serif"/>
                <w:b w:val="false"/>
                <w:i w:val="false"/>
                <w:caps w:val="false"/>
                <w:smallCaps w:val="false"/>
                <w:sz w:val="20"/>
              </w:rPr>
              <w:t>”) pursuant to the “Cash Settlement Amount Determination Procedure (Delayed Settlement Event)” provisions below.</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71"/>
        <w:gridCol w:w="8934"/>
      </w:tblGrid>
      <w:tr>
        <w:trPr/>
        <w:tc>
          <w:tcPr>
            <w:tcW w:w="1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Delivery Day:</w:t>
            </w:r>
          </w:p>
        </w:tc>
        <w:tc>
          <w:tcPr>
            <w:tcW w:w="8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delivery of Unseasoned Shares, a Transaction Business Day, and in the case of a delivery of Seasoned Shares, a Clearance System Business Day.</w:t>
            </w:r>
          </w:p>
          <w:p>
            <w:pPr>
              <w:pStyle w:val="TableContents"/>
              <w:bidi w:val="0"/>
              <w:spacing w:before="0" w:after="0"/>
              <w:ind w:left="0" w:right="0" w:hanging="0"/>
              <w:jc w:val="both"/>
              <w:rPr>
                <w:caps w:val="false"/>
                <w:smallCaps w:val="false"/>
              </w:rPr>
            </w:pPr>
            <w:r>
              <w:rPr>
                <w:caps w:val="false"/>
                <w:smallCaps w:val="false"/>
              </w:rPr>
              <w:t> </w:t>
            </w:r>
          </w:p>
        </w:tc>
      </w:tr>
      <w:tr>
        <w:trPr/>
        <w:tc>
          <w:tcPr>
            <w:tcW w:w="12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Longstop Date:</w:t>
            </w:r>
          </w:p>
          <w:p>
            <w:pPr>
              <w:pStyle w:val="TableContents"/>
              <w:bidi w:val="0"/>
              <w:spacing w:before="0" w:after="0"/>
              <w:ind w:left="0" w:right="0" w:hanging="0"/>
              <w:jc w:val="left"/>
              <w:rPr>
                <w:caps w:val="false"/>
                <w:smallCaps w:val="false"/>
              </w:rPr>
            </w:pPr>
            <w:r>
              <w:rPr>
                <w:caps w:val="false"/>
                <w:smallCaps w:val="false"/>
              </w:rPr>
              <w:t> </w:t>
            </w:r>
          </w:p>
        </w:tc>
        <w:tc>
          <w:tcPr>
            <w:tcW w:w="8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falling six Months from the Scheduled Settlement Date.</w:t>
            </w:r>
          </w:p>
          <w:p>
            <w:pPr>
              <w:pStyle w:val="TableContents"/>
              <w:bidi w:val="0"/>
              <w:spacing w:before="0" w:after="0"/>
              <w:ind w:left="0" w:right="0" w:hanging="0"/>
              <w:jc w:val="both"/>
              <w:rPr>
                <w:caps w:val="false"/>
                <w:smallCaps w:val="false"/>
              </w:rPr>
            </w:pPr>
            <w:r>
              <w:rPr>
                <w:caps w:val="false"/>
                <w:smallCaps w:val="false"/>
              </w:rPr>
              <w:t> </w:t>
            </w:r>
          </w:p>
        </w:tc>
      </w:tr>
      <w:tr>
        <w:trPr/>
        <w:tc>
          <w:tcPr>
            <w:tcW w:w="12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Procedure:</w:t>
            </w:r>
          </w:p>
          <w:p>
            <w:pPr>
              <w:pStyle w:val="TableContents"/>
              <w:bidi w:val="0"/>
              <w:spacing w:before="0" w:after="0"/>
              <w:ind w:left="0" w:right="0" w:hanging="0"/>
              <w:jc w:val="left"/>
              <w:rPr>
                <w:caps w:val="false"/>
                <w:smallCaps w:val="false"/>
              </w:rPr>
            </w:pPr>
            <w:r>
              <w:rPr>
                <w:caps w:val="false"/>
                <w:smallCaps w:val="false"/>
              </w:rPr>
              <w:t> </w:t>
            </w:r>
          </w:p>
        </w:tc>
        <w:tc>
          <w:tcPr>
            <w:tcW w:w="8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Shares under the Transaction shall be made: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delivery of Unseasoned Shares, by delivery to the relevant Party B Receiving Party of a duly executed transfer certification which has been duly medallion stamped and any other documents (including the original share certificates) required under the Restricted Shares Agreement to constitute a legally valid transfer of the transferring party’s legal and beneficial title in such Unseasoned Shares to the relevant Party B Receiving Party; and</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 delivery of Seasoned Shares, by the giving of written instructions to the custodian of the relevant Party A Custody Account to result in a legally effective transfer of such Shares to the account specified by the relevant Party B Receiving Party through the Clearance System.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Section 9.10 of the Equity Definitions shall not apply to any delivery of Shares under the Transaction.</w:t>
            </w:r>
          </w:p>
          <w:p>
            <w:pPr>
              <w:pStyle w:val="TableContents"/>
              <w:bidi w:val="0"/>
              <w:spacing w:before="0" w:after="0"/>
              <w:ind w:left="0" w:right="0" w:hanging="0"/>
              <w:jc w:val="both"/>
              <w:rPr>
                <w:caps w:val="false"/>
                <w:smallCaps w:val="false"/>
              </w:rPr>
            </w:pPr>
            <w:r>
              <w:rPr>
                <w:caps w:val="false"/>
                <w:smallCaps w:val="false"/>
              </w:rPr>
              <w:t> </w:t>
            </w:r>
          </w:p>
        </w:tc>
      </w:tr>
      <w:tr>
        <w:trPr/>
        <w:tc>
          <w:tcPr>
            <w:tcW w:w="12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Disruption Event:</w:t>
            </w:r>
          </w:p>
          <w:p>
            <w:pPr>
              <w:pStyle w:val="TableContents"/>
              <w:bidi w:val="0"/>
              <w:spacing w:before="0" w:after="0"/>
              <w:ind w:left="0" w:right="0" w:hanging="0"/>
              <w:jc w:val="left"/>
              <w:rPr>
                <w:caps w:val="false"/>
                <w:smallCaps w:val="false"/>
              </w:rPr>
            </w:pPr>
            <w:r>
              <w:rPr>
                <w:caps w:val="false"/>
                <w:smallCaps w:val="false"/>
              </w:rPr>
              <w:t> </w:t>
            </w:r>
          </w:p>
        </w:tc>
        <w:tc>
          <w:tcPr>
            <w:tcW w:w="8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Share, an event beyond the control of the parties as a result of which:</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Unseasoned Share, the transfer of such Share cannot be effected for any reason (including, without limitation, where the Issuer cannot effect such transfer); and</w:t>
            </w:r>
          </w:p>
          <w:p>
            <w:pPr>
              <w:pStyle w:val="TableContents"/>
              <w:bidi w:val="0"/>
              <w:spacing w:before="0" w:after="0"/>
              <w:ind w:left="720" w:right="0" w:hanging="72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 Seasoned Share, the Clearance System cannot clear the transfer of such Share.</w:t>
            </w:r>
          </w:p>
          <w:p>
            <w:pPr>
              <w:pStyle w:val="TableContents"/>
              <w:bidi w:val="0"/>
              <w:spacing w:before="0" w:after="0"/>
              <w:ind w:left="0" w:right="0" w:hanging="0"/>
              <w:jc w:val="both"/>
              <w:rPr>
                <w:caps w:val="false"/>
                <w:smallCaps w:val="false"/>
              </w:rPr>
            </w:pPr>
            <w:r>
              <w:rPr>
                <w:caps w:val="false"/>
                <w:smallCaps w:val="false"/>
              </w:rPr>
              <w:t> </w:t>
            </w:r>
          </w:p>
        </w:tc>
      </w:tr>
      <w:tr>
        <w:trPr/>
        <w:tc>
          <w:tcPr>
            <w:tcW w:w="12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Regulatory Event:</w:t>
            </w:r>
          </w:p>
          <w:p>
            <w:pPr>
              <w:pStyle w:val="TableContents"/>
              <w:bidi w:val="0"/>
              <w:spacing w:before="0" w:after="0"/>
              <w:ind w:left="0" w:right="0" w:hanging="0"/>
              <w:jc w:val="left"/>
              <w:rPr>
                <w:caps w:val="false"/>
                <w:smallCaps w:val="false"/>
              </w:rPr>
            </w:pPr>
            <w:r>
              <w:rPr>
                <w:caps w:val="false"/>
                <w:smallCaps w:val="false"/>
              </w:rPr>
              <w:t> </w:t>
            </w:r>
          </w:p>
        </w:tc>
        <w:tc>
          <w:tcPr>
            <w:tcW w:w="8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determines, in its good faith and in its reasonable judgment, that the receipt of some or all of the Number of Shares to be Delivered would: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54" w:right="0" w:hanging="65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require prior regulatory approval by any governmental or regulatory authority (which the relevant Party B Receiving Party has applied for or has a firm intention to apply for) and such approval has not been received; or</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654" w:right="0" w:hanging="65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otherwise be prohibited under any laws, regulations or regulatory orders applicable to Party B and/or any of its Affiliates,</w:t>
            </w:r>
          </w:p>
          <w:p>
            <w:pPr>
              <w:pStyle w:val="TableContents"/>
              <w:bidi w:val="0"/>
              <w:spacing w:before="0" w:after="0"/>
              <w:ind w:left="654" w:right="0" w:hanging="654"/>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Party B shall, prior to making such determination, provide reasonable details to elaborate the cause for such Settlement Regulatory Event.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73"/>
        <w:gridCol w:w="8632"/>
      </w:tblGrid>
      <w:tr>
        <w:trPr/>
        <w:tc>
          <w:tcPr>
            <w:tcW w:w="1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Party B Receiving Party:</w:t>
            </w:r>
          </w:p>
        </w:tc>
        <w:tc>
          <w:tcPr>
            <w:tcW w:w="86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or (2) with the prior written consent of Party A, any other person designated by Party B,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consent of Party A may be withheld for any reason, including, without limitation, due to any legal, tax and/or regulatory restriction and/or any Party A’s internal requirements (including, without limitation, any anti-money laundering and/or know-your-customer obligation).</w:t>
            </w:r>
          </w:p>
          <w:p>
            <w:pPr>
              <w:pStyle w:val="TableContents"/>
              <w:bidi w:val="0"/>
              <w:spacing w:before="0" w:after="0"/>
              <w:ind w:left="654" w:right="0" w:hanging="654"/>
              <w:jc w:val="both"/>
              <w:rPr>
                <w:caps w:val="false"/>
                <w:smallCaps w:val="false"/>
              </w:rPr>
            </w:pPr>
            <w:r>
              <w:rPr>
                <w:caps w:val="false"/>
                <w:smallCaps w:val="false"/>
              </w:rPr>
              <w:t> </w:t>
            </w:r>
          </w:p>
        </w:tc>
      </w:tr>
      <w:tr>
        <w:trPr/>
        <w:tc>
          <w:tcPr>
            <w:tcW w:w="157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Agreement:</w:t>
            </w:r>
          </w:p>
          <w:p>
            <w:pPr>
              <w:pStyle w:val="TableContents"/>
              <w:bidi w:val="0"/>
              <w:spacing w:before="0" w:after="0"/>
              <w:ind w:left="0" w:right="0" w:hanging="0"/>
              <w:jc w:val="left"/>
              <w:rPr>
                <w:caps w:val="false"/>
                <w:smallCaps w:val="false"/>
              </w:rPr>
            </w:pPr>
            <w:r>
              <w:rPr>
                <w:caps w:val="false"/>
                <w:smallCaps w:val="false"/>
              </w:rPr>
              <w:t> </w:t>
            </w:r>
          </w:p>
        </w:tc>
        <w:tc>
          <w:tcPr>
            <w:tcW w:w="86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 of the Equity Definitions shall be amended by adding the words “, other than, in each case, arising under a Permitted Transfer Restriction” after the words “applicable securities law” in the third final line thereof.</w:t>
            </w:r>
          </w:p>
          <w:p>
            <w:pPr>
              <w:pStyle w:val="TableContents"/>
              <w:bidi w:val="0"/>
              <w:spacing w:before="0" w:after="0"/>
              <w:ind w:left="0" w:right="0" w:hanging="0"/>
              <w:jc w:val="left"/>
              <w:rPr>
                <w:caps w:val="false"/>
                <w:smallCaps w:val="false"/>
              </w:rPr>
            </w:pPr>
            <w:r>
              <w:rPr>
                <w:caps w:val="false"/>
                <w:smallCaps w:val="false"/>
              </w:rPr>
              <w:t> </w:t>
            </w:r>
          </w:p>
        </w:tc>
      </w:tr>
      <w:tr>
        <w:trPr/>
        <w:tc>
          <w:tcPr>
            <w:tcW w:w="157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Transfer Restriction:</w:t>
            </w:r>
          </w:p>
          <w:p>
            <w:pPr>
              <w:pStyle w:val="TableContents"/>
              <w:bidi w:val="0"/>
              <w:spacing w:before="0" w:after="0"/>
              <w:ind w:left="0" w:right="0" w:hanging="0"/>
              <w:jc w:val="left"/>
              <w:rPr>
                <w:caps w:val="false"/>
                <w:smallCaps w:val="false"/>
              </w:rPr>
            </w:pPr>
            <w:r>
              <w:rPr>
                <w:caps w:val="false"/>
                <w:smallCaps w:val="false"/>
              </w:rPr>
              <w:t> </w:t>
            </w:r>
          </w:p>
        </w:tc>
        <w:tc>
          <w:tcPr>
            <w:tcW w:w="86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 in respect of Shares solely as a result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Shares being subject to a “distribution compliance period” (as defined in Rule 902 promulgated under the United States Securities Act of 1933, as amended); or</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delivery of Unseasoned Shares) such Shares being subject to the limitations set forth in the Restricted Shares Agreement.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Settlement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6"/>
        <w:gridCol w:w="9149"/>
      </w:tblGrid>
      <w:tr>
        <w:trPr/>
        <w:tc>
          <w:tcPr>
            <w:tcW w:w="10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Settlement:</w:t>
            </w:r>
          </w:p>
        </w:tc>
        <w:tc>
          <w:tcPr>
            <w:tcW w:w="91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 for which Cash Settlement is applicable, if the Cash Settlement Amount is a positive number, Party A shall pay such amount to Party B, and if the Cash Settlement Amount is a negative number, Party B shall pay the absolute value of such amount to Party A, in each case, on the applicable Cash Settlement Payment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(x) references to “Exercise Date” in Article 8 of the Equity Definitions or the section headed “Cash Settlement” herein shall be deemed to include an “Early Settlement Date”; and (y) the procedures set out herein shall apply in lieu of the procedures set out in Section 8.1 of the Equity Definitions.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91"/>
        <w:gridCol w:w="8414"/>
      </w:tblGrid>
      <w:tr>
        <w:trPr/>
        <w:tc>
          <w:tcPr>
            <w:tcW w:w="17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Settlement Amount Determination Procedure (Private Auction):</w:t>
            </w:r>
          </w:p>
          <w:p>
            <w:pPr>
              <w:pStyle w:val="TableContents"/>
              <w:bidi w:val="0"/>
              <w:spacing w:before="0" w:after="0"/>
              <w:ind w:left="0" w:right="0" w:hanging="0"/>
              <w:jc w:val="left"/>
              <w:rPr>
                <w:caps w:val="false"/>
                <w:smallCaps w:val="false"/>
              </w:rPr>
            </w:pPr>
            <w:r>
              <w:rPr>
                <w:caps w:val="false"/>
                <w:smallCaps w:val="false"/>
              </w:rPr>
              <w:t> </w:t>
            </w:r>
          </w:p>
        </w:tc>
        <w:tc>
          <w:tcPr>
            <w:tcW w:w="84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 Exercise Date for which Cash Settlement is applicable as a result of an election for such settlement by Party A in the applicable Confirmation Notice: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A shall promptly following the applicable Exercise Date conduct an auction (the “</w:t>
            </w:r>
            <w:r>
              <w:rPr>
                <w:rFonts w:ascii="Times New Roman;Times;Serif" w:hAnsi="Times New Roman;Times;Serif"/>
                <w:b/>
                <w:i w:val="false"/>
                <w:caps w:val="false"/>
                <w:smallCaps w:val="false"/>
                <w:sz w:val="20"/>
              </w:rPr>
              <w:t>Private Auction</w:t>
            </w:r>
            <w:r>
              <w:rPr>
                <w:rFonts w:ascii="Times New Roman;Times;Serif" w:hAnsi="Times New Roman;Times;Serif"/>
                <w:b w:val="false"/>
                <w:i w:val="false"/>
                <w:caps w:val="false"/>
                <w:smallCaps w:val="false"/>
                <w:sz w:val="20"/>
              </w:rPr>
              <w:t>”) for the sale of a number of Shares equal to the Number of Shares to be Delivered (the “</w:t>
            </w:r>
            <w:r>
              <w:rPr>
                <w:rFonts w:ascii="Times New Roman;Times;Serif" w:hAnsi="Times New Roman;Times;Serif"/>
                <w:b/>
                <w:i w:val="false"/>
                <w:caps w:val="false"/>
                <w:smallCaps w:val="false"/>
                <w:sz w:val="20"/>
              </w:rPr>
              <w:t>Auction Shares</w:t>
            </w:r>
            <w:r>
              <w:rPr>
                <w:rFonts w:ascii="Times New Roman;Times;Serif" w:hAnsi="Times New Roman;Times;Serif"/>
                <w:b w:val="false"/>
                <w:i w:val="false"/>
                <w:caps w:val="false"/>
                <w:smallCaps w:val="false"/>
                <w:sz w:val="20"/>
              </w:rPr>
              <w:t>”) through a commercially reasonable process which is consistent with the terms set out below;</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Party A shall invite (1) Party B and (2) other bona fide potential bidders (and Party A will use reasonable effort to ask such bidders to keep the details of the Private Auction confidential,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 if no such bidders agree to such confidentiality, then there shall be deemed to be no other bona fide potential bidders and (ii) for the avoidance of doubt, Party A shall not be liable for any disclosures and/or breaches of confidentiality by such bidders) to each submit a single firm bid (expressed as a price per Share) for the purchase of all (but not only part) of the Auction Shares by a commercially reasonable long-stop date specified by Party A (such date, the “</w:t>
            </w:r>
            <w:r>
              <w:rPr>
                <w:rFonts w:ascii="Times New Roman;Times;Serif" w:hAnsi="Times New Roman;Times;Serif"/>
                <w:b/>
                <w:i w:val="false"/>
                <w:caps w:val="false"/>
                <w:smallCaps w:val="false"/>
                <w:sz w:val="20"/>
              </w:rPr>
              <w:t>Auction Closing Date</w:t>
            </w:r>
            <w:r>
              <w:rPr>
                <w:rFonts w:ascii="Times New Roman;Times;Serif" w:hAnsi="Times New Roman;Times;Serif"/>
                <w:b w:val="false"/>
                <w:i w:val="false"/>
                <w:caps w:val="false"/>
                <w:smallCaps w:val="false"/>
                <w:sz w:val="20"/>
              </w:rPr>
              <w:t>”);</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Party A nor any party to any Equivalent Transaction nor any other of their respective Affiliates (other than Party B) may participate in the Private Auction;</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Party A shall promptly following the Auction Closing Date share with Party B the results of all firm bids that have been validly received by Party A in such auction, and invite Party B only (but not any other bidder) to adjust its earlier bid;</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following the receipt of any adjusted bid from Party B (or confirmation from Party B that it does not wish to adjust its earlier bid), Party A must inform Party B in writing (x) the highest firm bid validly received by Party A in the Private Auction (which may be the adjusted bid from Party B), or if only one valid firm bid is received in the Private Auction, such bid (the amount of such bid, the “</w:t>
            </w:r>
            <w:r>
              <w:rPr>
                <w:rFonts w:ascii="Times New Roman;Times;Serif" w:hAnsi="Times New Roman;Times;Serif"/>
                <w:b/>
                <w:i w:val="false"/>
                <w:caps w:val="false"/>
                <w:smallCaps w:val="false"/>
                <w:sz w:val="20"/>
              </w:rPr>
              <w:t>Auction Clearance Price</w:t>
            </w:r>
            <w:r>
              <w:rPr>
                <w:rFonts w:ascii="Times New Roman;Times;Serif" w:hAnsi="Times New Roman;Times;Serif"/>
                <w:b w:val="false"/>
                <w:i w:val="false"/>
                <w:caps w:val="false"/>
                <w:smallCaps w:val="false"/>
                <w:sz w:val="20"/>
              </w:rPr>
              <w:t>”) and (y) whether Party A elects to accept such bid at the Auction Clearance Price;</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Party A shall be under no obligation to accept any bid received in the Private Auction, but if Party A elects to accept any bid received in the Private Auction, Party A must accept the bid at the Auction Clearance Price (or if more than one bid is received at the Auction Clearance Price and one of such bids is from Party B, Party A must accept the bid from Party B);</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 bid at the Auction Clearance Price is received from Party B, and Party A elects to accept such bid, then the corresponding sale and purchase of the Auction Shares at the Auction Clearance Price shall be settled as soon as commercially reasonably practicable following the Auction Closing Date (the date on which the sale is to be settled, the “</w:t>
            </w:r>
            <w:r>
              <w:rPr>
                <w:rFonts w:ascii="Times New Roman;Times;Serif" w:hAnsi="Times New Roman;Times;Serif"/>
                <w:b/>
                <w:i w:val="false"/>
                <w:caps w:val="false"/>
                <w:smallCaps w:val="false"/>
                <w:sz w:val="20"/>
              </w:rPr>
              <w:t>Auction Settlement Date</w:t>
            </w:r>
            <w:r>
              <w:rPr>
                <w:rFonts w:ascii="Times New Roman;Times;Serif" w:hAnsi="Times New Roman;Times;Serif"/>
                <w:b w:val="false"/>
                <w:i w:val="false"/>
                <w:caps w:val="false"/>
                <w:smallCaps w:val="false"/>
                <w:sz w:val="20"/>
              </w:rPr>
              <w:t>”);</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parties agree that the obligation by Party B to pay to Party A the purchase consideration for the Auction Shares (which shall be equal to the product of (x) the number of Auction Shares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(y) the Auction Clearance Price) shall be set off against the obligation of Party A to pay to Party B the applicable Cash Settlement Amount; and</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647" w:right="0" w:hanging="6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no bid is received by 5:00 p.m. (Hong Kong time) on the Auction Closing Date (and following notification to Party B, either Party B confirms that it does not wish to submit a further bid or no response is received from Party B by 5:00 p.m. (Hong Kong time) on the date which is one Transaction Business Day following the Auction Closing Date), the Auction Clearance Price shall be deemed zero.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4"/>
        <w:gridCol w:w="8461"/>
      </w:tblGrid>
      <w:tr>
        <w:trPr/>
        <w:tc>
          <w:tcPr>
            <w:tcW w:w="174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Settlement Amount Determination Procedure (Cash Settlement Buyer Disposal):</w:t>
            </w:r>
          </w:p>
          <w:p>
            <w:pPr>
              <w:pStyle w:val="TableContents"/>
              <w:bidi w:val="0"/>
              <w:spacing w:before="0" w:after="0"/>
              <w:ind w:left="0" w:right="0" w:hanging="0"/>
              <w:jc w:val="left"/>
              <w:rPr>
                <w:caps w:val="false"/>
                <w:smallCaps w:val="false"/>
              </w:rPr>
            </w:pPr>
            <w:r>
              <w:rPr>
                <w:caps w:val="false"/>
                <w:smallCaps w:val="false"/>
              </w:rPr>
              <w:t> </w:t>
            </w:r>
          </w:p>
        </w:tc>
        <w:tc>
          <w:tcPr>
            <w:tcW w:w="846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 Exercise Date for which Cash Settlement is applicable as a result of an election for such settlement by Party B:</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39"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A shall promptly following the applicable Exercise Date use commercially reasonable efforts to sell a number of Shares equal to the Number of Shares to be Delivered as promptly as reasonably practicable at such price, quantity and manner (including on the Exchange) as Party A may determine acting in good faith and in a commercially reasonable manner (each such sale or disposal, an “</w:t>
            </w:r>
            <w:r>
              <w:rPr>
                <w:rFonts w:ascii="Times New Roman;Times;Serif" w:hAnsi="Times New Roman;Times;Serif"/>
                <w:b/>
                <w:i w:val="false"/>
                <w:caps w:val="false"/>
                <w:smallCaps w:val="false"/>
                <w:sz w:val="20"/>
              </w:rPr>
              <w:t>Cash Settlement Buyer Disposal</w:t>
            </w:r>
            <w:r>
              <w:rPr>
                <w:rFonts w:ascii="Times New Roman;Times;Serif" w:hAnsi="Times New Roman;Times;Serif"/>
                <w:b w:val="false"/>
                <w:i w:val="false"/>
                <w:caps w:val="false"/>
                <w:smallCaps w:val="false"/>
                <w:sz w:val="20"/>
              </w:rPr>
              <w:t>”) during the Cash Settlement Buyer Disposal Period;</w:t>
            </w:r>
          </w:p>
          <w:p>
            <w:pPr>
              <w:pStyle w:val="TableContents"/>
              <w:bidi w:val="0"/>
              <w:spacing w:before="0" w:after="0"/>
              <w:ind w:left="647" w:right="0" w:hanging="647"/>
              <w:jc w:val="both"/>
              <w:rPr>
                <w:caps w:val="false"/>
                <w:smallCaps w:val="false"/>
              </w:rPr>
            </w:pPr>
            <w:r>
              <w:rPr>
                <w:caps w:val="false"/>
                <w:smallCaps w:val="false"/>
              </w:rPr>
              <w:t> </w:t>
            </w:r>
          </w:p>
          <w:p>
            <w:pPr>
              <w:pStyle w:val="TableContents"/>
              <w:bidi w:val="0"/>
              <w:spacing w:before="0" w:after="0"/>
              <w:ind w:left="639"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Cash Settlement Buyer Disposal must be at the price reasonably obtainable by Party A at the time such sale or disposal is made;</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639"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Party B acknowledges that Party A may need to impose limitations on the manner and/or to whom a Cash Settlement Buyer Disposal is made in compliance with applicable laws and regulations (including US securities law); and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639"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the end of the Cash Settlement Buyer Disposal Period, Party A shall promptly provide Party B with written notice (a “</w:t>
            </w:r>
            <w:r>
              <w:rPr>
                <w:rFonts w:ascii="Times New Roman;Times;Serif" w:hAnsi="Times New Roman;Times;Serif"/>
                <w:b/>
                <w:i w:val="false"/>
                <w:caps w:val="false"/>
                <w:smallCaps w:val="false"/>
                <w:sz w:val="20"/>
              </w:rPr>
              <w:t>Cash Settlement Buyer Disposal Notice</w:t>
            </w:r>
            <w:r>
              <w:rPr>
                <w:rFonts w:ascii="Times New Roman;Times;Serif" w:hAnsi="Times New Roman;Times;Serif"/>
                <w:b w:val="false"/>
                <w:i w:val="false"/>
                <w:caps w:val="false"/>
                <w:smallCaps w:val="false"/>
                <w:sz w:val="20"/>
              </w:rPr>
              <w:t>”) of (x) the total number of Shares that Party A has sold pursuant to the Cash Settlement Buyer Disposals during the Cash Settlement Buyer Disposal Period; and (y) the amount of proceeds received by Party A from all Cash Settlement Buyer Disposals made during the Cash Settlement Buyer Disposal Period net of all Taxes (other than any tax imposed or calculated by reference to profit or income), Stamp Taxes, fees, duties, charges and other reasonable out-of-pocket costs and expenses incurred by Party A directly attributable to such Cash Settlement Investments Disposals (the “</w:t>
            </w:r>
            <w:r>
              <w:rPr>
                <w:rFonts w:ascii="Times New Roman;Times;Serif" w:hAnsi="Times New Roman;Times;Serif"/>
                <w:b/>
                <w:i w:val="false"/>
                <w:caps w:val="false"/>
                <w:smallCaps w:val="false"/>
                <w:sz w:val="20"/>
              </w:rPr>
              <w:t>Cash Settlement Buyer Net Disposal Proceeds</w:t>
            </w:r>
            <w:r>
              <w:rPr>
                <w:rFonts w:ascii="Times New Roman;Times;Serif" w:hAnsi="Times New Roman;Times;Serif"/>
                <w:b w:val="false"/>
                <w:i w:val="false"/>
                <w:caps w:val="false"/>
                <w:smallCaps w:val="false"/>
                <w:sz w:val="20"/>
              </w:rPr>
              <w:t>”) (which for the avoidance of doubt may be zero or negative if no Cash Settlement Buyer Disposal is taken to have been made during the Cash Settlement Buyer Disposal Period); and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639"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avoidance of doubt, Party A shall have no obligation to deliver to the Party B Receiving Party any remaining Number of Shares to be Delivered that have not been sold at the end of the Cash Settlement Buyer Disposal Period.</w:t>
            </w:r>
          </w:p>
          <w:p>
            <w:pPr>
              <w:pStyle w:val="TableContents"/>
              <w:bidi w:val="0"/>
              <w:spacing w:before="0" w:after="0"/>
              <w:ind w:left="639" w:right="0" w:hanging="0"/>
              <w:jc w:val="both"/>
              <w:rPr>
                <w:caps w:val="false"/>
                <w:smallCaps w:val="false"/>
              </w:rPr>
            </w:pPr>
            <w:r>
              <w:rPr>
                <w:caps w:val="false"/>
                <w:smallCaps w:val="false"/>
              </w:rPr>
              <w:t> </w:t>
            </w:r>
          </w:p>
        </w:tc>
      </w:tr>
      <w:tr>
        <w:trPr/>
        <w:tc>
          <w:tcPr>
            <w:tcW w:w="1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Settlement Buyer Disposal Period:</w:t>
            </w:r>
          </w:p>
        </w:tc>
        <w:tc>
          <w:tcPr>
            <w:tcW w:w="846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commencing on the Exercise Date and ending on the earlier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39" w:right="0" w:hanging="6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date falling 21 days after such date; and</w:t>
            </w:r>
          </w:p>
          <w:p>
            <w:pPr>
              <w:pStyle w:val="TableContents"/>
              <w:bidi w:val="0"/>
              <w:spacing w:before="0" w:after="0"/>
              <w:ind w:left="639" w:right="0" w:hanging="0"/>
              <w:jc w:val="both"/>
              <w:rPr>
                <w:caps w:val="false"/>
                <w:smallCaps w:val="false"/>
              </w:rPr>
            </w:pPr>
            <w:r>
              <w:rPr>
                <w:caps w:val="false"/>
                <w:smallCaps w:val="false"/>
              </w:rPr>
              <w:t> </w:t>
            </w:r>
          </w:p>
          <w:p>
            <w:pPr>
              <w:pStyle w:val="TableContents"/>
              <w:bidi w:val="0"/>
              <w:spacing w:before="0" w:after="0"/>
              <w:ind w:left="639" w:right="0" w:hanging="6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date when all of the Number of Shares to be Delivered have been sold or disposed.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58"/>
        <w:gridCol w:w="8247"/>
      </w:tblGrid>
      <w:tr>
        <w:trPr/>
        <w:tc>
          <w:tcPr>
            <w:tcW w:w="195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Settlement Amount Determination Procedure (Delayed Settlement Event):</w:t>
            </w:r>
          </w:p>
          <w:p>
            <w:pPr>
              <w:pStyle w:val="TableContents"/>
              <w:bidi w:val="0"/>
              <w:spacing w:before="0" w:after="0"/>
              <w:ind w:left="0" w:right="0" w:hanging="0"/>
              <w:jc w:val="left"/>
              <w:rPr>
                <w:caps w:val="false"/>
                <w:smallCaps w:val="false"/>
              </w:rPr>
            </w:pPr>
            <w:r>
              <w:rPr>
                <w:caps w:val="false"/>
                <w:smallCaps w:val="false"/>
              </w:rPr>
              <w:t> </w:t>
            </w:r>
          </w:p>
        </w:tc>
        <w:tc>
          <w:tcPr>
            <w:tcW w:w="824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 Exercise Date for which Cash Settlement is applicable as a result of the occurrence of a Delayed Settlement Event: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B may from time to time during the Seller Disposal Period provide Party A with a notice (a “</w:t>
            </w:r>
            <w:r>
              <w:rPr>
                <w:rFonts w:ascii="Times New Roman;Times;Serif" w:hAnsi="Times New Roman;Times;Serif"/>
                <w:b/>
                <w:i w:val="false"/>
                <w:caps w:val="false"/>
                <w:smallCaps w:val="false"/>
                <w:sz w:val="20"/>
              </w:rPr>
              <w:t>Seller Disposal Request</w:t>
            </w:r>
            <w:r>
              <w:rPr>
                <w:rFonts w:ascii="Times New Roman;Times;Serif" w:hAnsi="Times New Roman;Times;Serif"/>
                <w:b w:val="false"/>
                <w:i w:val="false"/>
                <w:caps w:val="false"/>
                <w:smallCaps w:val="false"/>
                <w:sz w:val="20"/>
              </w:rPr>
              <w:t>”) specifying certain parameters that a hypothetical broker dealer, acting in good faith and in a commercially reasonable manner, subject to the same securities laws and rules and regulations of any securities regulators, exchanges and self-regulating organisations applicable to Party A or any Affiliate designated by Party A (a “</w:t>
            </w:r>
            <w:r>
              <w:rPr>
                <w:rFonts w:ascii="Times New Roman;Times;Serif" w:hAnsi="Times New Roman;Times;Serif"/>
                <w:b/>
                <w:i w:val="false"/>
                <w:caps w:val="false"/>
                <w:smallCaps w:val="false"/>
                <w:sz w:val="20"/>
              </w:rPr>
              <w:t>Hypothetical Broker Dealer</w:t>
            </w:r>
            <w:r>
              <w:rPr>
                <w:rFonts w:ascii="Times New Roman;Times;Serif" w:hAnsi="Times New Roman;Times;Serif"/>
                <w:b w:val="false"/>
                <w:i w:val="false"/>
                <w:caps w:val="false"/>
                <w:smallCaps w:val="false"/>
                <w:sz w:val="20"/>
              </w:rPr>
              <w:t>”) would be deemed to take into account when disposing a number of Shares equal to the Affected Number of Shares to be Delivered (each, a “</w:t>
            </w:r>
            <w:r>
              <w:rPr>
                <w:rFonts w:ascii="Times New Roman;Times;Serif" w:hAnsi="Times New Roman;Times;Serif"/>
                <w:b/>
                <w:i w:val="false"/>
                <w:caps w:val="false"/>
                <w:smallCaps w:val="false"/>
                <w:sz w:val="20"/>
              </w:rPr>
              <w:t>Seller Disposal</w:t>
            </w:r>
            <w:r>
              <w:rPr>
                <w:rFonts w:ascii="Times New Roman;Times;Serif" w:hAnsi="Times New Roman;Times;Serif"/>
                <w:b w:val="false"/>
                <w:i w:val="false"/>
                <w:caps w:val="false"/>
                <w:smallCaps w:val="false"/>
                <w:sz w:val="20"/>
              </w:rPr>
              <w:t>”);</w:t>
            </w:r>
          </w:p>
          <w:p>
            <w:pPr>
              <w:pStyle w:val="TableContents"/>
              <w:bidi w:val="0"/>
              <w:spacing w:before="0" w:after="0"/>
              <w:ind w:left="645" w:right="0" w:hanging="645"/>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Seller Disposal Request may specify (1) the manner by which any Seller Disposal is to be conducted (including a sale on Exchange); (2) the price or minimum price at which the relevant Shares are to be sold; (3) the number or maximum number of Shares to be sold and (4) the period of time for which such parameters shall remain in effect;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30"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Hypothetical Broker Dealer would be deemed to take into account the relevant parameters set out in a Seller Disposal Request when disposing the relevant Affected Number of Shares to be Delivered during the period when such Seller Disposal Request is effective;</w:t>
            </w:r>
          </w:p>
          <w:p>
            <w:pPr>
              <w:pStyle w:val="TableContents"/>
              <w:bidi w:val="0"/>
              <w:spacing w:before="0" w:after="0"/>
              <w:ind w:left="645" w:right="0" w:hanging="645"/>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Seller Disposal by a Hypothetical Broker Dealer shall be deemed to have conducted in a manner that is in compliance with applicable laws and regulations (including US securities law), and if Party A reasonably determines that any parameters set out in a Seller Disposal Request cannot be conducted in such a manner, then such parameters may be adjusted reasonably by Party A so as to enable such Seller Disposal by a Hypothetical Broker Dealer to be conducted in a manner that is in compliance with applicable laws and regulations, or if Party A reasonably determines that such Seller Disposal cannot be conducted by a Hypothetical Broker Dealer in a manner that is in compliance with applicable laws and regulations, then the parties shall as soon as reasonably as practicable enter into good faith discussions with a view to agreeing an alternative manner by which such Seller Disposal can be made;</w:t>
            </w:r>
          </w:p>
          <w:p>
            <w:pPr>
              <w:pStyle w:val="TableContents"/>
              <w:bidi w:val="0"/>
              <w:spacing w:before="0" w:after="0"/>
              <w:ind w:left="645" w:right="0" w:hanging="645"/>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following the end of the Seller Disposal Period, Party A shall provide Party B with written notice (a “</w:t>
            </w:r>
            <w:r>
              <w:rPr>
                <w:rFonts w:ascii="Times New Roman;Times;Serif" w:hAnsi="Times New Roman;Times;Serif"/>
                <w:b/>
                <w:i w:val="false"/>
                <w:caps w:val="false"/>
                <w:smallCaps w:val="false"/>
                <w:sz w:val="20"/>
              </w:rPr>
              <w:t>Seller Disposal Notice</w:t>
            </w:r>
            <w:r>
              <w:rPr>
                <w:rFonts w:ascii="Times New Roman;Times;Serif" w:hAnsi="Times New Roman;Times;Serif"/>
                <w:b w:val="false"/>
                <w:i w:val="false"/>
                <w:caps w:val="false"/>
                <w:smallCaps w:val="false"/>
                <w:sz w:val="20"/>
              </w:rPr>
              <w:t>”) of (x) the total number of Shares that a Hypothetical Broker Dealer shall be taken to have sold pursuant to the Seller Disposals during the Seller Disposal Period (which the parties agree may be lower than the relevant Affected Number of Shares to be Delivered); and (y) the amount of proceeds that would have been received by the Hypothetical Broker Dealer from all Seller Disposals made during the Seller Disposal Period net of all Taxes (other than any tax imposed or calculated by reference to profit or income), Stamp Taxes, fees, duties, charges and other reasonable out-of-pocket costs and expenses that would be incurred by the Hypothetical Broker Dealer directly attributable to such Seller Disposals (and for this purpose, the parties agree that the amount of Taxes, Stamp Taxes, fees, duties, charges and other costs and expenses that would be incurred by the Hypothetical Broker Dealer would be the same as the amount that would have been incurred by Party A if such disposals were conducted by Party A) (the “</w:t>
            </w:r>
            <w:r>
              <w:rPr>
                <w:rFonts w:ascii="Times New Roman;Times;Serif" w:hAnsi="Times New Roman;Times;Serif"/>
                <w:b/>
                <w:i w:val="false"/>
                <w:caps w:val="false"/>
                <w:smallCaps w:val="false"/>
                <w:sz w:val="20"/>
              </w:rPr>
              <w:t>Seller Net Disposal Proceeds</w:t>
            </w:r>
            <w:r>
              <w:rPr>
                <w:rFonts w:ascii="Times New Roman;Times;Serif" w:hAnsi="Times New Roman;Times;Serif"/>
                <w:b w:val="false"/>
                <w:i w:val="false"/>
                <w:caps w:val="false"/>
                <w:smallCaps w:val="false"/>
                <w:sz w:val="20"/>
              </w:rPr>
              <w:t>”) (which for the avoidance of doubt may be zero or negative if no Seller Disposal is taken to have been made during the Seller Disposal Period);</w:t>
            </w:r>
          </w:p>
          <w:p>
            <w:pPr>
              <w:pStyle w:val="TableContents"/>
              <w:bidi w:val="0"/>
              <w:spacing w:before="0" w:after="0"/>
              <w:ind w:left="645" w:right="0" w:hanging="645"/>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Party A shall promptly upon demand provide Party B with a statement showing in reasonable detail its determination of the Seller Net Disposal Proceeds (including any quotations, market data or information from internal sources used in making such determination) and such other information (including any brokerage statement or contract note) with respect to each Seller Disposal as Party B may reasonably require;</w:t>
            </w:r>
          </w:p>
          <w:p>
            <w:pPr>
              <w:pStyle w:val="TableContents"/>
              <w:bidi w:val="0"/>
              <w:spacing w:before="0" w:after="0"/>
              <w:ind w:left="645" w:right="0" w:hanging="645"/>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Seller Disposal Period has come to an end as a result of a notification from Party B to Party A that delivery of the Shares is no longer affected by the relevant Settlement Disruption Event or the Settlement Regulatory Event, as applicable, Party A shall promptly deliver to the Party B Receiving Party any remaining Affected Number of Shares to be Delivered that are taken not to have been sold by a Hypothetical Broker Dealer at such time; and</w:t>
            </w:r>
          </w:p>
          <w:p>
            <w:pPr>
              <w:pStyle w:val="TableContents"/>
              <w:bidi w:val="0"/>
              <w:spacing w:before="0" w:after="0"/>
              <w:ind w:left="645" w:right="0" w:hanging="645"/>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no Seller Disposal is taken to have been made by a Hypothetical Broker Dealer during the Seller Disposal Period, Party A may promptly provide Party B with a statement showing in reasonable details the amount of charges and other reasonable out-of-pocket costs and expenses incurred by Party A and/or its Affiliates directly attributable to the facilitation of such Seller Disposals, and Party B shall promptly on demand reimburse Party A the amount so incurred.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15"/>
        <w:gridCol w:w="8890"/>
      </w:tblGrid>
      <w:tr>
        <w:trPr/>
        <w:tc>
          <w:tcPr>
            <w:tcW w:w="1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Disposal Period:</w:t>
            </w:r>
          </w:p>
        </w:tc>
        <w:tc>
          <w:tcPr>
            <w:tcW w:w="88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commencing on the date of the occurrence of such Delayed Settlement Event and ending on the earlier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48"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date falling 12 Months after such date;</w:t>
            </w:r>
          </w:p>
          <w:p>
            <w:pPr>
              <w:pStyle w:val="TableContents"/>
              <w:bidi w:val="0"/>
              <w:spacing w:before="0" w:after="0"/>
              <w:ind w:left="648" w:right="0" w:hanging="0"/>
              <w:jc w:val="both"/>
              <w:rPr>
                <w:caps w:val="false"/>
                <w:smallCaps w:val="false"/>
              </w:rPr>
            </w:pPr>
            <w:r>
              <w:rPr>
                <w:caps w:val="false"/>
                <w:smallCaps w:val="false"/>
              </w:rPr>
              <w:t> </w:t>
            </w:r>
          </w:p>
          <w:p>
            <w:pPr>
              <w:pStyle w:val="TableContents"/>
              <w:bidi w:val="0"/>
              <w:spacing w:before="0" w:after="0"/>
              <w:ind w:left="648"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date when all of the relevant Affected Number of Shares to be Delivered are taken to have been sold or disposed by a Hypothetical Broker Dealer; and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648"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on which the delivery of the Shares is no longer affected by the relevant Settlement Disruption Event or the Settlement Regulatory Event, as applicable (including the date on which Party B notifies Party A that such Shares can be delivered to another person approved by Party A as the Party B Receiving Party).</w:t>
            </w:r>
          </w:p>
          <w:p>
            <w:pPr>
              <w:pStyle w:val="TableContents"/>
              <w:bidi w:val="0"/>
              <w:spacing w:before="0" w:after="0"/>
              <w:ind w:left="0" w:right="0" w:hanging="0"/>
              <w:jc w:val="both"/>
              <w:rPr>
                <w:caps w:val="false"/>
                <w:smallCaps w:val="false"/>
              </w:rPr>
            </w:pPr>
            <w:r>
              <w:rPr>
                <w:caps w:val="false"/>
                <w:smallCaps w:val="false"/>
              </w:rPr>
              <w:t> </w:t>
            </w:r>
          </w:p>
        </w:tc>
      </w:tr>
      <w:tr>
        <w:trPr/>
        <w:tc>
          <w:tcPr>
            <w:tcW w:w="1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Settlement Amount:</w:t>
            </w:r>
          </w:p>
        </w:tc>
        <w:tc>
          <w:tcPr>
            <w:tcW w:w="88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47"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Cash Settlement is applicable to such Exercise Date as a result of an election for such settlement by Party A in the applicable Confirmation Notice, an amount in the Settlement Currency equal to the product of (x) the Number of Shares to be Delivered and (y) the Auction Clearance Price;</w:t>
            </w:r>
          </w:p>
          <w:p>
            <w:pPr>
              <w:pStyle w:val="TableContents"/>
              <w:bidi w:val="0"/>
              <w:spacing w:before="0" w:after="0"/>
              <w:ind w:left="647" w:right="0" w:hanging="630"/>
              <w:jc w:val="both"/>
              <w:rPr>
                <w:caps w:val="false"/>
                <w:smallCaps w:val="false"/>
              </w:rPr>
            </w:pPr>
            <w:r>
              <w:rPr>
                <w:caps w:val="false"/>
                <w:smallCaps w:val="false"/>
              </w:rPr>
              <w:t> </w:t>
            </w:r>
          </w:p>
          <w:p>
            <w:pPr>
              <w:pStyle w:val="TableContents"/>
              <w:bidi w:val="0"/>
              <w:spacing w:before="0" w:after="0"/>
              <w:ind w:left="647"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Cash Settlement is applicable to such Exercise Date as a result of the occurrence of a Delayed Settlement Event, an amount in the Settlement Currency equal to the Seller Net Disposal Proceeds; and</w:t>
            </w:r>
          </w:p>
          <w:p>
            <w:pPr>
              <w:pStyle w:val="TableContents"/>
              <w:bidi w:val="0"/>
              <w:spacing w:before="0" w:after="0"/>
              <w:ind w:left="647" w:right="0" w:hanging="630"/>
              <w:jc w:val="both"/>
              <w:rPr>
                <w:caps w:val="false"/>
                <w:smallCaps w:val="false"/>
              </w:rPr>
            </w:pPr>
            <w:r>
              <w:rPr>
                <w:caps w:val="false"/>
                <w:smallCaps w:val="false"/>
              </w:rPr>
              <w:t> </w:t>
            </w:r>
          </w:p>
          <w:p>
            <w:pPr>
              <w:pStyle w:val="TableContents"/>
              <w:bidi w:val="0"/>
              <w:spacing w:before="0" w:after="0"/>
              <w:ind w:left="647"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Cash Settlement is applicable to such Exercise Date as a result of an election for such settlement by Party B, an amount in the Settlement Currency equal to the Cash Settlement Buyer Net Disposal Proceeds,</w:t>
            </w:r>
          </w:p>
          <w:p>
            <w:pPr>
              <w:pStyle w:val="TableContents"/>
              <w:bidi w:val="0"/>
              <w:spacing w:before="0" w:after="0"/>
              <w:ind w:left="647" w:right="0" w:hanging="63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(b) or (c), minus an amount determined by the Calculation Agent equal to the aggregate sum of (without duplication) all reasonable fees, charges, costs, expenses, tax (other than any tax imposed or calculated by reference to profit or income) and duties that may be incurred by Party A and/or its Affiliates in connection with the relevant Cash Settlement Amount Determination Procedure(s).</w:t>
            </w:r>
          </w:p>
          <w:p>
            <w:pPr>
              <w:pStyle w:val="TableContents"/>
              <w:bidi w:val="0"/>
              <w:spacing w:before="0" w:after="0"/>
              <w:ind w:left="1365" w:right="0" w:hanging="720"/>
              <w:jc w:val="both"/>
              <w:rPr>
                <w:caps w:val="false"/>
                <w:smallCaps w:val="false"/>
              </w:rPr>
            </w:pPr>
            <w:r>
              <w:rPr>
                <w:caps w:val="false"/>
                <w:smallCaps w:val="false"/>
              </w:rPr>
              <w:t> </w:t>
            </w:r>
          </w:p>
        </w:tc>
      </w:tr>
      <w:tr>
        <w:trPr/>
        <w:tc>
          <w:tcPr>
            <w:tcW w:w="1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Settlement Payment Date:</w:t>
            </w:r>
          </w:p>
        </w:tc>
        <w:tc>
          <w:tcPr>
            <w:tcW w:w="88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each Exercise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47"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Cash Settlement is applicable to such Exercise Date as a result of an election for such settlement by Party A in the applicable Confirmation Notice:</w:t>
            </w:r>
          </w:p>
          <w:p>
            <w:pPr>
              <w:pStyle w:val="TableContents"/>
              <w:bidi w:val="0"/>
              <w:spacing w:before="0" w:after="0"/>
              <w:ind w:left="647" w:right="0" w:hanging="630"/>
              <w:jc w:val="both"/>
              <w:rPr>
                <w:caps w:val="false"/>
                <w:smallCaps w:val="false"/>
              </w:rPr>
            </w:pPr>
            <w:r>
              <w:rPr>
                <w:caps w:val="false"/>
                <w:smallCaps w:val="false"/>
              </w:rPr>
              <w:t> </w:t>
            </w:r>
          </w:p>
          <w:p>
            <w:pPr>
              <w:pStyle w:val="TableContents"/>
              <w:bidi w:val="0"/>
              <w:spacing w:before="0" w:after="0"/>
              <w:ind w:left="1367"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in the applicable Private Auction, the bid at the Auction Clearance Price is received from Party B, and Party A elects to sell the Auction Shares to Party B) the applicable Auction Settlement Date; or</w:t>
            </w:r>
          </w:p>
          <w:p>
            <w:pPr>
              <w:pStyle w:val="TableContents"/>
              <w:bidi w:val="0"/>
              <w:spacing w:before="0" w:after="0"/>
              <w:ind w:left="1367" w:right="0" w:hanging="720"/>
              <w:jc w:val="both"/>
              <w:rPr>
                <w:caps w:val="false"/>
                <w:smallCaps w:val="false"/>
              </w:rPr>
            </w:pPr>
            <w:r>
              <w:rPr>
                <w:caps w:val="false"/>
                <w:smallCaps w:val="false"/>
              </w:rPr>
              <w:t> </w:t>
            </w:r>
          </w:p>
          <w:p>
            <w:pPr>
              <w:pStyle w:val="TableContents"/>
              <w:bidi w:val="0"/>
              <w:spacing w:before="0" w:after="0"/>
              <w:ind w:left="1367"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in the applicable Private Auction, the bid at the Auction Clearance Price is not received from Party B, and Party A elects to sell the Auction Shares to that bidder) the date which is as soon as reasonably practicable following the date on which such sale is settled; or</w:t>
            </w:r>
          </w:p>
          <w:p>
            <w:pPr>
              <w:pStyle w:val="TableContents"/>
              <w:bidi w:val="0"/>
              <w:spacing w:before="0" w:after="0"/>
              <w:ind w:left="1367" w:right="0" w:hanging="720"/>
              <w:jc w:val="both"/>
              <w:rPr>
                <w:caps w:val="false"/>
                <w:smallCaps w:val="false"/>
              </w:rPr>
            </w:pPr>
            <w:r>
              <w:rPr>
                <w:caps w:val="false"/>
                <w:smallCaps w:val="false"/>
              </w:rPr>
              <w:t> </w:t>
            </w:r>
          </w:p>
          <w:p>
            <w:pPr>
              <w:pStyle w:val="TableContents"/>
              <w:bidi w:val="0"/>
              <w:spacing w:before="0" w:after="0"/>
              <w:ind w:left="1367"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no bid is received in the applicable Private Auction or Party A elects not to sell the Auction Shares to any bidder), as soon as commercially reasonably practicable following the Auction Closing Date;</w:t>
            </w:r>
          </w:p>
          <w:p>
            <w:pPr>
              <w:pStyle w:val="TableContents"/>
              <w:bidi w:val="0"/>
              <w:spacing w:before="0" w:after="0"/>
              <w:ind w:left="647" w:right="0" w:hanging="630"/>
              <w:jc w:val="both"/>
              <w:rPr>
                <w:caps w:val="false"/>
                <w:smallCaps w:val="false"/>
              </w:rPr>
            </w:pPr>
            <w:r>
              <w:rPr>
                <w:caps w:val="false"/>
                <w:smallCaps w:val="false"/>
              </w:rPr>
              <w:t> </w:t>
            </w:r>
          </w:p>
          <w:p>
            <w:pPr>
              <w:pStyle w:val="TableContents"/>
              <w:bidi w:val="0"/>
              <w:spacing w:before="0" w:after="0"/>
              <w:ind w:left="647"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Cash Settlement is applicable to such Exercise Date as a result of the occurrence of a Delayed Settlement Event, promptly following the date of the Seller Disposal Notice; and</w:t>
            </w:r>
          </w:p>
          <w:p>
            <w:pPr>
              <w:pStyle w:val="TableContents"/>
              <w:bidi w:val="0"/>
              <w:spacing w:before="0" w:after="0"/>
              <w:ind w:left="647" w:right="0" w:hanging="630"/>
              <w:jc w:val="both"/>
              <w:rPr>
                <w:caps w:val="false"/>
                <w:smallCaps w:val="false"/>
              </w:rPr>
            </w:pPr>
            <w:r>
              <w:rPr>
                <w:caps w:val="false"/>
                <w:smallCaps w:val="false"/>
              </w:rPr>
              <w:t> </w:t>
            </w:r>
          </w:p>
          <w:p>
            <w:pPr>
              <w:pStyle w:val="TableContents"/>
              <w:bidi w:val="0"/>
              <w:spacing w:before="0" w:after="0"/>
              <w:ind w:left="647" w:right="0" w:hanging="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Cash Settlement is applicable to such Exercise Date as a result of an election for such settlement by Party B, promptly following the date Party A is satisfied that all amounts outstanding to it under the Transaction Documents have been unconditionally and irrevocably paid or discharged in full.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67"/>
        <w:gridCol w:w="9138"/>
      </w:tblGrid>
      <w:tr>
        <w:trPr/>
        <w:tc>
          <w:tcPr>
            <w:tcW w:w="10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Modified Close-Out Netting:</w:t>
            </w:r>
          </w:p>
        </w:tc>
        <w:tc>
          <w:tcPr>
            <w:tcW w:w="913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 [Not Applicable].</w:t>
            </w:r>
          </w:p>
          <w:p>
            <w:pPr>
              <w:pStyle w:val="TableContents"/>
              <w:bidi w:val="0"/>
              <w:spacing w:before="0" w:after="0"/>
              <w:ind w:left="0" w:right="0" w:hanging="0"/>
              <w:jc w:val="both"/>
              <w:rPr>
                <w:caps w:val="false"/>
                <w:smallCaps w:val="false"/>
              </w:rPr>
            </w:pPr>
            <w:r>
              <w:rPr>
                <w:caps w:val="false"/>
                <w:smallCaps w:val="false"/>
              </w:rPr>
              <w:t> </w:t>
            </w:r>
          </w:p>
        </w:tc>
      </w:tr>
      <w:tr>
        <w:trPr/>
        <w:tc>
          <w:tcPr>
            <w:tcW w:w="10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Close-Out Buyer Disposal:</w:t>
            </w:r>
          </w:p>
        </w:tc>
        <w:tc>
          <w:tcPr>
            <w:tcW w:w="913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“Modified Close-Out Netting” is specified to be Applicable, notwithstanding anything to the contrary in the Agreement, promptly following the occurrence or effective designation of an Early Termination Date resulting from an Event of Default in respect of which Party B is the Defaulting Party or an Termination Event in respect of which Party B is the sole Affected Party: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54" w:right="0" w:hanging="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A shall use commercially reasonable efforts to sell or otherwise dispose of the relevant Close-Out Buyer Disposal Number of Shares as promptly as reasonably practicable at such price, quantity and manner (including on the Exchange) as Party A may determine acting in good faith and in a commercially reasonable manner (each such sale or disposal, a “</w:t>
            </w:r>
            <w:r>
              <w:rPr>
                <w:rFonts w:ascii="Times New Roman;Times;Serif" w:hAnsi="Times New Roman;Times;Serif"/>
                <w:b/>
                <w:i w:val="false"/>
                <w:caps w:val="false"/>
                <w:smallCaps w:val="false"/>
                <w:sz w:val="20"/>
              </w:rPr>
              <w:t>Close-Out Buyer Disposal</w:t>
            </w:r>
            <w:r>
              <w:rPr>
                <w:rFonts w:ascii="Times New Roman;Times;Serif" w:hAnsi="Times New Roman;Times;Serif"/>
                <w:b w:val="false"/>
                <w:i w:val="false"/>
                <w:caps w:val="false"/>
                <w:smallCaps w:val="false"/>
                <w:sz w:val="20"/>
              </w:rPr>
              <w:t>”) during the Close-Out Buyer Disposal Period;</w:t>
            </w:r>
          </w:p>
          <w:p>
            <w:pPr>
              <w:pStyle w:val="TableContents"/>
              <w:bidi w:val="0"/>
              <w:spacing w:before="0" w:after="0"/>
              <w:ind w:left="654" w:right="0" w:hanging="0"/>
              <w:jc w:val="both"/>
              <w:rPr>
                <w:caps w:val="false"/>
                <w:smallCaps w:val="false"/>
              </w:rPr>
            </w:pPr>
            <w:r>
              <w:rPr>
                <w:caps w:val="false"/>
                <w:smallCaps w:val="false"/>
              </w:rPr>
              <w:t> </w:t>
            </w:r>
          </w:p>
          <w:p>
            <w:pPr>
              <w:pStyle w:val="TableContents"/>
              <w:bidi w:val="0"/>
              <w:spacing w:before="0" w:after="0"/>
              <w:ind w:left="654" w:right="0" w:hanging="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Close-Out Buyer Disposal must be at the price reasonably obtainable by Party A at the time such sale or disposal is made;</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654" w:right="0" w:hanging="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Party B acknowledges that Party A may need to impose limitations on the manner and/or to whom a Close-Out Buyer Disposal is made in compliance with applicable laws and regulations (including US securities law);</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654" w:right="0" w:hanging="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the end of the Close-Out Buyer Disposal Period, Party A shall promptly calculate the Early Termination Amount on the basis that:</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1374"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any number of Options remain unexercised as of the Early Termination Date (the “</w:t>
            </w:r>
            <w:r>
              <w:rPr>
                <w:rFonts w:ascii="Times New Roman;Times;Serif" w:hAnsi="Times New Roman;Times;Serif"/>
                <w:b/>
                <w:i w:val="false"/>
                <w:caps w:val="false"/>
                <w:smallCaps w:val="false"/>
                <w:sz w:val="20"/>
              </w:rPr>
              <w:t>Number of Unexercised Options</w:t>
            </w:r>
            <w:r>
              <w:rPr>
                <w:rFonts w:ascii="Times New Roman;Times;Serif" w:hAnsi="Times New Roman;Times;Serif"/>
                <w:b w:val="false"/>
                <w:i w:val="false"/>
                <w:caps w:val="false"/>
                <w:smallCaps w:val="false"/>
                <w:sz w:val="20"/>
              </w:rPr>
              <w:t>”), an Exercise Date shall be deemed to have occurred on the Early Termination Date in respect of such Number of Unexercised Options for which Physical Settlement shall apply (and the Settlement Amount that would be payable by Party B in respect of such deemed Exercise Date shall be an Unpaid Amount owing by Party B to Party A); and</w:t>
            </w:r>
          </w:p>
          <w:p>
            <w:pPr>
              <w:pStyle w:val="TableContents"/>
              <w:bidi w:val="0"/>
              <w:spacing w:before="0" w:after="0"/>
              <w:ind w:left="1374" w:right="0" w:hanging="720"/>
              <w:jc w:val="both"/>
              <w:rPr>
                <w:caps w:val="false"/>
                <w:smallCaps w:val="false"/>
              </w:rPr>
            </w:pPr>
            <w:r>
              <w:rPr>
                <w:caps w:val="false"/>
                <w:smallCaps w:val="false"/>
              </w:rPr>
              <w:t> </w:t>
            </w:r>
          </w:p>
          <w:p>
            <w:pPr>
              <w:pStyle w:val="TableContents"/>
              <w:bidi w:val="0"/>
              <w:spacing w:before="0" w:after="0"/>
              <w:ind w:left="1374"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Close-out Amount in respect of the Transaction shall be deemed to be an amount (expressed as a negative number, representing a gain to Party A) equal to the proceeds actually received by Party A from all Close-Out Buyer Disposals made during the Close-Out Buyer Disposal Period net of all Taxes (other than any tax imposed or calculated by reference to profit or income), Stamp Taxes, fees, duties, charges and other reasonable out-of-pocket costs and expenses incurred by Party A and/or its Affiliates directly attributable to such Buyer Disposals (the “</w:t>
            </w:r>
            <w:r>
              <w:rPr>
                <w:rFonts w:ascii="Times New Roman;Times;Serif" w:hAnsi="Times New Roman;Times;Serif"/>
                <w:b/>
                <w:i w:val="false"/>
                <w:caps w:val="false"/>
                <w:smallCaps w:val="false"/>
                <w:sz w:val="20"/>
              </w:rPr>
              <w:t>Close-Out Buyer Net Disposal Proceeds</w:t>
            </w:r>
            <w:r>
              <w:rPr>
                <w:rFonts w:ascii="Times New Roman;Times;Serif" w:hAnsi="Times New Roman;Times;Serif"/>
                <w:b w:val="false"/>
                <w:i w:val="false"/>
                <w:caps w:val="false"/>
                <w:smallCaps w:val="false"/>
                <w:sz w:val="20"/>
              </w:rPr>
              <w:t>”) (which for the avoidance of doubt may be zero if no Close-Out Buyer Disposal had been made during the Close-Out Buyer Disposal Period);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654" w:right="0" w:hanging="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Party A shall provide the statement required under Section 6(d)(i) promptly following the end of the Close-Out Buyer Disposal Period, which statement shall also show in reasonable detail its determination of the Close-Out Buyer Net Disposal Proceeds;</w:t>
            </w:r>
          </w:p>
          <w:p>
            <w:pPr>
              <w:pStyle w:val="TableContents"/>
              <w:bidi w:val="0"/>
              <w:spacing w:before="0" w:after="0"/>
              <w:ind w:left="654" w:right="0" w:hanging="0"/>
              <w:jc w:val="both"/>
              <w:rPr>
                <w:caps w:val="false"/>
                <w:smallCaps w:val="false"/>
              </w:rPr>
            </w:pPr>
            <w:r>
              <w:rPr>
                <w:caps w:val="false"/>
                <w:smallCaps w:val="false"/>
              </w:rPr>
              <w:t> </w:t>
            </w:r>
          </w:p>
          <w:p>
            <w:pPr>
              <w:pStyle w:val="TableContents"/>
              <w:bidi w:val="0"/>
              <w:spacing w:before="0" w:after="0"/>
              <w:ind w:left="654" w:right="0" w:hanging="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paragraph (e) above, Party A shall also promptly upon demand provide Party B with such other information (including any brokerage statement or contract note) with respect to each Close-Out Buyer Disposal as Party B may reasonably require; and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654" w:right="0" w:hanging="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Party A being satisfied that all amounts outstanding to it under the Transaction Documents have been unconditionally and irrevocably paid or discharged in full, Party A shall, at the request of Party B, promptly deliver any remaining Close-Out Buyer Disposal Number of Shares that have not been sold at the time Party A is so satisfied (it being acknowledged that Party A shall not be required to account to Party B for any Shares or proceeds of Shares that have been sold after the Close-Out Buyer Disposal Period).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29"/>
        <w:gridCol w:w="8076"/>
      </w:tblGrid>
      <w:tr>
        <w:trPr/>
        <w:tc>
          <w:tcPr>
            <w:tcW w:w="2129" w:type="dxa"/>
            <w:tcBorders/>
            <w:vAlign w:val="center"/>
          </w:tcPr>
          <w:p>
            <w:pPr>
              <w:pStyle w:val="TableContents"/>
              <w:bidi w:val="0"/>
              <w:spacing w:before="0" w:after="283"/>
              <w:jc w:val="left"/>
              <w:rPr/>
            </w:pPr>
            <w:r>
              <w:rPr/>
              <w:t> </w:t>
            </w:r>
          </w:p>
        </w:tc>
        <w:tc>
          <w:tcPr>
            <w:tcW w:w="8076" w:type="dxa"/>
            <w:tcBorders/>
            <w:vAlign w:val="center"/>
          </w:tcPr>
          <w:p>
            <w:pPr>
              <w:pStyle w:val="TableContents"/>
              <w:bidi w:val="0"/>
              <w:jc w:val="left"/>
              <w:rPr/>
            </w:pPr>
            <w:r>
              <w:rPr/>
              <w:t>For the avoidance of doubt, the procedures set out in the foregoing paragraphs shall not apply if “Modified Close-Out Netting” is specified to be Not Applicable.</w:t>
            </w:r>
          </w:p>
          <w:p>
            <w:pPr>
              <w:pStyle w:val="TableContents"/>
              <w:bidi w:val="0"/>
              <w:spacing w:before="0" w:after="283"/>
              <w:jc w:val="left"/>
              <w:rPr/>
            </w:pPr>
            <w:r>
              <w:rPr/>
              <w:t> </w:t>
            </w:r>
          </w:p>
        </w:tc>
      </w:tr>
      <w:tr>
        <w:trPr/>
        <w:tc>
          <w:tcPr>
            <w:tcW w:w="2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Close-Out Buyer Disposal Number of Shares:</w:t>
            </w:r>
          </w:p>
        </w:tc>
        <w:tc>
          <w:tcPr>
            <w:tcW w:w="807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sum of (i) the Number of Unexercised Options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the Option Entitlement and (ii) any Number of Shares to be Delivered for any prior Exercise Date which have not yet been delivered or sold.</w:t>
            </w:r>
          </w:p>
          <w:p>
            <w:pPr>
              <w:pStyle w:val="TableContents"/>
              <w:bidi w:val="0"/>
              <w:spacing w:before="0" w:after="0"/>
              <w:ind w:left="0" w:right="0" w:hanging="0"/>
              <w:jc w:val="both"/>
              <w:rPr>
                <w:caps w:val="false"/>
                <w:smallCaps w:val="false"/>
              </w:rPr>
            </w:pPr>
            <w:r>
              <w:rPr>
                <w:caps w:val="false"/>
                <w:smallCaps w:val="false"/>
              </w:rPr>
              <w:t> </w:t>
            </w:r>
          </w:p>
        </w:tc>
      </w:tr>
      <w:tr>
        <w:trPr/>
        <w:tc>
          <w:tcPr>
            <w:tcW w:w="21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Close-Out Buyer Disposal Period:</w:t>
            </w:r>
          </w:p>
          <w:p>
            <w:pPr>
              <w:pStyle w:val="TableContents"/>
              <w:bidi w:val="0"/>
              <w:spacing w:before="0" w:after="0"/>
              <w:ind w:left="0" w:right="0" w:hanging="0"/>
              <w:jc w:val="left"/>
              <w:rPr>
                <w:caps w:val="false"/>
                <w:smallCaps w:val="false"/>
              </w:rPr>
            </w:pPr>
            <w:r>
              <w:rPr>
                <w:caps w:val="false"/>
                <w:smallCaps w:val="false"/>
              </w:rPr>
              <w:t> </w:t>
            </w:r>
          </w:p>
        </w:tc>
        <w:tc>
          <w:tcPr>
            <w:tcW w:w="807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commencing on the Early Termination Date and ending on the earlier 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6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date falling 21 days after such date;</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6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date when all of the relevant Close-Out Buyer Disposal Number of Shares have been sold or disposed; and</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720" w:right="0" w:hanging="6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on which the aggregate of all Close-Out Buyer Net Disposal Proceeds received from such sale are sufficient to discharge the sum of all Unpaid Amounts owing from Party B to Party A.</w:t>
            </w:r>
          </w:p>
        </w:tc>
      </w:tr>
    </w:tbl>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038"/>
        <w:gridCol w:w="8971"/>
      </w:tblGrid>
      <w:tr>
        <w:trPr/>
        <w:tc>
          <w:tcPr>
            <w:tcW w:w="19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b/>
              </w:rPr>
            </w:pPr>
            <w:r>
              <w:rPr>
                <w:b/>
              </w:rPr>
              <w:t>7.</w:t>
            </w:r>
          </w:p>
        </w:tc>
        <w:tc>
          <w:tcPr>
            <w:tcW w:w="8971" w:type="dxa"/>
            <w:tcBorders/>
            <w:vAlign w:val="center"/>
          </w:tcPr>
          <w:p>
            <w:pPr>
              <w:pStyle w:val="TableContents"/>
              <w:bidi w:val="0"/>
              <w:spacing w:before="0" w:after="283"/>
              <w:jc w:val="left"/>
              <w:rPr>
                <w:b/>
              </w:rPr>
            </w:pPr>
            <w:r>
              <w:rPr>
                <w:b/>
              </w:rPr>
              <w:t>ADJUSTMENT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and without prejudice to the Equity Definitions (as supplemented by the DR Supplement), the parties acknowledge and agree that Party A’s (as a Hedging Party) hedge of the Transaction may include, without limitation, the acquisition, establishment, re-establishment, substitution, maintenance, unwinding and/or disposition of the Shares and/or Underlying Shares (it being acknowledged that to the extent any such activity constitutes a Relevant Transaction, the consequences as set out in paragraph 9(f) (Relevant Transactions) below shall apply). Accordingly, the definition of “Hedge Position” as set out in the Equity Definitions (as supplemented by the DR Supplement) shall be deemed to include, without limitation, any acquisition, establishment, re-establishment, substitution, maintenance, unwinding and/or disposition of the Shares and/or Underlying Shares by Party A (as a Hedging Party) in connection with the Transaction, and any Extraordinary Event(s) affecting such Shares, Underlying Shares, Issuer and/or Underlying Issuer shall be treated as affecting Party A’s (as a Hedging Party) hedge of the Transaction and/or any transaction(s) or asset(s) that Party A (as a Hedging Party) deems necessary to hedge the Transaction.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9000"/>
      </w:tblGrid>
      <w:tr>
        <w:trPr/>
        <w:tc>
          <w:tcPr>
            <w:tcW w:w="12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Adjustment:</w:t>
            </w:r>
          </w:p>
          <w:p>
            <w:pPr>
              <w:pStyle w:val="TableContents"/>
              <w:bidi w:val="0"/>
              <w:spacing w:before="0" w:after="0"/>
              <w:ind w:left="0" w:right="0" w:hanging="0"/>
              <w:jc w:val="left"/>
              <w:rPr>
                <w:caps w:val="false"/>
                <w:smallCaps w:val="false"/>
              </w:rPr>
            </w:pPr>
            <w:r>
              <w:rPr>
                <w:caps w:val="false"/>
                <w:smallCaps w:val="false"/>
              </w:rPr>
              <w:t> </w:t>
            </w:r>
          </w:p>
        </w:tc>
        <w:tc>
          <w:tcPr>
            <w:tcW w:w="90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Agent Adjustment.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in the event a Relevant Cash Dividend is declared by the Underlying Shares Issuer, the Calculation Agent shall account for the effect of such Relevant Cash Dividend by (x) reducing the Strike Price by or (y) following the applicable Settlement Amount Payment Date, imposing an obligation on Party A to pay to Party B an amount in USD equal to 100% of the cash dividend per Share actually received by Party A (net of any applicable Taxes, duties, or other deductions).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 adjustment by the Calculation Agent can be made after an Exercise Date.</w:t>
            </w:r>
          </w:p>
          <w:p>
            <w:pPr>
              <w:pStyle w:val="TableContents"/>
              <w:bidi w:val="0"/>
              <w:spacing w:before="0" w:after="0"/>
              <w:ind w:left="0" w:right="0" w:hanging="0"/>
              <w:jc w:val="both"/>
              <w:rPr>
                <w:caps w:val="false"/>
                <w:smallCaps w:val="false"/>
              </w:rPr>
            </w:pPr>
            <w:r>
              <w:rPr>
                <w:caps w:val="false"/>
                <w:smallCaps w:val="false"/>
              </w:rPr>
              <w:t> </w:t>
            </w:r>
          </w:p>
        </w:tc>
      </w:tr>
      <w:tr>
        <w:trPr/>
        <w:tc>
          <w:tcPr>
            <w:tcW w:w="12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Cash Dividend:</w:t>
            </w:r>
          </w:p>
          <w:p>
            <w:pPr>
              <w:pStyle w:val="TableContents"/>
              <w:bidi w:val="0"/>
              <w:spacing w:before="0" w:after="0"/>
              <w:ind w:left="0" w:right="0" w:hanging="0"/>
              <w:jc w:val="left"/>
              <w:rPr>
                <w:caps w:val="false"/>
                <w:smallCaps w:val="false"/>
              </w:rPr>
            </w:pPr>
            <w:r>
              <w:rPr>
                <w:caps w:val="false"/>
                <w:smallCaps w:val="false"/>
              </w:rPr>
              <w:t> </w:t>
            </w:r>
          </w:p>
        </w:tc>
        <w:tc>
          <w:tcPr>
            <w:tcW w:w="90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or distribution on the Shares in the form of cash that has an ex-dividend date occurring during the period from, but excluding, the Trade Date to, and including, the final Settlement Date or Cash Settlement Payment Date.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576"/>
        <w:gridCol w:w="9520"/>
      </w:tblGrid>
      <w:tr>
        <w:trPr/>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b/>
              </w:rPr>
            </w:pPr>
            <w:r>
              <w:rPr>
                <w:b/>
              </w:rPr>
              <w:t>8.</w:t>
            </w:r>
          </w:p>
        </w:tc>
        <w:tc>
          <w:tcPr>
            <w:tcW w:w="9520" w:type="dxa"/>
            <w:tcBorders/>
            <w:vAlign w:val="center"/>
          </w:tcPr>
          <w:p>
            <w:pPr>
              <w:pStyle w:val="TableContents"/>
              <w:bidi w:val="0"/>
              <w:spacing w:before="0" w:after="283"/>
              <w:jc w:val="left"/>
              <w:rPr>
                <w:b/>
              </w:rPr>
            </w:pPr>
            <w:r>
              <w:rPr>
                <w:b/>
              </w:rPr>
              <w:t>EXTRAORDINARY EVENTS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0"/>
        <w:gridCol w:w="7885"/>
      </w:tblGrid>
      <w:tr>
        <w:trPr/>
        <w:tc>
          <w:tcPr>
            <w:tcW w:w="2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Merger Events:</w:t>
            </w:r>
          </w:p>
          <w:p>
            <w:pPr>
              <w:pStyle w:val="TableContents"/>
              <w:bidi w:val="0"/>
              <w:spacing w:before="0" w:after="0"/>
              <w:ind w:left="0"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283"/>
              <w:jc w:val="both"/>
              <w:rPr/>
            </w:pPr>
            <w:r>
              <w:rPr/>
              <w:t> </w:t>
            </w:r>
          </w:p>
        </w:tc>
      </w:tr>
      <w:tr>
        <w:trPr/>
        <w:tc>
          <w:tcPr>
            <w:tcW w:w="2320" w:type="dxa"/>
            <w:tcBorders/>
            <w:vAlign w:val="center"/>
          </w:tcPr>
          <w:p>
            <w:pPr>
              <w:pStyle w:val="TableContents"/>
              <w:bidi w:val="0"/>
              <w:spacing w:before="0" w:after="0"/>
              <w:ind w:left="37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Share-for-Share:</w:t>
            </w:r>
          </w:p>
          <w:p>
            <w:pPr>
              <w:pStyle w:val="TableContents"/>
              <w:bidi w:val="0"/>
              <w:spacing w:before="0" w:after="0"/>
              <w:ind w:left="0"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w:t>
            </w:r>
          </w:p>
        </w:tc>
      </w:tr>
      <w:tr>
        <w:trPr/>
        <w:tc>
          <w:tcPr>
            <w:tcW w:w="2320" w:type="dxa"/>
            <w:tcBorders/>
            <w:vAlign w:val="center"/>
          </w:tcPr>
          <w:p>
            <w:pPr>
              <w:pStyle w:val="TableContents"/>
              <w:bidi w:val="0"/>
              <w:spacing w:before="0" w:after="0"/>
              <w:ind w:left="37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Share-for-Other:</w:t>
            </w:r>
          </w:p>
          <w:p>
            <w:pPr>
              <w:pStyle w:val="TableContents"/>
              <w:bidi w:val="0"/>
              <w:spacing w:before="0" w:after="0"/>
              <w:ind w:left="375"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283"/>
              <w:ind w:left="375" w:right="0" w:hanging="0"/>
              <w:jc w:val="both"/>
              <w:rPr>
                <w:rFonts w:ascii="Times New Roman;Times;Serif" w:hAnsi="Times New Roman;Times;Serif"/>
                <w:sz w:val="20"/>
              </w:rPr>
            </w:pPr>
            <w:r>
              <w:rPr>
                <w:rFonts w:ascii="Times New Roman;Times;Serif" w:hAnsi="Times New Roman;Times;Serif"/>
                <w:sz w:val="20"/>
              </w:rPr>
              <w:t>Calculation Agent Adjustment</w:t>
            </w:r>
          </w:p>
        </w:tc>
      </w:tr>
      <w:tr>
        <w:trPr/>
        <w:tc>
          <w:tcPr>
            <w:tcW w:w="23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Share-for-Combined:</w:t>
            </w:r>
          </w:p>
        </w:tc>
        <w:tc>
          <w:tcPr>
            <w:tcW w:w="7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Agent Adjustment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definition of “Merger Event” and its consequences set out in the Equity Definitions shall be amended in accordance with the DR Supplement.</w:t>
            </w:r>
          </w:p>
          <w:p>
            <w:pPr>
              <w:pStyle w:val="TableContents"/>
              <w:bidi w:val="0"/>
              <w:spacing w:before="0" w:after="0"/>
              <w:ind w:left="0" w:right="0" w:hanging="0"/>
              <w:jc w:val="both"/>
              <w:rPr>
                <w:caps w:val="false"/>
                <w:smallCaps w:val="false"/>
              </w:rPr>
            </w:pPr>
            <w:r>
              <w:rPr>
                <w:caps w:val="false"/>
                <w:smallCaps w:val="false"/>
              </w:rPr>
              <w:t> </w:t>
            </w:r>
          </w:p>
        </w:tc>
      </w:tr>
      <w:tr>
        <w:trPr/>
        <w:tc>
          <w:tcPr>
            <w:tcW w:w="2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Tender Offers:</w:t>
            </w:r>
          </w:p>
          <w:p>
            <w:pPr>
              <w:pStyle w:val="TableContents"/>
              <w:bidi w:val="0"/>
              <w:spacing w:before="0" w:after="0"/>
              <w:ind w:left="0"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For the avoidance of doubt, the parties agree that the Calculation Agent may determine that no adjustment is necessary after a Tender Offer, and that the definition of “Tender Offer” and its consequences set out in the Equity Definitions shall be amended in accordance with the DR Supplement.</w:t>
            </w:r>
          </w:p>
          <w:p>
            <w:pPr>
              <w:pStyle w:val="TableContents"/>
              <w:bidi w:val="0"/>
              <w:spacing w:before="0" w:after="0"/>
              <w:ind w:left="0" w:right="0" w:hanging="0"/>
              <w:jc w:val="both"/>
              <w:rPr>
                <w:caps w:val="false"/>
                <w:smallCaps w:val="false"/>
              </w:rPr>
            </w:pPr>
            <w:r>
              <w:rPr>
                <w:caps w:val="false"/>
                <w:smallCaps w:val="false"/>
              </w:rPr>
              <w:t> </w:t>
            </w:r>
          </w:p>
        </w:tc>
      </w:tr>
      <w:tr>
        <w:trPr/>
        <w:tc>
          <w:tcPr>
            <w:tcW w:w="2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Tender Offer:</w:t>
            </w:r>
          </w:p>
          <w:p>
            <w:pPr>
              <w:pStyle w:val="TableContents"/>
              <w:bidi w:val="0"/>
              <w:spacing w:before="0" w:after="0"/>
              <w:ind w:left="0"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283"/>
              <w:jc w:val="both"/>
              <w:rPr/>
            </w:pPr>
            <w:r>
              <w:rPr/>
              <w:t> </w:t>
            </w:r>
          </w:p>
        </w:tc>
      </w:tr>
      <w:tr>
        <w:trPr/>
        <w:tc>
          <w:tcPr>
            <w:tcW w:w="2320" w:type="dxa"/>
            <w:tcBorders/>
            <w:vAlign w:val="center"/>
          </w:tcPr>
          <w:p>
            <w:pPr>
              <w:pStyle w:val="TableContents"/>
              <w:bidi w:val="0"/>
              <w:spacing w:before="0" w:after="0"/>
              <w:ind w:left="37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Share-for-Share:</w:t>
            </w:r>
          </w:p>
          <w:p>
            <w:pPr>
              <w:pStyle w:val="TableContents"/>
              <w:bidi w:val="0"/>
              <w:spacing w:before="0" w:after="0"/>
              <w:ind w:left="0"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Calculation Agent Adjustment </w:t>
            </w:r>
          </w:p>
        </w:tc>
      </w:tr>
      <w:tr>
        <w:trPr/>
        <w:tc>
          <w:tcPr>
            <w:tcW w:w="2320" w:type="dxa"/>
            <w:tcBorders/>
            <w:vAlign w:val="center"/>
          </w:tcPr>
          <w:p>
            <w:pPr>
              <w:pStyle w:val="TableContents"/>
              <w:bidi w:val="0"/>
              <w:spacing w:before="0" w:after="0"/>
              <w:ind w:left="37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Share-for-Other:</w:t>
            </w:r>
          </w:p>
          <w:p>
            <w:pPr>
              <w:pStyle w:val="TableContents"/>
              <w:bidi w:val="0"/>
              <w:spacing w:before="0" w:after="0"/>
              <w:ind w:left="0"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w:t>
            </w:r>
          </w:p>
        </w:tc>
      </w:tr>
      <w:tr>
        <w:trPr/>
        <w:tc>
          <w:tcPr>
            <w:tcW w:w="2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Share-for-Combined:</w:t>
            </w:r>
          </w:p>
        </w:tc>
        <w:tc>
          <w:tcPr>
            <w:tcW w:w="7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Agent Adjustment</w:t>
            </w:r>
          </w:p>
          <w:p>
            <w:pPr>
              <w:pStyle w:val="TableContents"/>
              <w:bidi w:val="0"/>
              <w:spacing w:before="0" w:after="0"/>
              <w:ind w:left="0" w:right="0" w:hanging="0"/>
              <w:jc w:val="both"/>
              <w:rPr>
                <w:caps w:val="false"/>
                <w:smallCaps w:val="false"/>
              </w:rPr>
            </w:pPr>
            <w:r>
              <w:rPr>
                <w:caps w:val="false"/>
                <w:smallCaps w:val="false"/>
              </w:rPr>
              <w:t> </w:t>
            </w:r>
          </w:p>
        </w:tc>
      </w:tr>
      <w:tr>
        <w:trPr/>
        <w:tc>
          <w:tcPr>
            <w:tcW w:w="2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of Combined Consideration:</w:t>
            </w:r>
          </w:p>
          <w:p>
            <w:pPr>
              <w:pStyle w:val="TableContents"/>
              <w:bidi w:val="0"/>
              <w:spacing w:before="0" w:after="0"/>
              <w:ind w:left="0"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p>
            <w:pPr>
              <w:pStyle w:val="TableContents"/>
              <w:bidi w:val="0"/>
              <w:spacing w:before="0" w:after="0"/>
              <w:ind w:left="0" w:right="0" w:hanging="0"/>
              <w:jc w:val="both"/>
              <w:rPr>
                <w:caps w:val="false"/>
                <w:smallCaps w:val="false"/>
              </w:rPr>
            </w:pPr>
            <w:r>
              <w:rPr>
                <w:caps w:val="false"/>
                <w:smallCaps w:val="false"/>
              </w:rPr>
              <w:t> </w:t>
            </w:r>
          </w:p>
        </w:tc>
      </w:tr>
      <w:tr>
        <w:trPr/>
        <w:tc>
          <w:tcPr>
            <w:tcW w:w="2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Nationalization:</w:t>
            </w:r>
          </w:p>
        </w:tc>
        <w:tc>
          <w:tcPr>
            <w:tcW w:w="7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and Payment (Calculation Agent Determination). For the avoidance of doubt, the definition of “Nationalization” and its consequences set out in the Equity Definitions shall be amended in accordance with the DR Supplement.</w:t>
            </w:r>
          </w:p>
          <w:p>
            <w:pPr>
              <w:pStyle w:val="TableContents"/>
              <w:bidi w:val="0"/>
              <w:spacing w:before="0" w:after="0"/>
              <w:ind w:left="0" w:right="0" w:hanging="0"/>
              <w:jc w:val="both"/>
              <w:rPr>
                <w:caps w:val="false"/>
                <w:smallCaps w:val="false"/>
              </w:rPr>
            </w:pPr>
            <w:r>
              <w:rPr>
                <w:caps w:val="false"/>
                <w:smallCaps w:val="false"/>
              </w:rPr>
              <w:t> </w:t>
            </w:r>
          </w:p>
        </w:tc>
      </w:tr>
      <w:tr>
        <w:trPr/>
        <w:tc>
          <w:tcPr>
            <w:tcW w:w="2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Insolvency:</w:t>
            </w:r>
          </w:p>
          <w:p>
            <w:pPr>
              <w:pStyle w:val="TableContents"/>
              <w:bidi w:val="0"/>
              <w:spacing w:before="0" w:after="0"/>
              <w:ind w:left="0"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and Payment (Calculation Agent Determination). For the avoidance of doubt, the definition of “Insolvency” and its consequences set out in the Equity Definitions shall be amended in accordance with the DR Supplement.</w:t>
            </w:r>
          </w:p>
          <w:p>
            <w:pPr>
              <w:pStyle w:val="TableContents"/>
              <w:bidi w:val="0"/>
              <w:spacing w:before="0" w:after="0"/>
              <w:ind w:left="0" w:right="0" w:hanging="0"/>
              <w:jc w:val="both"/>
              <w:rPr>
                <w:caps w:val="false"/>
                <w:smallCaps w:val="false"/>
              </w:rPr>
            </w:pPr>
            <w:r>
              <w:rPr>
                <w:caps w:val="false"/>
                <w:smallCaps w:val="false"/>
              </w:rPr>
              <w:t> </w:t>
            </w:r>
          </w:p>
        </w:tc>
      </w:tr>
      <w:tr>
        <w:trPr/>
        <w:tc>
          <w:tcPr>
            <w:tcW w:w="2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Delisting:</w:t>
            </w:r>
          </w:p>
          <w:p>
            <w:pPr>
              <w:pStyle w:val="TableContents"/>
              <w:bidi w:val="0"/>
              <w:spacing w:before="0" w:after="0"/>
              <w:ind w:left="0" w:right="0" w:hanging="0"/>
              <w:jc w:val="left"/>
              <w:rPr>
                <w:caps w:val="false"/>
                <w:smallCaps w:val="false"/>
              </w:rPr>
            </w:pPr>
            <w:r>
              <w:rPr>
                <w:caps w:val="false"/>
                <w:smallCaps w:val="false"/>
              </w:rPr>
              <w:t> </w:t>
            </w:r>
          </w:p>
        </w:tc>
        <w:tc>
          <w:tcPr>
            <w:tcW w:w="7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and Payment (Calculation Agent Determination). For the avoidance of doubt, the definition of “Delisting” and its consequences set out in the Equity Definitions shall be amended in accordance with the DR Supplement.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each of Nationalization, Insolvency and Delisting shall also constitute an Extraordinary Cancellation Event.</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65"/>
        <w:gridCol w:w="8140"/>
      </w:tblGrid>
      <w:tr>
        <w:trPr/>
        <w:tc>
          <w:tcPr>
            <w:tcW w:w="2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Disruption Events:</w:t>
            </w:r>
          </w:p>
        </w:tc>
        <w:tc>
          <w:tcPr>
            <w:tcW w:w="814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r>
      <w:tr>
        <w:trPr/>
        <w:tc>
          <w:tcPr>
            <w:tcW w:w="2065" w:type="dxa"/>
            <w:tcBorders/>
            <w:vAlign w:val="center"/>
          </w:tcPr>
          <w:p>
            <w:pPr>
              <w:pStyle w:val="TableContents"/>
              <w:bidi w:val="0"/>
              <w:spacing w:before="0" w:after="0"/>
              <w:ind w:left="37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Law:</w:t>
            </w:r>
          </w:p>
          <w:p>
            <w:pPr>
              <w:pStyle w:val="TableContents"/>
              <w:bidi w:val="0"/>
              <w:spacing w:before="0" w:after="0"/>
              <w:ind w:left="0" w:right="0" w:hanging="0"/>
              <w:jc w:val="left"/>
              <w:rPr>
                <w:caps w:val="false"/>
                <w:smallCaps w:val="false"/>
              </w:rPr>
            </w:pPr>
            <w:r>
              <w:rPr>
                <w:caps w:val="false"/>
                <w:smallCaps w:val="false"/>
              </w:rPr>
              <w:t> </w:t>
            </w:r>
          </w:p>
        </w:tc>
        <w:tc>
          <w:tcPr>
            <w:tcW w:w="81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Section 12.9 (a) (ii) of the Equity Definitions is replaced in its entirely by the words: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Law” means that, on or after the Trade Date of any Transaction (A) due to the adoption of or any change in any applicable law or regulation (including, without limitation, any tax law), or (B) due to the promulgation of or any change in the interpretation by any court, tribunal or regulatory authority with competent jurisdiction of any applicable law or regulation (including any action taken by a taxing authority), the Calculation Agent determines in good faith that it has become illegal for a party to this Transaction to hold, acquire or dispose of Hedge Positions relating to such Transaction, provided that this section 12.9(a)(ii) shall not apply if the Calculation Agent determines that such party could have taken reasonable steps to avoid such illegality.</w:t>
            </w:r>
          </w:p>
          <w:p>
            <w:pPr>
              <w:pStyle w:val="TableContents"/>
              <w:bidi w:val="0"/>
              <w:spacing w:before="0" w:after="0"/>
              <w:ind w:left="0" w:right="0" w:hanging="0"/>
              <w:jc w:val="both"/>
              <w:rPr>
                <w:caps w:val="false"/>
                <w:smallCaps w:val="false"/>
              </w:rPr>
            </w:pPr>
            <w:r>
              <w:rPr>
                <w:caps w:val="false"/>
                <w:smallCaps w:val="false"/>
              </w:rPr>
              <w:t> </w:t>
            </w:r>
          </w:p>
        </w:tc>
      </w:tr>
      <w:tr>
        <w:trPr/>
        <w:tc>
          <w:tcPr>
            <w:tcW w:w="2065" w:type="dxa"/>
            <w:tcBorders/>
            <w:vAlign w:val="center"/>
          </w:tcPr>
          <w:p>
            <w:pPr>
              <w:pStyle w:val="TableContents"/>
              <w:bidi w:val="0"/>
              <w:spacing w:before="0" w:after="0"/>
              <w:ind w:left="37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Failure to Deliver:</w:t>
            </w:r>
          </w:p>
          <w:p>
            <w:pPr>
              <w:pStyle w:val="TableContents"/>
              <w:bidi w:val="0"/>
              <w:spacing w:before="0" w:after="0"/>
              <w:ind w:left="0" w:right="0" w:hanging="0"/>
              <w:jc w:val="left"/>
              <w:rPr>
                <w:caps w:val="false"/>
                <w:smallCaps w:val="false"/>
              </w:rPr>
            </w:pPr>
            <w:r>
              <w:rPr>
                <w:caps w:val="false"/>
                <w:smallCaps w:val="false"/>
              </w:rPr>
              <w:t> </w:t>
            </w:r>
          </w:p>
        </w:tc>
        <w:tc>
          <w:tcPr>
            <w:tcW w:w="81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for the purpose of this Transaction Section 12.9(b)(ii) of the Equity Definitions shall be amended by deleting all references to “Receiving Party (who shall be the Determining Party)” and inserting “Calculation Agent (who shall be the Determining Party)” in lieu thereof.</w:t>
            </w:r>
          </w:p>
          <w:p>
            <w:pPr>
              <w:pStyle w:val="TableContents"/>
              <w:bidi w:val="0"/>
              <w:spacing w:before="0" w:after="0"/>
              <w:ind w:left="375" w:right="0" w:hanging="0"/>
              <w:jc w:val="both"/>
              <w:rPr>
                <w:caps w:val="false"/>
                <w:smallCaps w:val="false"/>
              </w:rPr>
            </w:pPr>
            <w:r>
              <w:rPr>
                <w:caps w:val="false"/>
                <w:smallCaps w:val="false"/>
              </w:rPr>
              <w:t> </w:t>
            </w:r>
          </w:p>
        </w:tc>
      </w:tr>
      <w:tr>
        <w:trPr/>
        <w:tc>
          <w:tcPr>
            <w:tcW w:w="20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Insolvency Filing:</w:t>
            </w:r>
          </w:p>
        </w:tc>
        <w:tc>
          <w:tcPr>
            <w:tcW w:w="81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For the avoidance of doubt, the definition of “Insolvency Filing” and its consequences set out in the Equity Definitions shall be amended in accordance with the DR Supplement.</w:t>
            </w:r>
          </w:p>
          <w:p>
            <w:pPr>
              <w:pStyle w:val="TableContents"/>
              <w:bidi w:val="0"/>
              <w:spacing w:before="0" w:after="0"/>
              <w:ind w:left="0" w:right="0" w:hanging="0"/>
              <w:jc w:val="both"/>
              <w:rPr>
                <w:caps w:val="false"/>
                <w:smallCaps w:val="false"/>
              </w:rPr>
            </w:pPr>
            <w:r>
              <w:rPr>
                <w:caps w:val="false"/>
                <w:smallCaps w:val="false"/>
              </w:rPr>
              <w:t> </w:t>
            </w:r>
          </w:p>
        </w:tc>
      </w:tr>
      <w:tr>
        <w:trPr/>
        <w:tc>
          <w:tcPr>
            <w:tcW w:w="2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Hedging Disruption:</w:t>
            </w:r>
          </w:p>
        </w:tc>
        <w:tc>
          <w:tcPr>
            <w:tcW w:w="81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Section 12.9(a)(v) of the Equity Definitions shall be replaced in its entirety with:</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Hedging Disruption” means that a Hedging Party is unable, after using commercially reasonable efforts, to either (i) acquire, establish, re-establish, substitute, maintain, unwind, or dispose of any transaction(s) or asset(s) it deems necessary to hedge the equity price risk (or any other relevant price risk, including, but not limited to, the currency risk) of entering into and performing its obligations with respect to this Transaction (including, without limitation, the Shares and/or Underlying Shares), or (ii) freely realize, recover, receive, repatriate, remit or transfer the proceeds of Hedge Positions or this Transaction between accounts within the jurisdiction of the Hedge Positions (the “Affected Jurisdiction”) or from accounts within the Affected Jurisdiction to accounts outside of the Affected Jurisdiction.</w:t>
            </w:r>
          </w:p>
          <w:p>
            <w:pPr>
              <w:pStyle w:val="TableContents"/>
              <w:bidi w:val="0"/>
              <w:spacing w:before="0" w:after="0"/>
              <w:ind w:left="0" w:right="0" w:hanging="0"/>
              <w:jc w:val="both"/>
              <w:rPr>
                <w:caps w:val="false"/>
                <w:smallCaps w:val="false"/>
              </w:rPr>
            </w:pPr>
            <w:r>
              <w:rPr>
                <w:caps w:val="false"/>
                <w:smallCaps w:val="false"/>
              </w:rPr>
              <w:t> </w:t>
            </w:r>
          </w:p>
        </w:tc>
      </w:tr>
      <w:tr>
        <w:trPr/>
        <w:tc>
          <w:tcPr>
            <w:tcW w:w="2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Increased Cost of Hedging:</w:t>
            </w:r>
          </w:p>
        </w:tc>
        <w:tc>
          <w:tcPr>
            <w:tcW w:w="81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For the avoidance of doubt, references to “any transaction(s) or asset(s) it deems necessary to hedge the equity price risk of entering into and performing its obligations with respect to the relevant Transaction” shall include, without limitation, the Shares and/or Underlying Shares.</w:t>
            </w:r>
          </w:p>
          <w:p>
            <w:pPr>
              <w:pStyle w:val="TableContents"/>
              <w:bidi w:val="0"/>
              <w:spacing w:before="0" w:after="0"/>
              <w:ind w:left="0" w:right="0" w:hanging="0"/>
              <w:jc w:val="both"/>
              <w:rPr>
                <w:caps w:val="false"/>
                <w:smallCaps w:val="false"/>
              </w:rPr>
            </w:pPr>
            <w:r>
              <w:rPr>
                <w:caps w:val="false"/>
                <w:smallCaps w:val="false"/>
              </w:rPr>
              <w:t> </w:t>
            </w:r>
          </w:p>
        </w:tc>
      </w:tr>
      <w:tr>
        <w:trPr/>
        <w:tc>
          <w:tcPr>
            <w:tcW w:w="2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 Loss of Stock Borrow:</w:t>
            </w:r>
          </w:p>
        </w:tc>
        <w:tc>
          <w:tcPr>
            <w:tcW w:w="81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ableContents"/>
              <w:bidi w:val="0"/>
              <w:spacing w:before="0" w:after="0"/>
              <w:ind w:left="0" w:right="0" w:hanging="0"/>
              <w:jc w:val="both"/>
              <w:rPr>
                <w:caps w:val="false"/>
                <w:smallCaps w:val="false"/>
              </w:rPr>
            </w:pPr>
            <w:r>
              <w:rPr>
                <w:caps w:val="false"/>
                <w:smallCaps w:val="false"/>
              </w:rPr>
              <w:t> </w:t>
            </w:r>
          </w:p>
        </w:tc>
      </w:tr>
      <w:tr>
        <w:trPr/>
        <w:tc>
          <w:tcPr>
            <w:tcW w:w="2065" w:type="dxa"/>
            <w:tcBorders/>
            <w:vAlign w:val="center"/>
          </w:tcPr>
          <w:p>
            <w:pPr>
              <w:pStyle w:val="TableContents"/>
              <w:bidi w:val="0"/>
              <w:spacing w:before="0" w:after="0"/>
              <w:ind w:left="37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Increased Cost of Stock Borrow:</w:t>
            </w:r>
          </w:p>
          <w:p>
            <w:pPr>
              <w:pStyle w:val="TableContents"/>
              <w:bidi w:val="0"/>
              <w:spacing w:before="0" w:after="0"/>
              <w:ind w:left="375" w:right="0" w:hanging="0"/>
              <w:jc w:val="left"/>
              <w:rPr>
                <w:caps w:val="false"/>
                <w:smallCaps w:val="false"/>
              </w:rPr>
            </w:pPr>
            <w:r>
              <w:rPr>
                <w:caps w:val="false"/>
                <w:smallCaps w:val="false"/>
              </w:rPr>
              <w:t> </w:t>
            </w:r>
          </w:p>
        </w:tc>
        <w:tc>
          <w:tcPr>
            <w:tcW w:w="8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r>
        <w:trPr/>
        <w:tc>
          <w:tcPr>
            <w:tcW w:w="2065" w:type="dxa"/>
            <w:tcBorders/>
            <w:vAlign w:val="center"/>
          </w:tcPr>
          <w:p>
            <w:pPr>
              <w:pStyle w:val="TableContents"/>
              <w:bidi w:val="0"/>
              <w:spacing w:before="0" w:after="0"/>
              <w:ind w:left="37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Party:</w:t>
            </w:r>
          </w:p>
          <w:p>
            <w:pPr>
              <w:pStyle w:val="TableContents"/>
              <w:bidi w:val="0"/>
              <w:spacing w:before="0" w:after="0"/>
              <w:ind w:left="375" w:right="0" w:hanging="0"/>
              <w:jc w:val="left"/>
              <w:rPr>
                <w:caps w:val="false"/>
                <w:smallCaps w:val="false"/>
              </w:rPr>
            </w:pPr>
            <w:r>
              <w:rPr>
                <w:caps w:val="false"/>
                <w:smallCaps w:val="false"/>
              </w:rPr>
              <w:t> </w:t>
            </w:r>
          </w:p>
        </w:tc>
        <w:tc>
          <w:tcPr>
            <w:tcW w:w="8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w:t>
            </w:r>
          </w:p>
        </w:tc>
      </w:tr>
      <w:tr>
        <w:trPr/>
        <w:tc>
          <w:tcPr>
            <w:tcW w:w="2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Determining Party:</w:t>
            </w:r>
          </w:p>
        </w:tc>
        <w:tc>
          <w:tcPr>
            <w:tcW w:w="8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Calculation Agent.</w:t>
            </w:r>
          </w:p>
        </w:tc>
      </w:tr>
      <w:tr>
        <w:trPr/>
        <w:tc>
          <w:tcPr>
            <w:tcW w:w="2065" w:type="dxa"/>
            <w:tcBorders/>
            <w:vAlign w:val="center"/>
          </w:tcPr>
          <w:p>
            <w:pPr>
              <w:pStyle w:val="TableContents"/>
              <w:bidi w:val="0"/>
              <w:spacing w:before="0" w:after="283"/>
              <w:jc w:val="left"/>
              <w:rPr/>
            </w:pPr>
            <w:r>
              <w:rPr/>
              <w:t> </w:t>
            </w:r>
          </w:p>
        </w:tc>
        <w:tc>
          <w:tcPr>
            <w:tcW w:w="8140" w:type="dxa"/>
            <w:tcBorders/>
            <w:vAlign w:val="center"/>
          </w:tcPr>
          <w:p>
            <w:pPr>
              <w:pStyle w:val="TableContents"/>
              <w:bidi w:val="0"/>
              <w:spacing w:before="0" w:after="283"/>
              <w:jc w:val="both"/>
              <w:rPr/>
            </w:pPr>
            <w:r>
              <w:rPr/>
              <w:t> </w:t>
            </w:r>
          </w:p>
        </w:tc>
      </w:tr>
      <w:tr>
        <w:trPr/>
        <w:tc>
          <w:tcPr>
            <w:tcW w:w="2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Non-Reliance:</w:t>
            </w:r>
          </w:p>
        </w:tc>
        <w:tc>
          <w:tcPr>
            <w:tcW w:w="81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p>
            <w:pPr>
              <w:pStyle w:val="TableContents"/>
              <w:bidi w:val="0"/>
              <w:spacing w:before="0" w:after="0"/>
              <w:ind w:left="0" w:right="0" w:hanging="0"/>
              <w:jc w:val="left"/>
              <w:rPr>
                <w:caps w:val="false"/>
                <w:smallCaps w:val="false"/>
              </w:rPr>
            </w:pPr>
            <w:r>
              <w:rPr>
                <w:caps w:val="false"/>
                <w:smallCaps w:val="false"/>
              </w:rPr>
              <w:t> </w:t>
            </w:r>
          </w:p>
        </w:tc>
      </w:tr>
      <w:tr>
        <w:trPr/>
        <w:tc>
          <w:tcPr>
            <w:tcW w:w="20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Acknowledgements Regarding Hedging Activities:</w:t>
            </w:r>
          </w:p>
          <w:p>
            <w:pPr>
              <w:pStyle w:val="TableContents"/>
              <w:bidi w:val="0"/>
              <w:spacing w:before="0" w:after="0"/>
              <w:ind w:left="0" w:right="0" w:hanging="0"/>
              <w:jc w:val="left"/>
              <w:rPr>
                <w:caps w:val="false"/>
                <w:smallCaps w:val="false"/>
              </w:rPr>
            </w:pPr>
            <w:r>
              <w:rPr>
                <w:caps w:val="false"/>
                <w:smallCaps w:val="false"/>
              </w:rPr>
              <w:t> </w:t>
            </w:r>
          </w:p>
        </w:tc>
        <w:tc>
          <w:tcPr>
            <w:tcW w:w="8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20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Acknowledgements:</w:t>
            </w:r>
          </w:p>
          <w:p>
            <w:pPr>
              <w:pStyle w:val="TableContents"/>
              <w:bidi w:val="0"/>
              <w:spacing w:before="0" w:after="0"/>
              <w:ind w:left="0" w:right="0" w:hanging="0"/>
              <w:jc w:val="left"/>
              <w:rPr>
                <w:caps w:val="false"/>
                <w:smallCaps w:val="false"/>
              </w:rPr>
            </w:pPr>
            <w:r>
              <w:rPr>
                <w:caps w:val="false"/>
                <w:smallCaps w:val="false"/>
              </w:rPr>
              <w:t> </w:t>
            </w:r>
          </w:p>
        </w:tc>
        <w:tc>
          <w:tcPr>
            <w:tcW w:w="8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b/>
              </w:rPr>
            </w:pPr>
            <w:r>
              <w:rPr>
                <w:b/>
              </w:rPr>
              <w:t>9.</w:t>
            </w:r>
          </w:p>
        </w:tc>
        <w:tc>
          <w:tcPr>
            <w:tcW w:w="9034" w:type="dxa"/>
            <w:tcBorders/>
            <w:vAlign w:val="center"/>
          </w:tcPr>
          <w:p>
            <w:pPr>
              <w:pStyle w:val="TableContents"/>
              <w:bidi w:val="0"/>
              <w:spacing w:before="0" w:after="283"/>
              <w:jc w:val="left"/>
              <w:rPr>
                <w:b/>
              </w:rPr>
            </w:pPr>
            <w:r>
              <w:rPr>
                <w:b/>
              </w:rPr>
              <w:t>OTHER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283"/>
              <w:jc w:val="both"/>
              <w:rPr/>
            </w:pPr>
            <w:r>
              <w:rPr>
                <w:b/>
              </w:rPr>
              <w:t>Condition Precedent</w:t>
            </w:r>
            <w:r>
              <w:rPr/>
              <w:t>: It shall be a condition precedent to each party’s obligations under the Transaction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78"/>
        <w:gridCol w:w="9882"/>
      </w:tblGrid>
      <w:tr>
        <w:trPr/>
        <w:tc>
          <w:tcPr>
            <w:tcW w:w="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(i)</w:t>
            </w:r>
          </w:p>
        </w:tc>
        <w:tc>
          <w:tcPr>
            <w:tcW w:w="9882" w:type="dxa"/>
            <w:tcBorders/>
            <w:vAlign w:val="center"/>
          </w:tcPr>
          <w:p>
            <w:pPr>
              <w:pStyle w:val="TableContents"/>
              <w:bidi w:val="0"/>
              <w:spacing w:before="0" w:after="283"/>
              <w:jc w:val="both"/>
              <w:rPr/>
            </w:pPr>
            <w:r>
              <w:rPr/>
              <w:t>the Securities Purchase Agreement have been duly entered into by the parties to it;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Party A has purchased the Placement Shares, and paid to the Underlying Shares Issuer in immediately available funds the total subscription amount in respect of the Placement Shares, in each case, in accordance with the terms of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conditions precedent are not satisfied by 7:00 p.m. (New York time) on the second “Business Day” (as defined in the Securities Purchase Agreement) immediately following the Trade Date, this Confirmation and the Transaction shall automatically terminate, and neither party shall have any further rights or obligations under this Confirmation or the Transaction.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b/>
              </w:rPr>
              <w:t>Account for payment to Party A</w:t>
            </w:r>
            <w:r>
              <w:rPr/>
              <w:t>: An account with such bank as separately notified by Party A to Party 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b/>
              </w:rPr>
              <w:t>Account for payment and delivery of Shares to Party B</w:t>
            </w:r>
            <w:r>
              <w:rPr/>
              <w:t>: An account with such custodian as separately notified by Party B to Party 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947"/>
        <w:gridCol w:w="9134"/>
      </w:tblGrid>
      <w:tr>
        <w:trPr/>
        <w:tc>
          <w:tcPr>
            <w:tcW w:w="1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pPr>
            <w:r>
              <w:rPr/>
              <w:t>(d)</w:t>
            </w:r>
          </w:p>
        </w:tc>
        <w:tc>
          <w:tcPr>
            <w:tcW w:w="9134" w:type="dxa"/>
            <w:tcBorders/>
            <w:vAlign w:val="center"/>
          </w:tcPr>
          <w:p>
            <w:pPr>
              <w:pStyle w:val="TableContents"/>
              <w:bidi w:val="0"/>
              <w:spacing w:before="0" w:after="283"/>
              <w:jc w:val="both"/>
              <w:rPr/>
            </w:pPr>
            <w:r>
              <w:rPr>
                <w:b/>
              </w:rPr>
              <w:t>Calculation Agent</w:t>
            </w:r>
            <w:r>
              <w:rPr/>
              <w:t>: Party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the party required to act as Calculation Agent to perform, on a timely basis, any of its responsibilities as Calculation Agent, shall not constitute an Event of Default and the sole remedy of the other party for such failure shall be the right, upon notice to the Calculation Agent, to designate a third party as replacement Calculation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any adjustment, determination or calculation by Calculation Agent under this Confirmation, the Calculation Agent will promptly, upon written notice from Party B, provide a statement displaying in reasonable detail the basis for such adjustment, determination or calculation, as the case may be (including any quotations, market data or information from internal or external sources used in making such determination, adjustment or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both"/>
              <w:rPr/>
            </w:pPr>
            <w:r>
              <w:rPr>
                <w:b/>
              </w:rPr>
              <w:t>Placement Shares</w:t>
            </w:r>
            <w:r>
              <w:rPr/>
              <w:t>: Following the purchase of the Placement Shares by Party A pursuant to the Securities Purchase Agreement, Party A undertakes to Party B on a continuing basis that, at all times prior to the earlier of the Expiration Date and the date on which the Number of Options has been reduced to zero, the Placement Shares shall be held either: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w:t>
            </w:r>
          </w:p>
        </w:tc>
        <w:tc>
          <w:tcPr>
            <w:tcW w:w="9949" w:type="dxa"/>
            <w:tcBorders/>
            <w:vAlign w:val="center"/>
          </w:tcPr>
          <w:p>
            <w:pPr>
              <w:pStyle w:val="TableContents"/>
              <w:bidi w:val="0"/>
              <w:spacing w:before="0" w:after="283"/>
              <w:jc w:val="both"/>
              <w:rPr/>
            </w:pPr>
            <w:r>
              <w:rPr/>
              <w:t>in the form of Unseasoned Shares (whether as certificated or uncertificated shares) registered in the name of Party A;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both"/>
              <w:rPr/>
            </w:pPr>
            <w:r>
              <w:rPr/>
              <w:t>in the form of Seasoned Shares as securities entitlements credited to a custody account opened in Party A’s name maintained with an internationally recognized custodian (such account, an “</w:t>
            </w:r>
            <w:r>
              <w:rPr>
                <w:b/>
              </w:rPr>
              <w:t>Party A Custody Account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such Shares are delivered to Party B in accordance with Physical Settlement, (B) such Shares have been sold or otherwise transferred or disposed pursuant to a Relevant Transaction or (C) such Shares are sold or disposed pursuant to a Seller Disposal, a Cash Settlement Buyer Disposal or a Close-Out Buyer Disposal (as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283"/>
              <w:jc w:val="both"/>
              <w:rPr/>
            </w:pPr>
            <w:r>
              <w:rPr>
                <w:b/>
              </w:rPr>
              <w:t>Relevant Transactions</w:t>
            </w:r>
            <w:r>
              <w:rPr/>
              <w:t>: Following the purchase of the Placement Shares by Party A pursuant to the Securities Purchase Agreement, Party A undertakes to Party B on a continuing basis that, prior to the earlier of the Expiration Date and the date on which the Number of Options has been reduced to zero: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pPr>
            <w:r>
              <w:rPr/>
              <w:t>if Party A and/or any of its Affiliates gives any firm instruction or enters into any binding agreement for a Relevant Transaction, Party A shall promptly (and in any event within three Transaction Business Day after the date such instruction is given or such agreement is entered into), provide Party B with a written notice signed by an Authorised Signatory of Party A (x) containing a reasonable description of such Relevant Transaction, including (without limitation) the nature of such transaction and (y) certifying the number of Shares (or if such number is not determinable at the time such notice is given, the maximum number of Shares or such other number of Shares as may be agreed between the parties) (the “</w:t>
            </w:r>
            <w:r>
              <w:rPr>
                <w:b/>
              </w:rPr>
              <w:t>Number of Disposed Shares</w:t>
            </w:r>
            <w:r>
              <w:rPr/>
              <w:t>”) that may be sold, transferred or disposed pursuant to or otherwise the subject of such Relevant Transaction (or if such Relevant Transaction is in respect of any Equity Securities other than Shares, the Number of Disposed Shares shall be equal to the corresponding number of Shares into which such Equity Securities may be exchanged or converted);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(ii)</w:t>
            </w:r>
          </w:p>
        </w:tc>
        <w:tc>
          <w:tcPr>
            <w:tcW w:w="9944" w:type="dxa"/>
            <w:tcBorders/>
            <w:vAlign w:val="center"/>
          </w:tcPr>
          <w:p>
            <w:pPr>
              <w:pStyle w:val="TableContents"/>
              <w:bidi w:val="0"/>
              <w:spacing w:before="0" w:after="283"/>
              <w:jc w:val="both"/>
              <w:rPr/>
            </w:pPr>
            <w:r>
              <w:rPr/>
              <w:t>neither Party A nor any of its Affiliates shall give any firm instruction or enter into any binding agreement for a Relevant Transaction that provides for a number of Shares corresponding to the relevant Number of Options to be Exercised or Number of Options to be Early Settled (as applicable) to be sold or settled during any period between the date a Confirmation Notice is given and the corresponding Exercise Date (each such period, a “</w:t>
            </w:r>
            <w:r>
              <w:rPr>
                <w:b/>
              </w:rPr>
              <w:t>Restricted Period</w:t>
            </w:r>
            <w:r>
              <w:rPr/>
              <w:t>”) (or if any Shares are scheduled to be settled within a Restricted Period under any existing Relevant Transaction, Party A and/or its Affiliates shall promptly use commercially reasonable efforts to amend such settlement date to a date falling outside a Restricted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Excepted Transaction</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3"/>
        <w:gridCol w:w="9795"/>
      </w:tblGrid>
      <w:tr>
        <w:trPr/>
        <w:tc>
          <w:tcPr>
            <w:tcW w:w="4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(1)</w:t>
            </w:r>
          </w:p>
        </w:tc>
        <w:tc>
          <w:tcPr>
            <w:tcW w:w="9795" w:type="dxa"/>
            <w:tcBorders/>
            <w:vAlign w:val="center"/>
          </w:tcPr>
          <w:p>
            <w:pPr>
              <w:pStyle w:val="TableContents"/>
              <w:bidi w:val="0"/>
              <w:spacing w:before="0" w:after="283"/>
              <w:jc w:val="both"/>
              <w:rPr/>
            </w:pPr>
            <w:r>
              <w:rPr/>
              <w:t>any delivery of Shares to Party B Receiving Party pursuant to Physical Settlement;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both"/>
              <w:rPr/>
            </w:pPr>
            <w:r>
              <w:rPr/>
              <w:t>any trading on behalf or for the account of a client of Party A and/or its Affiliates not involving the transfer of any legal, beneficial, economic and/or any other form of interest or exposure in or to the Placement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(3)</w:t>
            </w:r>
          </w:p>
        </w:tc>
        <w:tc>
          <w:tcPr>
            <w:tcW w:w="9923" w:type="dxa"/>
            <w:tcBorders/>
            <w:vAlign w:val="center"/>
          </w:tcPr>
          <w:p>
            <w:pPr>
              <w:pStyle w:val="TableContents"/>
              <w:bidi w:val="0"/>
              <w:spacing w:before="0" w:after="283"/>
              <w:jc w:val="both"/>
              <w:rPr/>
            </w:pPr>
            <w:r>
              <w:rPr/>
              <w:t>any market-making, hedging or any other activities carried out in the ordinary course of business not involving the transfer of any legal, beneficial, economic and/or any other form of interest or exposure in or to the Placement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120"/>
        <w:gridCol w:w="8939"/>
      </w:tblGrid>
      <w:tr>
        <w:trPr/>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pPr>
            <w:r>
              <w:rPr/>
              <w:t>(4)</w:t>
            </w:r>
          </w:p>
        </w:tc>
        <w:tc>
          <w:tcPr>
            <w:tcW w:w="8939" w:type="dxa"/>
            <w:tcBorders/>
            <w:vAlign w:val="center"/>
          </w:tcPr>
          <w:p>
            <w:pPr>
              <w:pStyle w:val="TableContents"/>
              <w:bidi w:val="0"/>
              <w:spacing w:before="0" w:after="283"/>
              <w:jc w:val="both"/>
              <w:rPr/>
            </w:pPr>
            <w:r>
              <w:rPr/>
              <w:t>any intra-group transfer;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(5)</w:t>
            </w:r>
          </w:p>
        </w:tc>
        <w:tc>
          <w:tcPr>
            <w:tcW w:w="9925" w:type="dxa"/>
            <w:tcBorders/>
            <w:vAlign w:val="center"/>
          </w:tcPr>
          <w:p>
            <w:pPr>
              <w:pStyle w:val="TableContents"/>
              <w:bidi w:val="0"/>
              <w:spacing w:before="0" w:after="283"/>
              <w:jc w:val="both"/>
              <w:rPr/>
            </w:pPr>
            <w:r>
              <w:rPr/>
              <w:t>any action in respect of the exercise of any rights under pre-existing transactions entered into prior to the Trade Date not involving the transfer of any legal, beneficial, economic and/or any other form of interest or exposure in or to the Placement Shares;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(6)</w:t>
            </w:r>
          </w:p>
        </w:tc>
        <w:tc>
          <w:tcPr>
            <w:tcW w:w="9913" w:type="dxa"/>
            <w:tcBorders/>
            <w:vAlign w:val="center"/>
          </w:tcPr>
          <w:p>
            <w:pPr>
              <w:pStyle w:val="TableContents"/>
              <w:bidi w:val="0"/>
              <w:spacing w:before="0" w:after="283"/>
              <w:jc w:val="both"/>
              <w:rPr/>
            </w:pPr>
            <w:r>
              <w:rPr/>
              <w:t>any other activity not involving the Placement Shares that would have been undertaken by Party A and/or its Affiliates in the absence of the Share Subscription or the Transaction;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(7)</w:t>
            </w:r>
          </w:p>
        </w:tc>
        <w:tc>
          <w:tcPr>
            <w:tcW w:w="9941" w:type="dxa"/>
            <w:tcBorders/>
            <w:vAlign w:val="center"/>
          </w:tcPr>
          <w:p>
            <w:pPr>
              <w:pStyle w:val="TableContents"/>
              <w:bidi w:val="0"/>
              <w:spacing w:before="0" w:after="283"/>
              <w:jc w:val="both"/>
              <w:rPr/>
            </w:pPr>
            <w:r>
              <w:rPr/>
              <w:t xml:space="preserve">any Permitted Security </w:t>
            </w:r>
            <w:r>
              <w:rPr>
                <w:i/>
              </w:rPr>
              <w:t>provided that</w:t>
            </w:r>
            <w:r>
              <w:rPr/>
              <w:t xml:space="preserve"> if, at any time for any reason, a Permitted Security becomes enforceable entitling the holder of the Permitted Security to sell, dispose, appropriate and/or retain any rights to the Placement Shares subject to such Permitted Security, then such Permitted Security shall cease to constitute an Excepted Transaction, and a Relevant Transaction shall be deemed to have been entered into at that time with the Number of Disposed Shares being equal to such number of the Placement Shares subject to such Permitted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Security</w:t>
      </w:r>
      <w:r>
        <w:rPr>
          <w:rFonts w:ascii="Times New Roman;Times;Serif" w:hAnsi="Times New Roman;Times;Serif"/>
          <w:b w:val="false"/>
          <w:i w:val="false"/>
          <w:caps w:val="false"/>
          <w:smallCaps w:val="false"/>
          <w:sz w:val="20"/>
        </w:rPr>
        <w:t>” means (i) any mortgage, charge, pledge, lien or other security interest granted by Party A over the Placement Shares (but not for the avoidance of doubt any security interest which grants the holder of such security interest a right to rehypothecate, borrow, use or otherwise freely deal with all or any of such Placement Shares prior to such security interest becoming enforceable) and (ii) any triparty collateral management arrangement pursuant to which Party A, as collateral provider, transfers the Placement Shares as collateral to a third party custodian, for the purposes of collateralising exposures between Party A and a third party, provided that neither the custodian nor the third party will have any right to rehypothecate, borrow, use or otherwise freely deal with all or any of such Placement Shares prior to an enforcement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Transaction</w:t>
      </w:r>
      <w:r>
        <w:rPr>
          <w:rFonts w:ascii="Times New Roman;Times;Serif" w:hAnsi="Times New Roman;Times;Serif"/>
          <w:b w:val="false"/>
          <w:i w:val="false"/>
          <w:caps w:val="false"/>
          <w:smallCaps w:val="false"/>
          <w:sz w:val="20"/>
        </w:rPr>
        <w:t xml:space="preserve">” means any instruction or agreement by Party A and/or its Affiliates to (x) offer, pledge, sell, contract to sell, sell any call option or other right or warrant to purchase, purchase any put option, lend, or otherwise transfer or dispose of, directly or indirectly, any Equity Securities, or (y) enter into any swap or other arrangement that transfers to another, in whole or in part, any of the economic consequences of ownership of any Equity Securities, whether any such transaction is to be settled by delivery of Equity Securities or other securities, in cash or otherwise </w:t>
      </w:r>
      <w:r>
        <w:rPr>
          <w:rFonts w:ascii="Times New Roman;Times;Serif" w:hAnsi="Times New Roman;Times;Serif"/>
          <w:b w:val="false"/>
          <w:i/>
          <w:caps w:val="false"/>
          <w:smallCaps w:val="false"/>
          <w:sz w:val="20"/>
        </w:rPr>
        <w:t>unless</w:t>
      </w:r>
      <w:r>
        <w:rPr>
          <w:rFonts w:ascii="Times New Roman;Times;Serif" w:hAnsi="Times New Roman;Times;Serif"/>
          <w:b w:val="false"/>
          <w:i w:val="false"/>
          <w:caps w:val="false"/>
          <w:smallCaps w:val="false"/>
          <w:sz w:val="20"/>
        </w:rPr>
        <w:t xml:space="preserve"> such transaction is an Excepted Transaction.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both"/>
              <w:rPr/>
            </w:pPr>
            <w:r>
              <w:rPr>
                <w:b/>
              </w:rPr>
              <w:t>Party A Representations</w:t>
            </w:r>
            <w:r>
              <w:rPr/>
              <w:t>: Party A makes the representations and warranties set out below (which constitute "Additional Representations" for the purposes of Section 3 of the Agreement) to Party B as of the Trade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Party A has such knowledge and experience in financial and business matters as to be capable of evaluating the merits, risks and suitability of the Transaction, and is consummating the Transaction with a full understanding of all of the terms, conditions and risks and willingly assumes those terms, conditions and risks;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(ii)</w:t>
            </w:r>
          </w:p>
        </w:tc>
        <w:tc>
          <w:tcPr>
            <w:tcW w:w="9934" w:type="dxa"/>
            <w:tcBorders/>
            <w:vAlign w:val="center"/>
          </w:tcPr>
          <w:p>
            <w:pPr>
              <w:pStyle w:val="TableContents"/>
              <w:bidi w:val="0"/>
              <w:spacing w:before="0" w:after="283"/>
              <w:jc w:val="both"/>
              <w:rPr/>
            </w:pPr>
            <w:r>
              <w:rPr/>
              <w:t>Party A has evaluated the merits and risks of the Transaction based exclusively on its own independent review and consultations with such investment, legal, tax, accounting and other advisers as it deemed necessary. Party A has made its own decision concerning the Transaction without reliance on any representation or warranty of, or advice from, Party 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(iii)</w:t>
            </w:r>
          </w:p>
        </w:tc>
        <w:tc>
          <w:tcPr>
            <w:tcW w:w="9883" w:type="dxa"/>
            <w:tcBorders/>
            <w:vAlign w:val="center"/>
          </w:tcPr>
          <w:p>
            <w:pPr>
              <w:pStyle w:val="TableContents"/>
              <w:bidi w:val="0"/>
              <w:spacing w:before="0" w:after="283"/>
              <w:jc w:val="both"/>
              <w:rPr/>
            </w:pPr>
            <w:r>
              <w:rPr/>
              <w:t>except for the Initial Information Pack, none of Party B, its Affiliates, or its or its Affiliates’ directors, employees or agents (i) has been requested to or has provided Party A with any information or advice with respect to the Shares, the Underlying Shares and/or the Underlying Shares Issuer nor is such information or advice necessary or desired, or (ii) has made or makes any representation as to the Shares, the Underlying Shares and/or the Underlying Shares Issuer (and for this purpose, “</w:t>
            </w:r>
            <w:r>
              <w:rPr>
                <w:b/>
              </w:rPr>
              <w:t>Initial Information Pack</w:t>
            </w:r>
            <w:r>
              <w:rPr/>
              <w:t>” shall mean the document(s) prepared by the Underlying Shares Issuer in relation to the Share Subscription and distributed to Party A prior to the Trade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(iv)</w:t>
            </w:r>
          </w:p>
        </w:tc>
        <w:tc>
          <w:tcPr>
            <w:tcW w:w="9888" w:type="dxa"/>
            <w:tcBorders/>
            <w:vAlign w:val="center"/>
          </w:tcPr>
          <w:p>
            <w:pPr>
              <w:pStyle w:val="TableContents"/>
              <w:bidi w:val="0"/>
              <w:spacing w:before="0" w:after="283"/>
              <w:jc w:val="both"/>
              <w:rPr/>
            </w:pPr>
            <w:r>
              <w:rPr/>
              <w:t>Party A acknowledges and understands that Party B and its Affiliates possess material non-public information regarding the Shares, the Underlying Shares and/or the Underlying Shares Issuer not known to Party A that may impact the value of the Shares and/or the Underlying Shares, including, without limitation, (x) information received by principals and employees of Party B in their capacities as directors, officers, significant shareholders and/or affiliates of the Underlying Shares Issuer, (y) information otherwise received from the Underlying Shares Issuer on a confidential basis, and (z) information received on a privileged basis from the attorneys and financial advisers representing the Underlying Shares Issuer and its board of directors (collectively, the “</w:t>
            </w:r>
            <w:r>
              <w:rPr>
                <w:b/>
              </w:rPr>
              <w:t>Information</w:t>
            </w:r>
            <w:r>
              <w:rPr/>
              <w:t>”), and that Party B is not disclosing the Information to Party A (unless to the extent disclosed in the Initial Information Pack), Party A understands, based on its experience, the disadvantage to which Party A is subject due to the disparity of information between Party B and Party A. Notwithstanding such disparity, Party A has deemed it appropriate to enter into this Confirmation and to consummate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(h)</w:t>
            </w:r>
          </w:p>
        </w:tc>
        <w:tc>
          <w:tcPr>
            <w:tcW w:w="9916" w:type="dxa"/>
            <w:tcBorders/>
            <w:vAlign w:val="center"/>
          </w:tcPr>
          <w:p>
            <w:pPr>
              <w:pStyle w:val="TableContents"/>
              <w:bidi w:val="0"/>
              <w:spacing w:before="0" w:after="283"/>
              <w:jc w:val="both"/>
              <w:rPr/>
            </w:pPr>
            <w:r>
              <w:rPr>
                <w:b/>
              </w:rPr>
              <w:t>Party B Undertakings</w:t>
            </w:r>
            <w:r>
              <w:rPr/>
              <w:t>: Party B undertakes to Party A on a continuing basis that prior to the earlier of the Expiration Date and the date on which the Number of Options has been reduced to zero: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9" w:type="dxa"/>
            <w:tcBorders/>
            <w:vAlign w:val="center"/>
          </w:tcPr>
          <w:p>
            <w:pPr>
              <w:pStyle w:val="TableContents"/>
              <w:bidi w:val="0"/>
              <w:spacing w:before="0" w:after="283"/>
              <w:jc w:val="both"/>
              <w:rPr/>
            </w:pPr>
            <w:r>
              <w:rPr/>
              <w:t>the sum of the Transaction Value of the Transaction and any other Equivalent Transaction shall not exceed US$[  ] (or its equivalent in in any other currency or currencies) (and for this purpose, the “</w:t>
            </w:r>
            <w:r>
              <w:rPr>
                <w:b/>
              </w:rPr>
              <w:t>Transaction Value</w:t>
            </w:r>
            <w:r>
              <w:rPr/>
              <w:t>” of the Transaction or any other Equivalent Transactions shall be equal to the product of (x) the applicable Number of Options (or equivalent) as on the trade date for that transaction and (y) the applicable Initial Issue Price (or equivalent) for that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2589"/>
        <w:gridCol w:w="7277"/>
      </w:tblGrid>
      <w:tr>
        <w:trPr/>
        <w:tc>
          <w:tcPr>
            <w:tcW w:w="33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pPr>
            <w:r>
              <w:rPr/>
              <w:t>(ii)</w:t>
            </w:r>
          </w:p>
        </w:tc>
        <w:tc>
          <w:tcPr>
            <w:tcW w:w="7277" w:type="dxa"/>
            <w:tcBorders/>
            <w:vAlign w:val="center"/>
          </w:tcPr>
          <w:p>
            <w:pPr>
              <w:pStyle w:val="TableContents"/>
              <w:bidi w:val="0"/>
              <w:spacing w:before="0" w:after="283"/>
              <w:jc w:val="both"/>
              <w:rPr/>
            </w:pPr>
            <w:r>
              <w:rPr/>
              <w:t>Party 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(A)</w:t>
            </w:r>
          </w:p>
        </w:tc>
        <w:tc>
          <w:tcPr>
            <w:tcW w:w="9871" w:type="dxa"/>
            <w:tcBorders/>
            <w:vAlign w:val="center"/>
          </w:tcPr>
          <w:p>
            <w:pPr>
              <w:pStyle w:val="TableContents"/>
              <w:bidi w:val="0"/>
              <w:spacing w:before="0" w:after="283"/>
              <w:jc w:val="both"/>
              <w:rPr/>
            </w:pPr>
            <w:r>
              <w:rPr/>
              <w:t>shall not create or agree to create or permit to subsist any security or quasi-security on or over the whole or any part of its legal and/or beneficial interest in any shares in Geely Sweden Automotive Investment B.V., a company incorporated under the laws of the Netherlands (“</w:t>
            </w:r>
            <w:r>
              <w:rPr>
                <w:b/>
              </w:rPr>
              <w:t>GSAIBV</w:t>
            </w:r>
            <w:r>
              <w:rPr/>
              <w:t>”), owned by Party B;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283"/>
              <w:jc w:val="both"/>
              <w:rPr/>
            </w:pPr>
            <w:r>
              <w:rPr/>
              <w:t>shall procure that GSAIBV shall not create or agree to create or permit to subsist any security or quasi-security on or over the whole or any part of its legal and/or beneficial interest in any Shares owned by GSAIBV;</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67"/>
        <w:gridCol w:w="9577"/>
      </w:tblGrid>
      <w:tr>
        <w:trPr/>
        <w:tc>
          <w:tcPr>
            <w:tcW w:w="6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pPr>
            <w:r>
              <w:rPr/>
              <w:t>(iii)</w:t>
            </w:r>
          </w:p>
        </w:tc>
        <w:tc>
          <w:tcPr>
            <w:tcW w:w="9577" w:type="dxa"/>
            <w:tcBorders/>
            <w:vAlign w:val="center"/>
          </w:tcPr>
          <w:p>
            <w:pPr>
              <w:pStyle w:val="TableContents"/>
              <w:bidi w:val="0"/>
              <w:spacing w:before="0" w:after="283"/>
              <w:jc w:val="both"/>
              <w:rPr/>
            </w:pPr>
            <w:r>
              <w:rPr/>
              <w:t>Party B shall not enter into any Equivalent Transaction unless: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(A)</w:t>
            </w:r>
          </w:p>
        </w:tc>
        <w:tc>
          <w:tcPr>
            <w:tcW w:w="9866" w:type="dxa"/>
            <w:tcBorders/>
            <w:vAlign w:val="center"/>
          </w:tcPr>
          <w:p>
            <w:pPr>
              <w:pStyle w:val="TableContents"/>
              <w:bidi w:val="0"/>
              <w:spacing w:before="0" w:after="283"/>
              <w:jc w:val="both"/>
              <w:rPr/>
            </w:pPr>
            <w:r>
              <w:rPr/>
              <w:t>the only parties that have agreed to provide a guarantee, indemnity or similar assurance against loss for or in respect of the obligations of Party B under such Equivalent Transaction (each, an “</w:t>
            </w:r>
            <w:r>
              <w:rPr>
                <w:b/>
              </w:rPr>
              <w:t>Equivalent Credit Support</w:t>
            </w:r>
            <w:r>
              <w:rPr/>
              <w:t>”) are the Guarantor and the Keepwell Provider;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(B)</w:t>
            </w:r>
          </w:p>
        </w:tc>
        <w:tc>
          <w:tcPr>
            <w:tcW w:w="9854" w:type="dxa"/>
            <w:tcBorders/>
            <w:vAlign w:val="center"/>
          </w:tcPr>
          <w:p>
            <w:pPr>
              <w:pStyle w:val="TableContents"/>
              <w:bidi w:val="0"/>
              <w:spacing w:before="0" w:after="283"/>
              <w:jc w:val="both"/>
              <w:rPr/>
            </w:pPr>
            <w:r>
              <w:rPr/>
              <w:t xml:space="preserve">Party B’s payment obligations under the Transaction shall rank </w:t>
            </w:r>
            <w:r>
              <w:rPr>
                <w:i/>
              </w:rPr>
              <w:t>pari passu</w:t>
            </w:r>
            <w:r>
              <w:rPr/>
              <w:t xml:space="preserve"> with its payment obligations under such Equivalent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4"/>
        <w:gridCol w:w="9864"/>
      </w:tblGrid>
      <w:tr>
        <w:trPr/>
        <w:tc>
          <w:tcPr>
            <w:tcW w:w="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(C)</w:t>
            </w:r>
          </w:p>
        </w:tc>
        <w:tc>
          <w:tcPr>
            <w:tcW w:w="9864" w:type="dxa"/>
            <w:tcBorders/>
            <w:vAlign w:val="center"/>
          </w:tcPr>
          <w:p>
            <w:pPr>
              <w:pStyle w:val="TableContents"/>
              <w:bidi w:val="0"/>
              <w:spacing w:before="0" w:after="283"/>
              <w:jc w:val="both"/>
              <w:rPr/>
            </w:pPr>
            <w:r>
              <w:rPr/>
              <w:t xml:space="preserve">the Guarantor’s payment obligations under the Guarantee shall rank </w:t>
            </w:r>
            <w:r>
              <w:rPr>
                <w:i/>
              </w:rPr>
              <w:t xml:space="preserve">pari passu </w:t>
            </w:r>
            <w:r>
              <w:rPr/>
              <w:t>with its payment obligations under each Equivalent Credit Support to which it is a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(D)</w:t>
            </w:r>
          </w:p>
        </w:tc>
        <w:tc>
          <w:tcPr>
            <w:tcW w:w="9851" w:type="dxa"/>
            <w:tcBorders/>
            <w:vAlign w:val="center"/>
          </w:tcPr>
          <w:p>
            <w:pPr>
              <w:pStyle w:val="TableContents"/>
              <w:bidi w:val="0"/>
              <w:spacing w:before="0" w:after="283"/>
              <w:jc w:val="both"/>
              <w:rPr/>
            </w:pPr>
            <w:r>
              <w:rPr/>
              <w:t>(if such Equivalent Transaction is entered into on or after the Trade Date) the expiration date for such Equivalent Transaction shall fall no earlier than the Initial Expiration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(E)</w:t>
            </w:r>
          </w:p>
        </w:tc>
        <w:tc>
          <w:tcPr>
            <w:tcW w:w="9894" w:type="dxa"/>
            <w:tcBorders/>
            <w:vAlign w:val="center"/>
          </w:tcPr>
          <w:p>
            <w:pPr>
              <w:pStyle w:val="TableContents"/>
              <w:bidi w:val="0"/>
              <w:spacing w:before="0" w:after="283"/>
              <w:jc w:val="both"/>
              <w:rPr/>
            </w:pPr>
            <w:r>
              <w:rPr/>
              <w:t>(if such Equivalent Transaction is entered into with a commercial bank) the “Accrual Rate” or equivalent rate for such commercial bank under such Equivalent Transaction shall be no higher than the Accrual Rate for Party A under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77"/>
        <w:gridCol w:w="9781"/>
      </w:tblGrid>
      <w:tr>
        <w:trPr/>
        <w:tc>
          <w:tcPr>
            <w:tcW w:w="4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(F)</w:t>
            </w:r>
          </w:p>
        </w:tc>
        <w:tc>
          <w:tcPr>
            <w:tcW w:w="9781" w:type="dxa"/>
            <w:tcBorders/>
            <w:vAlign w:val="center"/>
          </w:tcPr>
          <w:p>
            <w:pPr>
              <w:pStyle w:val="TableContents"/>
              <w:bidi w:val="0"/>
              <w:spacing w:before="0" w:after="283"/>
              <w:jc w:val="both"/>
              <w:rPr/>
            </w:pPr>
            <w:r>
              <w:rPr/>
              <w:t>the initial issue price for such Equivalent Transaction is not lower than USD[ ];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(G)</w:t>
            </w:r>
          </w:p>
        </w:tc>
        <w:tc>
          <w:tcPr>
            <w:tcW w:w="9883" w:type="dxa"/>
            <w:tcBorders/>
            <w:vAlign w:val="center"/>
          </w:tcPr>
          <w:p>
            <w:pPr>
              <w:pStyle w:val="TableContents"/>
              <w:bidi w:val="0"/>
              <w:spacing w:before="0" w:after="283"/>
              <w:jc w:val="both"/>
              <w:rPr/>
            </w:pPr>
            <w:r>
              <w:rPr/>
              <w:t>there are no other event or circumstance (besides the Events of Default, the Termination Events, the Extraordinary Events and the Early Exercise Events applicable to the Transaction) which would constitute an equivalent event of default, termination event, extraordinary event or early exercise event (as the case may be) under such Equivalent Transaction (or if any such additional event or circumstance is agreed to be applicable under an Equivalent Transaction, Party B shall promptly notify Party A on or prior to the trade date of such Equivalent Transaction, following which such additional event or circumstance shall automatically also become applicable to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66" w:type="dxa"/>
            <w:tcBorders/>
            <w:vAlign w:val="center"/>
          </w:tcPr>
          <w:p>
            <w:pPr>
              <w:pStyle w:val="TableContents"/>
              <w:bidi w:val="0"/>
              <w:spacing w:before="0" w:after="283"/>
              <w:jc w:val="both"/>
              <w:rPr/>
            </w:pPr>
            <w:r>
              <w:rPr>
                <w:b/>
              </w:rPr>
              <w:t>Confidentiality</w:t>
            </w:r>
            <w:r>
              <w:rPr/>
              <w:t>: Each party agrees to keep the Accrual Rate confidential, and not to disclose it to anyone, save that a party may disclose the Accrual Rate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407"/>
        <w:gridCol w:w="8566"/>
      </w:tblGrid>
      <w:tr>
        <w:trPr/>
        <w:tc>
          <w:tcPr>
            <w:tcW w:w="23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pPr>
            <w:r>
              <w:rPr/>
              <w:t>(i)</w:t>
            </w:r>
          </w:p>
        </w:tc>
        <w:tc>
          <w:tcPr>
            <w:tcW w:w="8566" w:type="dxa"/>
            <w:tcBorders/>
            <w:vAlign w:val="center"/>
          </w:tcPr>
          <w:p>
            <w:pPr>
              <w:pStyle w:val="TableContents"/>
              <w:bidi w:val="0"/>
              <w:spacing w:before="0" w:after="283"/>
              <w:jc w:val="both"/>
              <w:rPr/>
            </w:pPr>
            <w:r>
              <w:rPr/>
              <w:t>the Guarantor;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160"/>
        <w:gridCol w:w="8894"/>
      </w:tblGrid>
      <w:tr>
        <w:trPr/>
        <w:tc>
          <w:tcPr>
            <w:tcW w:w="15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(ii)</w:t>
            </w:r>
          </w:p>
        </w:tc>
        <w:tc>
          <w:tcPr>
            <w:tcW w:w="8894" w:type="dxa"/>
            <w:tcBorders/>
            <w:vAlign w:val="center"/>
          </w:tcPr>
          <w:p>
            <w:pPr>
              <w:pStyle w:val="TableContents"/>
              <w:bidi w:val="0"/>
              <w:spacing w:before="0" w:after="283"/>
              <w:jc w:val="both"/>
              <w:rPr/>
            </w:pPr>
            <w:r>
              <w:rPr/>
              <w:t>the Keepwell Provider;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1112"/>
        <w:gridCol w:w="8973"/>
      </w:tblGrid>
      <w:tr>
        <w:trPr/>
        <w:tc>
          <w:tcPr>
            <w:tcW w:w="12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(iii)</w:t>
            </w:r>
          </w:p>
        </w:tc>
        <w:tc>
          <w:tcPr>
            <w:tcW w:w="8973" w:type="dxa"/>
            <w:tcBorders/>
            <w:vAlign w:val="center"/>
          </w:tcPr>
          <w:p>
            <w:pPr>
              <w:pStyle w:val="TableContents"/>
              <w:bidi w:val="0"/>
              <w:spacing w:before="0" w:after="283"/>
              <w:jc w:val="both"/>
              <w:rPr/>
            </w:pPr>
            <w:r>
              <w:rPr/>
              <w:t>the Underlying Shares Issuer;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3828"/>
        <w:gridCol w:w="5962"/>
      </w:tblGrid>
      <w:tr>
        <w:trPr/>
        <w:tc>
          <w:tcPr>
            <w:tcW w:w="415"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pPr>
            <w:r>
              <w:rPr/>
              <w:t>(iv)</w:t>
            </w:r>
          </w:p>
        </w:tc>
        <w:tc>
          <w:tcPr>
            <w:tcW w:w="5962" w:type="dxa"/>
            <w:tcBorders/>
            <w:vAlign w:val="center"/>
          </w:tcPr>
          <w:p>
            <w:pPr>
              <w:pStyle w:val="TableContents"/>
              <w:bidi w:val="0"/>
              <w:spacing w:before="0" w:after="283"/>
              <w:jc w:val="both"/>
              <w:rPr/>
            </w:pPr>
            <w:r>
              <w:rPr/>
              <w:t>PSD;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331"/>
        <w:gridCol w:w="8700"/>
      </w:tblGrid>
      <w:tr>
        <w:trPr/>
        <w:tc>
          <w:tcPr>
            <w:tcW w:w="17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pPr>
            <w:r>
              <w:rPr/>
              <w:t>(v)</w:t>
            </w:r>
          </w:p>
        </w:tc>
        <w:tc>
          <w:tcPr>
            <w:tcW w:w="8700" w:type="dxa"/>
            <w:tcBorders/>
            <w:vAlign w:val="center"/>
          </w:tcPr>
          <w:p>
            <w:pPr>
              <w:pStyle w:val="TableContents"/>
              <w:bidi w:val="0"/>
              <w:spacing w:before="0" w:after="283"/>
              <w:jc w:val="both"/>
              <w:rPr/>
            </w:pPr>
            <w:r>
              <w:rPr/>
              <w:t>any of its Affiliates;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(vi)</w:t>
            </w:r>
          </w:p>
        </w:tc>
        <w:tc>
          <w:tcPr>
            <w:tcW w:w="9846" w:type="dxa"/>
            <w:tcBorders/>
            <w:vAlign w:val="center"/>
          </w:tcPr>
          <w:p>
            <w:pPr>
              <w:pStyle w:val="TableContents"/>
              <w:bidi w:val="0"/>
              <w:spacing w:before="0" w:after="283"/>
              <w:jc w:val="both"/>
              <w:rPr/>
            </w:pPr>
            <w:r>
              <w:rPr/>
              <w:t>any of the officers, directors, employees, professional advisers, auditors, partners and representatives of the persons referred to in paragraphs (i) to (v)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2"/>
        <w:gridCol w:w="9796"/>
      </w:tblGrid>
      <w:tr>
        <w:trPr/>
        <w:tc>
          <w:tcPr>
            <w:tcW w:w="3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(vii)</w:t>
            </w:r>
          </w:p>
        </w:tc>
        <w:tc>
          <w:tcPr>
            <w:tcW w:w="9796" w:type="dxa"/>
            <w:tcBorders/>
            <w:vAlign w:val="center"/>
          </w:tcPr>
          <w:p>
            <w:pPr>
              <w:pStyle w:val="TableContents"/>
              <w:bidi w:val="0"/>
              <w:spacing w:before="0" w:after="283"/>
              <w:jc w:val="both"/>
              <w:rPr/>
            </w:pPr>
            <w:r>
              <w:rPr/>
              <w:t>any person to whom information is required or requested to be disclosed by any court of competent jurisdiction or any Governmental Authority or pursuant to any applicable law or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31"/>
        <w:gridCol w:w="9737"/>
      </w:tblGrid>
      <w:tr>
        <w:trPr/>
        <w:tc>
          <w:tcPr>
            <w:tcW w:w="3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pPr>
            <w:r>
              <w:rPr/>
              <w:t>(viii)</w:t>
            </w:r>
          </w:p>
        </w:tc>
        <w:tc>
          <w:tcPr>
            <w:tcW w:w="9737" w:type="dxa"/>
            <w:tcBorders/>
            <w:vAlign w:val="center"/>
          </w:tcPr>
          <w:p>
            <w:pPr>
              <w:pStyle w:val="TableContents"/>
              <w:bidi w:val="0"/>
              <w:spacing w:before="0" w:after="283"/>
              <w:jc w:val="both"/>
              <w:rPr/>
            </w:pPr>
            <w:r>
              <w:rPr/>
              <w:t>any person to whom information is required to be disclosed in connection with, and for the purposes of, any litigation, arbitration, administrative or other investigations, proceedings or disputes;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744"/>
        <w:gridCol w:w="9381"/>
      </w:tblGrid>
      <w:tr>
        <w:trPr/>
        <w:tc>
          <w:tcPr>
            <w:tcW w:w="8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pPr>
            <w:r>
              <w:rPr/>
              <w:t>(ix)</w:t>
            </w:r>
          </w:p>
        </w:tc>
        <w:tc>
          <w:tcPr>
            <w:tcW w:w="9381" w:type="dxa"/>
            <w:tcBorders/>
            <w:vAlign w:val="center"/>
          </w:tcPr>
          <w:p>
            <w:pPr>
              <w:pStyle w:val="TableContents"/>
              <w:bidi w:val="0"/>
              <w:spacing w:before="0" w:after="283"/>
              <w:jc w:val="both"/>
              <w:rPr/>
            </w:pPr>
            <w:r>
              <w:rPr/>
              <w:t>any person with the consent of the other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903"/>
        <w:gridCol w:w="9153"/>
      </w:tblGrid>
      <w:tr>
        <w:trPr/>
        <w:tc>
          <w:tcPr>
            <w:tcW w:w="14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pPr>
            <w:r>
              <w:rPr/>
              <w:t>(j)</w:t>
            </w:r>
          </w:p>
        </w:tc>
        <w:tc>
          <w:tcPr>
            <w:tcW w:w="9153" w:type="dxa"/>
            <w:tcBorders/>
            <w:vAlign w:val="center"/>
          </w:tcPr>
          <w:p>
            <w:pPr>
              <w:pStyle w:val="TableContents"/>
              <w:bidi w:val="0"/>
              <w:spacing w:before="0" w:after="283"/>
              <w:jc w:val="both"/>
              <w:rPr/>
            </w:pPr>
            <w:r>
              <w:rPr>
                <w:b/>
              </w:rPr>
              <w:t>Transaction Expenses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t xml:space="preserve">Party B shall promptly on demand pay Party A the amount of all legal fees and other reasonable out-of-pocket expenses incurred by Party A in connection with the negotiation, preparation, due diligence, documentation, printing and execution of the Transaction Documents </w:t>
            </w:r>
            <w:r>
              <w:rPr>
                <w:i/>
              </w:rPr>
              <w:t>provided that</w:t>
            </w:r>
            <w:r>
              <w:rPr/>
              <w:t xml:space="preserve"> such legal fees and other costs and expenses are subject to such cap as separately agreed between the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t>Following the occurrence of an Early Exercise Event, Party B shall promptly on demand pay Party A the amount of all Taxes (other than any tax imposed or calculated by reference to profit or income), Stamp Taxes, fees, duties, charges and other reasonable out-of-pocket costs and expenses, incurred by Party A and/or its Affiliates by reason of the enforcement and protection of its rights under the Transaction Documents, unless they are required to be accounted for in the calculation of any amount due from other party to another party under this Confirmation (including in the calculation of the Seller Net Disposal Proceeds, the Cash Settlement Buyer Net Disposal Proceeds or the Close-Out Buyer Net Disposal Proceeds (as applicable)) and/or otherwise have been paid or recovered from Party B, the Guarantor or the Keepwell Provider.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(iii)</w:t>
            </w:r>
          </w:p>
        </w:tc>
        <w:tc>
          <w:tcPr>
            <w:tcW w:w="9878" w:type="dxa"/>
            <w:tcBorders/>
            <w:vAlign w:val="center"/>
          </w:tcPr>
          <w:p>
            <w:pPr>
              <w:pStyle w:val="TableContents"/>
              <w:bidi w:val="0"/>
              <w:spacing w:before="0" w:after="283"/>
              <w:jc w:val="both"/>
              <w:rPr/>
            </w:pPr>
            <w:r>
              <w:rPr/>
              <w:t>For the avoidance of doubt, Party B shall not be liable for any cost, loss or expenses incurred by Party A and/or any of its Affiliates in connection with its maintaining, establishing, re-establishing, unwinding or terminating any hedge position in connection with the transactions contemplated by Transaction Documents and the Share Subscription (other than any IR Unwind Losses that may be included in the calculation of the Settlement Amount).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827"/>
        <w:gridCol w:w="9280"/>
      </w:tblGrid>
      <w:tr>
        <w:trPr/>
        <w:tc>
          <w:tcPr>
            <w:tcW w:w="9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b/>
              </w:rPr>
            </w:pPr>
            <w:r>
              <w:rPr>
                <w:b/>
              </w:rPr>
              <w:t>10.</w:t>
            </w:r>
          </w:p>
        </w:tc>
        <w:tc>
          <w:tcPr>
            <w:tcW w:w="9280" w:type="dxa"/>
            <w:tcBorders/>
            <w:vAlign w:val="center"/>
          </w:tcPr>
          <w:p>
            <w:pPr>
              <w:pStyle w:val="TableContents"/>
              <w:bidi w:val="0"/>
              <w:spacing w:before="0" w:after="283"/>
              <w:jc w:val="left"/>
              <w:rPr>
                <w:b/>
              </w:rPr>
            </w:pPr>
            <w:r>
              <w:rPr>
                <w:b/>
              </w:rPr>
              <w:t>PARTY B REPRESENTATIONS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makes the representations and warranties set out below (which constitute "Additional Representations" for the purposes of Section 3 of the Agreement) to Party 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76"/>
        <w:gridCol w:w="8988"/>
      </w:tblGrid>
      <w:tr>
        <w:trPr/>
        <w:tc>
          <w:tcPr>
            <w:tcW w:w="14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pPr>
            <w:r>
              <w:rPr/>
              <w:t>(x)</w:t>
            </w:r>
          </w:p>
        </w:tc>
        <w:tc>
          <w:tcPr>
            <w:tcW w:w="8988" w:type="dxa"/>
            <w:tcBorders/>
            <w:vAlign w:val="center"/>
          </w:tcPr>
          <w:p>
            <w:pPr>
              <w:pStyle w:val="TableContents"/>
              <w:bidi w:val="0"/>
              <w:spacing w:before="0" w:after="283"/>
              <w:jc w:val="both"/>
              <w:rPr/>
            </w:pPr>
            <w:r>
              <w:rPr/>
              <w:t>as of the Trade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(y)</w:t>
            </w:r>
          </w:p>
        </w:tc>
        <w:tc>
          <w:tcPr>
            <w:tcW w:w="9929" w:type="dxa"/>
            <w:tcBorders/>
            <w:vAlign w:val="center"/>
          </w:tcPr>
          <w:p>
            <w:pPr>
              <w:pStyle w:val="TableContents"/>
              <w:bidi w:val="0"/>
              <w:spacing w:before="0" w:after="283"/>
              <w:jc w:val="both"/>
              <w:rPr/>
            </w:pPr>
            <w:r>
              <w:rPr/>
              <w:t>(other than the representation set out in paragraph (k) (</w:t>
            </w:r>
            <w:r>
              <w:rPr>
                <w:i/>
              </w:rPr>
              <w:t>No intention to cause delisting</w:t>
            </w:r>
            <w:r>
              <w:rPr/>
              <w:t>)) on each day on which the parties agree to amend any term of the Transaction and on each day on which it exercises any right or discretion or makes any election or determination under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by reference to the facts and circumstances then existing.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638"/>
        <w:gridCol w:w="8341"/>
      </w:tblGrid>
      <w:tr>
        <w:trPr/>
        <w:tc>
          <w:tcPr>
            <w:tcW w:w="22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pPr>
            <w:r>
              <w:rPr/>
              <w:t>(a)</w:t>
            </w:r>
          </w:p>
        </w:tc>
        <w:tc>
          <w:tcPr>
            <w:tcW w:w="8341" w:type="dxa"/>
            <w:tcBorders/>
            <w:vAlign w:val="center"/>
          </w:tcPr>
          <w:p>
            <w:pPr>
              <w:pStyle w:val="TableContents"/>
              <w:bidi w:val="0"/>
              <w:spacing w:before="0" w:after="283"/>
              <w:jc w:val="both"/>
              <w:rPr/>
            </w:pPr>
            <w:r>
              <w:rPr>
                <w:b/>
              </w:rPr>
              <w:t>Non-reliance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(i)</w:t>
            </w:r>
          </w:p>
        </w:tc>
        <w:tc>
          <w:tcPr>
            <w:tcW w:w="9963" w:type="dxa"/>
            <w:tcBorders/>
            <w:vAlign w:val="center"/>
          </w:tcPr>
          <w:p>
            <w:pPr>
              <w:pStyle w:val="TableContents"/>
              <w:bidi w:val="0"/>
              <w:spacing w:before="0" w:after="283"/>
              <w:jc w:val="both"/>
              <w:rPr/>
            </w:pPr>
            <w:r>
              <w:rPr/>
              <w:t>None of Party A or any person representing or acting on behalf of Party A is acting as an adviser to it in connection with the entry into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Party B is acting for its own account and is capable of making its own decision to enter into the Transaction and as to whether the Transaction is appropriate and proper for it based upon its own judgment and upon advice from such advisers as it has deemed necessary.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(iii)</w:t>
            </w:r>
          </w:p>
        </w:tc>
        <w:tc>
          <w:tcPr>
            <w:tcW w:w="9834" w:type="dxa"/>
            <w:tcBorders/>
            <w:vAlign w:val="center"/>
          </w:tcPr>
          <w:p>
            <w:pPr>
              <w:pStyle w:val="TableContents"/>
              <w:bidi w:val="0"/>
              <w:spacing w:before="0" w:after="283"/>
              <w:jc w:val="both"/>
              <w:rPr/>
            </w:pPr>
            <w:r>
              <w:rPr/>
              <w:t>Where necessary, Party B has sought independent advice from competent legal, tax, accounting and other professional advisers.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(iv)</w:t>
            </w:r>
          </w:p>
        </w:tc>
        <w:tc>
          <w:tcPr>
            <w:tcW w:w="9869" w:type="dxa"/>
            <w:tcBorders/>
            <w:vAlign w:val="center"/>
          </w:tcPr>
          <w:p>
            <w:pPr>
              <w:pStyle w:val="TableContents"/>
              <w:bidi w:val="0"/>
              <w:spacing w:before="0" w:after="283"/>
              <w:jc w:val="both"/>
              <w:rPr/>
            </w:pPr>
            <w:r>
              <w:rPr/>
              <w:t>Party B is not relying on any communication (whether written or oral) from Party A as legal, tax or accounting advice; it being understood that information and explanations related to the terms and conditions of the Transaction will not be considered to be legal, tax or accounting advice.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b/>
              </w:rPr>
              <w:t>No violation or conflict</w:t>
            </w:r>
            <w:r>
              <w:rPr/>
              <w:t>: Party B’s entry into and performance of the Transaction does not and will not conflict with or result in a breach or violation of any law or regulation applicable to it or its dealings in the Shares or Underlying Shares (including, without limitation, the rules of the Exchange) or otherwise breach or violate any of its constitutional documents or any other agreement or instrument binding upon it or any of its assets which it may have entered into, nor result in the existence of, or oblige it to create, any security over any of its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920"/>
        <w:gridCol w:w="9158"/>
      </w:tblGrid>
      <w:tr>
        <w:trPr/>
        <w:tc>
          <w:tcPr>
            <w:tcW w:w="12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(c)</w:t>
            </w:r>
          </w:p>
        </w:tc>
        <w:tc>
          <w:tcPr>
            <w:tcW w:w="9158" w:type="dxa"/>
            <w:tcBorders/>
            <w:vAlign w:val="center"/>
          </w:tcPr>
          <w:p>
            <w:pPr>
              <w:pStyle w:val="TableContents"/>
              <w:bidi w:val="0"/>
              <w:spacing w:before="0" w:after="283"/>
              <w:jc w:val="both"/>
              <w:rPr>
                <w:b/>
              </w:rPr>
            </w:pPr>
            <w:r>
              <w:rPr>
                <w:b/>
              </w:rPr>
              <w:t>No misleading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(i)</w:t>
            </w:r>
          </w:p>
        </w:tc>
        <w:tc>
          <w:tcPr>
            <w:tcW w:w="9988" w:type="dxa"/>
            <w:tcBorders/>
            <w:vAlign w:val="center"/>
          </w:tcPr>
          <w:p>
            <w:pPr>
              <w:pStyle w:val="TableContents"/>
              <w:bidi w:val="0"/>
              <w:spacing w:before="0" w:after="283"/>
              <w:jc w:val="both"/>
              <w:rPr/>
            </w:pPr>
            <w:r>
              <w:rPr/>
              <w:t>Any factual information provided by or on behalf of Party B to Party A in writing (other than any financial projection or forecast or any expression of opinion or intention) was true and accurate in all material respects as at the date it was provided or as at the date (if any) at which it is stated.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(ii)</w:t>
            </w:r>
          </w:p>
        </w:tc>
        <w:tc>
          <w:tcPr>
            <w:tcW w:w="9921" w:type="dxa"/>
            <w:tcBorders/>
            <w:vAlign w:val="center"/>
          </w:tcPr>
          <w:p>
            <w:pPr>
              <w:pStyle w:val="TableContents"/>
              <w:bidi w:val="0"/>
              <w:spacing w:before="0" w:after="283"/>
              <w:jc w:val="both"/>
              <w:rPr/>
            </w:pPr>
            <w:r>
              <w:rPr/>
              <w:t>Nothing has occurred or been omitted from the factual information referred to in paragraph (i) above and no information has been given or withheld that results in that information being untrue or misleading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011"/>
        <w:gridCol w:w="9062"/>
      </w:tblGrid>
      <w:tr>
        <w:trPr/>
        <w:tc>
          <w:tcPr>
            <w:tcW w:w="13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pPr>
            <w:r>
              <w:rPr/>
              <w:t>(d)</w:t>
            </w:r>
          </w:p>
        </w:tc>
        <w:tc>
          <w:tcPr>
            <w:tcW w:w="9062" w:type="dxa"/>
            <w:tcBorders/>
            <w:vAlign w:val="center"/>
          </w:tcPr>
          <w:p>
            <w:pPr>
              <w:pStyle w:val="TableContents"/>
              <w:bidi w:val="0"/>
              <w:spacing w:before="0" w:after="283"/>
              <w:jc w:val="both"/>
              <w:rPr/>
            </w:pPr>
            <w:r>
              <w:rPr>
                <w:b/>
              </w:rPr>
              <w:t>No market manipulation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Neither Party B nor any of its Affiliates or any person acting on its or their behalf has taken or will take, directly or indirectly, any action which was or is designed to stabilise or manipulate, or which might reasonably be expected to cause or result in stabilisation or manipulation of, the price of the Shares or Underlying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(ii)</w:t>
            </w:r>
          </w:p>
        </w:tc>
        <w:tc>
          <w:tcPr>
            <w:tcW w:w="9924" w:type="dxa"/>
            <w:tcBorders/>
            <w:vAlign w:val="center"/>
          </w:tcPr>
          <w:p>
            <w:pPr>
              <w:pStyle w:val="TableContents"/>
              <w:bidi w:val="0"/>
              <w:spacing w:before="0" w:after="283"/>
              <w:jc w:val="both"/>
              <w:rPr/>
            </w:pPr>
            <w:r>
              <w:rPr/>
              <w:t>The entry into and performance by Party B of its obligations under the Transaction does not and will not constitute a violation by it or any of its Affiliates of applicable law or regulation prohibiting "insider dealing" or "market abuse" as applicable to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601"/>
        <w:gridCol w:w="9521"/>
      </w:tblGrid>
      <w:tr>
        <w:trPr/>
        <w:tc>
          <w:tcPr>
            <w:tcW w:w="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(e)</w:t>
            </w:r>
          </w:p>
        </w:tc>
        <w:tc>
          <w:tcPr>
            <w:tcW w:w="9521" w:type="dxa"/>
            <w:tcBorders/>
            <w:vAlign w:val="center"/>
          </w:tcPr>
          <w:p>
            <w:pPr>
              <w:pStyle w:val="TableContents"/>
              <w:bidi w:val="0"/>
              <w:spacing w:before="0" w:after="283"/>
              <w:jc w:val="both"/>
              <w:rPr/>
            </w:pPr>
            <w:r>
              <w:rPr>
                <w:b/>
              </w:rPr>
              <w:t>Compliance with regulatory requirements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Party B has complied, and will comply at any time, with all disclosure and reporting requirements, if any, that may be relevant to the Transaction in accordance with applicable legal or regulatory provisions or in accordance with any stock exchange regulation, including disclosure requirements imposed under market abuse rules or legal and regulatory provisions relating to the transparency of shareholdings of listed companies or internal dealing.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6"/>
        <w:gridCol w:w="4093"/>
        <w:gridCol w:w="5576"/>
      </w:tblGrid>
      <w:tr>
        <w:trPr/>
        <w:tc>
          <w:tcPr>
            <w:tcW w:w="536"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pPr>
            <w:r>
              <w:rPr/>
              <w:t>(ii)</w:t>
            </w:r>
          </w:p>
        </w:tc>
        <w:tc>
          <w:tcPr>
            <w:tcW w:w="5576" w:type="dxa"/>
            <w:tcBorders/>
            <w:vAlign w:val="center"/>
          </w:tcPr>
          <w:p>
            <w:pPr>
              <w:pStyle w:val="TableContents"/>
              <w:bidi w:val="0"/>
              <w:spacing w:before="0" w:after="283"/>
              <w:jc w:val="both"/>
              <w:rPr/>
            </w:pPr>
            <w:r>
              <w:rPr/>
              <w:t>No: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0"/>
        <w:gridCol w:w="9868"/>
      </w:tblGrid>
      <w:tr>
        <w:trPr/>
        <w:tc>
          <w:tcPr>
            <w:tcW w:w="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(A)</w:t>
            </w:r>
          </w:p>
        </w:tc>
        <w:tc>
          <w:tcPr>
            <w:tcW w:w="9868" w:type="dxa"/>
            <w:tcBorders/>
            <w:vAlign w:val="center"/>
          </w:tcPr>
          <w:p>
            <w:pPr>
              <w:pStyle w:val="TableContents"/>
              <w:bidi w:val="0"/>
              <w:spacing w:before="0" w:after="283"/>
              <w:jc w:val="both"/>
              <w:rPr/>
            </w:pPr>
            <w:r>
              <w:rPr/>
              <w:t>form of notification is or will be required to be made to any stock exchange, regulatory authority or similar body or to any other person by Party B or any of its Affiliates (other than any filing in accordance with the reporting requirements under Section 13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approval from any stock exchange, regulatory authority or similar body or any other person is or will be required to be sought by Party B or any of its Affiliates (other than any approval that may be required in connection with the delivery of Shares under Physical Settlement);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(C)</w:t>
            </w:r>
          </w:p>
        </w:tc>
        <w:tc>
          <w:tcPr>
            <w:tcW w:w="9849" w:type="dxa"/>
            <w:tcBorders/>
            <w:vAlign w:val="center"/>
          </w:tcPr>
          <w:p>
            <w:pPr>
              <w:pStyle w:val="TableContents"/>
              <w:bidi w:val="0"/>
              <w:spacing w:before="0" w:after="283"/>
              <w:jc w:val="both"/>
              <w:rPr/>
            </w:pPr>
            <w:r>
              <w:rPr/>
              <w:t>breach by Party B or any of its Affiliates of the listing rules or any other similar law or regulation has occurred or will occur;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5"/>
        <w:gridCol w:w="9853"/>
      </w:tblGrid>
      <w:tr>
        <w:trPr/>
        <w:tc>
          <w:tcPr>
            <w:tcW w:w="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(D)</w:t>
            </w:r>
          </w:p>
        </w:tc>
        <w:tc>
          <w:tcPr>
            <w:tcW w:w="9853" w:type="dxa"/>
            <w:tcBorders/>
            <w:vAlign w:val="center"/>
          </w:tcPr>
          <w:p>
            <w:pPr>
              <w:pStyle w:val="TableContents"/>
              <w:bidi w:val="0"/>
              <w:spacing w:before="0" w:after="283"/>
              <w:jc w:val="both"/>
              <w:rPr/>
            </w:pPr>
            <w:r>
              <w:rPr/>
              <w:t>clearance to deal under the listing rules or any other similar law or regulation or any share dealing policy or code of the Issuer is or will be required by Party B or any of its Affiliates;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entry into and performance by Party B of the Transaction.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(f)</w:t>
            </w:r>
          </w:p>
        </w:tc>
        <w:tc>
          <w:tcPr>
            <w:tcW w:w="9970" w:type="dxa"/>
            <w:tcBorders/>
            <w:vAlign w:val="center"/>
          </w:tcPr>
          <w:p>
            <w:pPr>
              <w:pStyle w:val="TableContents"/>
              <w:bidi w:val="0"/>
              <w:spacing w:before="0" w:after="283"/>
              <w:jc w:val="both"/>
              <w:rPr/>
            </w:pPr>
            <w:r>
              <w:rPr>
                <w:b/>
              </w:rPr>
              <w:t>Commercial purpose:</w:t>
            </w:r>
            <w:r>
              <w:rPr/>
              <w:t xml:space="preserve"> Party B has fully disclosed to Party A its reasons and objectives for entering into the Transactions, and these constitute and constituted a genuine and legitimate business and commercial purpose which is in its best commercial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(g)</w:t>
            </w:r>
          </w:p>
        </w:tc>
        <w:tc>
          <w:tcPr>
            <w:tcW w:w="9912" w:type="dxa"/>
            <w:tcBorders/>
            <w:vAlign w:val="center"/>
          </w:tcPr>
          <w:p>
            <w:pPr>
              <w:pStyle w:val="TableContents"/>
              <w:bidi w:val="0"/>
              <w:spacing w:before="0" w:after="283"/>
              <w:jc w:val="both"/>
              <w:rPr/>
            </w:pPr>
            <w:r>
              <w:rPr>
                <w:b/>
              </w:rPr>
              <w:t>No wager</w:t>
            </w:r>
            <w:r>
              <w:rPr/>
              <w:t>: Party B is entering and has entered into the Transaction in the ordinary course of its business and is not entering and has not entered into the Transaction as a wager or bet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(h)</w:t>
            </w:r>
          </w:p>
        </w:tc>
        <w:tc>
          <w:tcPr>
            <w:tcW w:w="9923" w:type="dxa"/>
            <w:tcBorders/>
            <w:vAlign w:val="center"/>
          </w:tcPr>
          <w:p>
            <w:pPr>
              <w:pStyle w:val="TableContents"/>
              <w:bidi w:val="0"/>
              <w:spacing w:before="0" w:after="283"/>
              <w:jc w:val="both"/>
              <w:rPr/>
            </w:pPr>
            <w:r>
              <w:rPr>
                <w:b/>
              </w:rPr>
              <w:t>Capacity</w:t>
            </w:r>
            <w:r>
              <w:rPr/>
              <w:t>: All consents, agreements or other authorizations, necessary for the signature of this Confirmation, have been adopted by Party B’s board of directors, and that the signatories are legally authorized to enter into this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827"/>
        <w:gridCol w:w="9242"/>
      </w:tblGrid>
      <w:tr>
        <w:trPr/>
        <w:tc>
          <w:tcPr>
            <w:tcW w:w="1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(i)</w:t>
            </w:r>
          </w:p>
        </w:tc>
        <w:tc>
          <w:tcPr>
            <w:tcW w:w="9242" w:type="dxa"/>
            <w:tcBorders/>
            <w:vAlign w:val="center"/>
          </w:tcPr>
          <w:p>
            <w:pPr>
              <w:pStyle w:val="TableContents"/>
              <w:bidi w:val="0"/>
              <w:spacing w:before="0" w:after="283"/>
              <w:jc w:val="both"/>
              <w:rPr/>
            </w:pPr>
            <w:r>
              <w:rPr>
                <w:b/>
              </w:rPr>
              <w:t>Regulations Compliance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The execution, delivery and performance of this Transaction, the entering into of this Transaction, and the satisfaction of the terms hereof, will not conflict with or result in a breach of any of the terms, conditions or provisions of its corporate bylaws or other constitutive documents, any restriction or obligation contained in any contract, agreement or instrument to which Party B is a party, or any applicable law or regulation, especially regarding market abuse.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w:t>
            </w:r>
          </w:p>
        </w:tc>
        <w:tc>
          <w:tcPr>
            <w:tcW w:w="9880" w:type="dxa"/>
            <w:tcBorders/>
            <w:vAlign w:val="center"/>
          </w:tcPr>
          <w:p>
            <w:pPr>
              <w:pStyle w:val="TableContents"/>
              <w:bidi w:val="0"/>
              <w:spacing w:before="0" w:after="283"/>
              <w:jc w:val="both"/>
              <w:rPr/>
            </w:pPr>
            <w:r>
              <w:rPr/>
              <w:t>Party B is fully aware of and familiar with the conduct regulations regarding the relevant securities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73"/>
        <w:gridCol w:w="9792"/>
      </w:tblGrid>
      <w:tr>
        <w:trPr/>
        <w:tc>
          <w:tcPr>
            <w:tcW w:w="4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(iii)</w:t>
            </w:r>
          </w:p>
        </w:tc>
        <w:tc>
          <w:tcPr>
            <w:tcW w:w="9792" w:type="dxa"/>
            <w:tcBorders/>
            <w:vAlign w:val="center"/>
          </w:tcPr>
          <w:p>
            <w:pPr>
              <w:pStyle w:val="TableContents"/>
              <w:bidi w:val="0"/>
              <w:spacing w:before="0" w:after="283"/>
              <w:jc w:val="both"/>
              <w:rPr/>
            </w:pPr>
            <w:r>
              <w:rPr/>
              <w:t>Party B is aware of the nature and risks associated with the Transaction that is being entered into.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(iv)</w:t>
            </w:r>
          </w:p>
        </w:tc>
        <w:tc>
          <w:tcPr>
            <w:tcW w:w="9871" w:type="dxa"/>
            <w:tcBorders/>
            <w:vAlign w:val="center"/>
          </w:tcPr>
          <w:p>
            <w:pPr>
              <w:pStyle w:val="TableContents"/>
              <w:bidi w:val="0"/>
              <w:spacing w:before="0" w:after="283"/>
              <w:jc w:val="both"/>
              <w:rPr/>
            </w:pPr>
            <w:r>
              <w:rPr/>
              <w:t>The execution, delivery, performance and entering into by Party B of this Transaction or of any existing or future agreement entered into before the Expiration Date and/or the termination of this Transaction, does not and will not cause Party A to promote a take-over bid over the Shares, pursuant to any applicable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20"/>
              </w:rPr>
            </w:pPr>
            <w:r>
              <w:rPr>
                <w:sz w:val="20"/>
              </w:rPr>
              <w:t>(j)</w:t>
            </w:r>
          </w:p>
        </w:tc>
        <w:tc>
          <w:tcPr>
            <w:tcW w:w="10000" w:type="dxa"/>
            <w:tcBorders/>
            <w:vAlign w:val="center"/>
          </w:tcPr>
          <w:p>
            <w:pPr>
              <w:pStyle w:val="TableContents"/>
              <w:bidi w:val="0"/>
              <w:spacing w:before="0" w:after="283"/>
              <w:jc w:val="both"/>
              <w:rPr/>
            </w:pPr>
            <w:r>
              <w:rPr>
                <w:b/>
                <w:sz w:val="20"/>
              </w:rPr>
              <w:t>NDRC</w:t>
            </w:r>
            <w:r>
              <w:rPr>
                <w:sz w:val="20"/>
              </w:rPr>
              <w:t>: Under the laws and regulations of the PRC, it is not necessary that the Transaction or this Confirmation be filed, registered, recorded or enrolled with any court or other authority in the PRC (</w:t>
            </w:r>
            <w:r>
              <w:rPr/>
              <w:t xml:space="preserve">including </w:t>
            </w:r>
            <w:r>
              <w:rPr>
                <w:sz w:val="20"/>
              </w:rPr>
              <w:t>with the NDRC under NDRC Order 56).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(k)</w:t>
            </w:r>
          </w:p>
        </w:tc>
        <w:tc>
          <w:tcPr>
            <w:tcW w:w="9918" w:type="dxa"/>
            <w:tcBorders/>
            <w:vAlign w:val="center"/>
          </w:tcPr>
          <w:p>
            <w:pPr>
              <w:pStyle w:val="TableContents"/>
              <w:bidi w:val="0"/>
              <w:spacing w:before="0" w:after="283"/>
              <w:jc w:val="both"/>
              <w:rPr/>
            </w:pPr>
            <w:r>
              <w:rPr>
                <w:b/>
              </w:rPr>
              <w:t>No intention cause delisting</w:t>
            </w:r>
            <w:r>
              <w:rPr/>
              <w:t>: As of the Trade Date, neither Party B nor any of its Affiliates intends to do anything which may cause the Shares to cease to be listed, traded or publicly quoted on the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809"/>
        <w:gridCol w:w="9301"/>
      </w:tblGrid>
      <w:tr>
        <w:trPr/>
        <w:tc>
          <w:tcPr>
            <w:tcW w:w="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b/>
              </w:rPr>
            </w:pPr>
            <w:r>
              <w:rPr>
                <w:b/>
              </w:rPr>
              <w:t>11.</w:t>
            </w:r>
          </w:p>
        </w:tc>
        <w:tc>
          <w:tcPr>
            <w:tcW w:w="9301" w:type="dxa"/>
            <w:tcBorders/>
            <w:vAlign w:val="center"/>
          </w:tcPr>
          <w:p>
            <w:pPr>
              <w:pStyle w:val="TableContents"/>
              <w:bidi w:val="0"/>
              <w:spacing w:before="0" w:after="283"/>
              <w:jc w:val="left"/>
              <w:rPr>
                <w:b/>
              </w:rPr>
            </w:pPr>
            <w:r>
              <w:rPr>
                <w:b/>
              </w:rPr>
              <w:t>ADDITIONAL 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undertakes to Party A on a continuing basis that prior to the earlier of the Expiration Date and the date on which the Number of Options has been reduced to zero.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54"/>
        <w:gridCol w:w="9461"/>
      </w:tblGrid>
      <w:tr>
        <w:trPr/>
        <w:tc>
          <w:tcPr>
            <w:tcW w:w="9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pPr>
            <w:r>
              <w:rPr/>
              <w:t>(a)</w:t>
            </w:r>
          </w:p>
        </w:tc>
        <w:tc>
          <w:tcPr>
            <w:tcW w:w="9461" w:type="dxa"/>
            <w:tcBorders/>
            <w:vAlign w:val="center"/>
          </w:tcPr>
          <w:p>
            <w:pPr>
              <w:pStyle w:val="TableContents"/>
              <w:bidi w:val="0"/>
              <w:spacing w:before="0" w:after="283"/>
              <w:jc w:val="both"/>
              <w:rPr>
                <w:b/>
              </w:rPr>
            </w:pPr>
            <w:r>
              <w:rPr>
                <w:b/>
              </w:rPr>
              <w:t>Compliance with laws and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comply in all respects with all laws and regulations to which it may be subject in respect of the Shares or Underlying Shares and the performance of its obligations under the Confirmation and otherwise to the extent that its failure so to comply would impair the ability of Party A to hold, acquire or dispose of any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943"/>
        <w:gridCol w:w="9139"/>
      </w:tblGrid>
      <w:tr>
        <w:trPr/>
        <w:tc>
          <w:tcPr>
            <w:tcW w:w="1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pPr>
            <w:r>
              <w:rPr/>
              <w:t>(b)</w:t>
            </w:r>
          </w:p>
        </w:tc>
        <w:tc>
          <w:tcPr>
            <w:tcW w:w="9139" w:type="dxa"/>
            <w:tcBorders/>
            <w:vAlign w:val="center"/>
          </w:tcPr>
          <w:p>
            <w:pPr>
              <w:pStyle w:val="TableContents"/>
              <w:bidi w:val="0"/>
              <w:spacing w:before="0" w:after="283"/>
              <w:jc w:val="both"/>
              <w:rPr>
                <w:b/>
              </w:rPr>
            </w:pPr>
            <w:r>
              <w:rPr>
                <w:b/>
              </w:rPr>
              <w:t>Disclosure and compliance: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(i)</w:t>
            </w:r>
          </w:p>
        </w:tc>
        <w:tc>
          <w:tcPr>
            <w:tcW w:w="9973" w:type="dxa"/>
            <w:tcBorders/>
            <w:vAlign w:val="center"/>
          </w:tcPr>
          <w:p>
            <w:pPr>
              <w:pStyle w:val="TableContents"/>
              <w:bidi w:val="0"/>
              <w:spacing w:before="0" w:after="283"/>
              <w:jc w:val="both"/>
              <w:rPr/>
            </w:pPr>
            <w:r>
              <w:rPr/>
              <w:t>Party B shall make, and shall procure each of its Affiliates to make, any and all necessary disclosures in respect of the Transaction in accordance with any applicable law and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36"/>
        <w:gridCol w:w="9712"/>
      </w:tblGrid>
      <w:tr>
        <w:trPr/>
        <w:tc>
          <w:tcPr>
            <w:tcW w:w="5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(ii)</w:t>
            </w:r>
          </w:p>
        </w:tc>
        <w:tc>
          <w:tcPr>
            <w:tcW w:w="9712" w:type="dxa"/>
            <w:tcBorders/>
            <w:vAlign w:val="center"/>
          </w:tcPr>
          <w:p>
            <w:pPr>
              <w:pStyle w:val="TableContents"/>
              <w:bidi w:val="0"/>
              <w:spacing w:before="0" w:after="283"/>
              <w:jc w:val="both"/>
              <w:rPr/>
            </w:pPr>
            <w:r>
              <w:rPr/>
              <w:t>Party B shall not, and shall procure that each of its Affiliate will not: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623"/>
        <w:gridCol w:w="9515"/>
      </w:tblGrid>
      <w:tr>
        <w:trPr/>
        <w:tc>
          <w:tcPr>
            <w:tcW w:w="6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pPr>
            <w:r>
              <w:rPr/>
              <w:t>(A)</w:t>
            </w:r>
          </w:p>
        </w:tc>
        <w:tc>
          <w:tcPr>
            <w:tcW w:w="9515" w:type="dxa"/>
            <w:tcBorders/>
            <w:vAlign w:val="center"/>
          </w:tcPr>
          <w:p>
            <w:pPr>
              <w:pStyle w:val="TableContents"/>
              <w:bidi w:val="0"/>
              <w:spacing w:before="0" w:after="283"/>
              <w:jc w:val="both"/>
              <w:rPr/>
            </w:pPr>
            <w:r>
              <w:rPr/>
              <w:t>engage in insider dealing or other market misconduct;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9848" w:type="dxa"/>
            <w:tcBorders/>
            <w:vAlign w:val="center"/>
          </w:tcPr>
          <w:p>
            <w:pPr>
              <w:pStyle w:val="TableContents"/>
              <w:bidi w:val="0"/>
              <w:spacing w:before="0" w:after="283"/>
              <w:jc w:val="both"/>
              <w:rPr/>
            </w:pPr>
            <w:r>
              <w:rPr/>
              <w:t>take any action, which when considered together with the entry into the Transaction, would contravene any law or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both"/>
              <w:rPr/>
            </w:pPr>
            <w:r>
              <w:rPr>
                <w:b/>
              </w:rPr>
              <w:t>Public announcement in relation to the Issuer etc.:</w:t>
            </w:r>
            <w:r>
              <w:rPr/>
              <w:t xml:space="preserve"> Party B shall, on request of Party A, take all commercially reasonable steps to procure that the Underlying Shares Issuer will publish an announcement the US Securities Exchange Commission’s EDGAR system a current report on Form 6-K (or other public filing) in respect of any material non-public information relating to the Underlying Shares Issuer or the Shares (“</w:t>
            </w:r>
            <w:r>
              <w:rPr>
                <w:b/>
              </w:rPr>
              <w:t>Material Non-Public Information</w:t>
            </w:r>
            <w:r>
              <w:rPr/>
              <w:t>”) which arises from the fact that the Transaction is or may be exercisable due to the occurrence of an Early Exercise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1"/>
        <w:gridCol w:w="9548"/>
      </w:tblGrid>
      <w:tr>
        <w:trPr/>
        <w:tc>
          <w:tcPr>
            <w:tcW w:w="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pPr>
            <w:r>
              <w:rPr/>
              <w:t>(d)</w:t>
            </w:r>
          </w:p>
        </w:tc>
        <w:tc>
          <w:tcPr>
            <w:tcW w:w="9548" w:type="dxa"/>
            <w:tcBorders/>
            <w:vAlign w:val="center"/>
          </w:tcPr>
          <w:p>
            <w:pPr>
              <w:pStyle w:val="TableContents"/>
              <w:bidi w:val="0"/>
              <w:spacing w:before="0" w:after="283"/>
              <w:jc w:val="both"/>
              <w:rPr>
                <w:b/>
              </w:rPr>
            </w:pPr>
            <w:r>
              <w:rPr>
                <w:b/>
              </w:rPr>
              <w:t>Provision of Material Non-Public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(i)</w:t>
            </w:r>
          </w:p>
        </w:tc>
        <w:tc>
          <w:tcPr>
            <w:tcW w:w="10004" w:type="dxa"/>
            <w:tcBorders/>
            <w:vAlign w:val="center"/>
          </w:tcPr>
          <w:p>
            <w:pPr>
              <w:pStyle w:val="TableContents"/>
              <w:bidi w:val="0"/>
              <w:spacing w:before="0" w:after="283"/>
              <w:jc w:val="both"/>
              <w:rPr/>
            </w:pPr>
            <w:r>
              <w:rPr/>
              <w:t>Except for the Initial Information Pack, Party B shall not, and shall procure that none of its Affiliates will, provide Party A with any Material Non-Public Information in any document or notice required to be delivered pursuant to the Agreement or in any communication in connection with the Agreement (each a “</w:t>
            </w:r>
            <w:r>
              <w:rPr>
                <w:b/>
              </w:rPr>
              <w:t>Communication</w:t>
            </w:r>
            <w:r>
              <w:rPr/>
              <w:t>”) without (x) first notifying Party A in writing that the Communication Party B or the Affiliate (as the case may be) (the “</w:t>
            </w:r>
            <w:r>
              <w:rPr>
                <w:b/>
              </w:rPr>
              <w:t>Disclosing Person</w:t>
            </w:r>
            <w:r>
              <w:rPr/>
              <w:t>”) is about to deliver contains Material Non-Public Information, and (y) Party A giving written confirmation that it wishes to receive such information and instructing the Disclosing Person to whom such information shall be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t>If Party A has refused to receive such Material Non-Public Information, Party B shall, or shall procure that the relevant Disclosing Person will, only deliver the Communication to the extent that it does not contain Material Non-Public Information, in which event Party B shall not be deemed to have breached paragraph (i) above. Absent such notification from the Disclosing Person, Party B shall be deemed to have represented that such Communication contains no such Material Non-Public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80" w:type="dxa"/>
            <w:tcBorders/>
            <w:vAlign w:val="center"/>
          </w:tcPr>
          <w:p>
            <w:pPr>
              <w:pStyle w:val="TableContents"/>
              <w:bidi w:val="0"/>
              <w:spacing w:before="0" w:after="283"/>
              <w:jc w:val="both"/>
              <w:rPr/>
            </w:pPr>
            <w:r>
              <w:rPr/>
              <w:t>If Party A receives or has received from Party B any information which Party A determines to be Material Non-Public Information (which for the avoidance of doubt shall not include the information in the Initial Information Pack), then Party B shall, if requested by Party A, immediately use commercially reasonable efforts to procure the Underlying Shares Issuer to publish via the US Securities Exchange Commission’s EDGAR system a current report on Form 6-K (or other public filing) containing such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(iv)</w:t>
            </w:r>
          </w:p>
        </w:tc>
        <w:tc>
          <w:tcPr>
            <w:tcW w:w="9880" w:type="dxa"/>
            <w:tcBorders/>
            <w:vAlign w:val="center"/>
          </w:tcPr>
          <w:p>
            <w:pPr>
              <w:pStyle w:val="TableContents"/>
              <w:bidi w:val="0"/>
              <w:spacing w:before="0" w:after="283"/>
              <w:jc w:val="both"/>
              <w:rPr/>
            </w:pPr>
            <w:r>
              <w:rPr/>
              <w:t>Party B irrevocably authorises and consents to Party A (together with any person acting on Party A's behalf) disclosing to any person any Material Non-Public Information (other than the information in the Initial Information Pack) that Party A considers necessary or desirable for the purposes of or in connection with any, or any potential, early termination of the Transaction and hereby waives, on behalf of itself, any duty of confidence that might be thought to arise from the relationship among the parties in this respect.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666"/>
        <w:gridCol w:w="9461"/>
      </w:tblGrid>
      <w:tr>
        <w:trPr/>
        <w:tc>
          <w:tcPr>
            <w:tcW w:w="7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b/>
              </w:rPr>
            </w:pPr>
            <w:r>
              <w:rPr>
                <w:b/>
              </w:rPr>
              <w:t>12.</w:t>
            </w:r>
          </w:p>
        </w:tc>
        <w:tc>
          <w:tcPr>
            <w:tcW w:w="9461" w:type="dxa"/>
            <w:tcBorders/>
            <w:vAlign w:val="center"/>
          </w:tcPr>
          <w:p>
            <w:pPr>
              <w:pStyle w:val="TableContents"/>
              <w:bidi w:val="0"/>
              <w:spacing w:before="0" w:after="283"/>
              <w:jc w:val="left"/>
              <w:rPr>
                <w:b/>
              </w:rPr>
            </w:pPr>
            <w:r>
              <w:rPr>
                <w:b/>
              </w:rPr>
              <w:t>ADDITIONAL ACKNOWLEDGEMENTS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mallCaps/>
              </w:rPr>
            </w:pPr>
            <w:r>
              <w:rPr>
                <w:smallCaps/>
              </w:rPr>
              <w:t>(a)</w:t>
            </w:r>
          </w:p>
        </w:tc>
        <w:tc>
          <w:tcPr>
            <w:tcW w:w="9930" w:type="dxa"/>
            <w:tcBorders/>
            <w:vAlign w:val="center"/>
          </w:tcPr>
          <w:p>
            <w:pPr>
              <w:pStyle w:val="TableContents"/>
              <w:bidi w:val="0"/>
              <w:spacing w:before="0" w:after="283"/>
              <w:jc w:val="both"/>
              <w:rPr/>
            </w:pPr>
            <w:r>
              <w:rPr>
                <w:b/>
              </w:rPr>
              <w:t>Conflict of Interest</w:t>
            </w:r>
            <w:r>
              <w:rPr/>
              <w:t>: Party A or any entity belonging to the Party A group, as well as any respective directors or employees of the Party A group, may hold any securities position, including derivatives, directly or indirectly, in accordance or not with the strategy of the derivatives that form part of the Transaction may, negotiate with those securities, including derivatives, on its own behalf or on another’s behalf; provide advisory services or any other services to entities related to them or to its shareholders, directors, employees; and have interests in such securities or enter into any transaction with such securities, including derivatives, or investments related to such securities, prior to or after the commencement of the Transaction, as permitted by any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employees in the sales department or from any other department of Party A or of any entity belonging to the Party A group, may provide market commentaries, orally or otherwise, or investment strategies to the customers that may reflect opinions or suggest investment decisions on its own behalf that may be inconsistent with the strategy sought by Party B through the Transaction.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b/>
              </w:rPr>
              <w:t xml:space="preserve">Consent to Regulatory Disclosure: </w:t>
            </w:r>
            <w:r>
              <w:rPr/>
              <w:t>Without prejudice to the generality of any applicable law, each party (“X”) expressly consents to the disclosure by the other party (“Y”) or its affiliates to the relevant authorities in the jurisdiction of the incorporation of organization of the Issuer (a “</w:t>
            </w:r>
            <w:r>
              <w:rPr>
                <w:b/>
              </w:rPr>
              <w:t>Relevant Jurisdiction</w:t>
            </w:r>
            <w:r>
              <w:rPr/>
              <w:t>”), the local jurisdiction in which the relevant Exchange is located (“</w:t>
            </w:r>
            <w:r>
              <w:rPr>
                <w:b/>
              </w:rPr>
              <w:t>Local Jurisdiction</w:t>
            </w:r>
            <w:r>
              <w:rPr/>
              <w:t>”) or any jurisdiction of tax residence of the Issuer (a “</w:t>
            </w:r>
            <w:r>
              <w:rPr>
                <w:b/>
              </w:rPr>
              <w:t>Tax Residence Jurisdiction</w:t>
            </w:r>
            <w:r>
              <w:rPr/>
              <w:t>”), information relating to the Transaction, including the name of X in order for Y or any of its affiliates to comply with laws and regulations of the Relevant Jurisdiction, the Local Jurisdiction or Tax Residence Jurisdiction that are applicable to Y or its affiliate in connection with their dealings in the underlier.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(c)</w:t>
            </w:r>
          </w:p>
        </w:tc>
        <w:tc>
          <w:tcPr>
            <w:tcW w:w="9963" w:type="dxa"/>
            <w:tcBorders/>
            <w:vAlign w:val="center"/>
          </w:tcPr>
          <w:p>
            <w:pPr>
              <w:pStyle w:val="TableContents"/>
              <w:bidi w:val="0"/>
              <w:spacing w:before="0" w:after="283"/>
              <w:jc w:val="both"/>
              <w:rPr/>
            </w:pPr>
            <w:r>
              <w:rPr>
                <w:b/>
              </w:rPr>
              <w:t>Payment of Local Taxes, Unpaid Local Taxes or Excess Local Taxes</w:t>
            </w:r>
            <w:r>
              <w:rPr/>
              <w:t>: If any amount of Local Taxes (“</w:t>
            </w:r>
            <w:r>
              <w:rPr>
                <w:b/>
              </w:rPr>
              <w:t>Unpaid Local Taxes</w:t>
            </w:r>
            <w:r>
              <w:rPr/>
              <w:t>”) that should have been taken into account but were not taken into account in the determination of any delivery obligations by the Hedging Party and any Potential Adjustment Events or Extraordinary Events, as the case may be, the Non-Hedging Party shall pay to the Hedging Party an amount equal to such Unpaid Local Taxes on the Currency Business Day following notification from the Calculation Agent; or if any excess amount of Local Taxes (“</w:t>
            </w:r>
            <w:r>
              <w:rPr>
                <w:b/>
              </w:rPr>
              <w:t>Excess Local Taxes</w:t>
            </w:r>
            <w:r>
              <w:rPr/>
              <w:t>”) that should not have been taken into account but were taken into account in the determination of any amounts payable by the Hedging Party and any Potential Adjustment Events or Extraordinary Events, as the case may be, the Hedging Party shall pay to the Non-hedging Party an amount equal to such Excess Local Taxes on the Currency Business Day following notification from the Calculation Agent. The provisions of this section (</w:t>
            </w:r>
            <w:r>
              <w:rPr>
                <w:i/>
              </w:rPr>
              <w:t>Payment of Local Taxes, Unpaid Local Taxes or Excess Local Taxes</w:t>
            </w:r>
            <w:r>
              <w:rPr/>
              <w:t>) shall apply and remain in full force and effect even if the Expiration Date has occurred and/or this Transaction has terminated.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Local Taxes</w:t>
      </w:r>
      <w:r>
        <w:rPr>
          <w:rFonts w:ascii="Times New Roman;Times;Serif" w:hAnsi="Times New Roman;Times;Serif"/>
          <w:b w:val="false"/>
          <w:i w:val="false"/>
          <w:caps w:val="false"/>
          <w:smallCaps w:val="false"/>
          <w:sz w:val="20"/>
        </w:rPr>
        <w:t>” means taxes, duties, and similar charges (in each case, including interest and penalties thereon) imposed by the taxing authority in any jurisdiction, that would be withheld from or paid or otherwise incurred by a Hypothetical Investor in connection with any Applicable Hedge Positions, excluding any corporate income taxes levied on the overall net income of the Hypothetical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Hypothetical Investor</w:t>
      </w:r>
      <w:r>
        <w:rPr>
          <w:rFonts w:ascii="Times New Roman;Times;Serif" w:hAnsi="Times New Roman;Times;Serif"/>
          <w:b w:val="false"/>
          <w:i w:val="false"/>
          <w:caps w:val="false"/>
          <w:smallCaps w:val="false"/>
          <w:sz w:val="20"/>
        </w:rPr>
        <w:t>” shall mean a hypothetical institutional investor not resident in (a) the applicable Relevant Jurisdiction, Local Jurisdiction and/or the Tax Residence Jurisdiction for the purposes of the tax laws and regulations of the Relevant Jurisdiction, Local Jurisdiction and/or the Tax Residence Jurisdiction, as applicable; or (b) a jurisdiction where any refund, credit or any other benefit, exemption or reduction in relation to any Local Taxes may arise under an applicable tax treaty or any relevant laws or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Hedge Positions</w:t>
      </w:r>
      <w:r>
        <w:rPr>
          <w:rFonts w:ascii="Times New Roman;Times;Serif" w:hAnsi="Times New Roman;Times;Serif"/>
          <w:b w:val="false"/>
          <w:i w:val="false"/>
          <w:caps w:val="false"/>
          <w:smallCaps w:val="false"/>
          <w:sz w:val="20"/>
        </w:rPr>
        <w:t>” means, at any time, Hedge Positions that the Hedging Party determines that a Hypothetical Investor, acting in a commercially reasonable manner, would consider necessary to hedge the Transaction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the terms of our agreement by executing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AUTOMOTIVE INVESTMENT AB</w:t>
      </w:r>
    </w:p>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Put Option Confirmation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as of the Trade Date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PARTY A]</w:t>
      </w:r>
    </w:p>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Put Option Confirmation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ELECTIONS AND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BUYER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EARLY BUYER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SELLER SETTLEMENT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CONFIRMATION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0" w:name="tm2533976d1_ex-6.htm"/>
      <w:bookmarkStart w:id="61" w:name="kstm2533976d1_ex6"/>
      <w:bookmarkEnd w:id="60"/>
      <w:bookmarkEnd w:id="61"/>
      <w:r>
        <w:rPr/>
        <w:t> </w:t>
      </w:r>
      <w:r>
        <w:br w:type="page"/>
      </w:r>
    </w:p>
    <w:p>
      <w:pPr>
        <w:pStyle w:val="TextBody"/>
        <w:bidi w:val="0"/>
        <w:jc w:val="right"/>
        <w:rPr>
          <w:b/>
        </w:rPr>
      </w:pPr>
      <w:r>
        <w:rPr>
          <w:b/>
        </w:rPr>
        <w:t>Exhibit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HOLDINGS AB</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Guarantor)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Beneficiary)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DEED OF GUARANTEE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81300" cy="533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781300" cy="533400"/>
                    </a:xfrm>
                    <a:prstGeom prst="rect">
                      <a:avLst/>
                    </a:prstGeom>
                  </pic:spPr>
                </pic:pic>
              </a:graphicData>
            </a:graphic>
          </wp:inline>
        </w:drawing>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18th Floor, One Exchange Square</w:t>
        <w:br/>
        <w:t>8 Connaught Place, Central</w:t>
        <w:br/>
        <w:t>Hong Kong</w:t>
        <w:br/>
        <w:t>Tel: +852.2912.2500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www.lw.com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605"/>
        <w:gridCol w:w="455"/>
      </w:tblGrid>
      <w:tr>
        <w:trPr/>
        <w:tc>
          <w:tcPr>
            <w:tcW w:w="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Clause</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bl>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290"/>
        <w:gridCol w:w="3050"/>
        <w:gridCol w:w="245"/>
      </w:tblGrid>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w:t>
            </w:r>
          </w:p>
        </w:tc>
        <w:tc>
          <w:tcPr>
            <w:tcW w:w="3050" w:type="dxa"/>
            <w:tcBorders/>
            <w:vAlign w:val="center"/>
          </w:tcPr>
          <w:p>
            <w:pPr>
              <w:pStyle w:val="TableContents"/>
              <w:bidi w:val="0"/>
              <w:spacing w:before="0" w:after="283"/>
              <w:jc w:val="left"/>
              <w:rPr>
                <w:b/>
                <w:caps/>
                <w:sz w:val="20"/>
              </w:rPr>
            </w:pPr>
            <w:r>
              <w:rPr>
                <w:b/>
                <w:caps/>
                <w:sz w:val="20"/>
              </w:rPr>
              <w:t>INTERPRETATION</w:t>
            </w:r>
          </w:p>
        </w:tc>
        <w:tc>
          <w:tcPr>
            <w:tcW w:w="245" w:type="dxa"/>
            <w:tcBorders/>
            <w:vAlign w:val="center"/>
          </w:tcPr>
          <w:p>
            <w:pPr>
              <w:pStyle w:val="TableContents"/>
              <w:bidi w:val="0"/>
              <w:spacing w:before="0" w:after="283"/>
              <w:jc w:val="right"/>
              <w:rPr>
                <w:b/>
                <w:caps/>
                <w:sz w:val="20"/>
              </w:rPr>
            </w:pPr>
            <w:r>
              <w:rPr>
                <w:b/>
                <w:caps/>
                <w:sz w:val="20"/>
              </w:rPr>
              <w:t>1</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2.</w:t>
            </w:r>
          </w:p>
        </w:tc>
        <w:tc>
          <w:tcPr>
            <w:tcW w:w="3050" w:type="dxa"/>
            <w:tcBorders/>
            <w:vAlign w:val="center"/>
          </w:tcPr>
          <w:p>
            <w:pPr>
              <w:pStyle w:val="TableContents"/>
              <w:bidi w:val="0"/>
              <w:spacing w:before="0" w:after="283"/>
              <w:jc w:val="left"/>
              <w:rPr>
                <w:b/>
                <w:caps/>
                <w:sz w:val="20"/>
              </w:rPr>
            </w:pPr>
            <w:r>
              <w:rPr>
                <w:b/>
                <w:caps/>
                <w:sz w:val="20"/>
              </w:rPr>
              <w:t>GUARANTEE AND INDEMNITY</w:t>
            </w:r>
          </w:p>
        </w:tc>
        <w:tc>
          <w:tcPr>
            <w:tcW w:w="245" w:type="dxa"/>
            <w:tcBorders/>
            <w:vAlign w:val="center"/>
          </w:tcPr>
          <w:p>
            <w:pPr>
              <w:pStyle w:val="TableContents"/>
              <w:bidi w:val="0"/>
              <w:spacing w:before="0" w:after="283"/>
              <w:jc w:val="right"/>
              <w:rPr>
                <w:b/>
                <w:caps/>
                <w:sz w:val="20"/>
              </w:rPr>
            </w:pPr>
            <w:r>
              <w:rPr>
                <w:b/>
                <w:caps/>
                <w:sz w:val="20"/>
              </w:rPr>
              <w:t>7</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3.</w:t>
            </w:r>
          </w:p>
        </w:tc>
        <w:tc>
          <w:tcPr>
            <w:tcW w:w="3050" w:type="dxa"/>
            <w:tcBorders/>
            <w:vAlign w:val="center"/>
          </w:tcPr>
          <w:p>
            <w:pPr>
              <w:pStyle w:val="TableContents"/>
              <w:bidi w:val="0"/>
              <w:spacing w:before="0" w:after="283"/>
              <w:jc w:val="left"/>
              <w:rPr>
                <w:b/>
                <w:caps/>
                <w:sz w:val="20"/>
              </w:rPr>
            </w:pPr>
            <w:r>
              <w:rPr>
                <w:b/>
                <w:caps/>
                <w:sz w:val="20"/>
              </w:rPr>
              <w:t>Additional Indemnities</w:t>
            </w:r>
          </w:p>
        </w:tc>
        <w:tc>
          <w:tcPr>
            <w:tcW w:w="245" w:type="dxa"/>
            <w:tcBorders/>
            <w:vAlign w:val="center"/>
          </w:tcPr>
          <w:p>
            <w:pPr>
              <w:pStyle w:val="TableContents"/>
              <w:bidi w:val="0"/>
              <w:spacing w:before="0" w:after="283"/>
              <w:jc w:val="right"/>
              <w:rPr>
                <w:b/>
                <w:caps/>
                <w:sz w:val="20"/>
              </w:rPr>
            </w:pPr>
            <w:r>
              <w:rPr>
                <w:b/>
                <w:caps/>
                <w:sz w:val="20"/>
              </w:rPr>
              <w:t>10</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4.</w:t>
            </w:r>
          </w:p>
        </w:tc>
        <w:tc>
          <w:tcPr>
            <w:tcW w:w="3050" w:type="dxa"/>
            <w:tcBorders/>
            <w:vAlign w:val="center"/>
          </w:tcPr>
          <w:p>
            <w:pPr>
              <w:pStyle w:val="TableContents"/>
              <w:bidi w:val="0"/>
              <w:spacing w:before="0" w:after="283"/>
              <w:jc w:val="left"/>
              <w:rPr>
                <w:b/>
                <w:caps/>
                <w:sz w:val="20"/>
              </w:rPr>
            </w:pPr>
            <w:r>
              <w:rPr>
                <w:b/>
                <w:caps/>
                <w:sz w:val="20"/>
              </w:rPr>
              <w:t>TAXES</w:t>
            </w:r>
          </w:p>
        </w:tc>
        <w:tc>
          <w:tcPr>
            <w:tcW w:w="245" w:type="dxa"/>
            <w:tcBorders/>
            <w:vAlign w:val="center"/>
          </w:tcPr>
          <w:p>
            <w:pPr>
              <w:pStyle w:val="TableContents"/>
              <w:bidi w:val="0"/>
              <w:spacing w:before="0" w:after="283"/>
              <w:jc w:val="right"/>
              <w:rPr>
                <w:b/>
                <w:caps/>
                <w:sz w:val="20"/>
              </w:rPr>
            </w:pPr>
            <w:r>
              <w:rPr>
                <w:b/>
                <w:caps/>
                <w:sz w:val="20"/>
              </w:rPr>
              <w:t>11</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5.</w:t>
            </w:r>
          </w:p>
        </w:tc>
        <w:tc>
          <w:tcPr>
            <w:tcW w:w="3050" w:type="dxa"/>
            <w:tcBorders/>
            <w:vAlign w:val="center"/>
          </w:tcPr>
          <w:p>
            <w:pPr>
              <w:pStyle w:val="TableContents"/>
              <w:bidi w:val="0"/>
              <w:spacing w:before="0" w:after="283"/>
              <w:jc w:val="left"/>
              <w:rPr>
                <w:b/>
                <w:caps/>
                <w:sz w:val="20"/>
              </w:rPr>
            </w:pPr>
            <w:r>
              <w:rPr>
                <w:b/>
                <w:caps/>
                <w:sz w:val="20"/>
              </w:rPr>
              <w:t>OTHER INDEMNITIES</w:t>
            </w:r>
          </w:p>
        </w:tc>
        <w:tc>
          <w:tcPr>
            <w:tcW w:w="245" w:type="dxa"/>
            <w:tcBorders/>
            <w:vAlign w:val="center"/>
          </w:tcPr>
          <w:p>
            <w:pPr>
              <w:pStyle w:val="TableContents"/>
              <w:bidi w:val="0"/>
              <w:spacing w:before="0" w:after="283"/>
              <w:jc w:val="right"/>
              <w:rPr>
                <w:b/>
                <w:caps/>
                <w:sz w:val="20"/>
              </w:rPr>
            </w:pPr>
            <w:r>
              <w:rPr>
                <w:b/>
                <w:caps/>
                <w:sz w:val="20"/>
              </w:rPr>
              <w:t>13</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6.</w:t>
            </w:r>
          </w:p>
        </w:tc>
        <w:tc>
          <w:tcPr>
            <w:tcW w:w="3050" w:type="dxa"/>
            <w:tcBorders/>
            <w:vAlign w:val="center"/>
          </w:tcPr>
          <w:p>
            <w:pPr>
              <w:pStyle w:val="TableContents"/>
              <w:bidi w:val="0"/>
              <w:spacing w:before="0" w:after="283"/>
              <w:jc w:val="left"/>
              <w:rPr>
                <w:b/>
                <w:caps/>
                <w:sz w:val="20"/>
              </w:rPr>
            </w:pPr>
            <w:r>
              <w:rPr>
                <w:b/>
                <w:caps/>
                <w:sz w:val="20"/>
              </w:rPr>
              <w:t>REPRESENTATIONS</w:t>
            </w:r>
          </w:p>
        </w:tc>
        <w:tc>
          <w:tcPr>
            <w:tcW w:w="245" w:type="dxa"/>
            <w:tcBorders/>
            <w:vAlign w:val="center"/>
          </w:tcPr>
          <w:p>
            <w:pPr>
              <w:pStyle w:val="TableContents"/>
              <w:bidi w:val="0"/>
              <w:spacing w:before="0" w:after="283"/>
              <w:jc w:val="right"/>
              <w:rPr>
                <w:b/>
                <w:caps/>
                <w:sz w:val="20"/>
              </w:rPr>
            </w:pPr>
            <w:r>
              <w:rPr>
                <w:b/>
                <w:caps/>
                <w:sz w:val="20"/>
              </w:rPr>
              <w:t>14</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7.</w:t>
            </w:r>
          </w:p>
        </w:tc>
        <w:tc>
          <w:tcPr>
            <w:tcW w:w="3050" w:type="dxa"/>
            <w:tcBorders/>
            <w:vAlign w:val="center"/>
          </w:tcPr>
          <w:p>
            <w:pPr>
              <w:pStyle w:val="TableContents"/>
              <w:bidi w:val="0"/>
              <w:spacing w:before="0" w:after="283"/>
              <w:jc w:val="left"/>
              <w:rPr>
                <w:b/>
                <w:caps/>
                <w:sz w:val="20"/>
              </w:rPr>
            </w:pPr>
            <w:r>
              <w:rPr>
                <w:b/>
                <w:caps/>
                <w:sz w:val="20"/>
              </w:rPr>
              <w:t>INFORMATION UNDERTAKINGS</w:t>
            </w:r>
          </w:p>
        </w:tc>
        <w:tc>
          <w:tcPr>
            <w:tcW w:w="245" w:type="dxa"/>
            <w:tcBorders/>
            <w:vAlign w:val="center"/>
          </w:tcPr>
          <w:p>
            <w:pPr>
              <w:pStyle w:val="TableContents"/>
              <w:bidi w:val="0"/>
              <w:spacing w:before="0" w:after="283"/>
              <w:jc w:val="right"/>
              <w:rPr>
                <w:b/>
                <w:caps/>
                <w:sz w:val="20"/>
              </w:rPr>
            </w:pPr>
            <w:r>
              <w:rPr>
                <w:b/>
                <w:caps/>
                <w:sz w:val="20"/>
              </w:rPr>
              <w:t>14</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8.</w:t>
            </w:r>
          </w:p>
        </w:tc>
        <w:tc>
          <w:tcPr>
            <w:tcW w:w="3050" w:type="dxa"/>
            <w:tcBorders/>
            <w:vAlign w:val="center"/>
          </w:tcPr>
          <w:p>
            <w:pPr>
              <w:pStyle w:val="TableContents"/>
              <w:bidi w:val="0"/>
              <w:spacing w:before="0" w:after="283"/>
              <w:jc w:val="left"/>
              <w:rPr>
                <w:b/>
                <w:caps/>
                <w:sz w:val="20"/>
              </w:rPr>
            </w:pPr>
            <w:r>
              <w:rPr>
                <w:b/>
                <w:caps/>
                <w:sz w:val="20"/>
              </w:rPr>
              <w:t>FINANCIAL COVENANTS</w:t>
            </w:r>
          </w:p>
        </w:tc>
        <w:tc>
          <w:tcPr>
            <w:tcW w:w="245" w:type="dxa"/>
            <w:tcBorders/>
            <w:vAlign w:val="center"/>
          </w:tcPr>
          <w:p>
            <w:pPr>
              <w:pStyle w:val="TableContents"/>
              <w:bidi w:val="0"/>
              <w:spacing w:before="0" w:after="283"/>
              <w:jc w:val="right"/>
              <w:rPr>
                <w:b/>
                <w:caps/>
                <w:sz w:val="20"/>
              </w:rPr>
            </w:pPr>
            <w:r>
              <w:rPr>
                <w:b/>
                <w:caps/>
                <w:sz w:val="20"/>
              </w:rPr>
              <w:t>15</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9.</w:t>
            </w:r>
          </w:p>
        </w:tc>
        <w:tc>
          <w:tcPr>
            <w:tcW w:w="3050" w:type="dxa"/>
            <w:tcBorders/>
            <w:vAlign w:val="center"/>
          </w:tcPr>
          <w:p>
            <w:pPr>
              <w:pStyle w:val="TableContents"/>
              <w:bidi w:val="0"/>
              <w:spacing w:before="0" w:after="283"/>
              <w:jc w:val="left"/>
              <w:rPr>
                <w:b/>
                <w:caps/>
                <w:sz w:val="20"/>
              </w:rPr>
            </w:pPr>
            <w:r>
              <w:rPr>
                <w:b/>
                <w:caps/>
                <w:sz w:val="20"/>
              </w:rPr>
              <w:t>GENERAL UNDERTAKINGS</w:t>
            </w:r>
          </w:p>
        </w:tc>
        <w:tc>
          <w:tcPr>
            <w:tcW w:w="245" w:type="dxa"/>
            <w:tcBorders/>
            <w:vAlign w:val="center"/>
          </w:tcPr>
          <w:p>
            <w:pPr>
              <w:pStyle w:val="TableContents"/>
              <w:bidi w:val="0"/>
              <w:spacing w:before="0" w:after="283"/>
              <w:jc w:val="right"/>
              <w:rPr>
                <w:b/>
                <w:caps/>
                <w:sz w:val="20"/>
              </w:rPr>
            </w:pPr>
            <w:r>
              <w:rPr>
                <w:b/>
                <w:caps/>
                <w:sz w:val="20"/>
              </w:rPr>
              <w:t>15</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10.</w:t>
            </w:r>
          </w:p>
        </w:tc>
        <w:tc>
          <w:tcPr>
            <w:tcW w:w="3050" w:type="dxa"/>
            <w:tcBorders/>
            <w:vAlign w:val="center"/>
          </w:tcPr>
          <w:p>
            <w:pPr>
              <w:pStyle w:val="TableContents"/>
              <w:bidi w:val="0"/>
              <w:spacing w:before="0" w:after="283"/>
              <w:jc w:val="left"/>
              <w:rPr>
                <w:b/>
                <w:caps/>
                <w:sz w:val="20"/>
              </w:rPr>
            </w:pPr>
            <w:r>
              <w:rPr>
                <w:b/>
                <w:caps/>
                <w:sz w:val="20"/>
              </w:rPr>
              <w:t>CHANGES TO THE PARTIES</w:t>
            </w:r>
          </w:p>
        </w:tc>
        <w:tc>
          <w:tcPr>
            <w:tcW w:w="245" w:type="dxa"/>
            <w:tcBorders/>
            <w:vAlign w:val="center"/>
          </w:tcPr>
          <w:p>
            <w:pPr>
              <w:pStyle w:val="TableContents"/>
              <w:bidi w:val="0"/>
              <w:spacing w:before="0" w:after="283"/>
              <w:jc w:val="right"/>
              <w:rPr>
                <w:b/>
                <w:caps/>
                <w:sz w:val="20"/>
              </w:rPr>
            </w:pPr>
            <w:r>
              <w:rPr>
                <w:b/>
                <w:caps/>
                <w:sz w:val="20"/>
              </w:rPr>
              <w:t>15</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11.</w:t>
            </w:r>
          </w:p>
        </w:tc>
        <w:tc>
          <w:tcPr>
            <w:tcW w:w="3050" w:type="dxa"/>
            <w:tcBorders/>
            <w:vAlign w:val="center"/>
          </w:tcPr>
          <w:p>
            <w:pPr>
              <w:pStyle w:val="TableContents"/>
              <w:bidi w:val="0"/>
              <w:spacing w:before="0" w:after="283"/>
              <w:jc w:val="left"/>
              <w:rPr>
                <w:b/>
                <w:caps/>
                <w:sz w:val="20"/>
              </w:rPr>
            </w:pPr>
            <w:r>
              <w:rPr>
                <w:b/>
                <w:caps/>
                <w:sz w:val="20"/>
              </w:rPr>
              <w:t>NOTICES</w:t>
            </w:r>
          </w:p>
        </w:tc>
        <w:tc>
          <w:tcPr>
            <w:tcW w:w="245" w:type="dxa"/>
            <w:tcBorders/>
            <w:vAlign w:val="center"/>
          </w:tcPr>
          <w:p>
            <w:pPr>
              <w:pStyle w:val="TableContents"/>
              <w:bidi w:val="0"/>
              <w:spacing w:before="0" w:after="283"/>
              <w:jc w:val="right"/>
              <w:rPr>
                <w:b/>
                <w:caps/>
                <w:sz w:val="20"/>
              </w:rPr>
            </w:pPr>
            <w:r>
              <w:rPr>
                <w:b/>
                <w:caps/>
                <w:sz w:val="20"/>
              </w:rPr>
              <w:t>15</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12.</w:t>
            </w:r>
          </w:p>
        </w:tc>
        <w:tc>
          <w:tcPr>
            <w:tcW w:w="3050" w:type="dxa"/>
            <w:tcBorders/>
            <w:vAlign w:val="center"/>
          </w:tcPr>
          <w:p>
            <w:pPr>
              <w:pStyle w:val="TableContents"/>
              <w:bidi w:val="0"/>
              <w:spacing w:before="0" w:after="283"/>
              <w:jc w:val="left"/>
              <w:rPr>
                <w:b/>
                <w:caps/>
                <w:sz w:val="20"/>
              </w:rPr>
            </w:pPr>
            <w:r>
              <w:rPr>
                <w:b/>
                <w:caps/>
                <w:sz w:val="20"/>
              </w:rPr>
              <w:t>OTHER TERMS</w:t>
            </w:r>
          </w:p>
        </w:tc>
        <w:tc>
          <w:tcPr>
            <w:tcW w:w="245" w:type="dxa"/>
            <w:tcBorders/>
            <w:vAlign w:val="center"/>
          </w:tcPr>
          <w:p>
            <w:pPr>
              <w:pStyle w:val="TableContents"/>
              <w:bidi w:val="0"/>
              <w:spacing w:before="0" w:after="283"/>
              <w:jc w:val="right"/>
              <w:rPr>
                <w:b/>
                <w:caps/>
                <w:sz w:val="20"/>
              </w:rPr>
            </w:pPr>
            <w:r>
              <w:rPr>
                <w:b/>
                <w:caps/>
                <w:sz w:val="20"/>
              </w:rPr>
              <w:t>16</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13.</w:t>
            </w:r>
          </w:p>
        </w:tc>
        <w:tc>
          <w:tcPr>
            <w:tcW w:w="3050" w:type="dxa"/>
            <w:tcBorders/>
            <w:vAlign w:val="center"/>
          </w:tcPr>
          <w:p>
            <w:pPr>
              <w:pStyle w:val="TableContents"/>
              <w:bidi w:val="0"/>
              <w:spacing w:before="0" w:after="283"/>
              <w:jc w:val="left"/>
              <w:rPr>
                <w:b/>
                <w:caps/>
                <w:sz w:val="20"/>
              </w:rPr>
            </w:pPr>
            <w:r>
              <w:rPr>
                <w:b/>
                <w:caps/>
                <w:sz w:val="20"/>
              </w:rPr>
              <w:t>SET-OFF</w:t>
            </w:r>
          </w:p>
        </w:tc>
        <w:tc>
          <w:tcPr>
            <w:tcW w:w="245" w:type="dxa"/>
            <w:tcBorders/>
            <w:vAlign w:val="center"/>
          </w:tcPr>
          <w:p>
            <w:pPr>
              <w:pStyle w:val="TableContents"/>
              <w:bidi w:val="0"/>
              <w:spacing w:before="0" w:after="283"/>
              <w:jc w:val="right"/>
              <w:rPr>
                <w:b/>
                <w:caps/>
                <w:sz w:val="20"/>
              </w:rPr>
            </w:pPr>
            <w:r>
              <w:rPr>
                <w:b/>
                <w:caps/>
                <w:sz w:val="20"/>
              </w:rPr>
              <w:t>17</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14.</w:t>
            </w:r>
          </w:p>
        </w:tc>
        <w:tc>
          <w:tcPr>
            <w:tcW w:w="3050" w:type="dxa"/>
            <w:tcBorders/>
            <w:vAlign w:val="center"/>
          </w:tcPr>
          <w:p>
            <w:pPr>
              <w:pStyle w:val="TableContents"/>
              <w:bidi w:val="0"/>
              <w:spacing w:before="0" w:after="283"/>
              <w:jc w:val="left"/>
              <w:rPr>
                <w:b/>
                <w:caps/>
                <w:sz w:val="20"/>
              </w:rPr>
            </w:pPr>
            <w:r>
              <w:rPr>
                <w:b/>
                <w:caps/>
                <w:sz w:val="20"/>
              </w:rPr>
              <w:t>PARTIAL INVALIDITY</w:t>
            </w:r>
          </w:p>
        </w:tc>
        <w:tc>
          <w:tcPr>
            <w:tcW w:w="245" w:type="dxa"/>
            <w:tcBorders/>
            <w:vAlign w:val="center"/>
          </w:tcPr>
          <w:p>
            <w:pPr>
              <w:pStyle w:val="TableContents"/>
              <w:bidi w:val="0"/>
              <w:spacing w:before="0" w:after="283"/>
              <w:jc w:val="right"/>
              <w:rPr>
                <w:b/>
                <w:caps/>
                <w:sz w:val="20"/>
              </w:rPr>
            </w:pPr>
            <w:r>
              <w:rPr>
                <w:b/>
                <w:caps/>
                <w:sz w:val="20"/>
              </w:rPr>
              <w:t>17</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15.</w:t>
            </w:r>
          </w:p>
        </w:tc>
        <w:tc>
          <w:tcPr>
            <w:tcW w:w="3050" w:type="dxa"/>
            <w:tcBorders/>
            <w:vAlign w:val="center"/>
          </w:tcPr>
          <w:p>
            <w:pPr>
              <w:pStyle w:val="TableContents"/>
              <w:bidi w:val="0"/>
              <w:spacing w:before="0" w:after="283"/>
              <w:jc w:val="left"/>
              <w:rPr>
                <w:b/>
                <w:caps/>
                <w:sz w:val="20"/>
              </w:rPr>
            </w:pPr>
            <w:r>
              <w:rPr>
                <w:b/>
                <w:caps/>
                <w:sz w:val="20"/>
              </w:rPr>
              <w:t>REMEDIES AND WAIVERS</w:t>
            </w:r>
          </w:p>
        </w:tc>
        <w:tc>
          <w:tcPr>
            <w:tcW w:w="245" w:type="dxa"/>
            <w:tcBorders/>
            <w:vAlign w:val="center"/>
          </w:tcPr>
          <w:p>
            <w:pPr>
              <w:pStyle w:val="TableContents"/>
              <w:bidi w:val="0"/>
              <w:spacing w:before="0" w:after="283"/>
              <w:jc w:val="right"/>
              <w:rPr>
                <w:b/>
                <w:caps/>
                <w:sz w:val="20"/>
              </w:rPr>
            </w:pPr>
            <w:r>
              <w:rPr>
                <w:b/>
                <w:caps/>
                <w:sz w:val="20"/>
              </w:rPr>
              <w:t>17</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16.</w:t>
            </w:r>
          </w:p>
        </w:tc>
        <w:tc>
          <w:tcPr>
            <w:tcW w:w="3050" w:type="dxa"/>
            <w:tcBorders/>
            <w:vAlign w:val="center"/>
          </w:tcPr>
          <w:p>
            <w:pPr>
              <w:pStyle w:val="TableContents"/>
              <w:bidi w:val="0"/>
              <w:spacing w:before="0" w:after="283"/>
              <w:jc w:val="left"/>
              <w:rPr>
                <w:b/>
                <w:caps/>
                <w:sz w:val="20"/>
              </w:rPr>
            </w:pPr>
            <w:r>
              <w:rPr>
                <w:b/>
                <w:caps/>
                <w:sz w:val="20"/>
              </w:rPr>
              <w:t>AMENDMENTS AND WAIVERS</w:t>
            </w:r>
          </w:p>
        </w:tc>
        <w:tc>
          <w:tcPr>
            <w:tcW w:w="245" w:type="dxa"/>
            <w:tcBorders/>
            <w:vAlign w:val="center"/>
          </w:tcPr>
          <w:p>
            <w:pPr>
              <w:pStyle w:val="TableContents"/>
              <w:bidi w:val="0"/>
              <w:spacing w:before="0" w:after="283"/>
              <w:jc w:val="right"/>
              <w:rPr>
                <w:b/>
                <w:caps/>
                <w:sz w:val="20"/>
              </w:rPr>
            </w:pPr>
            <w:r>
              <w:rPr>
                <w:b/>
                <w:caps/>
                <w:sz w:val="20"/>
              </w:rPr>
              <w:t>17</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17.</w:t>
            </w:r>
          </w:p>
        </w:tc>
        <w:tc>
          <w:tcPr>
            <w:tcW w:w="3050" w:type="dxa"/>
            <w:tcBorders/>
            <w:vAlign w:val="center"/>
          </w:tcPr>
          <w:p>
            <w:pPr>
              <w:pStyle w:val="TableContents"/>
              <w:bidi w:val="0"/>
              <w:spacing w:before="0" w:after="283"/>
              <w:jc w:val="left"/>
              <w:rPr>
                <w:b/>
                <w:caps/>
                <w:sz w:val="20"/>
              </w:rPr>
            </w:pPr>
            <w:r>
              <w:rPr>
                <w:b/>
                <w:caps/>
                <w:sz w:val="20"/>
              </w:rPr>
              <w:t>CONFIDENTIAL INFORMATION</w:t>
            </w:r>
          </w:p>
        </w:tc>
        <w:tc>
          <w:tcPr>
            <w:tcW w:w="245" w:type="dxa"/>
            <w:tcBorders/>
            <w:vAlign w:val="center"/>
          </w:tcPr>
          <w:p>
            <w:pPr>
              <w:pStyle w:val="TableContents"/>
              <w:bidi w:val="0"/>
              <w:spacing w:before="0" w:after="283"/>
              <w:jc w:val="right"/>
              <w:rPr>
                <w:b/>
                <w:caps/>
                <w:sz w:val="20"/>
              </w:rPr>
            </w:pPr>
            <w:r>
              <w:rPr>
                <w:b/>
                <w:caps/>
                <w:sz w:val="20"/>
              </w:rPr>
              <w:t>18</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18.</w:t>
            </w:r>
          </w:p>
        </w:tc>
        <w:tc>
          <w:tcPr>
            <w:tcW w:w="3050" w:type="dxa"/>
            <w:tcBorders/>
            <w:vAlign w:val="center"/>
          </w:tcPr>
          <w:p>
            <w:pPr>
              <w:pStyle w:val="TableContents"/>
              <w:bidi w:val="0"/>
              <w:spacing w:before="0" w:after="283"/>
              <w:jc w:val="left"/>
              <w:rPr>
                <w:b/>
                <w:caps/>
                <w:sz w:val="20"/>
              </w:rPr>
            </w:pPr>
            <w:r>
              <w:rPr>
                <w:b/>
                <w:caps/>
                <w:sz w:val="20"/>
              </w:rPr>
              <w:t>COUNTERPARTS</w:t>
            </w:r>
          </w:p>
        </w:tc>
        <w:tc>
          <w:tcPr>
            <w:tcW w:w="245" w:type="dxa"/>
            <w:tcBorders/>
            <w:vAlign w:val="center"/>
          </w:tcPr>
          <w:p>
            <w:pPr>
              <w:pStyle w:val="TableContents"/>
              <w:bidi w:val="0"/>
              <w:spacing w:before="0" w:after="283"/>
              <w:jc w:val="right"/>
              <w:rPr>
                <w:b/>
                <w:caps/>
                <w:sz w:val="20"/>
              </w:rPr>
            </w:pPr>
            <w:r>
              <w:rPr>
                <w:b/>
                <w:caps/>
                <w:sz w:val="20"/>
              </w:rPr>
              <w:t>20</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19.</w:t>
            </w:r>
          </w:p>
        </w:tc>
        <w:tc>
          <w:tcPr>
            <w:tcW w:w="3050" w:type="dxa"/>
            <w:tcBorders/>
            <w:vAlign w:val="center"/>
          </w:tcPr>
          <w:p>
            <w:pPr>
              <w:pStyle w:val="TableContents"/>
              <w:bidi w:val="0"/>
              <w:spacing w:before="0" w:after="283"/>
              <w:jc w:val="left"/>
              <w:rPr>
                <w:b/>
                <w:caps/>
                <w:sz w:val="20"/>
              </w:rPr>
            </w:pPr>
            <w:r>
              <w:rPr>
                <w:b/>
                <w:caps/>
                <w:sz w:val="20"/>
              </w:rPr>
              <w:t>GOVERNING LAW</w:t>
            </w:r>
          </w:p>
        </w:tc>
        <w:tc>
          <w:tcPr>
            <w:tcW w:w="245" w:type="dxa"/>
            <w:tcBorders/>
            <w:vAlign w:val="center"/>
          </w:tcPr>
          <w:p>
            <w:pPr>
              <w:pStyle w:val="TableContents"/>
              <w:bidi w:val="0"/>
              <w:spacing w:before="0" w:after="283"/>
              <w:jc w:val="right"/>
              <w:rPr>
                <w:b/>
                <w:caps/>
                <w:sz w:val="20"/>
              </w:rPr>
            </w:pPr>
            <w:r>
              <w:rPr>
                <w:b/>
                <w:caps/>
                <w:sz w:val="20"/>
              </w:rPr>
              <w:t>20</w:t>
            </w:r>
          </w:p>
        </w:tc>
      </w:tr>
      <w:tr>
        <w:trPr/>
        <w:tc>
          <w:tcPr>
            <w:tcW w:w="29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20.</w:t>
            </w:r>
          </w:p>
        </w:tc>
        <w:tc>
          <w:tcPr>
            <w:tcW w:w="3050" w:type="dxa"/>
            <w:tcBorders/>
            <w:vAlign w:val="center"/>
          </w:tcPr>
          <w:p>
            <w:pPr>
              <w:pStyle w:val="TableContents"/>
              <w:bidi w:val="0"/>
              <w:spacing w:before="0" w:after="283"/>
              <w:jc w:val="left"/>
              <w:rPr>
                <w:b/>
                <w:caps/>
                <w:sz w:val="20"/>
              </w:rPr>
            </w:pPr>
            <w:r>
              <w:rPr>
                <w:b/>
                <w:caps/>
                <w:sz w:val="20"/>
              </w:rPr>
              <w:t>ENFORCEMENT</w:t>
            </w:r>
          </w:p>
        </w:tc>
        <w:tc>
          <w:tcPr>
            <w:tcW w:w="245" w:type="dxa"/>
            <w:tcBorders/>
            <w:vAlign w:val="center"/>
          </w:tcPr>
          <w:p>
            <w:pPr>
              <w:pStyle w:val="TableContents"/>
              <w:bidi w:val="0"/>
              <w:spacing w:before="0" w:after="283"/>
              <w:jc w:val="right"/>
              <w:rPr>
                <w:b/>
                <w:caps/>
                <w:sz w:val="20"/>
              </w:rPr>
            </w:pPr>
            <w:r>
              <w:rPr>
                <w:b/>
                <w:caps/>
                <w:sz w:val="20"/>
              </w:rPr>
              <w:t>20</w:t>
            </w:r>
          </w:p>
        </w:tc>
      </w:tr>
    </w:tbl>
    <w:tbl>
      <w:tblPr>
        <w:tblW w:w="1495" w:type="dxa"/>
        <w:jc w:val="left"/>
        <w:tblInd w:w="0" w:type="dxa"/>
        <w:tblLayout w:type="fixed"/>
        <w:tblCellMar>
          <w:top w:w="0" w:type="dxa"/>
          <w:left w:w="0" w:type="dxa"/>
          <w:bottom w:w="0" w:type="dxa"/>
          <w:right w:w="0" w:type="dxa"/>
        </w:tblCellMar>
      </w:tblPr>
      <w:tblGrid>
        <w:gridCol w:w="1250"/>
        <w:gridCol w:w="245"/>
      </w:tblGrid>
      <w:tr>
        <w:trPr/>
        <w:tc>
          <w:tcPr>
            <w:tcW w:w="125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Schedule 1</w:t>
            </w:r>
          </w:p>
        </w:tc>
        <w:tc>
          <w:tcPr>
            <w:tcW w:w="24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22</w:t>
            </w:r>
          </w:p>
        </w:tc>
      </w:tr>
      <w:tr>
        <w:trPr/>
        <w:tc>
          <w:tcPr>
            <w:tcW w:w="125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Schedule 2</w:t>
            </w:r>
          </w:p>
        </w:tc>
        <w:tc>
          <w:tcPr>
            <w:tcW w:w="24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23</w:t>
            </w:r>
          </w:p>
        </w:tc>
      </w:tr>
    </w:tbl>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Form of Notice of Assignment</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250"/>
        <w:gridCol w:w="245"/>
      </w:tblGrid>
      <w:tr>
        <w:trPr/>
        <w:tc>
          <w:tcPr>
            <w:tcW w:w="1250" w:type="dxa"/>
            <w:tcBorders/>
            <w:vAlign w:val="center"/>
          </w:tcPr>
          <w:p>
            <w:pPr>
              <w:pStyle w:val="TableContents"/>
              <w:bidi w:val="0"/>
              <w:spacing w:before="0" w:after="283"/>
              <w:ind w:left="0" w:right="0" w:hanging="720"/>
              <w:jc w:val="left"/>
              <w:rPr>
                <w:rFonts w:ascii="Times New Roman;Times;Serif" w:hAnsi="Times New Roman;Times;Serif"/>
                <w:b/>
                <w:i w:val="false"/>
                <w:caps/>
                <w:sz w:val="20"/>
              </w:rPr>
            </w:pPr>
            <w:r>
              <w:rPr>
                <w:rFonts w:ascii="Times New Roman;Times;Serif" w:hAnsi="Times New Roman;Times;Serif"/>
                <w:b/>
                <w:i w:val="false"/>
                <w:caps/>
                <w:sz w:val="20"/>
              </w:rPr>
              <w:t>Schedule 3</w:t>
            </w:r>
          </w:p>
        </w:tc>
        <w:tc>
          <w:tcPr>
            <w:tcW w:w="24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Form of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DEED OF GUARANTEE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is dated ____________ 2025 and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BETWEEN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b/>
              </w:rPr>
              <w:t>GEELY SWEDEN HOLDINGS AB</w:t>
            </w:r>
            <w:r>
              <w:rPr/>
              <w:t>, a company incorporated under the laws of the Kingdom of Sweden with corporate identity number 556810-9010 (the “</w:t>
            </w:r>
            <w:r>
              <w:rPr>
                <w:b/>
              </w:rPr>
              <w:t>Guarantor</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160"/>
        <w:gridCol w:w="8894"/>
      </w:tblGrid>
      <w:tr>
        <w:trPr/>
        <w:tc>
          <w:tcPr>
            <w:tcW w:w="15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894" w:type="dxa"/>
            <w:tcBorders/>
            <w:vAlign w:val="center"/>
          </w:tcPr>
          <w:p>
            <w:pPr>
              <w:pStyle w:val="TableContents"/>
              <w:bidi w:val="0"/>
              <w:spacing w:before="0" w:after="283"/>
              <w:jc w:val="both"/>
              <w:rPr/>
            </w:pPr>
            <w:r>
              <w:rPr/>
              <w:t>[ ] (the “</w:t>
            </w:r>
            <w:r>
              <w:rPr>
                <w:b/>
              </w:rPr>
              <w:t>Beneficiary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BACKGROUND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8"/>
        <w:gridCol w:w="9830"/>
      </w:tblGrid>
      <w:tr>
        <w:trPr/>
        <w:tc>
          <w:tcPr>
            <w:tcW w:w="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(A)</w:t>
            </w:r>
          </w:p>
        </w:tc>
        <w:tc>
          <w:tcPr>
            <w:tcW w:w="9830" w:type="dxa"/>
            <w:tcBorders/>
            <w:vAlign w:val="center"/>
          </w:tcPr>
          <w:p>
            <w:pPr>
              <w:pStyle w:val="TableContents"/>
              <w:bidi w:val="0"/>
              <w:spacing w:before="0" w:after="283"/>
              <w:jc w:val="both"/>
              <w:rPr/>
            </w:pPr>
            <w:r>
              <w:rPr/>
              <w:t>The Guarantor and the Beneficiary enter into this Deed in connection with the Put Option Agreement (as defined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(B)</w:t>
            </w:r>
          </w:p>
        </w:tc>
        <w:tc>
          <w:tcPr>
            <w:tcW w:w="9861" w:type="dxa"/>
            <w:tcBorders/>
            <w:vAlign w:val="center"/>
          </w:tcPr>
          <w:p>
            <w:pPr>
              <w:pStyle w:val="TableContents"/>
              <w:bidi w:val="0"/>
              <w:spacing w:before="0" w:after="283"/>
              <w:jc w:val="both"/>
              <w:rPr/>
            </w:pPr>
            <w:r>
              <w:rPr/>
              <w:t>It is intended that this document takes effect as a deed notwithstanding the fact that a Party (as defined below) may only execute this document under hand.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AGREED</w:t>
      </w:r>
      <w:r>
        <w:rPr>
          <w:rFonts w:ascii="Times New Roman;Times;Serif" w:hAnsi="Times New Roman;Times;Serif"/>
          <w:b w:val="false"/>
          <w:i w:val="false"/>
          <w:caps w:val="false"/>
          <w:smallCaps w:val="false"/>
          <w:sz w:val="20"/>
        </w:rPr>
        <w:t xml:space="preserv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814"/>
        <w:gridCol w:w="9237"/>
      </w:tblGrid>
      <w:tr>
        <w:trPr/>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b/>
                <w:caps/>
              </w:rPr>
            </w:pPr>
            <w:r>
              <w:rPr>
                <w:b/>
                <w:caps/>
              </w:rPr>
              <w:t>1.</w:t>
            </w:r>
          </w:p>
        </w:tc>
        <w:tc>
          <w:tcPr>
            <w:tcW w:w="9237" w:type="dxa"/>
            <w:tcBorders/>
            <w:vAlign w:val="center"/>
          </w:tcPr>
          <w:p>
            <w:pPr>
              <w:pStyle w:val="TableContents"/>
              <w:bidi w:val="0"/>
              <w:spacing w:before="0" w:after="283"/>
              <w:jc w:val="both"/>
              <w:rPr>
                <w:b/>
                <w:caps/>
              </w:rPr>
            </w:pPr>
            <w:r>
              <w:rPr>
                <w:b/>
                <w:caps/>
              </w:rPr>
              <w:t>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2195"/>
        <w:gridCol w:w="7750"/>
      </w:tblGrid>
      <w:tr>
        <w:trPr/>
        <w:tc>
          <w:tcPr>
            <w:tcW w:w="2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pPr>
            <w:r>
              <w:rPr/>
              <w:t>1.1</w:t>
            </w:r>
          </w:p>
        </w:tc>
        <w:tc>
          <w:tcPr>
            <w:tcW w:w="7750" w:type="dxa"/>
            <w:tcBorders/>
            <w:vAlign w:val="center"/>
          </w:tcPr>
          <w:p>
            <w:pPr>
              <w:pStyle w:val="TableContents"/>
              <w:bidi w:val="0"/>
              <w:spacing w:before="0" w:after="283"/>
              <w:jc w:val="both"/>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or a Sunday) on which banks are open for general business in PRC, Stockholm, Hong Kong and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means all information relating to the Group, the Volvo Truck Group, the Put Option Agreement or this Deed of which the Beneficiary becomes aware in its capacity as, or for the purpose of becoming, a party or which is received by the Beneficiary in relation to, or for the purpose of becoming a party under, the Put Option Agreement or this Deed from any member of the Group, the Volvo Truck Group or any of their advisers in whatever form, and includes information given orally and any document, electronic file or any other way of representing or recording information which contains or is derived or copied from such information but excludes information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is or becomes public information other than as a direct or indirect result of any breach by the Beneficiary of Clause 17 (</w:t>
            </w:r>
            <w:r>
              <w:rPr>
                <w:i/>
              </w:rPr>
              <w:t>Confidential Information</w:t>
            </w:r>
            <w:r>
              <w:rPr/>
              <w:t>) of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is identified in writing at the time of delivery as non-confidential by any member of the Group, the Volvo Truck Group or any of their advisers;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t>is known by the Beneficiary before the date the information is disclosed to it in accordance with the paragraph above or is lawfully obtained by the Beneficiary after that date, from a source which is, as far as the Beneficiary is aware, unconnected with the Group, or the Volvo Truck Group, as applicable and which, in either case, as far as the Beneficiary is aware, has not been obtained in breach of, and is not otherwise subject to, any obligation of confidentiality.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means Geely Sweden Automotive Investment AB, a private company incorporated under the laws of the Kingdom of Sweden with company number 559263-3035.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the Guarantor and its Subsidiaries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Holding Company</w:t>
      </w:r>
      <w:r>
        <w:rPr>
          <w:rFonts w:ascii="Times New Roman;Times;Serif" w:hAnsi="Times New Roman;Times;Serif"/>
          <w:b w:val="false"/>
          <w:i w:val="false"/>
          <w:caps w:val="false"/>
          <w:smallCaps w:val="false"/>
          <w:sz w:val="20"/>
        </w:rPr>
        <w:t>” means, in relation to a person, any other person in respect of which it is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Indirect Tax</w:t>
      </w:r>
      <w:r>
        <w:rPr>
          <w:rFonts w:ascii="Times New Roman;Times;Serif" w:hAnsi="Times New Roman;Times;Serif"/>
          <w:b w:val="false"/>
          <w:i w:val="false"/>
          <w:caps w:val="false"/>
          <w:smallCaps w:val="false"/>
          <w:sz w:val="20"/>
        </w:rPr>
        <w:t>” means any goods and services tax, consumption tax, value added tax or any tax of a similar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means a period starting on one day in a calendar month and ending on the numerically corresponding day in the next calendar month, except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if the numerically corresponding day is not a Business Day, that period will end on the next Business Day in the calendar month in which that period is to end if there is one, or if there is not, on the immediately preceding Business Day;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if there is no numerically corresponding day in the calendar month in which that period is to end, that period will end on the last Business Day in that calendar month.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means Zhejiang Geely Holding Group Co., Ltd. (</w:t>
      </w:r>
      <w:r>
        <w:rPr>
          <w:rFonts w:eastAsia="Times New Roman;Times;Serif"/>
          <w:b w:val="false"/>
          <w:i w:val="false"/>
          <w:caps w:val="false"/>
          <w:smallCaps w:val="false"/>
          <w:sz w:val="20"/>
        </w:rPr>
        <w:t>浙江吉利控股集团有限公司</w:t>
      </w:r>
      <w:r>
        <w:rPr>
          <w:rFonts w:ascii="Times New Roman;Times;Serif" w:hAnsi="Times New Roman;Times;Serif"/>
          <w:b w:val="false"/>
          <w:i w:val="false"/>
          <w:caps w:val="false"/>
          <w:smallCaps w:val="false"/>
          <w:sz w:val="20"/>
        </w:rPr>
        <w:t>), a company incorporated in the PRC with unified credit number 91330000747735638J whose registered address is at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a party to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means the People's Republic of China but excluding for the purposes of this Deed, Hong Kong, the Special Administrative Region of Macau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Put Option Agreement</w:t>
      </w:r>
      <w:r>
        <w:rPr>
          <w:rFonts w:ascii="Times New Roman;Times;Serif" w:hAnsi="Times New Roman;Times;Serif"/>
          <w:b w:val="false"/>
          <w:i w:val="false"/>
          <w:caps w:val="false"/>
          <w:smallCaps w:val="false"/>
          <w:sz w:val="20"/>
        </w:rPr>
        <w:t>” means the confirmation of a put option transaction between Counterparty and the Beneficiary dated on or about the date of this Guarantee, which supplements, forms a part of, and is subject to the 2002 ISDA Master Agreement (together with the elections and amendments set out in Schedule A to the confirmation) which Counterparty and the Beneficiary are deemed to have entered into by entering into the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Fund</w:t>
      </w:r>
      <w:r>
        <w:rPr>
          <w:rFonts w:ascii="Times New Roman;Times;Serif" w:hAnsi="Times New Roman;Times;Serif"/>
          <w:b w:val="false"/>
          <w:i w:val="false"/>
          <w:caps w:val="false"/>
          <w:smallCaps w:val="false"/>
          <w:sz w:val="20"/>
        </w:rPr>
        <w:t>” in relation to a fund (the “</w:t>
      </w:r>
      <w:r>
        <w:rPr>
          <w:rFonts w:ascii="Times New Roman;Times;Serif" w:hAnsi="Times New Roman;Times;Serif"/>
          <w:b/>
          <w:i w:val="false"/>
          <w:caps w:val="false"/>
          <w:smallCaps w:val="false"/>
          <w:sz w:val="20"/>
        </w:rPr>
        <w:t>first fund</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a fund which is managed or advised by the same investment manager or investment adviser as the first fund;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if it is managed by a different investment manager or investment adviser, a fund whose investment manager or investment adviser is an Affiliate of the investment manager or investment adviser of the first fund.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Party</w:t>
      </w:r>
      <w:r>
        <w:rPr>
          <w:rFonts w:ascii="Times New Roman;Times;Serif" w:hAnsi="Times New Roman;Times;Serif"/>
          <w:b w:val="false"/>
          <w:i w:val="false"/>
          <w:caps w:val="false"/>
          <w:smallCaps w:val="false"/>
          <w:sz w:val="20"/>
        </w:rPr>
        <w:t>” means, in respect of the Guarantor: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27"/>
        <w:gridCol w:w="9833"/>
      </w:tblGrid>
      <w:tr>
        <w:trPr/>
        <w:tc>
          <w:tcPr>
            <w:tcW w:w="4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(a)</w:t>
            </w:r>
          </w:p>
        </w:tc>
        <w:tc>
          <w:tcPr>
            <w:tcW w:w="9833" w:type="dxa"/>
            <w:tcBorders/>
            <w:vAlign w:val="center"/>
          </w:tcPr>
          <w:p>
            <w:pPr>
              <w:pStyle w:val="TableContents"/>
              <w:bidi w:val="0"/>
              <w:spacing w:before="0" w:after="283"/>
              <w:jc w:val="both"/>
              <w:rPr/>
            </w:pPr>
            <w:r>
              <w:rPr/>
              <w:t>any legal entity, from time to time, that directly, or indirectly, controls the Guarantor;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t>any legal entity which is from time to time, directly or indirectly controlled by any legal entity referred to in paragraph (a)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in each case, any legal entity which is a member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definition: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78" w:type="dxa"/>
            <w:tcBorders/>
            <w:vAlign w:val="center"/>
          </w:tcPr>
          <w:p>
            <w:pPr>
              <w:pStyle w:val="TableContents"/>
              <w:bidi w:val="0"/>
              <w:spacing w:before="0" w:after="283"/>
              <w:jc w:val="both"/>
              <w:rPr/>
            </w:pPr>
            <w:r>
              <w:rPr/>
              <w:t>“</w:t>
            </w:r>
            <w:r>
              <w:rPr>
                <w:b/>
              </w:rPr>
              <w:t>control</w:t>
            </w:r>
            <w:r>
              <w:rPr/>
              <w:t>” means, in relation to a legal entity, the possession of the power to direct the management and the policies of a legal entity whether through the ownership of voting capital, by contract or otherwise;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96" w:type="dxa"/>
            <w:tcBorders/>
            <w:vAlign w:val="center"/>
          </w:tcPr>
          <w:p>
            <w:pPr>
              <w:pStyle w:val="TableContents"/>
              <w:bidi w:val="0"/>
              <w:spacing w:before="0" w:after="283"/>
              <w:jc w:val="both"/>
              <w:rPr/>
            </w:pPr>
            <w:r>
              <w:rPr/>
              <w:t>“</w:t>
            </w:r>
            <w:r>
              <w:rPr>
                <w:b/>
              </w:rPr>
              <w:t>legal entity</w:t>
            </w:r>
            <w:r>
              <w:rPr/>
              <w:t>” includes without limitation any individual, corporation, company, firm, partnership, governmental body or other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Repeating Representations</w:t>
      </w:r>
      <w:r>
        <w:rPr>
          <w:rFonts w:ascii="Times New Roman;Times;Serif" w:hAnsi="Times New Roman;Times;Serif"/>
          <w:b w:val="false"/>
          <w:i w:val="false"/>
          <w:caps w:val="false"/>
          <w:smallCaps w:val="false"/>
          <w:sz w:val="20"/>
        </w:rPr>
        <w:t>” means each of the representations and warranties set out in Part B (</w:t>
      </w:r>
      <w:r>
        <w:rPr>
          <w:rFonts w:ascii="Times New Roman;Times;Serif" w:hAnsi="Times New Roman;Times;Serif"/>
          <w:b w:val="false"/>
          <w:i/>
          <w:caps w:val="false"/>
          <w:smallCaps w:val="false"/>
          <w:sz w:val="20"/>
        </w:rPr>
        <w:t>Representations</w:t>
      </w:r>
      <w:r>
        <w:rPr>
          <w:rFonts w:ascii="Times New Roman;Times;Serif" w:hAnsi="Times New Roman;Times;Serif"/>
          <w:b w:val="false"/>
          <w:i w:val="false"/>
          <w:caps w:val="false"/>
          <w:smallCaps w:val="false"/>
          <w:sz w:val="20"/>
        </w:rPr>
        <w:t>) of Schedule 1 (but excluding paragraph 7 (</w:t>
      </w:r>
      <w:r>
        <w:rPr>
          <w:rFonts w:ascii="Times New Roman;Times;Serif" w:hAnsi="Times New Roman;Times;Serif"/>
          <w:b w:val="false"/>
          <w:i/>
          <w:caps w:val="false"/>
          <w:smallCaps w:val="false"/>
          <w:sz w:val="20"/>
        </w:rPr>
        <w:t>Deduction of Tax</w:t>
      </w:r>
      <w:r>
        <w:rPr>
          <w:rFonts w:ascii="Times New Roman;Times;Serif" w:hAnsi="Times New Roman;Times;Serif"/>
          <w:b w:val="false"/>
          <w:i w:val="false"/>
          <w:caps w:val="false"/>
          <w:smallCaps w:val="false"/>
          <w:sz w:val="20"/>
        </w:rPr>
        <w:t>), paragraph 8 (</w:t>
      </w:r>
      <w:r>
        <w:rPr>
          <w:rFonts w:ascii="Times New Roman;Times;Serif" w:hAnsi="Times New Roman;Times;Serif"/>
          <w:b w:val="false"/>
          <w:i/>
          <w:caps w:val="false"/>
          <w:smallCaps w:val="false"/>
          <w:sz w:val="20"/>
        </w:rPr>
        <w:t>No filing or stamp taxes</w:t>
      </w:r>
      <w:r>
        <w:rPr>
          <w:rFonts w:ascii="Times New Roman;Times;Serif" w:hAnsi="Times New Roman;Times;Serif"/>
          <w:b w:val="false"/>
          <w:i w:val="false"/>
          <w:caps w:val="false"/>
          <w:smallCaps w:val="false"/>
          <w:sz w:val="20"/>
        </w:rPr>
        <w:t>), paragraph 12.2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and paragraph 16 (</w:t>
      </w:r>
      <w:r>
        <w:rPr>
          <w:rFonts w:ascii="Times New Roman;Times;Serif" w:hAnsi="Times New Roman;Times;Serif"/>
          <w:b w:val="false"/>
          <w:i/>
          <w:caps w:val="false"/>
          <w:smallCaps w:val="false"/>
          <w:sz w:val="20"/>
        </w:rPr>
        <w:t>Shareholdings</w:t>
      </w:r>
      <w:r>
        <w:rPr>
          <w:rFonts w:ascii="Times New Roman;Times;Serif" w:hAnsi="Times New Roman;Times;Serif"/>
          <w:b w:val="false"/>
          <w:i w:val="false"/>
          <w:caps w:val="false"/>
          <w:smallCaps w:val="false"/>
          <w:sz w:val="20"/>
        </w:rPr>
        <w:t>) of Part B (</w:t>
      </w:r>
      <w:r>
        <w:rPr>
          <w:rFonts w:ascii="Times New Roman;Times;Serif" w:hAnsi="Times New Roman;Times;Serif"/>
          <w:b w:val="false"/>
          <w:i/>
          <w:caps w:val="false"/>
          <w:smallCaps w:val="false"/>
          <w:sz w:val="20"/>
        </w:rPr>
        <w:t>Representations</w:t>
      </w:r>
      <w:r>
        <w:rPr>
          <w:rFonts w:ascii="Times New Roman;Times;Serif" w:hAnsi="Times New Roman;Times;Serif"/>
          <w:b w:val="false"/>
          <w:i w:val="false"/>
          <w:caps w:val="false"/>
          <w:smallCaps w:val="false"/>
          <w:sz w:val="20"/>
        </w:rPr>
        <w:t>) of 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means any delegate, agent, manager, administrator, nominee, attorney, trustee or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Interest</w:t>
      </w:r>
      <w:r>
        <w:rPr>
          <w:rFonts w:ascii="Times New Roman;Times;Serif" w:hAnsi="Times New Roman;Times;Serif"/>
          <w:b w:val="false"/>
          <w:i w:val="false"/>
          <w:caps w:val="false"/>
          <w:smallCaps w:val="false"/>
          <w:sz w:val="20"/>
        </w:rPr>
        <w:t>” means a mortgage, charge, pledge, lien, assignment by way of security, hypothecation or other security interest securing any obligation of any person or any other agreement or arrangement having a similar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SEK</w:t>
      </w:r>
      <w:r>
        <w:rPr>
          <w:rFonts w:ascii="Times New Roman;Times;Serif" w:hAnsi="Times New Roman;Times;Serif"/>
          <w:b w:val="false"/>
          <w:i w:val="false"/>
          <w:caps w:val="false"/>
          <w:smallCaps w:val="false"/>
          <w:sz w:val="20"/>
        </w:rPr>
        <w:t>” denotes the lawful currency of Sweden.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has the meaning given to it in the Put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xml:space="preserve">” means an entity of which a person has direct or indirect control or owns directly or indirectly more than 50 per cent. of the voting capital or similar right of ownership and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xml:space="preserve"> for this purpose means the power to direct the management and the policies of the entity whether through the ownership of voting capital,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Volvo Truck</w:t>
      </w:r>
      <w:r>
        <w:rPr>
          <w:rFonts w:ascii="Times New Roman;Times;Serif" w:hAnsi="Times New Roman;Times;Serif"/>
          <w:b w:val="false"/>
          <w:i w:val="false"/>
          <w:caps w:val="false"/>
          <w:smallCaps w:val="false"/>
          <w:sz w:val="20"/>
        </w:rPr>
        <w:t>” means Aktiebolaget Volvo (publ) (corporate identity no. 556012-5790), a public limited liability company incorporated under the laws of the Kingdom of Sweden whose registered address is at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Volvo Truck Group</w:t>
      </w:r>
      <w:r>
        <w:rPr>
          <w:rFonts w:ascii="Times New Roman;Times;Serif" w:hAnsi="Times New Roman;Times;Serif"/>
          <w:b w:val="false"/>
          <w:i w:val="false"/>
          <w:caps w:val="false"/>
          <w:smallCaps w:val="false"/>
          <w:sz w:val="20"/>
        </w:rPr>
        <w:t>” means Volvo Truck and its Subsidiaries from time to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890"/>
        <w:gridCol w:w="8091"/>
      </w:tblGrid>
      <w:tr>
        <w:trPr/>
        <w:tc>
          <w:tcPr>
            <w:tcW w:w="224"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pPr>
            <w:r>
              <w:rPr/>
              <w:t>1.2</w:t>
            </w:r>
          </w:p>
        </w:tc>
        <w:tc>
          <w:tcPr>
            <w:tcW w:w="8091" w:type="dxa"/>
            <w:tcBorders/>
            <w:vAlign w:val="center"/>
          </w:tcPr>
          <w:p>
            <w:pPr>
              <w:pStyle w:val="TableContents"/>
              <w:bidi w:val="0"/>
              <w:spacing w:before="0" w:after="283"/>
              <w:jc w:val="both"/>
              <w:rPr>
                <w:b/>
              </w:rPr>
            </w:pPr>
            <w:r>
              <w:rPr>
                <w:b/>
              </w:rPr>
              <w:t>Construction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7"/>
        <w:gridCol w:w="9811"/>
      </w:tblGrid>
      <w:tr>
        <w:trPr/>
        <w:tc>
          <w:tcPr>
            <w:tcW w:w="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(a)</w:t>
            </w:r>
          </w:p>
        </w:tc>
        <w:tc>
          <w:tcPr>
            <w:tcW w:w="9811" w:type="dxa"/>
            <w:tcBorders/>
            <w:vAlign w:val="center"/>
          </w:tcPr>
          <w:p>
            <w:pPr>
              <w:pStyle w:val="TableContents"/>
              <w:bidi w:val="0"/>
              <w:spacing w:before="0" w:after="283"/>
              <w:jc w:val="both"/>
              <w:rPr/>
            </w:pPr>
            <w:r>
              <w:rPr/>
              <w:t>Unless this Deed expressly provides to the contrary, any reference in this Deed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59" w:type="dxa"/>
            <w:tcBorders/>
            <w:vAlign w:val="center"/>
          </w:tcPr>
          <w:p>
            <w:pPr>
              <w:pStyle w:val="TableContents"/>
              <w:bidi w:val="0"/>
              <w:spacing w:before="0" w:after="283"/>
              <w:jc w:val="both"/>
              <w:rPr/>
            </w:pPr>
            <w:r>
              <w:rPr/>
              <w:t>the Guarantor, Counterparty, the Beneficiary or any other person includes its successors in title, permitted assigns and permitted transferees;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24" w:type="dxa"/>
            <w:tcBorders/>
            <w:vAlign w:val="center"/>
          </w:tcPr>
          <w:p>
            <w:pPr>
              <w:pStyle w:val="TableContents"/>
              <w:bidi w:val="0"/>
              <w:spacing w:before="0" w:after="283"/>
              <w:jc w:val="both"/>
              <w:rPr/>
            </w:pPr>
            <w:r>
              <w:rPr/>
              <w:t>an “</w:t>
            </w:r>
            <w:r>
              <w:rPr>
                <w:b/>
              </w:rPr>
              <w:t>amendment</w:t>
            </w:r>
            <w:r>
              <w:rPr/>
              <w:t>” includes a supplement, novation, extension (whether of maturity or otherwise), restatement, re-enactment or replacement (however fundamental and whether or not more onerous) and “</w:t>
            </w:r>
            <w:r>
              <w:rPr>
                <w:b/>
              </w:rPr>
              <w:t>amended</w:t>
            </w:r>
            <w:r>
              <w:rPr/>
              <w:t>” will be construed accordingly;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09"/>
        <w:gridCol w:w="9752"/>
      </w:tblGrid>
      <w:tr>
        <w:trPr/>
        <w:tc>
          <w:tcPr>
            <w:tcW w:w="4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752" w:type="dxa"/>
            <w:tcBorders/>
            <w:vAlign w:val="center"/>
          </w:tcPr>
          <w:p>
            <w:pPr>
              <w:pStyle w:val="TableContents"/>
              <w:bidi w:val="0"/>
              <w:spacing w:before="0" w:after="283"/>
              <w:jc w:val="both"/>
              <w:rPr/>
            </w:pPr>
            <w:r>
              <w:rPr/>
              <w:t>“</w:t>
            </w:r>
            <w:r>
              <w:rPr>
                <w:b/>
              </w:rPr>
              <w:t>assets</w:t>
            </w:r>
            <w:r>
              <w:rPr/>
              <w:t>” includes present and future properties, revenues and rights of every description;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5"/>
        <w:gridCol w:w="9853"/>
      </w:tblGrid>
      <w:tr>
        <w:trPr/>
        <w:tc>
          <w:tcPr>
            <w:tcW w:w="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53" w:type="dxa"/>
            <w:tcBorders/>
            <w:vAlign w:val="center"/>
          </w:tcPr>
          <w:p>
            <w:pPr>
              <w:pStyle w:val="TableContents"/>
              <w:bidi w:val="0"/>
              <w:spacing w:before="0" w:after="283"/>
              <w:jc w:val="both"/>
              <w:rPr/>
            </w:pPr>
            <w:r>
              <w:rPr/>
              <w:t>“</w:t>
            </w:r>
            <w:r>
              <w:rPr>
                <w:b/>
              </w:rPr>
              <w:t>disposal</w:t>
            </w:r>
            <w:r>
              <w:rPr/>
              <w:t>” includes a sale, transfer, assignment, grant, lease, licence, declaration of trust or other disposal, whether voluntary or involuntary, and dispose will be construed accordingly;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18" w:type="dxa"/>
            <w:tcBorders/>
            <w:vAlign w:val="center"/>
          </w:tcPr>
          <w:p>
            <w:pPr>
              <w:pStyle w:val="TableContents"/>
              <w:bidi w:val="0"/>
              <w:spacing w:before="0" w:after="283"/>
              <w:jc w:val="both"/>
              <w:rPr/>
            </w:pPr>
            <w:r>
              <w:rPr/>
              <w:t>the Put Option Agreement or any other agreement or instrument includes (without prejudice to any restriction on amendments) any amendment to the Put Option Agreement or other agreement or instrument;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851" w:type="dxa"/>
            <w:tcBorders/>
            <w:vAlign w:val="center"/>
          </w:tcPr>
          <w:p>
            <w:pPr>
              <w:pStyle w:val="TableContents"/>
              <w:bidi w:val="0"/>
              <w:spacing w:before="0" w:after="283"/>
              <w:jc w:val="both"/>
              <w:rPr/>
            </w:pPr>
            <w:r>
              <w:rPr/>
              <w:t>“</w:t>
            </w:r>
            <w:r>
              <w:rPr>
                <w:b/>
              </w:rPr>
              <w:t>indebtedness</w:t>
            </w:r>
            <w:r>
              <w:rPr/>
              <w:t>” includes any obligation (whether incurred as principal or as surety) for the payment or repayment of money, whether present or future, actual or contingent;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6"/>
        <w:gridCol w:w="9802"/>
      </w:tblGrid>
      <w:tr>
        <w:trPr/>
        <w:tc>
          <w:tcPr>
            <w:tcW w:w="3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9802" w:type="dxa"/>
            <w:tcBorders/>
            <w:vAlign w:val="center"/>
          </w:tcPr>
          <w:p>
            <w:pPr>
              <w:pStyle w:val="TableContents"/>
              <w:bidi w:val="0"/>
              <w:spacing w:before="0" w:after="283"/>
              <w:jc w:val="both"/>
              <w:rPr/>
            </w:pPr>
            <w:r>
              <w:rPr/>
              <w:t>“</w:t>
            </w:r>
            <w:r>
              <w:rPr>
                <w:b/>
              </w:rPr>
              <w:t>know your customer</w:t>
            </w:r>
            <w:r>
              <w:rPr/>
              <w:t>” checks is to the identification checks that the Beneficiary requests to meet its obligations under any applicable law or regulation or internal policies to identify a person who is (or is to become) its customer;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1"/>
        <w:gridCol w:w="9747"/>
      </w:tblGrid>
      <w:tr>
        <w:trPr/>
        <w:tc>
          <w:tcPr>
            <w:tcW w:w="3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(viii)</w:t>
            </w:r>
          </w:p>
        </w:tc>
        <w:tc>
          <w:tcPr>
            <w:tcW w:w="9747" w:type="dxa"/>
            <w:tcBorders/>
            <w:vAlign w:val="center"/>
          </w:tcPr>
          <w:p>
            <w:pPr>
              <w:pStyle w:val="TableContents"/>
              <w:bidi w:val="0"/>
              <w:spacing w:before="0" w:after="283"/>
              <w:jc w:val="both"/>
              <w:rPr/>
            </w:pPr>
            <w:r>
              <w:rPr/>
              <w:t>a “</w:t>
            </w:r>
            <w:r>
              <w:rPr>
                <w:b/>
              </w:rPr>
              <w:t>person</w:t>
            </w:r>
            <w:r>
              <w:rPr/>
              <w:t>” includes any individual, firm, company, corporation, government, state or agency of a state or any association or body (including a partnership, trust, fund, joint venture or consortium), or any other entity (whether or not having separate legal personality);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(ix)</w:t>
            </w:r>
          </w:p>
        </w:tc>
        <w:tc>
          <w:tcPr>
            <w:tcW w:w="9876" w:type="dxa"/>
            <w:tcBorders/>
            <w:vAlign w:val="center"/>
          </w:tcPr>
          <w:p>
            <w:pPr>
              <w:pStyle w:val="TableContents"/>
              <w:bidi w:val="0"/>
              <w:spacing w:before="0" w:after="283"/>
              <w:jc w:val="both"/>
              <w:rPr/>
            </w:pPr>
            <w:r>
              <w:rPr/>
              <w:t>a “</w:t>
            </w:r>
            <w:r>
              <w:rPr>
                <w:b/>
              </w:rPr>
              <w:t>regulation</w:t>
            </w:r>
            <w:r>
              <w:rPr/>
              <w:t>” includes any regulation, rule, official directive, request or guideline (whether or not having the force of law but, if not having the force of law, being of a type with which a person to which it applies is generally accustomed to comply) of any governmental, inter- governmental or supranational body, agency or department, or of any regulatory, self- regulatory or other authority or organisation;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w:t>
            </w:r>
          </w:p>
        </w:tc>
        <w:tc>
          <w:tcPr>
            <w:tcW w:w="9918" w:type="dxa"/>
            <w:tcBorders/>
            <w:vAlign w:val="center"/>
          </w:tcPr>
          <w:p>
            <w:pPr>
              <w:pStyle w:val="TableContents"/>
              <w:bidi w:val="0"/>
              <w:spacing w:before="0" w:after="283"/>
              <w:jc w:val="both"/>
              <w:rPr/>
            </w:pPr>
            <w:r>
              <w:rPr/>
              <w:t>a “</w:t>
            </w:r>
            <w:r>
              <w:rPr>
                <w:b/>
              </w:rPr>
              <w:t>share</w:t>
            </w:r>
            <w:r>
              <w:rPr/>
              <w:t>” includes any right, money or property accruing or offered at any time in relation to any such share by way of redemption, substitution, exchange, bonus or preference, under option rights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405"/>
        <w:gridCol w:w="9757"/>
      </w:tblGrid>
      <w:tr>
        <w:trPr/>
        <w:tc>
          <w:tcPr>
            <w:tcW w:w="4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w:t>
            </w:r>
          </w:p>
        </w:tc>
        <w:tc>
          <w:tcPr>
            <w:tcW w:w="9757" w:type="dxa"/>
            <w:tcBorders/>
            <w:vAlign w:val="center"/>
          </w:tcPr>
          <w:p>
            <w:pPr>
              <w:pStyle w:val="TableContents"/>
              <w:bidi w:val="0"/>
              <w:spacing w:before="0" w:after="283"/>
              <w:jc w:val="both"/>
              <w:rPr/>
            </w:pPr>
            <w:r>
              <w:rPr/>
              <w:t>a currency is a reference to the lawful currency for the time being of the relevant country;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7"/>
        <w:gridCol w:w="9761"/>
      </w:tblGrid>
      <w:tr>
        <w:trPr/>
        <w:tc>
          <w:tcPr>
            <w:tcW w:w="3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(xii)</w:t>
            </w:r>
          </w:p>
        </w:tc>
        <w:tc>
          <w:tcPr>
            <w:tcW w:w="9761" w:type="dxa"/>
            <w:tcBorders/>
            <w:vAlign w:val="center"/>
          </w:tcPr>
          <w:p>
            <w:pPr>
              <w:pStyle w:val="TableContents"/>
              <w:bidi w:val="0"/>
              <w:spacing w:before="0" w:after="283"/>
              <w:jc w:val="both"/>
              <w:rPr/>
            </w:pPr>
            <w:r>
              <w:rPr/>
              <w:t>a provision of law is a reference to that provision as amended and includes any subordinate legislation;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951"/>
        <w:gridCol w:w="9178"/>
      </w:tblGrid>
      <w:tr>
        <w:trPr/>
        <w:tc>
          <w:tcPr>
            <w:tcW w:w="7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(xiii)</w:t>
            </w:r>
          </w:p>
        </w:tc>
        <w:tc>
          <w:tcPr>
            <w:tcW w:w="9178" w:type="dxa"/>
            <w:tcBorders/>
            <w:vAlign w:val="center"/>
          </w:tcPr>
          <w:p>
            <w:pPr>
              <w:pStyle w:val="TableContents"/>
              <w:bidi w:val="0"/>
              <w:spacing w:before="0" w:after="283"/>
              <w:jc w:val="both"/>
              <w:rPr/>
            </w:pPr>
            <w:r>
              <w:rPr/>
              <w:t>a time of day is a reference to Hong Kong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81"/>
        <w:gridCol w:w="9775"/>
      </w:tblGrid>
      <w:tr>
        <w:trPr/>
        <w:tc>
          <w:tcPr>
            <w:tcW w:w="4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pPr>
            <w:r>
              <w:rPr/>
              <w:t>(b)</w:t>
            </w:r>
          </w:p>
        </w:tc>
        <w:tc>
          <w:tcPr>
            <w:tcW w:w="9775" w:type="dxa"/>
            <w:tcBorders/>
            <w:vAlign w:val="center"/>
          </w:tcPr>
          <w:p>
            <w:pPr>
              <w:pStyle w:val="TableContents"/>
              <w:bidi w:val="0"/>
              <w:spacing w:before="0" w:after="283"/>
              <w:jc w:val="both"/>
              <w:rPr/>
            </w:pPr>
            <w:r>
              <w:rPr/>
              <w:t>A Clause or a Schedule is a reference to a clause of or a schedule to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5"/>
        <w:gridCol w:w="9847"/>
      </w:tblGrid>
      <w:tr>
        <w:trPr/>
        <w:tc>
          <w:tcPr>
            <w:tcW w:w="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(c)</w:t>
            </w:r>
          </w:p>
        </w:tc>
        <w:tc>
          <w:tcPr>
            <w:tcW w:w="9847" w:type="dxa"/>
            <w:tcBorders/>
            <w:vAlign w:val="center"/>
          </w:tcPr>
          <w:p>
            <w:pPr>
              <w:pStyle w:val="TableContents"/>
              <w:bidi w:val="0"/>
              <w:spacing w:before="0" w:after="283"/>
              <w:jc w:val="both"/>
              <w:rPr/>
            </w:pPr>
            <w:r>
              <w:rPr/>
              <w:t>The headings in this Deed are for ease of reference only and do not affect its 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Where this Deed specifies an amount in a given currency (the “</w:t>
            </w:r>
            <w:r>
              <w:rPr>
                <w:b/>
              </w:rPr>
              <w:t>specified currency</w:t>
            </w:r>
            <w:r>
              <w:rPr/>
              <w:t>”) “or its equivalent”, the “equivalent” is a reference to the amount of any other currency which, when converted into the specified currency utilising the Beneficiary’s spot rate of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449"/>
        <w:gridCol w:w="8584"/>
      </w:tblGrid>
      <w:tr>
        <w:trPr/>
        <w:tc>
          <w:tcPr>
            <w:tcW w:w="17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pPr>
            <w:r>
              <w:rPr/>
              <w:t>1.3</w:t>
            </w:r>
          </w:p>
        </w:tc>
        <w:tc>
          <w:tcPr>
            <w:tcW w:w="8584" w:type="dxa"/>
            <w:tcBorders/>
            <w:vAlign w:val="center"/>
          </w:tcPr>
          <w:p>
            <w:pPr>
              <w:pStyle w:val="TableContents"/>
              <w:bidi w:val="0"/>
              <w:spacing w:before="0" w:after="283"/>
              <w:jc w:val="both"/>
              <w:rPr>
                <w:b/>
              </w:rPr>
            </w:pPr>
            <w:r>
              <w:rPr>
                <w:b/>
              </w:rPr>
              <w:t>Third party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37" w:type="dxa"/>
            <w:tcBorders/>
            <w:vAlign w:val="center"/>
          </w:tcPr>
          <w:p>
            <w:pPr>
              <w:pStyle w:val="TableContents"/>
              <w:bidi w:val="0"/>
              <w:spacing w:before="0" w:after="283"/>
              <w:jc w:val="both"/>
              <w:rPr/>
            </w:pPr>
            <w:r>
              <w:rPr>
                <w:rFonts w:ascii="Times New Roman;Times;Serif" w:hAnsi="Times New Roman;Times;Serif"/>
              </w:rPr>
              <w:t xml:space="preserve">Unless expressly provided to the contrary in this Deed, a person who is not a Party has no right under the </w:t>
            </w:r>
            <w:r>
              <w:rPr/>
              <w:t>Contracts (Rights of Third Parties) Act 1999 (the “</w:t>
            </w:r>
            <w:r>
              <w:rPr>
                <w:b/>
              </w:rPr>
              <w:t>Third Parties Act</w:t>
            </w:r>
            <w:r>
              <w:rPr/>
              <w:t>”) to enforce or to enjoy the benefit of any term of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Notwithstanding any term of this Deed, the consent of any person who is not a Party is not required to rescind or vary this Deed at any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Any individual referred to in Clause 1.5 (</w:t>
            </w:r>
            <w:r>
              <w:rPr>
                <w:i/>
              </w:rPr>
              <w:t>Personal liabilities</w:t>
            </w:r>
            <w:r>
              <w:rPr/>
              <w:t>) may enforce and enjoy the benefit of any paragraph in this Deed which expressly confers rights on it, subject to paragraph (b) above and the provisions of the Third Parties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863"/>
        <w:gridCol w:w="9240"/>
      </w:tblGrid>
      <w:tr>
        <w:trPr/>
        <w:tc>
          <w:tcPr>
            <w:tcW w:w="1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pPr>
            <w:r>
              <w:rPr/>
              <w:t>1.4</w:t>
            </w:r>
          </w:p>
        </w:tc>
        <w:tc>
          <w:tcPr>
            <w:tcW w:w="9240" w:type="dxa"/>
            <w:tcBorders/>
            <w:vAlign w:val="center"/>
          </w:tcPr>
          <w:p>
            <w:pPr>
              <w:pStyle w:val="TableContents"/>
              <w:bidi w:val="0"/>
              <w:spacing w:before="0" w:after="283"/>
              <w:jc w:val="both"/>
              <w:rPr>
                <w:b/>
              </w:rPr>
            </w:pPr>
            <w:r>
              <w:rPr>
                <w:b/>
              </w:rPr>
              <w:t>Contractual recognition of bail-in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Notwithstanding any other term of this Deed or any other agreement, arrangement or understanding between the Parties, each Party acknowledges and accepts that any liability of the Guarantor to the Beneficiary or the Beneficiary to the Guarantor (as applicable) under or in connection with this Deed may be subject to Bail-In Action by the relevant Resolution Authority and acknowledges and accepts to be bound by the effect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97"/>
        <w:gridCol w:w="9860"/>
      </w:tblGrid>
      <w:tr>
        <w:trPr/>
        <w:tc>
          <w:tcPr>
            <w:tcW w:w="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860" w:type="dxa"/>
            <w:tcBorders/>
            <w:vAlign w:val="center"/>
          </w:tcPr>
          <w:p>
            <w:pPr>
              <w:pStyle w:val="TableContents"/>
              <w:bidi w:val="0"/>
              <w:spacing w:before="0" w:after="283"/>
              <w:jc w:val="both"/>
              <w:rPr/>
            </w:pPr>
            <w:r>
              <w:rPr/>
              <w:t>any Bail-In Action in relation to any such liability, including (without limitation):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(A)</w:t>
            </w:r>
          </w:p>
        </w:tc>
        <w:tc>
          <w:tcPr>
            <w:tcW w:w="9845" w:type="dxa"/>
            <w:tcBorders/>
            <w:vAlign w:val="center"/>
          </w:tcPr>
          <w:p>
            <w:pPr>
              <w:pStyle w:val="TableContents"/>
              <w:bidi w:val="0"/>
              <w:spacing w:before="0" w:after="283"/>
              <w:jc w:val="both"/>
              <w:rPr/>
            </w:pPr>
            <w:r>
              <w:rPr/>
              <w:t>a reduction, in full or in part, in the principal amount, or outstanding amount due (including any accrued but unpaid interest) in respect of any such liability;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(B)</w:t>
            </w:r>
          </w:p>
        </w:tc>
        <w:tc>
          <w:tcPr>
            <w:tcW w:w="9854" w:type="dxa"/>
            <w:tcBorders/>
            <w:vAlign w:val="center"/>
          </w:tcPr>
          <w:p>
            <w:pPr>
              <w:pStyle w:val="TableContents"/>
              <w:bidi w:val="0"/>
              <w:spacing w:before="0" w:after="283"/>
              <w:jc w:val="both"/>
              <w:rPr/>
            </w:pPr>
            <w:r>
              <w:rPr/>
              <w:t>a conversion of all, or part of, any such liability into shares or other instruments of ownership that may be issued to, or conferred on, it;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838"/>
        <w:gridCol w:w="9273"/>
      </w:tblGrid>
      <w:tr>
        <w:trPr/>
        <w:tc>
          <w:tcPr>
            <w:tcW w:w="9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pPr>
            <w:r>
              <w:rPr/>
              <w:t>(C)</w:t>
            </w:r>
          </w:p>
        </w:tc>
        <w:tc>
          <w:tcPr>
            <w:tcW w:w="9273" w:type="dxa"/>
            <w:tcBorders/>
            <w:vAlign w:val="center"/>
          </w:tcPr>
          <w:p>
            <w:pPr>
              <w:pStyle w:val="TableContents"/>
              <w:bidi w:val="0"/>
              <w:spacing w:before="0" w:after="283"/>
              <w:jc w:val="both"/>
              <w:rPr/>
            </w:pPr>
            <w:r>
              <w:rPr/>
              <w:t>a cancellation of any such liability;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92" w:type="dxa"/>
            <w:tcBorders/>
            <w:vAlign w:val="center"/>
          </w:tcPr>
          <w:p>
            <w:pPr>
              <w:pStyle w:val="TableContents"/>
              <w:bidi w:val="0"/>
              <w:spacing w:before="0" w:after="283"/>
              <w:jc w:val="both"/>
              <w:rPr/>
            </w:pPr>
            <w:r>
              <w:rPr/>
              <w:t>a variation of any term of this Deed to the extent necessary to give effect to any Bail-In Action in relation to any such liability.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798"/>
        <w:gridCol w:w="9303"/>
      </w:tblGrid>
      <w:tr>
        <w:trPr/>
        <w:tc>
          <w:tcPr>
            <w:tcW w:w="10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pPr>
            <w:r>
              <w:rPr/>
              <w:t>(b)</w:t>
            </w:r>
          </w:p>
        </w:tc>
        <w:tc>
          <w:tcPr>
            <w:tcW w:w="9303" w:type="dxa"/>
            <w:tcBorders/>
            <w:vAlign w:val="center"/>
          </w:tcPr>
          <w:p>
            <w:pPr>
              <w:pStyle w:val="TableContents"/>
              <w:bidi w:val="0"/>
              <w:spacing w:before="0" w:after="283"/>
              <w:jc w:val="both"/>
              <w:rPr/>
            </w:pPr>
            <w:r>
              <w:rPr/>
              <w:t>For the purposes of this Clause 1.4: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67" w:type="dxa"/>
            <w:tcBorders/>
            <w:vAlign w:val="center"/>
          </w:tcPr>
          <w:p>
            <w:pPr>
              <w:pStyle w:val="TableContents"/>
              <w:bidi w:val="0"/>
              <w:spacing w:before="0" w:after="283"/>
              <w:jc w:val="both"/>
              <w:rPr/>
            </w:pPr>
            <w:r>
              <w:rPr/>
              <w:t>“</w:t>
            </w:r>
            <w:r>
              <w:rPr>
                <w:b/>
              </w:rPr>
              <w:t>Article 55 BRRD</w:t>
            </w:r>
            <w:r>
              <w:rPr/>
              <w:t>” means Article 55 of Directive 2014/59/EU establishing a framework for the recovery and resolution of credit institutions and investment firms.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6"/>
        <w:gridCol w:w="9792"/>
      </w:tblGrid>
      <w:tr>
        <w:trPr/>
        <w:tc>
          <w:tcPr>
            <w:tcW w:w="4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792" w:type="dxa"/>
            <w:tcBorders/>
            <w:vAlign w:val="center"/>
          </w:tcPr>
          <w:p>
            <w:pPr>
              <w:pStyle w:val="TableContents"/>
              <w:bidi w:val="0"/>
              <w:spacing w:before="0" w:after="283"/>
              <w:jc w:val="both"/>
              <w:rPr/>
            </w:pPr>
            <w:r>
              <w:rPr/>
              <w:t>“</w:t>
            </w:r>
            <w:r>
              <w:rPr>
                <w:b/>
              </w:rPr>
              <w:t>Bail-In Action</w:t>
            </w:r>
            <w:r>
              <w:rPr/>
              <w:t>” means the exercise of any Write-down and Conversion Powers.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1106"/>
        <w:gridCol w:w="8979"/>
      </w:tblGrid>
      <w:tr>
        <w:trPr/>
        <w:tc>
          <w:tcPr>
            <w:tcW w:w="12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8979" w:type="dxa"/>
            <w:tcBorders/>
            <w:vAlign w:val="center"/>
          </w:tcPr>
          <w:p>
            <w:pPr>
              <w:pStyle w:val="TableContents"/>
              <w:bidi w:val="0"/>
              <w:spacing w:before="0" w:after="283"/>
              <w:jc w:val="both"/>
              <w:rPr/>
            </w:pPr>
            <w:r>
              <w:rPr/>
              <w:t>“</w:t>
            </w:r>
            <w:r>
              <w:rPr>
                <w:b/>
              </w:rPr>
              <w:t>Bail-In Legislation</w:t>
            </w:r>
            <w:r>
              <w:rPr/>
              <w:t>” means: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9863" w:type="dxa"/>
            <w:tcBorders/>
            <w:vAlign w:val="center"/>
          </w:tcPr>
          <w:p>
            <w:pPr>
              <w:pStyle w:val="TableContents"/>
              <w:bidi w:val="0"/>
              <w:spacing w:before="0" w:after="283"/>
              <w:jc w:val="both"/>
              <w:rPr/>
            </w:pPr>
            <w:r>
              <w:rPr/>
              <w:t>in relation to an EEA Member Country which has implemented, or which at any time implements, Article 55 BRRD, the relevant implementing law or regulation as described in the EU Bail-In Legislation Schedule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509"/>
        <w:gridCol w:w="9639"/>
      </w:tblGrid>
      <w:tr>
        <w:trPr/>
        <w:tc>
          <w:tcPr>
            <w:tcW w:w="5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(B)</w:t>
            </w:r>
          </w:p>
        </w:tc>
        <w:tc>
          <w:tcPr>
            <w:tcW w:w="9639" w:type="dxa"/>
            <w:tcBorders/>
            <w:vAlign w:val="center"/>
          </w:tcPr>
          <w:p>
            <w:pPr>
              <w:pStyle w:val="TableContents"/>
              <w:bidi w:val="0"/>
              <w:spacing w:before="0" w:after="283"/>
              <w:jc w:val="both"/>
              <w:rPr/>
            </w:pPr>
            <w:r>
              <w:rPr/>
              <w:t>in relation to the United Kingdom, the UK Bail-In Legislation;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(C)</w:t>
            </w:r>
          </w:p>
        </w:tc>
        <w:tc>
          <w:tcPr>
            <w:tcW w:w="9881" w:type="dxa"/>
            <w:tcBorders/>
            <w:vAlign w:val="center"/>
          </w:tcPr>
          <w:p>
            <w:pPr>
              <w:pStyle w:val="TableContents"/>
              <w:bidi w:val="0"/>
              <w:spacing w:before="0" w:after="283"/>
              <w:jc w:val="both"/>
              <w:rPr/>
            </w:pPr>
            <w:r>
              <w:rPr/>
              <w:t>in relation to any state other than such an EEA Member Country and the United Kingdom, any analogous law or regulation from time to time which requires contractual recognition of any Write-down and Conversion Powers contained in that law or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26" w:type="dxa"/>
            <w:tcBorders/>
            <w:vAlign w:val="center"/>
          </w:tcPr>
          <w:p>
            <w:pPr>
              <w:pStyle w:val="TableContents"/>
              <w:bidi w:val="0"/>
              <w:spacing w:before="0" w:after="283"/>
              <w:jc w:val="both"/>
              <w:rPr/>
            </w:pPr>
            <w:r>
              <w:rPr/>
              <w:t>“</w:t>
            </w:r>
            <w:r>
              <w:rPr>
                <w:b/>
              </w:rPr>
              <w:t>EEA Member Country</w:t>
            </w:r>
            <w:r>
              <w:rPr/>
              <w:t>” means any member state of the European Union, Iceland, Liechtenstein and Norway.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10" w:type="dxa"/>
            <w:tcBorders/>
            <w:vAlign w:val="center"/>
          </w:tcPr>
          <w:p>
            <w:pPr>
              <w:pStyle w:val="TableContents"/>
              <w:bidi w:val="0"/>
              <w:spacing w:before="0" w:after="283"/>
              <w:jc w:val="both"/>
              <w:rPr/>
            </w:pPr>
            <w:r>
              <w:rPr/>
              <w:t>“</w:t>
            </w:r>
            <w:r>
              <w:rPr>
                <w:b/>
              </w:rPr>
              <w:t>EU Bail-In Legislation Schedule</w:t>
            </w:r>
            <w:r>
              <w:rPr/>
              <w:t>” means the document described as such and published by the Loan Market Association (or any successor person)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827" w:type="dxa"/>
            <w:tcBorders/>
            <w:vAlign w:val="center"/>
          </w:tcPr>
          <w:p>
            <w:pPr>
              <w:pStyle w:val="TableContents"/>
              <w:bidi w:val="0"/>
              <w:spacing w:before="0" w:after="283"/>
              <w:jc w:val="both"/>
              <w:rPr/>
            </w:pPr>
            <w:r>
              <w:rPr/>
              <w:t>“</w:t>
            </w:r>
            <w:r>
              <w:rPr>
                <w:b/>
              </w:rPr>
              <w:t>Resolution Authority</w:t>
            </w:r>
            <w:r>
              <w:rPr/>
              <w:t>” means any body which has authority to exercise any Write-down and Conversion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9813" w:type="dxa"/>
            <w:tcBorders/>
            <w:vAlign w:val="center"/>
          </w:tcPr>
          <w:p>
            <w:pPr>
              <w:pStyle w:val="TableContents"/>
              <w:bidi w:val="0"/>
              <w:spacing w:before="0" w:after="283"/>
              <w:jc w:val="both"/>
              <w:rPr/>
            </w:pPr>
            <w:r>
              <w:rPr/>
              <w:t>“</w:t>
            </w:r>
            <w:r>
              <w:rPr>
                <w:b/>
              </w:rPr>
              <w:t>UK Bail-In Legislation</w:t>
            </w:r>
            <w:r>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924"/>
        <w:gridCol w:w="9207"/>
      </w:tblGrid>
      <w:tr>
        <w:trPr/>
        <w:tc>
          <w:tcPr>
            <w:tcW w:w="7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(viii)</w:t>
            </w:r>
          </w:p>
        </w:tc>
        <w:tc>
          <w:tcPr>
            <w:tcW w:w="9207" w:type="dxa"/>
            <w:tcBorders/>
            <w:vAlign w:val="center"/>
          </w:tcPr>
          <w:p>
            <w:pPr>
              <w:pStyle w:val="TableContents"/>
              <w:bidi w:val="0"/>
              <w:spacing w:before="0" w:after="283"/>
              <w:jc w:val="both"/>
              <w:rPr/>
            </w:pPr>
            <w:r>
              <w:rPr/>
              <w:t>“</w:t>
            </w:r>
            <w:r>
              <w:rPr>
                <w:b/>
              </w:rPr>
              <w:t>Write-down and Conversion Powers</w:t>
            </w:r>
            <w:r>
              <w:rPr/>
              <w:t>” means: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both"/>
              <w:rPr/>
            </w:pPr>
            <w:r>
              <w:rPr/>
              <w:t>in relation to any Bail-In Legislation described in the EU Bail-In Legislation Schedule from time to time, the powers described as such in relation to that Bail-In Legislation in the EU Bail-In Legislation Schedule;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t>in relation to any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627"/>
        <w:gridCol w:w="9507"/>
      </w:tblGrid>
      <w:tr>
        <w:trPr/>
        <w:tc>
          <w:tcPr>
            <w:tcW w:w="7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(C)</w:t>
            </w:r>
          </w:p>
        </w:tc>
        <w:tc>
          <w:tcPr>
            <w:tcW w:w="9507" w:type="dxa"/>
            <w:tcBorders/>
            <w:vAlign w:val="center"/>
          </w:tcPr>
          <w:p>
            <w:pPr>
              <w:pStyle w:val="TableContents"/>
              <w:bidi w:val="0"/>
              <w:spacing w:before="0" w:after="283"/>
              <w:jc w:val="both"/>
              <w:rPr/>
            </w:pPr>
            <w:r>
              <w:rPr/>
              <w:t>in relation to any other applicable Bail-In Legislation: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both"/>
              <w:rPr/>
            </w:pPr>
            <w:r>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14"/>
        <w:gridCol w:w="9630"/>
      </w:tblGrid>
      <w:tr>
        <w:trPr/>
        <w:tc>
          <w:tcPr>
            <w:tcW w:w="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(II)</w:t>
            </w:r>
          </w:p>
        </w:tc>
        <w:tc>
          <w:tcPr>
            <w:tcW w:w="9630" w:type="dxa"/>
            <w:tcBorders/>
            <w:vAlign w:val="center"/>
          </w:tcPr>
          <w:p>
            <w:pPr>
              <w:pStyle w:val="TableContents"/>
              <w:bidi w:val="0"/>
              <w:spacing w:before="0" w:after="283"/>
              <w:jc w:val="both"/>
              <w:rPr/>
            </w:pPr>
            <w:r>
              <w:rPr/>
              <w:t>any similar or analogous powers under that Bail-In Legislation.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469"/>
        <w:gridCol w:w="8562"/>
      </w:tblGrid>
      <w:tr>
        <w:trPr/>
        <w:tc>
          <w:tcPr>
            <w:tcW w:w="1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pPr>
            <w:r>
              <w:rPr/>
              <w:t>1.5</w:t>
            </w:r>
          </w:p>
        </w:tc>
        <w:tc>
          <w:tcPr>
            <w:tcW w:w="8562" w:type="dxa"/>
            <w:tcBorders/>
            <w:vAlign w:val="center"/>
          </w:tcPr>
          <w:p>
            <w:pPr>
              <w:pStyle w:val="TableContents"/>
              <w:bidi w:val="0"/>
              <w:spacing w:before="0" w:after="283"/>
              <w:jc w:val="both"/>
              <w:rPr>
                <w:b/>
              </w:rPr>
            </w:pPr>
            <w:r>
              <w:rPr>
                <w:b/>
              </w:rPr>
              <w:t>Personal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other individual acting (or purporting to act) on behalf of the Guarantor (or any of its Affiliate) shall be personally liable for any representation, certification or statement made or deemed to be made by him or her, the Guarantor in this Deed or any certificate, notice or other document required to be delivered under, or in connection with this Deed, whether or not signed by that director, officer, employee or other individual, save in the case of fraud or where there is an intention to mislead (in which case any liability shall be determined in accordance with applicable law) and each such individual may rely on this Clause 1.5 subject to Clause 1.3 (</w:t>
      </w:r>
      <w:r>
        <w:rPr>
          <w:rFonts w:ascii="Times New Roman;Times;Serif" w:hAnsi="Times New Roman;Times;Serif"/>
          <w:b w:val="false"/>
          <w:i/>
          <w:caps w:val="false"/>
          <w:smallCaps w:val="false"/>
          <w:sz w:val="20"/>
        </w:rPr>
        <w:t>Third party rights</w:t>
      </w:r>
      <w:r>
        <w:rPr>
          <w:rFonts w:ascii="Times New Roman;Times;Serif" w:hAnsi="Times New Roman;Times;Serif"/>
          <w:b w:val="false"/>
          <w:i w:val="false"/>
          <w:caps w:val="false"/>
          <w:smallCaps w:val="false"/>
          <w:sz w:val="20"/>
        </w:rPr>
        <w:t>) and the provisions of the Third Parties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5"/>
        <w:gridCol w:w="9593"/>
      </w:tblGrid>
      <w:tr>
        <w:trPr/>
        <w:tc>
          <w:tcPr>
            <w:tcW w:w="9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b/>
                <w:caps/>
              </w:rPr>
            </w:pPr>
            <w:r>
              <w:rPr>
                <w:b/>
                <w:caps/>
              </w:rPr>
              <w:t>2.</w:t>
            </w:r>
          </w:p>
        </w:tc>
        <w:tc>
          <w:tcPr>
            <w:tcW w:w="9593" w:type="dxa"/>
            <w:tcBorders/>
            <w:vAlign w:val="center"/>
          </w:tcPr>
          <w:p>
            <w:pPr>
              <w:pStyle w:val="TableContents"/>
              <w:bidi w:val="0"/>
              <w:spacing w:before="0" w:after="283"/>
              <w:jc w:val="both"/>
              <w:rPr>
                <w:b/>
                <w:caps/>
              </w:rPr>
            </w:pPr>
            <w:r>
              <w:rPr>
                <w:b/>
                <w:caps/>
              </w:rPr>
              <w:t>GUARANTEE AND INDEMNITY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087"/>
        <w:gridCol w:w="8989"/>
      </w:tblGrid>
      <w:tr>
        <w:trPr/>
        <w:tc>
          <w:tcPr>
            <w:tcW w:w="12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2.1</w:t>
            </w:r>
          </w:p>
        </w:tc>
        <w:tc>
          <w:tcPr>
            <w:tcW w:w="8989" w:type="dxa"/>
            <w:tcBorders/>
            <w:vAlign w:val="center"/>
          </w:tcPr>
          <w:p>
            <w:pPr>
              <w:pStyle w:val="TableContents"/>
              <w:bidi w:val="0"/>
              <w:spacing w:before="0" w:after="283"/>
              <w:jc w:val="both"/>
              <w:rPr>
                <w:b/>
              </w:rPr>
            </w:pPr>
            <w:r>
              <w:rPr>
                <w:b/>
              </w:rPr>
              <w:t>Guarantee and indemnity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irrevocably and unconditionally: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guarantees to the Beneficiary punctual performance by Counterparty of all its obligations under the Put Option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undertakes with the Beneficiary that whenever Counterparty does not pay any amount when due under or in connection with the Put Option Agreement, the Guarantor must immediately on demand pay that amount as if it were the principal obligor in respect of that amount;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agrees with the Beneficiary that if any obligation guaranteed by the Guarantor is or becomes unenforceable, invalid or illegal, it will, as an independent and primary obligation indemnify the Beneficiary immediately on demand against any cost, loss or liability it incurs as a result of Counterparty not paying any amount which would, but for such unenforceability, invalidity or illegality, have been payable by Counterparty under the Put Option Agreement on the date when it would have been due. The amount payable by the Guarantor under this indemnity will not exceed the amount it would have had to pay under this Clause if the amount claimed had been recoverable on the basis of a guarantee.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242"/>
        <w:gridCol w:w="8816"/>
      </w:tblGrid>
      <w:tr>
        <w:trPr/>
        <w:tc>
          <w:tcPr>
            <w:tcW w:w="14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pPr>
            <w:r>
              <w:rPr/>
              <w:t>2.2</w:t>
            </w:r>
          </w:p>
        </w:tc>
        <w:tc>
          <w:tcPr>
            <w:tcW w:w="8816" w:type="dxa"/>
            <w:tcBorders/>
            <w:vAlign w:val="center"/>
          </w:tcPr>
          <w:p>
            <w:pPr>
              <w:pStyle w:val="TableContents"/>
              <w:bidi w:val="0"/>
              <w:spacing w:before="0" w:after="283"/>
              <w:jc w:val="both"/>
              <w:rPr>
                <w:b/>
              </w:rPr>
            </w:pPr>
            <w:r>
              <w:rPr>
                <w:b/>
              </w:rPr>
              <w:t>Continuing guarantee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is a continuing guarantee and will extend to the ultimate balance of sums payable by Counterparty under the Put Option Agreement, regardless of any intermediate payment or discharge in whole or in part.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1767"/>
        <w:gridCol w:w="8229"/>
      </w:tblGrid>
      <w:tr>
        <w:trPr/>
        <w:tc>
          <w:tcPr>
            <w:tcW w:w="2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pPr>
            <w:r>
              <w:rPr/>
              <w:t>2.3</w:t>
            </w:r>
          </w:p>
        </w:tc>
        <w:tc>
          <w:tcPr>
            <w:tcW w:w="8229" w:type="dxa"/>
            <w:tcBorders/>
            <w:vAlign w:val="center"/>
          </w:tcPr>
          <w:p>
            <w:pPr>
              <w:pStyle w:val="TableContents"/>
              <w:bidi w:val="0"/>
              <w:spacing w:before="0" w:after="283"/>
              <w:jc w:val="both"/>
              <w:rPr>
                <w:b/>
              </w:rPr>
            </w:pPr>
            <w:r>
              <w:rPr>
                <w:b/>
              </w:rPr>
              <w:t>Reinstatement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discharge, release or arrangement (whether in respect of the obligations of Counterparty or otherwise) is made by the Beneficiary in whole or in part on the basis of any payment, security or other disposition which is avoided or must be restored in insolvency, liquidation, administration or otherwise, without limitation, then the liability of the Guarantor under this Clause will continue or be reinstated as if the discharge, release or arrangement had not occurred.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1412"/>
        <w:gridCol w:w="8626"/>
      </w:tblGrid>
      <w:tr>
        <w:trPr/>
        <w:tc>
          <w:tcPr>
            <w:tcW w:w="16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pPr>
            <w:r>
              <w:rPr/>
              <w:t>2.4</w:t>
            </w:r>
          </w:p>
        </w:tc>
        <w:tc>
          <w:tcPr>
            <w:tcW w:w="8626" w:type="dxa"/>
            <w:tcBorders/>
            <w:vAlign w:val="center"/>
          </w:tcPr>
          <w:p>
            <w:pPr>
              <w:pStyle w:val="TableContents"/>
              <w:bidi w:val="0"/>
              <w:spacing w:before="0" w:after="283"/>
              <w:jc w:val="both"/>
              <w:rPr>
                <w:b/>
              </w:rPr>
            </w:pPr>
            <w:r>
              <w:rPr>
                <w:b/>
              </w:rPr>
              <w:t>Waiver of defences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Guarantor under this Clause will not be affected by any act, omission, matter or thing which, but for this Clause would reduce, release or prejudice any of its obligations under this Clause including (without limitation and whether or not known to it or the Beneficiary):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6"/>
        <w:gridCol w:w="9846"/>
      </w:tblGrid>
      <w:tr>
        <w:trPr/>
        <w:tc>
          <w:tcPr>
            <w:tcW w:w="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(a)</w:t>
            </w:r>
          </w:p>
        </w:tc>
        <w:tc>
          <w:tcPr>
            <w:tcW w:w="9846" w:type="dxa"/>
            <w:tcBorders/>
            <w:vAlign w:val="center"/>
          </w:tcPr>
          <w:p>
            <w:pPr>
              <w:pStyle w:val="TableContents"/>
              <w:bidi w:val="0"/>
              <w:spacing w:before="0" w:after="283"/>
              <w:jc w:val="both"/>
              <w:rPr/>
            </w:pPr>
            <w:r>
              <w:rPr/>
              <w:t>any time, waiver or consent granted to, or composition with, Counterparty or other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(b)</w:t>
            </w:r>
          </w:p>
        </w:tc>
        <w:tc>
          <w:tcPr>
            <w:tcW w:w="9888" w:type="dxa"/>
            <w:tcBorders/>
            <w:vAlign w:val="center"/>
          </w:tcPr>
          <w:p>
            <w:pPr>
              <w:pStyle w:val="TableContents"/>
              <w:bidi w:val="0"/>
              <w:spacing w:before="0" w:after="283"/>
              <w:jc w:val="both"/>
              <w:rPr/>
            </w:pPr>
            <w:r>
              <w:rPr/>
              <w:t>the release of Counterparty or any other person under the terms of any composition or arrangement with any creditor;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(c)</w:t>
            </w:r>
          </w:p>
        </w:tc>
        <w:tc>
          <w:tcPr>
            <w:tcW w:w="9929" w:type="dxa"/>
            <w:tcBorders/>
            <w:vAlign w:val="center"/>
          </w:tcPr>
          <w:p>
            <w:pPr>
              <w:pStyle w:val="TableContents"/>
              <w:bidi w:val="0"/>
              <w:spacing w:before="0" w:after="283"/>
              <w:jc w:val="both"/>
              <w:rPr/>
            </w:pPr>
            <w:r>
              <w:rPr/>
              <w:t>the taking, variation, compromise, exchange, renewal or release of, or refusal or neglect to perfect, take up or enforce, any rights against, or security over assets of, Counterparty or other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283"/>
              <w:jc w:val="both"/>
              <w:rPr/>
            </w:pPr>
            <w:r>
              <w:rPr/>
              <w:t>any non-presentation or non-observance of any formality or other requirement in respect of any instrument or any failure to realise the full value of any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919" w:type="dxa"/>
            <w:tcBorders/>
            <w:vAlign w:val="center"/>
          </w:tcPr>
          <w:p>
            <w:pPr>
              <w:pStyle w:val="TableContents"/>
              <w:bidi w:val="0"/>
              <w:spacing w:before="0" w:after="283"/>
              <w:jc w:val="both"/>
              <w:rPr/>
            </w:pPr>
            <w:r>
              <w:rPr/>
              <w:t>any incapacity or lack of power, authority or legal personality of or dissolution or change in the members or status of Counterparty or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61" w:type="dxa"/>
            <w:tcBorders/>
            <w:vAlign w:val="center"/>
          </w:tcPr>
          <w:p>
            <w:pPr>
              <w:pStyle w:val="TableContents"/>
              <w:bidi w:val="0"/>
              <w:spacing w:before="0" w:after="283"/>
              <w:jc w:val="both"/>
              <w:rPr/>
            </w:pPr>
            <w:r>
              <w:rPr/>
              <w:t>any amendment, novation, supplement, extension, restatement (however fundamental and whether or not more onerous) or replacement of the Put Option Agreement or any other document or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(g)</w:t>
            </w:r>
          </w:p>
        </w:tc>
        <w:tc>
          <w:tcPr>
            <w:tcW w:w="9908" w:type="dxa"/>
            <w:tcBorders/>
            <w:vAlign w:val="center"/>
          </w:tcPr>
          <w:p>
            <w:pPr>
              <w:pStyle w:val="TableContents"/>
              <w:bidi w:val="0"/>
              <w:spacing w:before="0" w:after="283"/>
              <w:jc w:val="both"/>
              <w:rPr/>
            </w:pPr>
            <w:r>
              <w:rPr/>
              <w:t>any unenforceability, illegality, invalidity or non-provability of any obligation of any person under the Put Option Agreement or any other document or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558"/>
        <w:gridCol w:w="9574"/>
      </w:tblGrid>
      <w:tr>
        <w:trPr/>
        <w:tc>
          <w:tcPr>
            <w:tcW w:w="7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pPr>
            <w:r>
              <w:rPr/>
              <w:t>(h)</w:t>
            </w:r>
          </w:p>
        </w:tc>
        <w:tc>
          <w:tcPr>
            <w:tcW w:w="9574" w:type="dxa"/>
            <w:tcBorders/>
            <w:vAlign w:val="center"/>
          </w:tcPr>
          <w:p>
            <w:pPr>
              <w:pStyle w:val="TableContents"/>
              <w:bidi w:val="0"/>
              <w:spacing w:before="0" w:after="283"/>
              <w:jc w:val="both"/>
              <w:rPr/>
            </w:pPr>
            <w:r>
              <w:rPr/>
              <w:t>any insolvency, resolution or similar proceedings;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53"/>
        <w:gridCol w:w="9911"/>
      </w:tblGrid>
      <w:tr>
        <w:trPr/>
        <w:tc>
          <w:tcPr>
            <w:tcW w:w="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w:t>
            </w:r>
          </w:p>
        </w:tc>
        <w:tc>
          <w:tcPr>
            <w:tcW w:w="9911" w:type="dxa"/>
            <w:tcBorders/>
            <w:vAlign w:val="center"/>
          </w:tcPr>
          <w:p>
            <w:pPr>
              <w:pStyle w:val="TableContents"/>
              <w:bidi w:val="0"/>
              <w:spacing w:before="0" w:after="283"/>
              <w:jc w:val="both"/>
              <w:rPr/>
            </w:pPr>
            <w:r>
              <w:rPr/>
              <w:t>this Deed or the Put Option Agreement not being executed by or binding upon any other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89"/>
        <w:gridCol w:w="9435"/>
      </w:tblGrid>
      <w:tr>
        <w:trPr/>
        <w:tc>
          <w:tcPr>
            <w:tcW w:w="8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pPr>
            <w:r>
              <w:rPr/>
              <w:t>2.5</w:t>
            </w:r>
          </w:p>
        </w:tc>
        <w:tc>
          <w:tcPr>
            <w:tcW w:w="9435" w:type="dxa"/>
            <w:tcBorders/>
            <w:vAlign w:val="center"/>
          </w:tcPr>
          <w:p>
            <w:pPr>
              <w:pStyle w:val="TableContents"/>
              <w:bidi w:val="0"/>
              <w:spacing w:before="0" w:after="283"/>
              <w:jc w:val="both"/>
              <w:rPr>
                <w:b/>
              </w:rPr>
            </w:pPr>
            <w:r>
              <w:rPr>
                <w:b/>
              </w:rPr>
              <w:t>Amendments to the Put Option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33" w:type="dxa"/>
            <w:tcBorders/>
            <w:vAlign w:val="center"/>
          </w:tcPr>
          <w:p>
            <w:pPr>
              <w:pStyle w:val="TableContents"/>
              <w:bidi w:val="0"/>
              <w:spacing w:before="0" w:after="283"/>
              <w:jc w:val="both"/>
              <w:rPr/>
            </w:pPr>
            <w:r>
              <w:rPr>
                <w:rFonts w:ascii="Times New Roman;Times;Serif" w:hAnsi="Times New Roman;Times;Serif"/>
              </w:rPr>
              <w:t>Without limiting Clause 2.4 (</w:t>
            </w:r>
            <w:r>
              <w:rPr>
                <w:i/>
              </w:rPr>
              <w:t>Waiver of defences</w:t>
            </w:r>
            <w:r>
              <w:rPr/>
              <w:t>), the Guarantor acknowledges that the Put Option Agreement may from time to time be amended in accordance with the terms of the Put Option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95"/>
        <w:gridCol w:w="9420"/>
      </w:tblGrid>
      <w:tr>
        <w:trPr/>
        <w:tc>
          <w:tcPr>
            <w:tcW w:w="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pPr>
            <w:r>
              <w:rPr/>
              <w:t>(b)</w:t>
            </w:r>
          </w:p>
        </w:tc>
        <w:tc>
          <w:tcPr>
            <w:tcW w:w="9420" w:type="dxa"/>
            <w:tcBorders/>
            <w:vAlign w:val="center"/>
          </w:tcPr>
          <w:p>
            <w:pPr>
              <w:pStyle w:val="TableContents"/>
              <w:bidi w:val="0"/>
              <w:spacing w:before="0" w:after="283"/>
              <w:jc w:val="both"/>
              <w:rPr/>
            </w:pPr>
            <w:r>
              <w:rPr/>
              <w:t>The Guarantor confirms its intention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43" w:type="dxa"/>
            <w:tcBorders/>
            <w:vAlign w:val="center"/>
          </w:tcPr>
          <w:p>
            <w:pPr>
              <w:pStyle w:val="TableContents"/>
              <w:bidi w:val="0"/>
              <w:spacing w:before="0" w:after="283"/>
              <w:jc w:val="both"/>
              <w:rPr/>
            </w:pPr>
            <w:r>
              <w:rPr/>
              <w:t>any amendment (however fundamental) to the Put Option Agreement is within the scope of this guarantee;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95" w:type="dxa"/>
            <w:tcBorders/>
            <w:vAlign w:val="center"/>
          </w:tcPr>
          <w:p>
            <w:pPr>
              <w:pStyle w:val="TableContents"/>
              <w:bidi w:val="0"/>
              <w:spacing w:before="0" w:after="283"/>
              <w:jc w:val="both"/>
              <w:rPr/>
            </w:pPr>
            <w:r>
              <w:rPr/>
              <w:t>this guarantee extends to any amount payable by Counterparty under or in connection with the Put Option Agreement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25"/>
        <w:gridCol w:w="9835"/>
      </w:tblGrid>
      <w:tr>
        <w:trPr/>
        <w:tc>
          <w:tcPr>
            <w:tcW w:w="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(c)</w:t>
            </w:r>
          </w:p>
        </w:tc>
        <w:tc>
          <w:tcPr>
            <w:tcW w:w="9835" w:type="dxa"/>
            <w:tcBorders/>
            <w:vAlign w:val="center"/>
          </w:tcPr>
          <w:p>
            <w:pPr>
              <w:pStyle w:val="TableContents"/>
              <w:bidi w:val="0"/>
              <w:spacing w:before="0" w:after="283"/>
              <w:jc w:val="both"/>
              <w:rPr/>
            </w:pPr>
            <w:r>
              <w:rPr/>
              <w:t>The Guarantor agrees that the confirmations in paragraph (b) above apply regardless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61"/>
        <w:gridCol w:w="9902"/>
      </w:tblGrid>
      <w:tr>
        <w:trPr/>
        <w:tc>
          <w:tcPr>
            <w:tcW w:w="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02" w:type="dxa"/>
            <w:tcBorders/>
            <w:vAlign w:val="center"/>
          </w:tcPr>
          <w:p>
            <w:pPr>
              <w:pStyle w:val="TableContents"/>
              <w:bidi w:val="0"/>
              <w:spacing w:before="0" w:after="283"/>
              <w:jc w:val="both"/>
              <w:rPr/>
            </w:pPr>
            <w:r>
              <w:rPr/>
              <w:t>why or how the Put Option Agreement is amended (including the extent of the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20" w:type="dxa"/>
            <w:tcBorders/>
            <w:vAlign w:val="center"/>
          </w:tcPr>
          <w:p>
            <w:pPr>
              <w:pStyle w:val="TableContents"/>
              <w:bidi w:val="0"/>
              <w:spacing w:before="0" w:after="283"/>
              <w:jc w:val="both"/>
              <w:rPr/>
            </w:pPr>
            <w:r>
              <w:rPr/>
              <w:t>whether any amount payable by Counterparty under or in connection with the amended Put Option Agreement in any way relates to any amount that would or may have been payable had the amendment not taken place;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7" w:type="dxa"/>
            <w:tcBorders/>
            <w:vAlign w:val="center"/>
          </w:tcPr>
          <w:p>
            <w:pPr>
              <w:pStyle w:val="TableContents"/>
              <w:bidi w:val="0"/>
              <w:spacing w:before="0" w:after="283"/>
              <w:jc w:val="both"/>
              <w:rPr/>
            </w:pPr>
            <w:r>
              <w:rPr/>
              <w:t>the extent to which the Guarantor’s liability under this guarantee (whether present or future, actual or contingent), or any right it may have as a result of entering into or performing its obligations under this guarantee, changes or may change as a result of the amendment;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46" w:type="dxa"/>
            <w:tcBorders/>
            <w:vAlign w:val="center"/>
          </w:tcPr>
          <w:p>
            <w:pPr>
              <w:pStyle w:val="TableContents"/>
              <w:bidi w:val="0"/>
              <w:spacing w:before="0" w:after="283"/>
              <w:jc w:val="both"/>
              <w:rPr/>
            </w:pPr>
            <w:r>
              <w:rPr/>
              <w:t>whether the Guarantor was aware of or consented to the amendment, save for such amendment required to be notified to it according to paragraph (b)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359"/>
        <w:gridCol w:w="8685"/>
      </w:tblGrid>
      <w:tr>
        <w:trPr/>
        <w:tc>
          <w:tcPr>
            <w:tcW w:w="16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pPr>
            <w:r>
              <w:rPr/>
              <w:t>2.6</w:t>
            </w:r>
          </w:p>
        </w:tc>
        <w:tc>
          <w:tcPr>
            <w:tcW w:w="8685" w:type="dxa"/>
            <w:tcBorders/>
            <w:vAlign w:val="center"/>
          </w:tcPr>
          <w:p>
            <w:pPr>
              <w:pStyle w:val="TableContents"/>
              <w:bidi w:val="0"/>
              <w:spacing w:before="0" w:after="283"/>
              <w:jc w:val="both"/>
              <w:rPr>
                <w:b/>
              </w:rPr>
            </w:pPr>
            <w:r>
              <w:rPr>
                <w:b/>
              </w:rPr>
              <w:t>Immediate recourse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The Guarantor waives any right it may have of first requiring the Beneficiary to proceed against or enforce any other right or security or claim payment from any person before claiming from the Guarantor under this Clause.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This waiver applies irrespective of any law or any provision of the Put Option Agreement to the contrary.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660"/>
        <w:gridCol w:w="8349"/>
      </w:tblGrid>
      <w:tr>
        <w:trPr/>
        <w:tc>
          <w:tcPr>
            <w:tcW w:w="19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pPr>
            <w:r>
              <w:rPr/>
              <w:t>2.7</w:t>
            </w:r>
          </w:p>
        </w:tc>
        <w:tc>
          <w:tcPr>
            <w:tcW w:w="8349" w:type="dxa"/>
            <w:tcBorders/>
            <w:vAlign w:val="center"/>
          </w:tcPr>
          <w:p>
            <w:pPr>
              <w:pStyle w:val="TableContents"/>
              <w:bidi w:val="0"/>
              <w:spacing w:before="0" w:after="283"/>
              <w:jc w:val="both"/>
              <w:rPr>
                <w:b/>
              </w:rPr>
            </w:pPr>
            <w:r>
              <w:rPr>
                <w:b/>
              </w:rPr>
              <w:t>Appropriations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all amounts which may be or become payable by Counterparty under or in connection with the Put Option Agreement have been unconditionally and irrevocably paid in full, the Beneficiary may: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refrain from applying or enforcing any other moneys, security or rights held or received by the Beneficiary in respect of those amounts, or apply and enforce them in such manner and order as it sees fit (whether against those amounts or otherwise) and the Guarantor will not be entitled to the benefit of such moneys, security or rights;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hold in an interest-bearing suspense account any moneys received from the Guarantor or on account of the Guarantor’s liability under this Clause.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942"/>
        <w:gridCol w:w="9152"/>
      </w:tblGrid>
      <w:tr>
        <w:trPr/>
        <w:tc>
          <w:tcPr>
            <w:tcW w:w="1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pPr>
            <w:r>
              <w:rPr/>
              <w:t>2.8</w:t>
            </w:r>
          </w:p>
        </w:tc>
        <w:tc>
          <w:tcPr>
            <w:tcW w:w="9152" w:type="dxa"/>
            <w:tcBorders/>
            <w:vAlign w:val="center"/>
          </w:tcPr>
          <w:p>
            <w:pPr>
              <w:pStyle w:val="TableContents"/>
              <w:bidi w:val="0"/>
              <w:spacing w:before="0" w:after="283"/>
              <w:jc w:val="both"/>
              <w:rPr>
                <w:b/>
              </w:rPr>
            </w:pPr>
            <w:r>
              <w:rPr>
                <w:b/>
              </w:rPr>
              <w:t>Deferral of Guarantor’s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Until all amounts which may be or become payable by Counterparty under or in connection with the Put Option Agreement have been unconditionally and irrevocably paid in full or unless the Beneficiary otherwise directs, the Guarantor will not exercise any rights which it may have by reason of performance by it of its obligations under this Deed or by reason of any amount being payable, or liability arising under this Clause: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648"/>
        <w:gridCol w:w="9450"/>
      </w:tblGrid>
      <w:tr>
        <w:trPr/>
        <w:tc>
          <w:tcPr>
            <w:tcW w:w="10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450" w:type="dxa"/>
            <w:tcBorders/>
            <w:vAlign w:val="center"/>
          </w:tcPr>
          <w:p>
            <w:pPr>
              <w:pStyle w:val="TableContents"/>
              <w:bidi w:val="0"/>
              <w:spacing w:before="0" w:after="283"/>
              <w:jc w:val="both"/>
              <w:rPr/>
            </w:pPr>
            <w:r>
              <w:rPr/>
              <w:t>to be indemnified by Counterparty;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86" w:type="dxa"/>
            <w:tcBorders/>
            <w:vAlign w:val="center"/>
          </w:tcPr>
          <w:p>
            <w:pPr>
              <w:pStyle w:val="TableContents"/>
              <w:bidi w:val="0"/>
              <w:spacing w:before="0" w:after="283"/>
              <w:jc w:val="both"/>
              <w:rPr/>
            </w:pPr>
            <w:r>
              <w:rPr/>
              <w:t>to claim any contribution from any other guarantor of Counterparty’s obligations under the Put Option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7" w:type="dxa"/>
            <w:tcBorders/>
            <w:vAlign w:val="center"/>
          </w:tcPr>
          <w:p>
            <w:pPr>
              <w:pStyle w:val="TableContents"/>
              <w:bidi w:val="0"/>
              <w:spacing w:before="0" w:after="283"/>
              <w:jc w:val="both"/>
              <w:rPr/>
            </w:pPr>
            <w:r>
              <w:rPr/>
              <w:t>to take the benefit (in whole or in part and whether by way of subrogation or otherwise) of any rights of the Beneficiary under the Put Option Agreement or of any other guarantee or security taken pursuant to, or in connection with, the Put Option Agreement by the Beneficiary;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65" w:type="dxa"/>
            <w:tcBorders/>
            <w:vAlign w:val="center"/>
          </w:tcPr>
          <w:p>
            <w:pPr>
              <w:pStyle w:val="TableContents"/>
              <w:bidi w:val="0"/>
              <w:spacing w:before="0" w:after="283"/>
              <w:jc w:val="both"/>
              <w:rPr/>
            </w:pPr>
            <w:r>
              <w:rPr/>
              <w:t>to bring legal or other proceedings for an order requiring Counterparty to make any payment, or perform any obligation, in respect of which the Guarantor has given a guarantee, undertaking or indemnity under Clause 2.1 (</w:t>
            </w:r>
            <w:r>
              <w:rPr>
                <w:i/>
              </w:rPr>
              <w:t>Guarantee and indemnity</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499"/>
        <w:gridCol w:w="9641"/>
      </w:tblGrid>
      <w:tr>
        <w:trPr/>
        <w:tc>
          <w:tcPr>
            <w:tcW w:w="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641" w:type="dxa"/>
            <w:tcBorders/>
            <w:vAlign w:val="center"/>
          </w:tcPr>
          <w:p>
            <w:pPr>
              <w:pStyle w:val="TableContents"/>
              <w:bidi w:val="0"/>
              <w:spacing w:before="0" w:after="283"/>
              <w:jc w:val="both"/>
              <w:rPr/>
            </w:pPr>
            <w:r>
              <w:rPr/>
              <w:t>to exercise any right of set-off against Counterparty; and/or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33"/>
        <w:gridCol w:w="9725"/>
      </w:tblGrid>
      <w:tr>
        <w:trPr/>
        <w:tc>
          <w:tcPr>
            <w:tcW w:w="4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725" w:type="dxa"/>
            <w:tcBorders/>
            <w:vAlign w:val="center"/>
          </w:tcPr>
          <w:p>
            <w:pPr>
              <w:pStyle w:val="TableContents"/>
              <w:bidi w:val="0"/>
              <w:spacing w:before="0" w:after="283"/>
              <w:jc w:val="both"/>
              <w:rPr/>
            </w:pPr>
            <w:r>
              <w:rPr/>
              <w:t>to claim or prove as a creditor of Counterparty in competition with the Beneficiary.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If the Guarantor receives any benefit, payment or distribution in relation to such rights it must hold that benefit, payment or distribution to the extent necessary to enable all amounts which may be or become payable to the Beneficiary by Counterparty under or in connection with the Put Option Agreement to be paid in full on trust and as agent for the Beneficiary and must promptly pay or transfer them to the Beneficiary or as the Beneficiary may direct.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403"/>
        <w:gridCol w:w="8636"/>
      </w:tblGrid>
      <w:tr>
        <w:trPr/>
        <w:tc>
          <w:tcPr>
            <w:tcW w:w="16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pPr>
            <w:r>
              <w:rPr/>
              <w:t>2.9</w:t>
            </w:r>
          </w:p>
        </w:tc>
        <w:tc>
          <w:tcPr>
            <w:tcW w:w="8636" w:type="dxa"/>
            <w:tcBorders/>
            <w:vAlign w:val="center"/>
          </w:tcPr>
          <w:p>
            <w:pPr>
              <w:pStyle w:val="TableContents"/>
              <w:bidi w:val="0"/>
              <w:spacing w:before="0" w:after="283"/>
              <w:jc w:val="both"/>
              <w:rPr>
                <w:b/>
              </w:rPr>
            </w:pPr>
            <w:r>
              <w:rPr>
                <w:b/>
              </w:rPr>
              <w:t>Additional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is in addition to and is not in any way prejudiced by any other guarantee or security now or subsequently held by the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2692"/>
        <w:gridCol w:w="7281"/>
      </w:tblGrid>
      <w:tr>
        <w:trPr/>
        <w:tc>
          <w:tcPr>
            <w:tcW w:w="23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pPr>
            <w:r>
              <w:rPr/>
              <w:t>2.10</w:t>
            </w:r>
          </w:p>
        </w:tc>
        <w:tc>
          <w:tcPr>
            <w:tcW w:w="7281" w:type="dxa"/>
            <w:tcBorders/>
            <w:vAlign w:val="center"/>
          </w:tcPr>
          <w:p>
            <w:pPr>
              <w:pStyle w:val="TableContents"/>
              <w:bidi w:val="0"/>
              <w:spacing w:before="0" w:after="283"/>
              <w:jc w:val="both"/>
              <w:rPr>
                <w:b/>
              </w:rPr>
            </w:pPr>
            <w:r>
              <w:rPr>
                <w:b/>
              </w:rPr>
              <w:t>Limitations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other provisions of this Deed, the obligations and liabilities of the Guarantor in respect of obligations owed by parties other than itself and its wholly-owned Subsidiaries under this Deed shall be limited if (and only if) required by the provisions of the Swedish Companies Act (Sw. </w:t>
      </w:r>
      <w:r>
        <w:rPr>
          <w:rFonts w:ascii="Times New Roman;Times;Serif" w:hAnsi="Times New Roman;Times;Serif"/>
          <w:b w:val="false"/>
          <w:i/>
          <w:caps w:val="false"/>
          <w:smallCaps w:val="false"/>
          <w:sz w:val="20"/>
        </w:rPr>
        <w:t>Aktiebolagslagen (2005:551)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Swedish Companies Act</w:t>
      </w:r>
      <w:r>
        <w:rPr>
          <w:rFonts w:ascii="Times New Roman;Times;Serif" w:hAnsi="Times New Roman;Times;Serif"/>
          <w:b w:val="false"/>
          <w:i w:val="false"/>
          <w:caps w:val="false"/>
          <w:smallCaps w:val="false"/>
          <w:sz w:val="20"/>
        </w:rPr>
        <w:t>) regulating (a) value transfers (Chapter 17, Sections 1-4 (or its equivalent from time to time)), and (b) prohibited loans, security and guarantees within the meaning of Chapter 21, Sections 1 and 3 (or its equivalent from time to time), and it is understood that the obligations and liabilities of the Guarantor in respect of such obligations under this Deed only apply to the extent permitted by the above provisions of the Swedish Companies Act.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568"/>
        <w:gridCol w:w="9529"/>
      </w:tblGrid>
      <w:tr>
        <w:trPr/>
        <w:tc>
          <w:tcPr>
            <w:tcW w:w="10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b/>
                <w:caps/>
              </w:rPr>
            </w:pPr>
            <w:r>
              <w:rPr>
                <w:b/>
                <w:caps/>
              </w:rPr>
              <w:t>3.</w:t>
            </w:r>
          </w:p>
        </w:tc>
        <w:tc>
          <w:tcPr>
            <w:tcW w:w="9529" w:type="dxa"/>
            <w:tcBorders/>
            <w:vAlign w:val="center"/>
          </w:tcPr>
          <w:p>
            <w:pPr>
              <w:pStyle w:val="TableContents"/>
              <w:bidi w:val="0"/>
              <w:spacing w:before="0" w:after="283"/>
              <w:jc w:val="both"/>
              <w:rPr>
                <w:b/>
                <w:caps/>
              </w:rPr>
            </w:pPr>
            <w:r>
              <w:rPr>
                <w:b/>
                <w:caps/>
              </w:rPr>
              <w:t>Additional Indemnities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Each Party agrees that if following the occurrence of a Bankruptcy Event of Default but prior to the designation of an Early Termination Date by the Beneficiary, by operation of the insolvency laws applicable to Counterparty, the Beneficiary is unable to make a claim for the full amount of the Settlement Amount stated to be due and payable by Counterparty to the Beneficiary in relation to an Exercise Date under the Put Option Agreement but for the operation of such insolvency laws (such full amount of the Settlement Amount , the “</w:t>
            </w:r>
            <w:r>
              <w:rPr>
                <w:b/>
              </w:rPr>
              <w:t>Gross Settlement Amount</w:t>
            </w:r>
            <w:r>
              <w:rPr/>
              <w:t>”), whether due to the exercise of any right by the insolvency official of Counterparty to disclaim the whole or any part of such Gross Settlement Amount or the operation of any mandatory rule of set-off or netting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10005" w:type="dxa"/>
            <w:tcBorders/>
            <w:vAlign w:val="center"/>
          </w:tcPr>
          <w:p>
            <w:pPr>
              <w:pStyle w:val="TableContents"/>
              <w:bidi w:val="0"/>
              <w:spacing w:before="0" w:after="283"/>
              <w:jc w:val="both"/>
              <w:rPr/>
            </w:pPr>
            <w:r>
              <w:rPr/>
              <w:t>the Guarantor shall, as an independent and primary obligation, indemnify the Beneficiary immediately on demand the difference between (x) such Gross Settlement Amount and (y) the reduced amount (if any) which the Beneficiary is entitled to claim against Counterparty in relation to such Gross Settlement Amount by operation of such insolvency laws (the “</w:t>
            </w:r>
            <w:r>
              <w:rPr>
                <w:b/>
              </w:rPr>
              <w:t>Net Settlement Amount</w:t>
            </w:r>
            <w:r>
              <w:rPr/>
              <w:t xml:space="preserve">”), </w:t>
            </w:r>
            <w:r>
              <w:rPr>
                <w:i/>
              </w:rPr>
              <w:t xml:space="preserve">provided that </w:t>
            </w:r>
            <w:r>
              <w:rPr/>
              <w:t>the Parties further agree that if the Beneficiary is unable to promptly determine the Net Settlement Amount after being made aware of the operation of such insolvency laws, the Beneficiary shall be entitled to demand from the Guarantor the immediate payment of the Gross Settlement Amount, and after the Beneficiary is able to determine the Net Settlement Amount, the Beneficiary shall promptly pay such Net Settlement Amount to the Guarantor;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42" w:type="dxa"/>
            <w:tcBorders/>
            <w:vAlign w:val="center"/>
          </w:tcPr>
          <w:p>
            <w:pPr>
              <w:pStyle w:val="TableContents"/>
              <w:bidi w:val="0"/>
              <w:spacing w:before="0" w:after="283"/>
              <w:jc w:val="both"/>
              <w:rPr/>
            </w:pPr>
            <w:r>
              <w:rPr/>
              <w:t>if as a result of the operation of such insolvency laws, the Beneficiary’s conditional obligation to deliver the Number of Shares to be Delivered in relation to such Exercise Date is discharged in whole or in part, and thereafter, the Beneficiary is able to receive or otherwise recover (whether by the exercise of any right or remedy under this Deed or any other Transaction Document or otherwise) such Gross Settlement Amount in full, the Beneficiary shall promptly deliver to the relevant Party B Receiving Party any remaining Number of Shares to be Delivered that have not been delivered at such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t>Each Party agrees that if following the occurrence of a Bankruptcy Event of Default and the occurrence or effective designation of an Early Termination Date by the Beneficiary, by operation of the insolvency laws applicable to Counterparty, the actual net amount payable by Counterparty to the Beneficiary resulting from the early termination or close-out of the transaction contemplated by the Put Option Agreement (the “</w:t>
            </w:r>
            <w:r>
              <w:rPr>
                <w:b/>
              </w:rPr>
              <w:t>Mandatory Early Termination Amount</w:t>
            </w:r>
            <w:r>
              <w:rPr/>
              <w:t>”) is less than the Early Termination Amount that would have been determined to be payable by Counterparty to the Beneficiary under Section 6 of the Agreement (if “Modified Close-Out Netting” is specified to be Applicable, as amended by the “Close-Out Buyer Disposal” provisions of the Put Option Agreement) but for the operation of such insolvency laws (the “</w:t>
            </w:r>
            <w:r>
              <w:rPr>
                <w:b/>
              </w:rPr>
              <w:t>Contracted Early Termination Amount</w:t>
            </w:r>
            <w:r>
              <w:rPr/>
              <w:t xml:space="preserve">”), the Guarantor shall, as an independent and primary obligation, indemnify the Beneficiary immediately on demand the difference between (x) the Mandatory Early Termination Amount and (y) the Contracted Early Termination Amount, </w:t>
            </w:r>
            <w:r>
              <w:rPr>
                <w:i/>
              </w:rPr>
              <w:t xml:space="preserve">provided that </w:t>
            </w:r>
            <w:r>
              <w:rPr/>
              <w:t>the Parties further agree that if the Beneficiary is unable to promptly determine the Mandatory Early Termination Amount after being made aware of the operation of such insolvency laws, the Beneficiary shall be entitled to demand from the Guarantor the immediate payment of the Contracted Early Termination Amount, and after the Beneficiary is able to determine the Mandatory Early Termination Amount, the Beneficiary shall promptly pay such Mandatory Early Termination Amount to the Guarantor.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865"/>
        <w:gridCol w:w="9221"/>
      </w:tblGrid>
      <w:tr>
        <w:trPr/>
        <w:tc>
          <w:tcPr>
            <w:tcW w:w="11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pPr>
            <w:r>
              <w:rPr/>
              <w:t>(c)</w:t>
            </w:r>
          </w:p>
        </w:tc>
        <w:tc>
          <w:tcPr>
            <w:tcW w:w="9221" w:type="dxa"/>
            <w:tcBorders/>
            <w:vAlign w:val="center"/>
          </w:tcPr>
          <w:p>
            <w:pPr>
              <w:pStyle w:val="TableContents"/>
              <w:bidi w:val="0"/>
              <w:spacing w:before="0" w:after="283"/>
              <w:jc w:val="both"/>
              <w:rPr/>
            </w:pPr>
            <w:r>
              <w:rPr/>
              <w:t>For the purpose of this Clause: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57" w:type="dxa"/>
            <w:tcBorders/>
            <w:vAlign w:val="center"/>
          </w:tcPr>
          <w:p>
            <w:pPr>
              <w:pStyle w:val="TableContents"/>
              <w:bidi w:val="0"/>
              <w:spacing w:before="0" w:after="283"/>
              <w:jc w:val="both"/>
              <w:rPr/>
            </w:pPr>
            <w:r>
              <w:rPr/>
              <w:t>capitalised terms defined in the Put Option Agreement have, unless expressly defined in this Deed, the same meaning in this Clause;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13" w:type="dxa"/>
            <w:tcBorders/>
            <w:vAlign w:val="center"/>
          </w:tcPr>
          <w:p>
            <w:pPr>
              <w:pStyle w:val="TableContents"/>
              <w:bidi w:val="0"/>
              <w:spacing w:before="0" w:after="283"/>
              <w:jc w:val="both"/>
              <w:rPr/>
            </w:pPr>
            <w:r>
              <w:rPr/>
              <w:t>“</w:t>
            </w:r>
            <w:r>
              <w:rPr>
                <w:b/>
              </w:rPr>
              <w:t>Bankruptcy Event of Default</w:t>
            </w:r>
            <w:r>
              <w:rPr/>
              <w:t>” means the occurrence of an Event of Default specified in Section 5(a)(vii) of the Agreement in respect of which Counterparty is the Defaulting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3"/>
        <w:gridCol w:w="1859"/>
        <w:gridCol w:w="7993"/>
      </w:tblGrid>
      <w:tr>
        <w:trPr/>
        <w:tc>
          <w:tcPr>
            <w:tcW w:w="3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b/>
                <w:caps/>
              </w:rPr>
            </w:pPr>
            <w:r>
              <w:rPr>
                <w:b/>
                <w:caps/>
              </w:rPr>
              <w:t>4.</w:t>
            </w:r>
          </w:p>
        </w:tc>
        <w:tc>
          <w:tcPr>
            <w:tcW w:w="7993" w:type="dxa"/>
            <w:tcBorders/>
            <w:vAlign w:val="center"/>
          </w:tcPr>
          <w:p>
            <w:pPr>
              <w:pStyle w:val="TableContents"/>
              <w:bidi w:val="0"/>
              <w:spacing w:before="0" w:after="283"/>
              <w:jc w:val="both"/>
              <w:rPr>
                <w:b/>
                <w:caps/>
              </w:rPr>
            </w:pPr>
            <w:r>
              <w:rPr>
                <w:b/>
                <w:caps/>
              </w:rPr>
              <w:t>TAXES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2714"/>
        <w:gridCol w:w="7169"/>
      </w:tblGrid>
      <w:tr>
        <w:trPr/>
        <w:tc>
          <w:tcPr>
            <w:tcW w:w="322"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pPr>
            <w:r>
              <w:rPr/>
              <w:t>4.1</w:t>
            </w:r>
          </w:p>
        </w:tc>
        <w:tc>
          <w:tcPr>
            <w:tcW w:w="7169" w:type="dxa"/>
            <w:tcBorders/>
            <w:vAlign w:val="center"/>
          </w:tcPr>
          <w:p>
            <w:pPr>
              <w:pStyle w:val="TableContents"/>
              <w:bidi w:val="0"/>
              <w:spacing w:before="0" w:after="283"/>
              <w:jc w:val="both"/>
              <w:rPr>
                <w:b/>
              </w:rPr>
            </w:pPr>
            <w:r>
              <w:rPr>
                <w:b/>
              </w:rPr>
              <w:t>General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3"/>
        <w:gridCol w:w="9861"/>
      </w:tblGrid>
      <w:tr>
        <w:trPr/>
        <w:tc>
          <w:tcPr>
            <w:tcW w:w="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283"/>
              <w:jc w:val="both"/>
              <w:rPr/>
            </w:pPr>
            <w:r>
              <w:rPr/>
              <w:t>sections 1471 to 1474 of the US Internal Revenue Code of 1986 or any associated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 xml:space="preserve">any treaty, law or regulation of any other jurisdiction, or relating to an intergovernmental agreement between the United States of Americas (the </w:t>
            </w:r>
            <w:r>
              <w:rPr>
                <w:b/>
              </w:rPr>
              <w:t>US</w:t>
            </w:r>
            <w:r>
              <w:rPr/>
              <w:t>) and any other jurisdiction, which (in either case) facilitates the implementation of any law or regulation referred to in paragraph (a);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any agreement pursuant to the implementation of any treaty, law or regulation referred to in paragraph (a) or (b) above with the US Internal Revenue Service, the US government or any governmental or taxation authority in any other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 Deduction</w:t>
      </w:r>
      <w:r>
        <w:rPr>
          <w:rFonts w:ascii="Times New Roman;Times;Serif" w:hAnsi="Times New Roman;Times;Serif"/>
          <w:b w:val="false"/>
          <w:i w:val="false"/>
          <w:caps w:val="false"/>
          <w:smallCaps w:val="false"/>
          <w:sz w:val="20"/>
        </w:rPr>
        <w:t>” means a deduction or withholding from a payment under this Deed required by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Protected Party</w:t>
      </w:r>
      <w:r>
        <w:rPr>
          <w:rFonts w:ascii="Times New Roman;Times;Serif" w:hAnsi="Times New Roman;Times;Serif"/>
          <w:b w:val="false"/>
          <w:i w:val="false"/>
          <w:caps w:val="false"/>
          <w:smallCaps w:val="false"/>
          <w:sz w:val="20"/>
        </w:rPr>
        <w:t>” means the Beneficiary if it incurs or will incur any cost, loss or liability, or is or will be required to make any payment, for or on account of Tax in relation to a sum received or receivable (or any sum deemed for the purposes of Tax to be received or receivable) under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tax, levy, impost, duty or other charge or withholding of a similar nature (including any penalty or interest payable in connection with any failure to pay or any delay in paying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Credit</w:t>
      </w:r>
      <w:r>
        <w:rPr>
          <w:rFonts w:ascii="Times New Roman;Times;Serif" w:hAnsi="Times New Roman;Times;Serif"/>
          <w:b w:val="false"/>
          <w:i w:val="false"/>
          <w:caps w:val="false"/>
          <w:smallCaps w:val="false"/>
          <w:sz w:val="20"/>
        </w:rPr>
        <w:t>” means a credit against, relief or remission for, or repayment of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Deduction</w:t>
      </w:r>
      <w:r>
        <w:rPr>
          <w:rFonts w:ascii="Times New Roman;Times;Serif" w:hAnsi="Times New Roman;Times;Serif"/>
          <w:b w:val="false"/>
          <w:i w:val="false"/>
          <w:caps w:val="false"/>
          <w:smallCaps w:val="false"/>
          <w:sz w:val="20"/>
        </w:rPr>
        <w:t>” means a deduction or withholding for or on account of Tax from a payment under this Deed, other than a FATCA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Payment</w:t>
      </w:r>
      <w:r>
        <w:rPr>
          <w:rFonts w:ascii="Times New Roman;Times;Serif" w:hAnsi="Times New Roman;Times;Serif"/>
          <w:b w:val="false"/>
          <w:i w:val="false"/>
          <w:caps w:val="false"/>
          <w:smallCaps w:val="false"/>
          <w:sz w:val="20"/>
        </w:rPr>
        <w:t>” means an increase in a payment made by the Guarantor to the Beneficiary under Clause 4.2 (</w:t>
      </w:r>
      <w:r>
        <w:rPr>
          <w:rFonts w:ascii="Times New Roman;Times;Serif" w:hAnsi="Times New Roman;Times;Serif"/>
          <w:b w:val="false"/>
          <w:i/>
          <w:caps w:val="false"/>
          <w:smallCaps w:val="false"/>
          <w:sz w:val="20"/>
        </w:rPr>
        <w:t>Tax gross-up</w:t>
      </w:r>
      <w:r>
        <w:rPr>
          <w:rFonts w:ascii="Times New Roman;Times;Serif" w:hAnsi="Times New Roman;Times;Serif"/>
          <w:b w:val="false"/>
          <w:i w:val="false"/>
          <w:caps w:val="false"/>
          <w:smallCaps w:val="false"/>
          <w:sz w:val="20"/>
        </w:rPr>
        <w:t>) or a payment under Clause 4.3 (</w:t>
      </w:r>
      <w:r>
        <w:rPr>
          <w:rFonts w:ascii="Times New Roman;Times;Serif" w:hAnsi="Times New Roman;Times;Serif"/>
          <w:b w:val="false"/>
          <w:i/>
          <w:caps w:val="false"/>
          <w:smallCaps w:val="false"/>
          <w:sz w:val="20"/>
        </w:rPr>
        <w:t>Tax indemnity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890"/>
        <w:gridCol w:w="8091"/>
      </w:tblGrid>
      <w:tr>
        <w:trPr/>
        <w:tc>
          <w:tcPr>
            <w:tcW w:w="224"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pPr>
            <w:r>
              <w:rPr/>
              <w:t>4.2</w:t>
            </w:r>
          </w:p>
        </w:tc>
        <w:tc>
          <w:tcPr>
            <w:tcW w:w="8091" w:type="dxa"/>
            <w:tcBorders/>
            <w:vAlign w:val="center"/>
          </w:tcPr>
          <w:p>
            <w:pPr>
              <w:pStyle w:val="TableContents"/>
              <w:bidi w:val="0"/>
              <w:spacing w:before="0" w:after="283"/>
              <w:jc w:val="both"/>
              <w:rPr>
                <w:b/>
              </w:rPr>
            </w:pPr>
            <w:r>
              <w:rPr>
                <w:b/>
              </w:rPr>
              <w:t>Tax gross-up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both"/>
              <w:rPr/>
            </w:pPr>
            <w:r>
              <w:rPr/>
              <w:t>The Guarantor must make all payments to be made by it under this Deed without any Tax Deduction, unless a Tax Deduction is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The Guarantor must, promptly on becoming aware that it must make a Tax Deduction (or that there is a change in the rate or the basis of a Tax Deduction), notify the Beneficiary accordingly.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t>If a Tax Deduction is required by law to be made by the Guarantor, the amount of the payment due from the Guarantor must be increased to an amount which (after making any Tax Deduction) leaves an amount equal to the payment which would have been due if no Tax Deduction had been required.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both"/>
              <w:rPr/>
            </w:pPr>
            <w:r>
              <w:rPr/>
              <w:t>If the Guarantor is required to make a Tax Deduction, the Guarantor must make that Tax Deduction and any payment required in connection with that Tax Deduction within the time allowed and in the minimum amount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both"/>
              <w:rPr/>
            </w:pPr>
            <w:r>
              <w:rPr/>
              <w:t>Within 30 days of making either a Tax Deduction or any payment required in connection with that Tax Deduction, the Guarantor must deliver to the Beneficiary the payment evidence reasonably satisfactory to the Beneficiary that the Tax Deduction has been made or (as applicable) the appropriate payment has been paid to the relevant taxing authority.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739"/>
        <w:gridCol w:w="8260"/>
      </w:tblGrid>
      <w:tr>
        <w:trPr/>
        <w:tc>
          <w:tcPr>
            <w:tcW w:w="20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pPr>
            <w:r>
              <w:rPr/>
              <w:t>4.3</w:t>
            </w:r>
          </w:p>
        </w:tc>
        <w:tc>
          <w:tcPr>
            <w:tcW w:w="8260" w:type="dxa"/>
            <w:tcBorders/>
            <w:vAlign w:val="center"/>
          </w:tcPr>
          <w:p>
            <w:pPr>
              <w:pStyle w:val="TableContents"/>
              <w:bidi w:val="0"/>
              <w:spacing w:before="0" w:after="283"/>
              <w:jc w:val="both"/>
              <w:rPr>
                <w:b/>
              </w:rPr>
            </w:pPr>
            <w:r>
              <w:rPr>
                <w:b/>
              </w:rPr>
              <w:t>Tax indemnity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The Guarantor shall (within three Business Days of demand by the Beneficiary) pay to the Protected Party an amount equal to the loss, liability or cost which the Protected Party determines will be or has been (directly or indirectly) suffered for or on account of Tax by the Protected Party in respect of a payment received or receivable (or any payment deemed to be received or receivable) or otherwise under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86"/>
        <w:gridCol w:w="9317"/>
      </w:tblGrid>
      <w:tr>
        <w:trPr/>
        <w:tc>
          <w:tcPr>
            <w:tcW w:w="10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pPr>
            <w:r>
              <w:rPr/>
              <w:t>(b)</w:t>
            </w:r>
          </w:p>
        </w:tc>
        <w:tc>
          <w:tcPr>
            <w:tcW w:w="9317" w:type="dxa"/>
            <w:tcBorders/>
            <w:vAlign w:val="center"/>
          </w:tcPr>
          <w:p>
            <w:pPr>
              <w:pStyle w:val="TableContents"/>
              <w:bidi w:val="0"/>
              <w:spacing w:before="0" w:after="283"/>
              <w:jc w:val="both"/>
              <w:rPr/>
            </w:pPr>
            <w:r>
              <w:rPr/>
              <w:t>Paragraph (a) above shall not apply: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448"/>
        <w:gridCol w:w="9684"/>
      </w:tblGrid>
      <w:tr>
        <w:trPr/>
        <w:tc>
          <w:tcPr>
            <w:tcW w:w="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684" w:type="dxa"/>
            <w:tcBorders/>
            <w:vAlign w:val="center"/>
          </w:tcPr>
          <w:p>
            <w:pPr>
              <w:pStyle w:val="TableContents"/>
              <w:bidi w:val="0"/>
              <w:spacing w:before="0" w:after="283"/>
              <w:jc w:val="both"/>
              <w:rPr/>
            </w:pPr>
            <w:r>
              <w:rPr/>
              <w:t>with respect to any Tax assessed on the Beneficiary: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(A)</w:t>
            </w:r>
          </w:p>
        </w:tc>
        <w:tc>
          <w:tcPr>
            <w:tcW w:w="9854" w:type="dxa"/>
            <w:tcBorders/>
            <w:vAlign w:val="center"/>
          </w:tcPr>
          <w:p>
            <w:pPr>
              <w:pStyle w:val="TableContents"/>
              <w:bidi w:val="0"/>
              <w:spacing w:before="0" w:after="283"/>
              <w:jc w:val="both"/>
              <w:rPr/>
            </w:pPr>
            <w:r>
              <w:rPr/>
              <w:t>under the law of the jurisdiction in which the Beneficiary is incorporated or, if different, the jurisdiction (or jurisdictions) in which the Beneficiary is treated as resident for tax purposes;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(B)</w:t>
            </w:r>
          </w:p>
        </w:tc>
        <w:tc>
          <w:tcPr>
            <w:tcW w:w="9857" w:type="dxa"/>
            <w:tcBorders/>
            <w:vAlign w:val="center"/>
          </w:tcPr>
          <w:p>
            <w:pPr>
              <w:pStyle w:val="TableContents"/>
              <w:bidi w:val="0"/>
              <w:spacing w:before="0" w:after="283"/>
              <w:jc w:val="both"/>
              <w:rPr/>
            </w:pPr>
            <w:r>
              <w:rPr/>
              <w:t>under the law of the jurisdiction in which the Beneficiary’s facility office is located in respect of amounts received or receivable in that jurisdiction,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09" w:type="dxa"/>
            <w:tcBorders/>
            <w:vAlign w:val="center"/>
          </w:tcPr>
          <w:p>
            <w:pPr>
              <w:pStyle w:val="TableContents"/>
              <w:bidi w:val="0"/>
              <w:spacing w:before="0" w:after="283"/>
              <w:jc w:val="both"/>
              <w:rPr/>
            </w:pPr>
            <w:r>
              <w:rPr/>
              <w:t>if that Tax is imposed on or calculated by reference to the net income received or receivable (but not any sum deemed to be received or receivable) by the Beneficiary;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956"/>
        <w:gridCol w:w="9146"/>
      </w:tblGrid>
      <w:tr>
        <w:trPr/>
        <w:tc>
          <w:tcPr>
            <w:tcW w:w="10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146" w:type="dxa"/>
            <w:tcBorders/>
            <w:vAlign w:val="center"/>
          </w:tcPr>
          <w:p>
            <w:pPr>
              <w:pStyle w:val="TableContents"/>
              <w:bidi w:val="0"/>
              <w:spacing w:before="0" w:after="283"/>
              <w:jc w:val="both"/>
              <w:rPr/>
            </w:pPr>
            <w:r>
              <w:rPr/>
              <w:t>to the extent a loss, liability or cost: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45"/>
        <w:gridCol w:w="9712"/>
      </w:tblGrid>
      <w:tr>
        <w:trPr/>
        <w:tc>
          <w:tcPr>
            <w:tcW w:w="4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712" w:type="dxa"/>
            <w:tcBorders/>
            <w:vAlign w:val="center"/>
          </w:tcPr>
          <w:p>
            <w:pPr>
              <w:pStyle w:val="TableContents"/>
              <w:bidi w:val="0"/>
              <w:spacing w:before="0" w:after="283"/>
              <w:jc w:val="both"/>
              <w:rPr/>
            </w:pPr>
            <w:r>
              <w:rPr>
                <w:rFonts w:ascii="Times New Roman;Times;Serif" w:hAnsi="Times New Roman;Times;Serif"/>
              </w:rPr>
              <w:t>is compensated for by an increased payment under Clause 4.2 (</w:t>
            </w:r>
            <w:r>
              <w:rPr>
                <w:i/>
              </w:rPr>
              <w:t>Tax gross-up</w:t>
            </w:r>
            <w:r>
              <w:rPr/>
              <w: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38"/>
        <w:gridCol w:w="9606"/>
      </w:tblGrid>
      <w:tr>
        <w:trPr/>
        <w:tc>
          <w:tcPr>
            <w:tcW w:w="6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pPr>
            <w:r>
              <w:rPr/>
              <w:t>(B)</w:t>
            </w:r>
          </w:p>
        </w:tc>
        <w:tc>
          <w:tcPr>
            <w:tcW w:w="9606" w:type="dxa"/>
            <w:tcBorders/>
            <w:vAlign w:val="center"/>
          </w:tcPr>
          <w:p>
            <w:pPr>
              <w:pStyle w:val="TableContents"/>
              <w:bidi w:val="0"/>
              <w:spacing w:before="0" w:after="283"/>
              <w:jc w:val="both"/>
              <w:rPr/>
            </w:pPr>
            <w:r>
              <w:rPr/>
              <w:t>relates to a FATCA Deduction required to be made by a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The Protected Party making, or intending to make a claim under paragraph (a) above shall promptly notify the Guarantor of the event which will give, or has given, rise to the claim provided always that the Beneficiary shall be the sole judge of the amount of any such benefit and of the date on which it is received.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2151"/>
        <w:gridCol w:w="7799"/>
      </w:tblGrid>
      <w:tr>
        <w:trPr/>
        <w:tc>
          <w:tcPr>
            <w:tcW w:w="255"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pPr>
            <w:r>
              <w:rPr/>
              <w:t>4.4</w:t>
            </w:r>
          </w:p>
        </w:tc>
        <w:tc>
          <w:tcPr>
            <w:tcW w:w="7799" w:type="dxa"/>
            <w:tcBorders/>
            <w:vAlign w:val="center"/>
          </w:tcPr>
          <w:p>
            <w:pPr>
              <w:pStyle w:val="TableContents"/>
              <w:bidi w:val="0"/>
              <w:spacing w:before="0" w:after="283"/>
              <w:jc w:val="both"/>
              <w:rPr>
                <w:b/>
              </w:rPr>
            </w:pPr>
            <w:r>
              <w:rPr>
                <w:b/>
              </w:rPr>
              <w:t>Tax Credit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Guarantor makes a Tax Payment and the Beneficiary determines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890"/>
        <w:gridCol w:w="9193"/>
      </w:tblGrid>
      <w:tr>
        <w:trPr/>
        <w:tc>
          <w:tcPr>
            <w:tcW w:w="12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pPr>
            <w:r>
              <w:rPr/>
              <w:t>(a)</w:t>
            </w:r>
          </w:p>
        </w:tc>
        <w:tc>
          <w:tcPr>
            <w:tcW w:w="9193" w:type="dxa"/>
            <w:tcBorders/>
            <w:vAlign w:val="center"/>
          </w:tcPr>
          <w:p>
            <w:pPr>
              <w:pStyle w:val="TableContents"/>
              <w:bidi w:val="0"/>
              <w:spacing w:before="0" w:after="283"/>
              <w:jc w:val="both"/>
              <w:rPr/>
            </w:pPr>
            <w:r>
              <w:rPr/>
              <w:t>a Tax Credit is attributable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88"/>
        <w:gridCol w:w="9753"/>
      </w:tblGrid>
      <w:tr>
        <w:trPr/>
        <w:tc>
          <w:tcPr>
            <w:tcW w:w="6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753" w:type="dxa"/>
            <w:tcBorders/>
            <w:vAlign w:val="center"/>
          </w:tcPr>
          <w:p>
            <w:pPr>
              <w:pStyle w:val="TableContents"/>
              <w:bidi w:val="0"/>
              <w:spacing w:before="0" w:after="283"/>
              <w:jc w:val="both"/>
              <w:rPr/>
            </w:pPr>
            <w:r>
              <w:rPr/>
              <w:t>an increased payment of which that Tax Payment forms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1263"/>
        <w:gridCol w:w="8777"/>
      </w:tblGrid>
      <w:tr>
        <w:trPr/>
        <w:tc>
          <w:tcPr>
            <w:tcW w:w="16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8777" w:type="dxa"/>
            <w:tcBorders/>
            <w:vAlign w:val="center"/>
          </w:tcPr>
          <w:p>
            <w:pPr>
              <w:pStyle w:val="TableContents"/>
              <w:bidi w:val="0"/>
              <w:spacing w:before="0" w:after="283"/>
              <w:jc w:val="both"/>
              <w:rPr/>
            </w:pPr>
            <w:r>
              <w:rPr/>
              <w:t>that Tax Payment;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452"/>
        <w:gridCol w:w="9704"/>
      </w:tblGrid>
      <w:tr>
        <w:trPr/>
        <w:tc>
          <w:tcPr>
            <w:tcW w:w="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704" w:type="dxa"/>
            <w:tcBorders/>
            <w:vAlign w:val="center"/>
          </w:tcPr>
          <w:p>
            <w:pPr>
              <w:pStyle w:val="TableContents"/>
              <w:bidi w:val="0"/>
              <w:spacing w:before="0" w:after="283"/>
              <w:jc w:val="both"/>
              <w:rPr/>
            </w:pPr>
            <w:r>
              <w:rPr/>
              <w:t>a Tax Deduction in consequence of which that Tax Payment was required;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16"/>
        <w:gridCol w:w="9622"/>
      </w:tblGrid>
      <w:tr>
        <w:trPr/>
        <w:tc>
          <w:tcPr>
            <w:tcW w:w="6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(b)</w:t>
            </w:r>
          </w:p>
        </w:tc>
        <w:tc>
          <w:tcPr>
            <w:tcW w:w="9622" w:type="dxa"/>
            <w:tcBorders/>
            <w:vAlign w:val="center"/>
          </w:tcPr>
          <w:p>
            <w:pPr>
              <w:pStyle w:val="TableContents"/>
              <w:bidi w:val="0"/>
              <w:spacing w:before="0" w:after="283"/>
              <w:jc w:val="both"/>
              <w:rPr/>
            </w:pPr>
            <w:r>
              <w:rPr/>
              <w:t>the Beneficiary has obtained and utilised that Tax Credit,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both"/>
              <w:rPr/>
            </w:pPr>
            <w:r>
              <w:rPr/>
              <w:t>the Beneficiary must pay an amount to the Guarantor which the Beneficiary determines will leave it (after that payment) in the same after-Tax position as it would have been in had the Tax Payment not been required to be made by the Guarantor provided always that, the Beneficiary shall be the sole judge of the amount of any such benefit and of the date on which it is received.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958"/>
        <w:gridCol w:w="8015"/>
      </w:tblGrid>
      <w:tr>
        <w:trPr/>
        <w:tc>
          <w:tcPr>
            <w:tcW w:w="232"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pPr>
            <w:r>
              <w:rPr/>
              <w:t>4.5</w:t>
            </w:r>
          </w:p>
        </w:tc>
        <w:tc>
          <w:tcPr>
            <w:tcW w:w="8015" w:type="dxa"/>
            <w:tcBorders/>
            <w:vAlign w:val="center"/>
          </w:tcPr>
          <w:p>
            <w:pPr>
              <w:pStyle w:val="TableContents"/>
              <w:bidi w:val="0"/>
              <w:spacing w:before="0" w:after="283"/>
              <w:jc w:val="both"/>
              <w:rPr>
                <w:b/>
              </w:rPr>
            </w:pPr>
            <w:r>
              <w:rPr>
                <w:b/>
              </w:rPr>
              <w:t>Indirect Tax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All amounts set out or expressed in this Deed to be payable by the Guarantor to the Beneficiary are deemed to be exclusive of any Indirect Tax. If any Indirect Tax is chargeable on any supply made by the Beneficiary to the Guarantor in connection with this Deed, the Guarantor must pay to the Beneficiary (in addition to and at the same time as paying the consideration) an amount equal to the amount of the Indirect Tax.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Where this Deed requires the Guarantor to reimburse the Beneficiary for any costs or expenses, the Guarantor must also at the same time pay and indemnify the Beneficiary against all Indirect Tax incurred by the Beneficiary in respect of the costs or expenses to the extent that the Beneficiary reasonably determines that it is not entitled to credit or repayment in respect of the Indirect Tax.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711"/>
        <w:gridCol w:w="9359"/>
      </w:tblGrid>
      <w:tr>
        <w:trPr/>
        <w:tc>
          <w:tcPr>
            <w:tcW w:w="13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b/>
                <w:caps/>
              </w:rPr>
            </w:pPr>
            <w:r>
              <w:rPr>
                <w:b/>
                <w:caps/>
              </w:rPr>
              <w:t>5.</w:t>
            </w:r>
          </w:p>
        </w:tc>
        <w:tc>
          <w:tcPr>
            <w:tcW w:w="9359" w:type="dxa"/>
            <w:tcBorders/>
            <w:vAlign w:val="center"/>
          </w:tcPr>
          <w:p>
            <w:pPr>
              <w:pStyle w:val="TableContents"/>
              <w:bidi w:val="0"/>
              <w:spacing w:before="0" w:after="283"/>
              <w:jc w:val="both"/>
              <w:rPr>
                <w:b/>
                <w:caps/>
              </w:rPr>
            </w:pPr>
            <w:r>
              <w:rPr>
                <w:b/>
                <w:caps/>
              </w:rPr>
              <w:t>OTHER INDEMNITIES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326"/>
        <w:gridCol w:w="8722"/>
      </w:tblGrid>
      <w:tr>
        <w:trPr/>
        <w:tc>
          <w:tcPr>
            <w:tcW w:w="15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pPr>
            <w:r>
              <w:rPr/>
              <w:t>5.1</w:t>
            </w:r>
          </w:p>
        </w:tc>
        <w:tc>
          <w:tcPr>
            <w:tcW w:w="8722" w:type="dxa"/>
            <w:tcBorders/>
            <w:vAlign w:val="center"/>
          </w:tcPr>
          <w:p>
            <w:pPr>
              <w:pStyle w:val="TableContents"/>
              <w:bidi w:val="0"/>
              <w:spacing w:before="0" w:after="283"/>
              <w:jc w:val="both"/>
              <w:rPr>
                <w:b/>
              </w:rPr>
            </w:pPr>
            <w:r>
              <w:rPr>
                <w:b/>
              </w:rPr>
              <w:t>Currency indemnity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t>The Guarantor must as an independent obligation indemnify within three Business Days of demand the Beneficiary against any cost, loss or liability arising out of or as a result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46"/>
        <w:gridCol w:w="9919"/>
      </w:tblGrid>
      <w:tr>
        <w:trPr/>
        <w:tc>
          <w:tcPr>
            <w:tcW w:w="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19" w:type="dxa"/>
            <w:tcBorders/>
            <w:vAlign w:val="center"/>
          </w:tcPr>
          <w:p>
            <w:pPr>
              <w:pStyle w:val="TableContents"/>
              <w:bidi w:val="0"/>
              <w:spacing w:before="0" w:after="283"/>
              <w:jc w:val="both"/>
              <w:rPr/>
            </w:pPr>
            <w:r>
              <w:rPr/>
              <w:t>the Beneficiary receiving an amount in respect of the liability of the Guarantor under this Deed;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99"/>
        <w:gridCol w:w="9754"/>
      </w:tblGrid>
      <w:tr>
        <w:trPr/>
        <w:tc>
          <w:tcPr>
            <w:tcW w:w="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754" w:type="dxa"/>
            <w:tcBorders/>
            <w:vAlign w:val="center"/>
          </w:tcPr>
          <w:p>
            <w:pPr>
              <w:pStyle w:val="TableContents"/>
              <w:bidi w:val="0"/>
              <w:spacing w:before="0" w:after="283"/>
              <w:jc w:val="both"/>
              <w:rPr/>
            </w:pPr>
            <w:r>
              <w:rPr/>
              <w:t>that liability being converted into a claim, proof, order, judgment or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currency other than the currency in which the amount is expressed to be payable under this Deed.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To the extent permitted by law, the Guarantor waives any right it may have in any jurisdiction to pay any amount under this Deed in a currency other than that in which it is expressed to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479"/>
        <w:gridCol w:w="8551"/>
      </w:tblGrid>
      <w:tr>
        <w:trPr/>
        <w:tc>
          <w:tcPr>
            <w:tcW w:w="1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pPr>
            <w:r>
              <w:rPr/>
              <w:t>5.2</w:t>
            </w:r>
          </w:p>
        </w:tc>
        <w:tc>
          <w:tcPr>
            <w:tcW w:w="8551" w:type="dxa"/>
            <w:tcBorders/>
            <w:vAlign w:val="center"/>
          </w:tcPr>
          <w:p>
            <w:pPr>
              <w:pStyle w:val="TableContents"/>
              <w:bidi w:val="0"/>
              <w:spacing w:before="0" w:after="283"/>
              <w:jc w:val="both"/>
              <w:rPr>
                <w:b/>
              </w:rPr>
            </w:pPr>
            <w:r>
              <w:rPr>
                <w:b/>
              </w:rPr>
              <w:t>Other indemnities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The Guarantor must indemnify within three Business Days of demand the Beneficiary against any cost, loss or liability incurred by the Beneficiary as a result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530"/>
        <w:gridCol w:w="9588"/>
      </w:tblGrid>
      <w:tr>
        <w:trPr/>
        <w:tc>
          <w:tcPr>
            <w:tcW w:w="8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588" w:type="dxa"/>
            <w:tcBorders/>
            <w:vAlign w:val="center"/>
          </w:tcPr>
          <w:p>
            <w:pPr>
              <w:pStyle w:val="TableContents"/>
              <w:bidi w:val="0"/>
              <w:spacing w:before="0" w:after="283"/>
              <w:jc w:val="both"/>
              <w:rPr/>
            </w:pPr>
            <w:r>
              <w:rPr/>
              <w:t>the occurrence of a default under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94" w:type="dxa"/>
            <w:tcBorders/>
            <w:vAlign w:val="center"/>
          </w:tcPr>
          <w:p>
            <w:pPr>
              <w:pStyle w:val="TableContents"/>
              <w:bidi w:val="0"/>
              <w:spacing w:before="0" w:after="283"/>
              <w:jc w:val="both"/>
              <w:rPr/>
            </w:pPr>
            <w:r>
              <w:rPr/>
              <w:t>any information produced or approved by the Guarantor being or being alleged to be misleading and/or deceptive in any respect;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51" w:type="dxa"/>
            <w:tcBorders/>
            <w:vAlign w:val="center"/>
          </w:tcPr>
          <w:p>
            <w:pPr>
              <w:pStyle w:val="TableContents"/>
              <w:bidi w:val="0"/>
              <w:spacing w:before="0" w:after="283"/>
              <w:jc w:val="both"/>
              <w:rPr/>
            </w:pPr>
            <w:r>
              <w:rPr/>
              <w:t>any enquiry, investigation, subpoena (or similar order) or litigation with respect to the Guarantor or with respect to the transactions contemplated or financed under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40"/>
        <w:gridCol w:w="9718"/>
      </w:tblGrid>
      <w:tr>
        <w:trPr/>
        <w:tc>
          <w:tcPr>
            <w:tcW w:w="4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718" w:type="dxa"/>
            <w:tcBorders/>
            <w:vAlign w:val="center"/>
          </w:tcPr>
          <w:p>
            <w:pPr>
              <w:pStyle w:val="TableContents"/>
              <w:bidi w:val="0"/>
              <w:spacing w:before="0" w:after="283"/>
              <w:jc w:val="both"/>
              <w:rPr/>
            </w:pPr>
            <w:r>
              <w:rPr/>
              <w:t>a failure by the Guarantor to pay any amount due under this Deed on its due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994"/>
        <w:gridCol w:w="9094"/>
      </w:tblGrid>
      <w:tr>
        <w:trPr/>
        <w:tc>
          <w:tcPr>
            <w:tcW w:w="11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pPr>
            <w:r>
              <w:rPr/>
              <w:t>5.3</w:t>
            </w:r>
          </w:p>
        </w:tc>
        <w:tc>
          <w:tcPr>
            <w:tcW w:w="9094" w:type="dxa"/>
            <w:tcBorders/>
            <w:vAlign w:val="center"/>
          </w:tcPr>
          <w:p>
            <w:pPr>
              <w:pStyle w:val="TableContents"/>
              <w:bidi w:val="0"/>
              <w:spacing w:before="0" w:after="283"/>
              <w:jc w:val="both"/>
              <w:rPr>
                <w:b/>
              </w:rPr>
            </w:pPr>
            <w:r>
              <w:rPr>
                <w:b/>
              </w:rPr>
              <w:t>Indemnity to the Beneficiary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must indemnify the Beneficiary against any cost, loss or liability incurred by the Beneficiary as a result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3"/>
        <w:gridCol w:w="9861"/>
      </w:tblGrid>
      <w:tr>
        <w:trPr/>
        <w:tc>
          <w:tcPr>
            <w:tcW w:w="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283"/>
              <w:jc w:val="both"/>
              <w:rPr/>
            </w:pPr>
            <w:r>
              <w:rPr/>
              <w:t>investigating any event which the Beneficiary reasonably believes is a default under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acting or relying on any notice, request or instruction which the Beneficiary reasonably believes to be genuine, correct and appropriately authorised;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the exercise of any of the rights, powers, discretions and remedies vested in the Beneficiary by this Deed or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59"/>
        <w:gridCol w:w="9302"/>
      </w:tblGrid>
      <w:tr>
        <w:trPr/>
        <w:tc>
          <w:tcPr>
            <w:tcW w:w="1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b/>
                <w:caps/>
              </w:rPr>
            </w:pPr>
            <w:r>
              <w:rPr>
                <w:b/>
                <w:caps/>
              </w:rPr>
              <w:t>6.</w:t>
            </w:r>
          </w:p>
        </w:tc>
        <w:tc>
          <w:tcPr>
            <w:tcW w:w="9302" w:type="dxa"/>
            <w:tcBorders/>
            <w:vAlign w:val="center"/>
          </w:tcPr>
          <w:p>
            <w:pPr>
              <w:pStyle w:val="TableContents"/>
              <w:bidi w:val="0"/>
              <w:spacing w:before="0" w:after="283"/>
              <w:jc w:val="both"/>
              <w:rPr>
                <w:b/>
                <w:caps/>
              </w:rPr>
            </w:pPr>
            <w:r>
              <w:rPr>
                <w:b/>
                <w:caps/>
              </w:rPr>
              <w:t>REPRESENTATIONS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The Guarantor makes each of the representations and warranties set out in Part B (</w:t>
            </w:r>
            <w:r>
              <w:rPr>
                <w:i/>
              </w:rPr>
              <w:t>Representations</w:t>
            </w:r>
            <w:r>
              <w:rPr/>
              <w:t>) of Schedule 1 to the Beneficiary on the date of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20" w:type="dxa"/>
            <w:tcBorders/>
            <w:vAlign w:val="center"/>
          </w:tcPr>
          <w:p>
            <w:pPr>
              <w:pStyle w:val="TableContents"/>
              <w:bidi w:val="0"/>
              <w:spacing w:before="0" w:after="283"/>
              <w:jc w:val="both"/>
              <w:rPr/>
            </w:pPr>
            <w:r>
              <w:rPr/>
              <w:t>The Repeating Representations are deemed to be repeated by the Guarantor by reference to the facts and circumstances then existing on the first day of each three Month-period commencing on the date of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495"/>
        <w:gridCol w:w="9617"/>
      </w:tblGrid>
      <w:tr>
        <w:trPr/>
        <w:tc>
          <w:tcPr>
            <w:tcW w:w="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b/>
                <w:caps/>
              </w:rPr>
            </w:pPr>
            <w:r>
              <w:rPr>
                <w:b/>
                <w:caps/>
              </w:rPr>
              <w:t>7.</w:t>
            </w:r>
          </w:p>
        </w:tc>
        <w:tc>
          <w:tcPr>
            <w:tcW w:w="9617" w:type="dxa"/>
            <w:tcBorders/>
            <w:vAlign w:val="center"/>
          </w:tcPr>
          <w:p>
            <w:pPr>
              <w:pStyle w:val="TableContents"/>
              <w:bidi w:val="0"/>
              <w:spacing w:before="0" w:after="283"/>
              <w:jc w:val="both"/>
              <w:rPr>
                <w:b/>
                <w:caps/>
              </w:rPr>
            </w:pPr>
            <w:r>
              <w:rPr>
                <w:b/>
                <w:caps/>
              </w:rPr>
              <w:t>INFORMATION 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undertakings in Part C (</w:t>
      </w:r>
      <w:r>
        <w:rPr>
          <w:rFonts w:ascii="Times New Roman;Times;Serif" w:hAnsi="Times New Roman;Times;Serif"/>
          <w:b w:val="false"/>
          <w:i/>
          <w:caps w:val="false"/>
          <w:smallCaps w:val="false"/>
          <w:sz w:val="20"/>
        </w:rPr>
        <w:t>Information Undertakings</w:t>
      </w:r>
      <w:r>
        <w:rPr>
          <w:rFonts w:ascii="Times New Roman;Times;Serif" w:hAnsi="Times New Roman;Times;Serif"/>
          <w:b w:val="false"/>
          <w:i w:val="false"/>
          <w:caps w:val="false"/>
          <w:smallCaps w:val="false"/>
          <w:sz w:val="20"/>
        </w:rPr>
        <w:t>) of Schedule 1 shall remain in force from the date of this Deed until all sums payable by Counterparty under the Put Option Agreement have been irrevocably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3"/>
        <w:gridCol w:w="9464"/>
      </w:tblGrid>
      <w:tr>
        <w:trPr/>
        <w:tc>
          <w:tcPr>
            <w:tcW w:w="1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b/>
                <w:caps/>
              </w:rPr>
            </w:pPr>
            <w:r>
              <w:rPr>
                <w:b/>
                <w:caps/>
              </w:rPr>
              <w:t>8.</w:t>
            </w:r>
          </w:p>
        </w:tc>
        <w:tc>
          <w:tcPr>
            <w:tcW w:w="9464" w:type="dxa"/>
            <w:tcBorders/>
            <w:vAlign w:val="center"/>
          </w:tcPr>
          <w:p>
            <w:pPr>
              <w:pStyle w:val="TableContents"/>
              <w:bidi w:val="0"/>
              <w:spacing w:before="0" w:after="283"/>
              <w:jc w:val="both"/>
              <w:rPr>
                <w:b/>
                <w:caps/>
              </w:rPr>
            </w:pPr>
            <w:r>
              <w:rPr>
                <w:b/>
                <w:caps/>
              </w:rPr>
              <w:t>FINANCIAL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undertakings in Part D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 of Schedule 1 shall remain in force from the date of this Deed until all sums payable by Counterparty under the Put Option Agreement have been irrevocably paid in full.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576"/>
        <w:gridCol w:w="9520"/>
      </w:tblGrid>
      <w:tr>
        <w:trPr/>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b/>
                <w:caps/>
              </w:rPr>
            </w:pPr>
            <w:r>
              <w:rPr>
                <w:b/>
                <w:caps/>
              </w:rPr>
              <w:t>9.</w:t>
            </w:r>
          </w:p>
        </w:tc>
        <w:tc>
          <w:tcPr>
            <w:tcW w:w="9520" w:type="dxa"/>
            <w:tcBorders/>
            <w:vAlign w:val="center"/>
          </w:tcPr>
          <w:p>
            <w:pPr>
              <w:pStyle w:val="TableContents"/>
              <w:bidi w:val="0"/>
              <w:spacing w:before="0" w:after="283"/>
              <w:jc w:val="both"/>
              <w:rPr>
                <w:b/>
                <w:caps/>
              </w:rPr>
            </w:pPr>
            <w:r>
              <w:rPr>
                <w:b/>
                <w:caps/>
              </w:rPr>
              <w:t>GENERAL 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undertakings in Part E (</w:t>
      </w:r>
      <w:r>
        <w:rPr>
          <w:rFonts w:ascii="Times New Roman;Times;Serif" w:hAnsi="Times New Roman;Times;Serif"/>
          <w:b w:val="false"/>
          <w:i/>
          <w:caps w:val="false"/>
          <w:smallCaps w:val="false"/>
          <w:sz w:val="20"/>
        </w:rPr>
        <w:t>General Undertakings</w:t>
      </w:r>
      <w:r>
        <w:rPr>
          <w:rFonts w:ascii="Times New Roman;Times;Serif" w:hAnsi="Times New Roman;Times;Serif"/>
          <w:b w:val="false"/>
          <w:i w:val="false"/>
          <w:caps w:val="false"/>
          <w:smallCaps w:val="false"/>
          <w:sz w:val="20"/>
        </w:rPr>
        <w:t>) of Schedule 1 shall remain in force from the date of this Deed until all sums payable by Counterparty under the Put Option Agreement have been irrevocably paid in full.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885"/>
        <w:gridCol w:w="9216"/>
      </w:tblGrid>
      <w:tr>
        <w:trPr/>
        <w:tc>
          <w:tcPr>
            <w:tcW w:w="10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b/>
                <w:caps/>
              </w:rPr>
            </w:pPr>
            <w:r>
              <w:rPr>
                <w:b/>
                <w:caps/>
              </w:rPr>
              <w:t>10.</w:t>
            </w:r>
          </w:p>
        </w:tc>
        <w:tc>
          <w:tcPr>
            <w:tcW w:w="9216" w:type="dxa"/>
            <w:tcBorders/>
            <w:vAlign w:val="center"/>
          </w:tcPr>
          <w:p>
            <w:pPr>
              <w:pStyle w:val="TableContents"/>
              <w:bidi w:val="0"/>
              <w:spacing w:before="0" w:after="283"/>
              <w:jc w:val="both"/>
              <w:rPr>
                <w:b/>
                <w:caps/>
              </w:rPr>
            </w:pPr>
            <w:r>
              <w:rPr>
                <w:b/>
                <w:caps/>
              </w:rPr>
              <w:t>CHANGES TO THE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891"/>
        <w:gridCol w:w="9238"/>
      </w:tblGrid>
      <w:tr>
        <w:trPr/>
        <w:tc>
          <w:tcPr>
            <w:tcW w:w="7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pPr>
            <w:r>
              <w:rPr/>
              <w:t>10.1</w:t>
            </w:r>
          </w:p>
        </w:tc>
        <w:tc>
          <w:tcPr>
            <w:tcW w:w="9238" w:type="dxa"/>
            <w:tcBorders/>
            <w:vAlign w:val="center"/>
          </w:tcPr>
          <w:p>
            <w:pPr>
              <w:pStyle w:val="TableContents"/>
              <w:bidi w:val="0"/>
              <w:spacing w:before="0" w:after="283"/>
              <w:jc w:val="both"/>
              <w:rPr>
                <w:b/>
              </w:rPr>
            </w:pPr>
            <w:r>
              <w:rPr>
                <w:b/>
              </w:rPr>
              <w:t>Assignments and transfers by the Guarantor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may not assign or transfer any of its rights and obligations under this Deed without the prior written consent of the Beneficiary.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880"/>
        <w:gridCol w:w="9250"/>
      </w:tblGrid>
      <w:tr>
        <w:trPr/>
        <w:tc>
          <w:tcPr>
            <w:tcW w:w="7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pPr>
            <w:r>
              <w:rPr/>
              <w:t>10.2</w:t>
            </w:r>
          </w:p>
        </w:tc>
        <w:tc>
          <w:tcPr>
            <w:tcW w:w="9250" w:type="dxa"/>
            <w:tcBorders/>
            <w:vAlign w:val="center"/>
          </w:tcPr>
          <w:p>
            <w:pPr>
              <w:pStyle w:val="TableContents"/>
              <w:bidi w:val="0"/>
              <w:spacing w:before="0" w:after="283"/>
              <w:jc w:val="both"/>
              <w:rPr>
                <w:b/>
              </w:rPr>
            </w:pPr>
            <w:r>
              <w:rPr>
                <w:b/>
              </w:rPr>
              <w:t>Assignments and transfers by the Beneficiary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The Beneficiary may assign all or any part of its rights under this Deed to any person to whom the Beneficiary is entitled to assign its rights and interests in and under the Put Option Agreement in accordance with Part 5(c) (Assignment) of Schedule A to the Put Option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40" w:type="dxa"/>
            <w:tcBorders/>
            <w:vAlign w:val="center"/>
          </w:tcPr>
          <w:p>
            <w:pPr>
              <w:pStyle w:val="TableContents"/>
              <w:bidi w:val="0"/>
              <w:spacing w:before="0" w:after="283"/>
              <w:jc w:val="both"/>
              <w:rPr/>
            </w:pPr>
            <w:r>
              <w:rPr>
                <w:rFonts w:ascii="Times New Roman;Times;Serif" w:hAnsi="Times New Roman;Times;Serif"/>
              </w:rPr>
              <w:t xml:space="preserve">An assignment by the Beneficiary prior to the occurrence of an Early Exercise Event (as defined in the Put Option Agreement) shall be effective upon execution of the relevant assignment agreement by the Beneficiary and the relevant assignee. The Beneficiary shall promptly provide the Guarantor with a duly completed notice of assignment </w:t>
            </w:r>
            <w:r>
              <w:rPr/>
              <w:t>substantially in the form set out in Schedule 2 (</w:t>
            </w:r>
            <w:r>
              <w:rPr>
                <w:i/>
              </w:rPr>
              <w:t>Form of Notice of Assignment</w:t>
            </w:r>
            <w:r>
              <w:rPr/>
              <w:t>) (a “</w:t>
            </w:r>
            <w:r>
              <w:rPr>
                <w:b/>
              </w:rPr>
              <w:t>Notice of Assignment</w:t>
            </w:r>
            <w:r>
              <w:rPr/>
              <w:t>”) which has been duly executed by Beneficiary and the relevant assignee.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2195"/>
        <w:gridCol w:w="7750"/>
      </w:tblGrid>
      <w:tr>
        <w:trPr/>
        <w:tc>
          <w:tcPr>
            <w:tcW w:w="2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b/>
                <w:caps/>
              </w:rPr>
            </w:pPr>
            <w:r>
              <w:rPr>
                <w:b/>
                <w:caps/>
              </w:rPr>
              <w:t>11.</w:t>
            </w:r>
          </w:p>
        </w:tc>
        <w:tc>
          <w:tcPr>
            <w:tcW w:w="7750" w:type="dxa"/>
            <w:tcBorders/>
            <w:vAlign w:val="center"/>
          </w:tcPr>
          <w:p>
            <w:pPr>
              <w:pStyle w:val="TableContents"/>
              <w:bidi w:val="0"/>
              <w:spacing w:before="0" w:after="283"/>
              <w:jc w:val="both"/>
              <w:rPr>
                <w:b/>
                <w:caps/>
              </w:rPr>
            </w:pPr>
            <w:r>
              <w:rPr>
                <w:b/>
                <w:caps/>
              </w:rPr>
              <w:t>NOTICES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1366"/>
        <w:gridCol w:w="8722"/>
      </w:tblGrid>
      <w:tr>
        <w:trPr/>
        <w:tc>
          <w:tcPr>
            <w:tcW w:w="11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pPr>
            <w:r>
              <w:rPr/>
              <w:t>11.1</w:t>
            </w:r>
          </w:p>
        </w:tc>
        <w:tc>
          <w:tcPr>
            <w:tcW w:w="8722" w:type="dxa"/>
            <w:tcBorders/>
            <w:vAlign w:val="center"/>
          </w:tcPr>
          <w:p>
            <w:pPr>
              <w:pStyle w:val="TableContents"/>
              <w:bidi w:val="0"/>
              <w:spacing w:before="0" w:after="283"/>
              <w:jc w:val="both"/>
              <w:rPr>
                <w:b/>
              </w:rPr>
            </w:pPr>
            <w:r>
              <w:rPr>
                <w:b/>
              </w:rPr>
              <w:t>Communications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communication to be made under or in connection with this Deed must be made in writing and, unless otherwise stated, may be made by electronic mail (“</w:t>
      </w:r>
      <w:r>
        <w:rPr>
          <w:rFonts w:ascii="Times New Roman;Times;Serif" w:hAnsi="Times New Roman;Times;Serif"/>
          <w:b/>
          <w:i w:val="false"/>
          <w:caps w:val="false"/>
          <w:smallCaps w:val="false"/>
          <w:sz w:val="20"/>
        </w:rPr>
        <w:t>email</w:t>
      </w:r>
      <w:r>
        <w:rPr>
          <w:rFonts w:ascii="Times New Roman;Times;Serif" w:hAnsi="Times New Roman;Times;Serif"/>
          <w:b w:val="false"/>
          <w:i w:val="false"/>
          <w:caps w:val="false"/>
          <w:smallCaps w:val="false"/>
          <w:sz w:val="20"/>
        </w:rPr>
        <w:t>”) (including scanned copies of executed documents and other attachments), fax or letter.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2901"/>
        <w:gridCol w:w="7054"/>
      </w:tblGrid>
      <w:tr>
        <w:trPr/>
        <w:tc>
          <w:tcPr>
            <w:tcW w:w="250"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pPr>
            <w:r>
              <w:rPr/>
              <w:t>11.2</w:t>
            </w:r>
          </w:p>
        </w:tc>
        <w:tc>
          <w:tcPr>
            <w:tcW w:w="7054" w:type="dxa"/>
            <w:tcBorders/>
            <w:vAlign w:val="center"/>
          </w:tcPr>
          <w:p>
            <w:pPr>
              <w:pStyle w:val="TableContents"/>
              <w:bidi w:val="0"/>
              <w:spacing w:before="0" w:after="283"/>
              <w:jc w:val="both"/>
              <w:rPr>
                <w:b/>
              </w:rPr>
            </w:pPr>
            <w:r>
              <w:rPr>
                <w:b/>
              </w:rPr>
              <w:t>Addresses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the contact details (including the email address, address and fax number (and the department or officer, if any, for whose attention the communication is to be made)) of each Party for any communication or document to be made or delivered under or in connection with this Deed is that identified with its name below or any substitute email address, address, fax number or department or officer as a Party may notify the other Party by not less than five Business Days’ notice: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470"/>
        <w:gridCol w:w="8532"/>
      </w:tblGrid>
      <w:tr>
        <w:trPr/>
        <w:tc>
          <w:tcPr>
            <w:tcW w:w="20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pPr>
            <w:r>
              <w:rPr/>
              <w:t>(a)</w:t>
            </w:r>
          </w:p>
        </w:tc>
        <w:tc>
          <w:tcPr>
            <w:tcW w:w="8532" w:type="dxa"/>
            <w:tcBorders/>
            <w:vAlign w:val="center"/>
          </w:tcPr>
          <w:p>
            <w:pPr>
              <w:pStyle w:val="TableContents"/>
              <w:bidi w:val="0"/>
              <w:spacing w:before="0" w:after="283"/>
              <w:jc w:val="both"/>
              <w:rPr>
                <w:b/>
              </w:rPr>
            </w:pPr>
            <w:r>
              <w:rPr>
                <w:b/>
              </w:rPr>
              <w:t>The Guarantor</w:t>
            </w:r>
          </w:p>
        </w:tc>
      </w:tr>
    </w:tbl>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860"/>
        <w:gridCol w:w="24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Address:</w:t>
            </w:r>
          </w:p>
        </w:tc>
        <w:tc>
          <w:tcPr>
            <w:tcW w:w="2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965"/>
        <w:gridCol w:w="2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w:t>
            </w:r>
          </w:p>
        </w:tc>
        <w:tc>
          <w:tcPr>
            <w:tcW w:w="24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8" w:type="dxa"/>
        <w:jc w:val="left"/>
        <w:tblInd w:w="0" w:type="dxa"/>
        <w:tblLayout w:type="fixed"/>
        <w:tblCellMar>
          <w:top w:w="0" w:type="dxa"/>
          <w:left w:w="0" w:type="dxa"/>
          <w:bottom w:w="0" w:type="dxa"/>
          <w:right w:w="0" w:type="dxa"/>
        </w:tblCellMar>
      </w:tblPr>
      <w:tblGrid>
        <w:gridCol w:w="38"/>
        <w:gridCol w:w="635"/>
        <w:gridCol w:w="24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24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492"/>
        <w:gridCol w:w="8518"/>
      </w:tblGrid>
      <w:tr>
        <w:trPr/>
        <w:tc>
          <w:tcPr>
            <w:tcW w:w="19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pPr>
            <w:r>
              <w:rPr/>
              <w:t>(b)</w:t>
            </w:r>
          </w:p>
        </w:tc>
        <w:tc>
          <w:tcPr>
            <w:tcW w:w="8518" w:type="dxa"/>
            <w:tcBorders/>
            <w:vAlign w:val="center"/>
          </w:tcPr>
          <w:p>
            <w:pPr>
              <w:pStyle w:val="TableContents"/>
              <w:bidi w:val="0"/>
              <w:spacing w:before="0" w:after="283"/>
              <w:jc w:val="both"/>
              <w:rPr>
                <w:b/>
              </w:rPr>
            </w:pPr>
            <w:r>
              <w:rPr>
                <w:b/>
              </w:rPr>
              <w:t>The Beneficiary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7678"/>
        <w:gridCol w:w="2188"/>
      </w:tblGrid>
      <w:tr>
        <w:trPr/>
        <w:tc>
          <w:tcPr>
            <w:tcW w:w="339" w:type="dxa"/>
            <w:tcBorders/>
            <w:vAlign w:val="center"/>
          </w:tcPr>
          <w:p>
            <w:pPr>
              <w:pStyle w:val="TableContents"/>
              <w:bidi w:val="0"/>
              <w:spacing w:before="0" w:after="283"/>
              <w:jc w:val="left"/>
              <w:rPr>
                <w:sz w:val="4"/>
                <w:szCs w:val="4"/>
              </w:rPr>
            </w:pPr>
            <w:r>
              <w:rPr>
                <w:sz w:val="4"/>
                <w:szCs w:val="4"/>
              </w:rPr>
            </w:r>
          </w:p>
        </w:tc>
        <w:tc>
          <w:tcPr>
            <w:tcW w:w="7678" w:type="dxa"/>
            <w:tcBorders/>
            <w:vAlign w:val="center"/>
          </w:tcPr>
          <w:p>
            <w:pPr>
              <w:pStyle w:val="TableContents"/>
              <w:bidi w:val="0"/>
              <w:spacing w:before="0" w:after="283"/>
              <w:jc w:val="left"/>
              <w:rPr/>
            </w:pPr>
            <w:r>
              <w:rPr/>
              <w:t>Address:</w:t>
            </w:r>
          </w:p>
        </w:tc>
        <w:tc>
          <w:tcPr>
            <w:tcW w:w="2188"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965"/>
        <w:gridCol w:w="2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w:t>
            </w:r>
          </w:p>
        </w:tc>
        <w:tc>
          <w:tcPr>
            <w:tcW w:w="24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8" w:type="dxa"/>
        <w:jc w:val="left"/>
        <w:tblInd w:w="0" w:type="dxa"/>
        <w:tblLayout w:type="fixed"/>
        <w:tblCellMar>
          <w:top w:w="0" w:type="dxa"/>
          <w:left w:w="0" w:type="dxa"/>
          <w:bottom w:w="0" w:type="dxa"/>
          <w:right w:w="0" w:type="dxa"/>
        </w:tblCellMar>
      </w:tblPr>
      <w:tblGrid>
        <w:gridCol w:w="38"/>
        <w:gridCol w:w="635"/>
        <w:gridCol w:w="24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24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3282"/>
        <w:gridCol w:w="6640"/>
      </w:tblGrid>
      <w:tr>
        <w:trPr/>
        <w:tc>
          <w:tcPr>
            <w:tcW w:w="283" w:type="dxa"/>
            <w:tcBorders/>
            <w:vAlign w:val="center"/>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pPr>
            <w:r>
              <w:rPr/>
              <w:t>11.3</w:t>
            </w:r>
          </w:p>
        </w:tc>
        <w:tc>
          <w:tcPr>
            <w:tcW w:w="6640" w:type="dxa"/>
            <w:tcBorders/>
            <w:vAlign w:val="center"/>
          </w:tcPr>
          <w:p>
            <w:pPr>
              <w:pStyle w:val="TableContents"/>
              <w:bidi w:val="0"/>
              <w:spacing w:before="0" w:after="283"/>
              <w:jc w:val="both"/>
              <w:rPr>
                <w:b/>
              </w:rPr>
            </w:pPr>
            <w:r>
              <w:rPr>
                <w:b/>
              </w:rPr>
              <w:t>Delivery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Except as provided below, any communication or document made or delivered by one Party to another under or in connection with this Deed will be effective: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73" w:type="dxa"/>
            <w:tcBorders/>
            <w:vAlign w:val="center"/>
          </w:tcPr>
          <w:p>
            <w:pPr>
              <w:pStyle w:val="TableContents"/>
              <w:bidi w:val="0"/>
              <w:spacing w:before="0" w:after="283"/>
              <w:jc w:val="both"/>
              <w:rPr/>
            </w:pPr>
            <w:r>
              <w:rPr/>
              <w:t>if by way of email, only when received in legible form by at least one of the relevant email addresses of the person(s) to whom the communication or document is made or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13" w:type="dxa"/>
            <w:tcBorders/>
            <w:vAlign w:val="center"/>
          </w:tcPr>
          <w:p>
            <w:pPr>
              <w:pStyle w:val="TableContents"/>
              <w:bidi w:val="0"/>
              <w:spacing w:before="0" w:after="283"/>
              <w:jc w:val="both"/>
              <w:rPr/>
            </w:pPr>
            <w:r>
              <w:rPr/>
              <w:t>if by way of letter, only when it has been left at the relevant address or five Business Days after being deposited in the post postage prepaid in an envelope addressed to it at that 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a particular department or officer is specified as part of its address details provided under Clause 11.2 (</w:t>
      </w:r>
      <w:r>
        <w:rPr>
          <w:rFonts w:ascii="Times New Roman;Times;Serif" w:hAnsi="Times New Roman;Times;Serif"/>
          <w:b w:val="false"/>
          <w:i/>
          <w:caps w:val="false"/>
          <w:smallCaps w:val="false"/>
          <w:sz w:val="20"/>
        </w:rPr>
        <w:t>Addresses</w:t>
      </w:r>
      <w:r>
        <w:rPr>
          <w:rFonts w:ascii="Times New Roman;Times;Serif" w:hAnsi="Times New Roman;Times;Serif"/>
          <w:b w:val="false"/>
          <w:i w:val="false"/>
          <w:caps w:val="false"/>
          <w:smallCaps w:val="false"/>
          <w:sz w:val="20"/>
        </w:rPr>
        <w:t>), if addressed to that department or officer.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Any communication or document which would otherwise become effective in accordance with paragraphs (a) to (b) on a non-working day or after 5:00 p.m. in the place of receipt will be deemed only to become effective on the next working day in that place.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3246"/>
        <w:gridCol w:w="6679"/>
      </w:tblGrid>
      <w:tr>
        <w:trPr/>
        <w:tc>
          <w:tcPr>
            <w:tcW w:w="280"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pPr>
            <w:r>
              <w:rPr/>
              <w:t>11.4</w:t>
            </w:r>
          </w:p>
        </w:tc>
        <w:tc>
          <w:tcPr>
            <w:tcW w:w="6679" w:type="dxa"/>
            <w:tcBorders/>
            <w:vAlign w:val="center"/>
          </w:tcPr>
          <w:p>
            <w:pPr>
              <w:pStyle w:val="TableContents"/>
              <w:bidi w:val="0"/>
              <w:spacing w:before="0" w:after="283"/>
              <w:jc w:val="both"/>
              <w:rPr>
                <w:b/>
              </w:rPr>
            </w:pPr>
            <w:r>
              <w:rPr>
                <w:b/>
              </w:rPr>
              <w:t>Reliance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must take reasonable care to ensure that no forged, false or unauthorised notices are sent to another Party.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993"/>
        <w:gridCol w:w="8040"/>
      </w:tblGrid>
      <w:tr>
        <w:trPr/>
        <w:tc>
          <w:tcPr>
            <w:tcW w:w="172"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pPr>
            <w:r>
              <w:rPr/>
              <w:t>11.5</w:t>
            </w:r>
          </w:p>
        </w:tc>
        <w:tc>
          <w:tcPr>
            <w:tcW w:w="8040" w:type="dxa"/>
            <w:tcBorders/>
            <w:vAlign w:val="center"/>
          </w:tcPr>
          <w:p>
            <w:pPr>
              <w:pStyle w:val="TableContents"/>
              <w:bidi w:val="0"/>
              <w:spacing w:before="0" w:after="283"/>
              <w:jc w:val="both"/>
              <w:rPr>
                <w:b/>
              </w:rPr>
            </w:pPr>
            <w:r>
              <w:rPr>
                <w:b/>
              </w:rPr>
              <w:t>English language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5"/>
        <w:gridCol w:w="9824"/>
      </w:tblGrid>
      <w:tr>
        <w:trPr/>
        <w:tc>
          <w:tcPr>
            <w:tcW w:w="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(a)</w:t>
            </w:r>
          </w:p>
        </w:tc>
        <w:tc>
          <w:tcPr>
            <w:tcW w:w="9824" w:type="dxa"/>
            <w:tcBorders/>
            <w:vAlign w:val="center"/>
          </w:tcPr>
          <w:p>
            <w:pPr>
              <w:pStyle w:val="TableContents"/>
              <w:bidi w:val="0"/>
              <w:spacing w:before="0" w:after="283"/>
              <w:jc w:val="both"/>
              <w:rPr/>
            </w:pPr>
            <w:r>
              <w:rPr/>
              <w:t>Any communication made under or in connection with this Deed must be in English.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6"/>
        <w:gridCol w:w="9769"/>
      </w:tblGrid>
      <w:tr>
        <w:trPr/>
        <w:tc>
          <w:tcPr>
            <w:tcW w:w="5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(b)</w:t>
            </w:r>
          </w:p>
        </w:tc>
        <w:tc>
          <w:tcPr>
            <w:tcW w:w="9769" w:type="dxa"/>
            <w:tcBorders/>
            <w:vAlign w:val="center"/>
          </w:tcPr>
          <w:p>
            <w:pPr>
              <w:pStyle w:val="TableContents"/>
              <w:bidi w:val="0"/>
              <w:spacing w:before="0" w:after="283"/>
              <w:jc w:val="both"/>
              <w:rPr/>
            </w:pPr>
            <w:r>
              <w:rPr/>
              <w:t>All other documents provided under or in connection with this Deed must be: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488"/>
        <w:gridCol w:w="8472"/>
      </w:tblGrid>
      <w:tr>
        <w:trPr/>
        <w:tc>
          <w:tcPr>
            <w:tcW w:w="24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8472" w:type="dxa"/>
            <w:tcBorders/>
            <w:vAlign w:val="center"/>
          </w:tcPr>
          <w:p>
            <w:pPr>
              <w:pStyle w:val="TableContents"/>
              <w:bidi w:val="0"/>
              <w:spacing w:before="0" w:after="283"/>
              <w:jc w:val="both"/>
              <w:rPr/>
            </w:pPr>
            <w:r>
              <w:rPr/>
              <w:t>in English;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22" w:type="dxa"/>
            <w:tcBorders/>
            <w:vAlign w:val="center"/>
          </w:tcPr>
          <w:p>
            <w:pPr>
              <w:pStyle w:val="TableContents"/>
              <w:bidi w:val="0"/>
              <w:spacing w:before="0" w:after="283"/>
              <w:jc w:val="both"/>
              <w:rPr/>
            </w:pPr>
            <w:r>
              <w:rPr/>
              <w:t>if not in English, and if so required by the Beneficiary, accompanied by a certified English translation and, in this case, the English translation will prevail unless the document is a constitutional, statutory or other official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489"/>
        <w:gridCol w:w="8540"/>
      </w:tblGrid>
      <w:tr>
        <w:trPr/>
        <w:tc>
          <w:tcPr>
            <w:tcW w:w="17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b/>
                <w:caps/>
              </w:rPr>
            </w:pPr>
            <w:r>
              <w:rPr>
                <w:b/>
                <w:caps/>
              </w:rPr>
              <w:t>12.</w:t>
            </w:r>
          </w:p>
        </w:tc>
        <w:tc>
          <w:tcPr>
            <w:tcW w:w="8540" w:type="dxa"/>
            <w:tcBorders/>
            <w:vAlign w:val="center"/>
          </w:tcPr>
          <w:p>
            <w:pPr>
              <w:pStyle w:val="TableContents"/>
              <w:bidi w:val="0"/>
              <w:spacing w:before="0" w:after="283"/>
              <w:jc w:val="both"/>
              <w:rPr>
                <w:b/>
                <w:caps/>
              </w:rPr>
            </w:pPr>
            <w:r>
              <w:rPr>
                <w:b/>
                <w:caps/>
              </w:rPr>
              <w:t>OTHER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1341"/>
        <w:gridCol w:w="8749"/>
      </w:tblGrid>
      <w:tr>
        <w:trPr/>
        <w:tc>
          <w:tcPr>
            <w:tcW w:w="11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pPr>
            <w:r>
              <w:rPr/>
              <w:t>12.1</w:t>
            </w:r>
          </w:p>
        </w:tc>
        <w:tc>
          <w:tcPr>
            <w:tcW w:w="8749" w:type="dxa"/>
            <w:tcBorders/>
            <w:vAlign w:val="center"/>
          </w:tcPr>
          <w:p>
            <w:pPr>
              <w:pStyle w:val="TableContents"/>
              <w:bidi w:val="0"/>
              <w:spacing w:before="0" w:after="283"/>
              <w:jc w:val="both"/>
              <w:rPr>
                <w:b/>
              </w:rPr>
            </w:pPr>
            <w:r>
              <w:rPr>
                <w:b/>
              </w:rPr>
              <w:t>Payments to the Beneficiary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On each date on which the Guarantor is required to make a payment under this Deed, the Guarantor shall make the payment available to the Beneficiary (unless a contrary indication appears in this Deed) for value on the due date at the time and in such funds specified by the Beneficiary as being customary at the time for settlement of transactions in the relevant currency in the place of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42"/>
        <w:gridCol w:w="9819"/>
      </w:tblGrid>
      <w:tr>
        <w:trPr/>
        <w:tc>
          <w:tcPr>
            <w:tcW w:w="4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(b)</w:t>
            </w:r>
          </w:p>
        </w:tc>
        <w:tc>
          <w:tcPr>
            <w:tcW w:w="9819" w:type="dxa"/>
            <w:tcBorders/>
            <w:vAlign w:val="center"/>
          </w:tcPr>
          <w:p>
            <w:pPr>
              <w:pStyle w:val="TableContents"/>
              <w:bidi w:val="0"/>
              <w:spacing w:before="0" w:after="283"/>
              <w:jc w:val="both"/>
              <w:rPr/>
            </w:pPr>
            <w:r>
              <w:rPr/>
              <w:t>Payment shall be made to such account and with such bank as the Beneficiary specifies.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1347"/>
        <w:gridCol w:w="8742"/>
      </w:tblGrid>
      <w:tr>
        <w:trPr/>
        <w:tc>
          <w:tcPr>
            <w:tcW w:w="11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pPr>
            <w:r>
              <w:rPr/>
              <w:t>12.2</w:t>
            </w:r>
          </w:p>
        </w:tc>
        <w:tc>
          <w:tcPr>
            <w:tcW w:w="8742" w:type="dxa"/>
            <w:tcBorders/>
            <w:vAlign w:val="center"/>
          </w:tcPr>
          <w:p>
            <w:pPr>
              <w:pStyle w:val="TableContents"/>
              <w:bidi w:val="0"/>
              <w:spacing w:before="0" w:after="283"/>
              <w:jc w:val="both"/>
              <w:rPr>
                <w:b/>
              </w:rPr>
            </w:pPr>
            <w:r>
              <w:rPr>
                <w:b/>
              </w:rPr>
              <w:t>No set-off by the Guarantor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to be made by the Guarantor to the Beneficiary under this Deed will be calculated and be made without (and free and clear of any deduction for) set-off or counterclaim.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1335"/>
        <w:gridCol w:w="8755"/>
      </w:tblGrid>
      <w:tr>
        <w:trPr/>
        <w:tc>
          <w:tcPr>
            <w:tcW w:w="11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pPr>
            <w:r>
              <w:rPr/>
              <w:t>12.3</w:t>
            </w:r>
          </w:p>
        </w:tc>
        <w:tc>
          <w:tcPr>
            <w:tcW w:w="8755" w:type="dxa"/>
            <w:tcBorders/>
            <w:vAlign w:val="center"/>
          </w:tcPr>
          <w:p>
            <w:pPr>
              <w:pStyle w:val="TableContents"/>
              <w:bidi w:val="0"/>
              <w:spacing w:before="0" w:after="283"/>
              <w:jc w:val="both"/>
              <w:rPr>
                <w:b/>
              </w:rPr>
            </w:pPr>
            <w:r>
              <w:rPr>
                <w:b/>
              </w:rPr>
              <w:t>Calculations and certificates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In any litigation or arbitration proceedings arising out of or in connection with this Deed, the entries made in the accounts maintained by the Beneficiary are prima facie evidence of the matters to which they relate.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2" w:type="dxa"/>
            <w:tcBorders/>
            <w:vAlign w:val="center"/>
          </w:tcPr>
          <w:p>
            <w:pPr>
              <w:pStyle w:val="TableContents"/>
              <w:bidi w:val="0"/>
              <w:spacing w:before="0" w:after="283"/>
              <w:jc w:val="both"/>
              <w:rPr/>
            </w:pPr>
            <w:r>
              <w:rPr/>
              <w:t>Any certification or determination by the Beneficiary of a rate or amount under this Deed is, in the absence of manifest error, conclusive evidence of the matters to which it relates.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311"/>
        <w:gridCol w:w="7620"/>
      </w:tblGrid>
      <w:tr>
        <w:trPr/>
        <w:tc>
          <w:tcPr>
            <w:tcW w:w="27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b/>
                <w:caps/>
              </w:rPr>
            </w:pPr>
            <w:r>
              <w:rPr>
                <w:b/>
                <w:caps/>
              </w:rPr>
              <w:t>13.</w:t>
            </w:r>
          </w:p>
        </w:tc>
        <w:tc>
          <w:tcPr>
            <w:tcW w:w="7620" w:type="dxa"/>
            <w:tcBorders/>
            <w:vAlign w:val="center"/>
          </w:tcPr>
          <w:p>
            <w:pPr>
              <w:pStyle w:val="TableContents"/>
              <w:bidi w:val="0"/>
              <w:spacing w:before="0" w:after="283"/>
              <w:jc w:val="both"/>
              <w:rPr>
                <w:b/>
                <w:caps/>
              </w:rPr>
            </w:pPr>
            <w:r>
              <w:rPr>
                <w:b/>
                <w:caps/>
              </w:rPr>
              <w:t>SET-OFF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Beneficiary may set off any matured obligation due from the Guarantor under this Deed (to the extent beneficially owned by the Beneficiary) against any matured obligation owed by the Beneficiary to the Guarantor, regardless of the place of payment, booking branch or currency of either obligation. If the obligations are in different currencies, the Beneficiary may convert either obligation at a market rate of exchange in its usual course of business for the purpose of the set-off.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1066"/>
        <w:gridCol w:w="9013"/>
      </w:tblGrid>
      <w:tr>
        <w:trPr/>
        <w:tc>
          <w:tcPr>
            <w:tcW w:w="1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b/>
                <w:caps/>
              </w:rPr>
            </w:pPr>
            <w:r>
              <w:rPr>
                <w:b/>
                <w:caps/>
              </w:rPr>
              <w:t>14.</w:t>
            </w:r>
          </w:p>
        </w:tc>
        <w:tc>
          <w:tcPr>
            <w:tcW w:w="9013" w:type="dxa"/>
            <w:tcBorders/>
            <w:vAlign w:val="center"/>
          </w:tcPr>
          <w:p>
            <w:pPr>
              <w:pStyle w:val="TableContents"/>
              <w:bidi w:val="0"/>
              <w:spacing w:before="0" w:after="283"/>
              <w:jc w:val="both"/>
              <w:rPr>
                <w:b/>
                <w:caps/>
              </w:rPr>
            </w:pPr>
            <w:r>
              <w:rPr>
                <w:b/>
                <w:caps/>
              </w:rPr>
              <w:t>PARTIAL INVALIDITY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any term of this Deed is or becomes illegal, invalid or unenforceable in any respect under any law of any jurisdiction that will not affect: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19"/>
        <w:gridCol w:w="9842"/>
      </w:tblGrid>
      <w:tr>
        <w:trPr/>
        <w:tc>
          <w:tcPr>
            <w:tcW w:w="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(a)</w:t>
            </w:r>
          </w:p>
        </w:tc>
        <w:tc>
          <w:tcPr>
            <w:tcW w:w="9842" w:type="dxa"/>
            <w:tcBorders/>
            <w:vAlign w:val="center"/>
          </w:tcPr>
          <w:p>
            <w:pPr>
              <w:pStyle w:val="TableContents"/>
              <w:bidi w:val="0"/>
              <w:spacing w:before="0" w:after="283"/>
              <w:jc w:val="both"/>
              <w:rPr/>
            </w:pPr>
            <w:r>
              <w:rPr/>
              <w:t>the legality, validity or enforceability in that jurisdiction of any other term of this Deed;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4"/>
        <w:gridCol w:w="9850"/>
      </w:tblGrid>
      <w:tr>
        <w:trPr/>
        <w:tc>
          <w:tcPr>
            <w:tcW w:w="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(b)</w:t>
            </w:r>
          </w:p>
        </w:tc>
        <w:tc>
          <w:tcPr>
            <w:tcW w:w="9850" w:type="dxa"/>
            <w:tcBorders/>
            <w:vAlign w:val="center"/>
          </w:tcPr>
          <w:p>
            <w:pPr>
              <w:pStyle w:val="TableContents"/>
              <w:bidi w:val="0"/>
              <w:spacing w:before="0" w:after="283"/>
              <w:jc w:val="both"/>
              <w:rPr/>
            </w:pPr>
            <w:r>
              <w:rPr/>
              <w:t>the legality, validity or enforceability in other jurisdictions of that or any other term of this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926"/>
        <w:gridCol w:w="9170"/>
      </w:tblGrid>
      <w:tr>
        <w:trPr/>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b/>
                <w:caps/>
              </w:rPr>
            </w:pPr>
            <w:r>
              <w:rPr>
                <w:b/>
                <w:caps/>
              </w:rPr>
              <w:t>15.</w:t>
            </w:r>
          </w:p>
        </w:tc>
        <w:tc>
          <w:tcPr>
            <w:tcW w:w="9170" w:type="dxa"/>
            <w:tcBorders/>
            <w:vAlign w:val="center"/>
          </w:tcPr>
          <w:p>
            <w:pPr>
              <w:pStyle w:val="TableContents"/>
              <w:bidi w:val="0"/>
              <w:spacing w:before="0" w:after="283"/>
              <w:jc w:val="both"/>
              <w:rPr>
                <w:b/>
                <w:caps/>
              </w:rPr>
            </w:pPr>
            <w:r>
              <w:rPr>
                <w:b/>
                <w:caps/>
              </w:rPr>
              <w:t>REMEDIES AND WAIVERS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to exercise, nor any delay in exercising, on the part of the Beneficiary, any right or remedy under this Deed will operate as a waiver, nor will any single or partial exercise of any right or remedy prevent any further or other exercise or the exercise of any other right or remedy. The rights and remedies provided in this Deed are cumulative and not exclusive of any rights or remedies provided by law and may be waived only in writing and specifically by the Beneficiary.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812"/>
        <w:gridCol w:w="9297"/>
      </w:tblGrid>
      <w:tr>
        <w:trPr/>
        <w:tc>
          <w:tcPr>
            <w:tcW w:w="9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b/>
                <w:caps/>
              </w:rPr>
            </w:pPr>
            <w:r>
              <w:rPr>
                <w:b/>
                <w:caps/>
              </w:rPr>
              <w:t>16.</w:t>
            </w:r>
          </w:p>
        </w:tc>
        <w:tc>
          <w:tcPr>
            <w:tcW w:w="9297" w:type="dxa"/>
            <w:tcBorders/>
            <w:vAlign w:val="center"/>
          </w:tcPr>
          <w:p>
            <w:pPr>
              <w:pStyle w:val="TableContents"/>
              <w:bidi w:val="0"/>
              <w:spacing w:before="0" w:after="283"/>
              <w:jc w:val="both"/>
              <w:rPr>
                <w:b/>
                <w:caps/>
              </w:rPr>
            </w:pPr>
            <w:r>
              <w:rPr>
                <w:b/>
                <w:caps/>
              </w:rPr>
              <w:t>AMENDMENTS AND WAIVERS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Deed may only be amended or waived with the written consent of the Guarantor and the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785"/>
        <w:gridCol w:w="9327"/>
      </w:tblGrid>
      <w:tr>
        <w:trPr/>
        <w:tc>
          <w:tcPr>
            <w:tcW w:w="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b/>
                <w:caps/>
              </w:rPr>
            </w:pPr>
            <w:r>
              <w:rPr>
                <w:b/>
                <w:caps/>
              </w:rPr>
              <w:t>17.</w:t>
            </w:r>
          </w:p>
        </w:tc>
        <w:tc>
          <w:tcPr>
            <w:tcW w:w="9327" w:type="dxa"/>
            <w:tcBorders/>
            <w:vAlign w:val="center"/>
          </w:tcPr>
          <w:p>
            <w:pPr>
              <w:pStyle w:val="TableContents"/>
              <w:bidi w:val="0"/>
              <w:spacing w:before="0" w:after="283"/>
              <w:jc w:val="both"/>
              <w:rPr>
                <w:b/>
                <w:caps/>
              </w:rPr>
            </w:pPr>
            <w:r>
              <w:rPr>
                <w:b/>
                <w:caps/>
              </w:rPr>
              <w:t>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2214"/>
        <w:gridCol w:w="7800"/>
      </w:tblGrid>
      <w:tr>
        <w:trPr/>
        <w:tc>
          <w:tcPr>
            <w:tcW w:w="191"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pPr>
            <w:r>
              <w:rPr/>
              <w:t>17.1</w:t>
            </w:r>
          </w:p>
        </w:tc>
        <w:tc>
          <w:tcPr>
            <w:tcW w:w="7800" w:type="dxa"/>
            <w:tcBorders/>
            <w:vAlign w:val="center"/>
          </w:tcPr>
          <w:p>
            <w:pPr>
              <w:pStyle w:val="TableContents"/>
              <w:bidi w:val="0"/>
              <w:spacing w:before="0" w:after="283"/>
              <w:jc w:val="both"/>
              <w:rPr>
                <w:b/>
              </w:rPr>
            </w:pPr>
            <w:r>
              <w:rPr>
                <w:b/>
              </w:rPr>
              <w:t>Confidentiality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The Beneficiary must keep all Confidential Information confidential and not disclose it to any person, save to the extent permitted by Clause 17.2 (</w:t>
            </w:r>
            <w:r>
              <w:rPr>
                <w:i/>
              </w:rPr>
              <w:t>Disclosure of Confidential Information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The Beneficiary must ensure that all Confidential Information is protected with security measures and a degree of care that would apply to its own 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1014"/>
        <w:gridCol w:w="9104"/>
      </w:tblGrid>
      <w:tr>
        <w:trPr/>
        <w:tc>
          <w:tcPr>
            <w:tcW w:w="8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pPr>
            <w:r>
              <w:rPr/>
              <w:t>17.2</w:t>
            </w:r>
          </w:p>
        </w:tc>
        <w:tc>
          <w:tcPr>
            <w:tcW w:w="9104" w:type="dxa"/>
            <w:tcBorders/>
            <w:vAlign w:val="center"/>
          </w:tcPr>
          <w:p>
            <w:pPr>
              <w:pStyle w:val="TableContents"/>
              <w:bidi w:val="0"/>
              <w:spacing w:before="0" w:after="283"/>
              <w:jc w:val="both"/>
              <w:rPr>
                <w:b/>
              </w:rPr>
            </w:pPr>
            <w:r>
              <w:rPr>
                <w:b/>
              </w:rPr>
              <w:t>Disclosure of Confidential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Beneficiary may disclose: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to any of its head office, other branches and regional offices, Affiliates and all its other affiliated companies and Related Funds and any of its or their officers, directors, employees, professional advisers, auditors, insurers, reinsurers, insurance brokers, service providers (and their sub-contractors), partners and Representatives such Confidential Information as the Beneficiary considers appropriate for any purposes as it thinks fit if any person to whom the Confidential Information is to be given pursuant to this paragraph (a) is informed in writing of its confidential nature and that some or all of such Confidential Information may be price- sensitive information except that there is no such requirement to so inform if the recipient is subject to professional obligations to maintain the confidentiality of the information or is otherwise bound by requirements of confidentiality in relation to the 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743"/>
        <w:gridCol w:w="8234"/>
      </w:tblGrid>
      <w:tr>
        <w:trPr/>
        <w:tc>
          <w:tcPr>
            <w:tcW w:w="22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pPr>
            <w:r>
              <w:rPr/>
              <w:t>(b)</w:t>
            </w:r>
          </w:p>
        </w:tc>
        <w:tc>
          <w:tcPr>
            <w:tcW w:w="8234" w:type="dxa"/>
            <w:tcBorders/>
            <w:vAlign w:val="center"/>
          </w:tcPr>
          <w:p>
            <w:pPr>
              <w:pStyle w:val="TableContents"/>
              <w:bidi w:val="0"/>
              <w:spacing w:before="0" w:after="283"/>
              <w:jc w:val="both"/>
              <w:rPr/>
            </w:pPr>
            <w:r>
              <w:rPr/>
              <w:t>to any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82" w:type="dxa"/>
            <w:tcBorders/>
            <w:vAlign w:val="center"/>
          </w:tcPr>
          <w:p>
            <w:pPr>
              <w:pStyle w:val="TableContents"/>
              <w:bidi w:val="0"/>
              <w:spacing w:before="0" w:after="283"/>
              <w:jc w:val="both"/>
              <w:rPr/>
            </w:pPr>
            <w:r>
              <w:rPr/>
              <w:t>to (or through) whom it assigns or transfers (or may potentially assign or transfer) all or any of its rights and/or obligations under this Deed and, to any of that person’s Affiliates, Related Funds, Representatives and professional advisers;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30" w:type="dxa"/>
            <w:tcBorders/>
            <w:vAlign w:val="center"/>
          </w:tcPr>
          <w:p>
            <w:pPr>
              <w:pStyle w:val="TableContents"/>
              <w:bidi w:val="0"/>
              <w:spacing w:before="0" w:after="283"/>
              <w:jc w:val="both"/>
              <w:rPr/>
            </w:pPr>
            <w:r>
              <w:rPr/>
              <w:t>with (or through) whom it enters into (or may potentially enter into), whether directly or indirectly, any transaction under which payments are to be made or may be made by reference to, this Deed and/or the Guarantor and to any of that person’s Affiliates, Related Funds, Representatives and professional advisers;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50" w:type="dxa"/>
            <w:tcBorders/>
            <w:vAlign w:val="center"/>
          </w:tcPr>
          <w:p>
            <w:pPr>
              <w:pStyle w:val="TableContents"/>
              <w:bidi w:val="0"/>
              <w:spacing w:before="0" w:after="283"/>
              <w:jc w:val="both"/>
              <w:rPr/>
            </w:pPr>
            <w:r>
              <w:rPr/>
              <w:t>who invests in or otherwise finances (or may potentially invest in or otherwise finance), directly or indirectly, any transaction referred to in paragraphs (b)(i) or (b)(ii)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70" w:type="dxa"/>
            <w:tcBorders/>
            <w:vAlign w:val="center"/>
          </w:tcPr>
          <w:p>
            <w:pPr>
              <w:pStyle w:val="TableContents"/>
              <w:bidi w:val="0"/>
              <w:spacing w:before="0" w:after="283"/>
              <w:jc w:val="both"/>
              <w:rPr/>
            </w:pPr>
            <w:r>
              <w:rPr/>
              <w:t>to whom information is required or requested to be disclosed by any court of competent jurisdiction or any governmental, banking, taxation or other regulatory authority or similar body, the rules of any relevant stock exchange, listing authority or similar body, or pursuant to any applicable law or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13" w:type="dxa"/>
            <w:tcBorders/>
            <w:vAlign w:val="center"/>
          </w:tcPr>
          <w:p>
            <w:pPr>
              <w:pStyle w:val="TableContents"/>
              <w:bidi w:val="0"/>
              <w:spacing w:before="0" w:after="283"/>
              <w:jc w:val="both"/>
              <w:rPr/>
            </w:pPr>
            <w:r>
              <w:rPr/>
              <w:t>to whom information is required to be disclosed in connection with, and for the purposes of, any litigation, arbitration, administrative or other investigations, proceedings or disputes;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983"/>
        <w:gridCol w:w="9116"/>
      </w:tblGrid>
      <w:tr>
        <w:trPr/>
        <w:tc>
          <w:tcPr>
            <w:tcW w:w="10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116" w:type="dxa"/>
            <w:tcBorders/>
            <w:vAlign w:val="center"/>
          </w:tcPr>
          <w:p>
            <w:pPr>
              <w:pStyle w:val="TableContents"/>
              <w:bidi w:val="0"/>
              <w:spacing w:before="0" w:after="283"/>
              <w:jc w:val="both"/>
              <w:rPr/>
            </w:pPr>
            <w:r>
              <w:rPr/>
              <w:t>who is a member of the Group;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1128"/>
        <w:gridCol w:w="8973"/>
      </w:tblGrid>
      <w:tr>
        <w:trPr/>
        <w:tc>
          <w:tcPr>
            <w:tcW w:w="10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8973" w:type="dxa"/>
            <w:tcBorders/>
            <w:vAlign w:val="center"/>
          </w:tcPr>
          <w:p>
            <w:pPr>
              <w:pStyle w:val="TableContents"/>
              <w:bidi w:val="0"/>
              <w:spacing w:before="0" w:after="283"/>
              <w:jc w:val="both"/>
              <w:rPr/>
            </w:pPr>
            <w:r>
              <w:rPr/>
              <w:t>with the consent of the Guarantor,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such Confidential Information as the Beneficiary considers appropriate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(A)</w:t>
            </w:r>
          </w:p>
        </w:tc>
        <w:tc>
          <w:tcPr>
            <w:tcW w:w="9875" w:type="dxa"/>
            <w:tcBorders/>
            <w:vAlign w:val="center"/>
          </w:tcPr>
          <w:p>
            <w:pPr>
              <w:pStyle w:val="TableContents"/>
              <w:bidi w:val="0"/>
              <w:spacing w:before="0" w:after="283"/>
              <w:jc w:val="both"/>
              <w:rPr/>
            </w:pPr>
            <w:r>
              <w:rPr/>
              <w:t>in relation to paragraphs (b)(i) and (b)(ii) above the person to whom the Confidential Information is to be given has entered into a confidentiality undertaking except that there is no requirement for such confidentiality undertaking if the recipient is a professional adviser and/or is subject to professional obligations to maintain the confidentiality of the 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in relation to paragraph (b)(iii)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(C)</w:t>
            </w:r>
          </w:p>
        </w:tc>
        <w:tc>
          <w:tcPr>
            <w:tcW w:w="9889" w:type="dxa"/>
            <w:tcBorders/>
            <w:vAlign w:val="center"/>
          </w:tcPr>
          <w:p>
            <w:pPr>
              <w:pStyle w:val="TableContents"/>
              <w:bidi w:val="0"/>
              <w:spacing w:before="0" w:after="283"/>
              <w:jc w:val="both"/>
              <w:rPr/>
            </w:pPr>
            <w:r>
              <w:rPr/>
              <w:t>in relation to paragraphs (b)(iv) and (b)(v) above, the person to whom the Confidential Information is to be given is informed of its confidential nature and that some or all of such Confidential Information may be price-sensitive information except that there is no requirement to inform if, in the opinion of the Beneficiary, it is not practicable so to do in the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967"/>
        <w:gridCol w:w="8069"/>
      </w:tblGrid>
      <w:tr>
        <w:trPr/>
        <w:tc>
          <w:tcPr>
            <w:tcW w:w="16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pPr>
            <w:r>
              <w:rPr/>
              <w:t>17.3</w:t>
            </w:r>
          </w:p>
        </w:tc>
        <w:tc>
          <w:tcPr>
            <w:tcW w:w="8069" w:type="dxa"/>
            <w:tcBorders/>
            <w:vAlign w:val="center"/>
          </w:tcPr>
          <w:p>
            <w:pPr>
              <w:pStyle w:val="TableContents"/>
              <w:bidi w:val="0"/>
              <w:spacing w:before="0" w:after="283"/>
              <w:jc w:val="both"/>
              <w:rPr>
                <w:b/>
              </w:rPr>
            </w:pPr>
            <w:r>
              <w:rPr>
                <w:b/>
              </w:rPr>
              <w:t>Entire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Clause: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constitutes the entire agreement between the Parties in relation to the obligations of the Beneficiary under this Deed regarding Confidential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0"/>
        <w:gridCol w:w="9866"/>
      </w:tblGrid>
      <w:tr>
        <w:trPr/>
        <w:tc>
          <w:tcPr>
            <w:tcW w:w="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(b)</w:t>
            </w:r>
          </w:p>
        </w:tc>
        <w:tc>
          <w:tcPr>
            <w:tcW w:w="9866" w:type="dxa"/>
            <w:tcBorders/>
            <w:vAlign w:val="center"/>
          </w:tcPr>
          <w:p>
            <w:pPr>
              <w:pStyle w:val="TableContents"/>
              <w:bidi w:val="0"/>
              <w:spacing w:before="0" w:after="283"/>
              <w:jc w:val="both"/>
              <w:rPr/>
            </w:pPr>
            <w:r>
              <w:rPr/>
              <w:t>supersedes any previous agreement, whether express or implied, regarding 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880"/>
        <w:gridCol w:w="8163"/>
      </w:tblGrid>
      <w:tr>
        <w:trPr/>
        <w:tc>
          <w:tcPr>
            <w:tcW w:w="162"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pPr>
            <w:r>
              <w:rPr/>
              <w:t>17.4</w:t>
            </w:r>
          </w:p>
        </w:tc>
        <w:tc>
          <w:tcPr>
            <w:tcW w:w="8163" w:type="dxa"/>
            <w:tcBorders/>
            <w:vAlign w:val="center"/>
          </w:tcPr>
          <w:p>
            <w:pPr>
              <w:pStyle w:val="TableContents"/>
              <w:bidi w:val="0"/>
              <w:spacing w:before="0" w:after="283"/>
              <w:jc w:val="both"/>
              <w:rPr>
                <w:b/>
              </w:rPr>
            </w:pPr>
            <w:r>
              <w:rPr>
                <w:b/>
              </w:rPr>
              <w:t>Inside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Beneficiary acknowledges that some or all of the Confidential Information is or may be price- sensitive information and that the use of such information may be regulated or prohibited by applicable legislation including securities law relating to insider dealing and market abuse and the Beneficiary undertakes not to use any Confidential Information for any unlawful purpose.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488"/>
        <w:gridCol w:w="8589"/>
      </w:tblGrid>
      <w:tr>
        <w:trPr/>
        <w:tc>
          <w:tcPr>
            <w:tcW w:w="12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pPr>
            <w:r>
              <w:rPr/>
              <w:t>17.5</w:t>
            </w:r>
          </w:p>
        </w:tc>
        <w:tc>
          <w:tcPr>
            <w:tcW w:w="8589" w:type="dxa"/>
            <w:tcBorders/>
            <w:vAlign w:val="center"/>
          </w:tcPr>
          <w:p>
            <w:pPr>
              <w:pStyle w:val="TableContents"/>
              <w:bidi w:val="0"/>
              <w:spacing w:before="0" w:after="283"/>
              <w:jc w:val="both"/>
              <w:rPr>
                <w:b/>
              </w:rPr>
            </w:pPr>
            <w:r>
              <w:rPr>
                <w:b/>
              </w:rPr>
              <w:t>Notification of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Beneficiary agrees (to the extent permitted by law and regulation) to inform the Guarantor: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of the circumstances of any disclosure of Confidential Information made pursuant to paragraph (b)(iv) of Clause 17.2 (</w:t>
            </w:r>
            <w:r>
              <w:rPr>
                <w:i/>
              </w:rPr>
              <w:t>Disclosure of Confidential Information</w:t>
            </w:r>
            <w:r>
              <w:rPr/>
              <w:t>) except where such disclosure is made to any of the persons referred to in that paragraph during the ordinary course of its supervisory or regulatory function;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2"/>
        <w:gridCol w:w="9841"/>
      </w:tblGrid>
      <w:tr>
        <w:trPr/>
        <w:tc>
          <w:tcPr>
            <w:tcW w:w="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(b)</w:t>
            </w:r>
          </w:p>
        </w:tc>
        <w:tc>
          <w:tcPr>
            <w:tcW w:w="9841" w:type="dxa"/>
            <w:tcBorders/>
            <w:vAlign w:val="center"/>
          </w:tcPr>
          <w:p>
            <w:pPr>
              <w:pStyle w:val="TableContents"/>
              <w:bidi w:val="0"/>
              <w:spacing w:before="0" w:after="283"/>
              <w:jc w:val="both"/>
              <w:rPr/>
            </w:pPr>
            <w:r>
              <w:rPr/>
              <w:t>on becoming aware that Confidential Information has been disclosed in breach of this Clause.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590"/>
        <w:gridCol w:w="8478"/>
      </w:tblGrid>
      <w:tr>
        <w:trPr/>
        <w:tc>
          <w:tcPr>
            <w:tcW w:w="13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pPr>
            <w:r>
              <w:rPr/>
              <w:t>17.6</w:t>
            </w:r>
          </w:p>
        </w:tc>
        <w:tc>
          <w:tcPr>
            <w:tcW w:w="8478" w:type="dxa"/>
            <w:tcBorders/>
            <w:vAlign w:val="center"/>
          </w:tcPr>
          <w:p>
            <w:pPr>
              <w:pStyle w:val="TableContents"/>
              <w:bidi w:val="0"/>
              <w:spacing w:before="0" w:after="283"/>
              <w:jc w:val="both"/>
              <w:rPr>
                <w:b/>
              </w:rPr>
            </w:pPr>
            <w:r>
              <w:rPr>
                <w:b/>
              </w:rPr>
              <w:t>Continuing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in this Clause are continuing and, in particular, will survive and remain binding on the Beneficiary for a period of 12 months from the earlier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the date on which all sums payable by Counterparty under the Put Option Agreement have been paid or discharged in full;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57"/>
        <w:gridCol w:w="9689"/>
      </w:tblGrid>
      <w:tr>
        <w:trPr/>
        <w:tc>
          <w:tcPr>
            <w:tcW w:w="5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(b)</w:t>
            </w:r>
          </w:p>
        </w:tc>
        <w:tc>
          <w:tcPr>
            <w:tcW w:w="9689" w:type="dxa"/>
            <w:tcBorders/>
            <w:vAlign w:val="center"/>
          </w:tcPr>
          <w:p>
            <w:pPr>
              <w:pStyle w:val="TableContents"/>
              <w:bidi w:val="0"/>
              <w:spacing w:before="0" w:after="283"/>
              <w:jc w:val="both"/>
              <w:rPr/>
            </w:pPr>
            <w:r>
              <w:rPr/>
              <w:t>the date on which the Beneficiary otherwise ceases to be a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342"/>
        <w:gridCol w:w="8704"/>
      </w:tblGrid>
      <w:tr>
        <w:trPr/>
        <w:tc>
          <w:tcPr>
            <w:tcW w:w="15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b/>
                <w:caps/>
              </w:rPr>
            </w:pPr>
            <w:r>
              <w:rPr>
                <w:b/>
                <w:caps/>
              </w:rPr>
              <w:t>18.</w:t>
            </w:r>
          </w:p>
        </w:tc>
        <w:tc>
          <w:tcPr>
            <w:tcW w:w="8704" w:type="dxa"/>
            <w:tcBorders/>
            <w:vAlign w:val="center"/>
          </w:tcPr>
          <w:p>
            <w:pPr>
              <w:pStyle w:val="TableContents"/>
              <w:bidi w:val="0"/>
              <w:spacing w:before="0" w:after="283"/>
              <w:jc w:val="both"/>
              <w:rPr>
                <w:b/>
                <w:caps/>
              </w:rPr>
            </w:pPr>
            <w:r>
              <w:rPr>
                <w:b/>
                <w:caps/>
              </w:rPr>
              <w:t>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Deed may be executed in any number of counterparts. This has the same effect as if the signatures on the counterparts were on a single copy of this Deed.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279"/>
        <w:gridCol w:w="8775"/>
      </w:tblGrid>
      <w:tr>
        <w:trPr/>
        <w:tc>
          <w:tcPr>
            <w:tcW w:w="15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b/>
                <w:caps/>
              </w:rPr>
            </w:pPr>
            <w:r>
              <w:rPr>
                <w:b/>
                <w:caps/>
              </w:rPr>
              <w:t>19.</w:t>
            </w:r>
          </w:p>
        </w:tc>
        <w:tc>
          <w:tcPr>
            <w:tcW w:w="8775" w:type="dxa"/>
            <w:tcBorders/>
            <w:vAlign w:val="center"/>
          </w:tcPr>
          <w:p>
            <w:pPr>
              <w:pStyle w:val="TableContents"/>
              <w:bidi w:val="0"/>
              <w:spacing w:before="0" w:after="283"/>
              <w:jc w:val="both"/>
              <w:rPr>
                <w:b/>
                <w:caps/>
              </w:rPr>
            </w:pPr>
            <w:r>
              <w:rPr>
                <w:b/>
                <w:caps/>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Deed and any non-contractual obligations arising out of or in connection with this Deed shall be governed by English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403"/>
        <w:gridCol w:w="8636"/>
      </w:tblGrid>
      <w:tr>
        <w:trPr/>
        <w:tc>
          <w:tcPr>
            <w:tcW w:w="16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b/>
                <w:caps/>
              </w:rPr>
            </w:pPr>
            <w:r>
              <w:rPr>
                <w:b/>
                <w:caps/>
              </w:rPr>
              <w:t>20.</w:t>
            </w:r>
          </w:p>
        </w:tc>
        <w:tc>
          <w:tcPr>
            <w:tcW w:w="8636" w:type="dxa"/>
            <w:tcBorders/>
            <w:vAlign w:val="center"/>
          </w:tcPr>
          <w:p>
            <w:pPr>
              <w:pStyle w:val="TableContents"/>
              <w:bidi w:val="0"/>
              <w:spacing w:before="0" w:after="283"/>
              <w:jc w:val="both"/>
              <w:rPr>
                <w:b/>
                <w:caps/>
              </w:rPr>
            </w:pPr>
            <w:r>
              <w:rPr>
                <w:b/>
                <w:caps/>
              </w:rPr>
              <w:t>ENFORCEMENT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2668"/>
        <w:gridCol w:w="7307"/>
      </w:tblGrid>
      <w:tr>
        <w:trPr/>
        <w:tc>
          <w:tcPr>
            <w:tcW w:w="230"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pPr>
            <w:r>
              <w:rPr/>
              <w:t>20.1</w:t>
            </w:r>
          </w:p>
        </w:tc>
        <w:tc>
          <w:tcPr>
            <w:tcW w:w="7307" w:type="dxa"/>
            <w:tcBorders/>
            <w:vAlign w:val="center"/>
          </w:tcPr>
          <w:p>
            <w:pPr>
              <w:pStyle w:val="TableContents"/>
              <w:bidi w:val="0"/>
              <w:spacing w:before="0" w:after="283"/>
              <w:jc w:val="both"/>
              <w:rPr>
                <w:b/>
              </w:rPr>
            </w:pPr>
            <w:r>
              <w:rPr>
                <w:b/>
              </w:rPr>
              <w:t>Arbitration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4"/>
        <w:gridCol w:w="9837"/>
      </w:tblGrid>
      <w:tr>
        <w:trPr/>
        <w:tc>
          <w:tcPr>
            <w:tcW w:w="4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37" w:type="dxa"/>
            <w:tcBorders/>
            <w:vAlign w:val="center"/>
          </w:tcPr>
          <w:p>
            <w:pPr>
              <w:pStyle w:val="TableContents"/>
              <w:bidi w:val="0"/>
              <w:spacing w:before="0" w:after="283"/>
              <w:jc w:val="both"/>
              <w:rPr/>
            </w:pPr>
            <w:r>
              <w:rPr>
                <w:rFonts w:ascii="Times New Roman;Times;Serif" w:hAnsi="Times New Roman;Times;Serif"/>
              </w:rPr>
              <w:t>The arbitration agreement contained in this Clause </w:t>
            </w:r>
            <w:r>
              <w:rPr/>
              <w:t>‎20 shall be governed by English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37" w:type="dxa"/>
            <w:tcBorders/>
            <w:vAlign w:val="center"/>
          </w:tcPr>
          <w:p>
            <w:pPr>
              <w:pStyle w:val="TableContents"/>
              <w:bidi w:val="0"/>
              <w:spacing w:before="0" w:after="283"/>
              <w:jc w:val="both"/>
              <w:rPr/>
            </w:pPr>
            <w:r>
              <w:rPr/>
              <w:t>Any dispute, claim, difference or controversy arising out of, relating to or having any connection with this Deed, including any dispute as to its existence, validity, interpretation, performance, breach or termination or the consequences of its nullity and any dispute relating to any non-contractual obligations arising out of or in connection with it (a “</w:t>
            </w:r>
            <w:r>
              <w:rPr>
                <w:b/>
              </w:rPr>
              <w:t>Dispute</w:t>
            </w:r>
            <w:r>
              <w:rPr/>
              <w:t>”), shall be referred to and finally resolved by arbitration.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43" w:type="dxa"/>
            <w:tcBorders/>
            <w:vAlign w:val="center"/>
          </w:tcPr>
          <w:p>
            <w:pPr>
              <w:pStyle w:val="TableContents"/>
              <w:bidi w:val="0"/>
              <w:spacing w:before="0" w:after="283"/>
              <w:jc w:val="both"/>
              <w:rPr/>
            </w:pPr>
            <w:r>
              <w:rPr/>
              <w:t>The arbitration shall be conducted in accordance with the Rules of Arbitration of the International Chamber of Commerce (the “</w:t>
            </w:r>
            <w:r>
              <w:rPr>
                <w:b/>
              </w:rPr>
              <w:t>ICC</w:t>
            </w:r>
            <w:r>
              <w:rPr/>
              <w:t>”) (the “</w:t>
            </w:r>
            <w:r>
              <w:rPr>
                <w:b/>
              </w:rPr>
              <w:t>Rules</w:t>
            </w:r>
            <w:r>
              <w:rPr/>
              <w:t>”). Capitalised terms used in this Clause ‎20 which are not otherwise defined in this Deed have the meaning given to them in the Rules.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34" w:type="dxa"/>
            <w:tcBorders/>
            <w:vAlign w:val="center"/>
          </w:tcPr>
          <w:p>
            <w:pPr>
              <w:pStyle w:val="TableContents"/>
              <w:bidi w:val="0"/>
              <w:spacing w:before="0" w:after="283"/>
              <w:jc w:val="both"/>
              <w:rPr/>
            </w:pPr>
            <w:r>
              <w:rPr/>
              <w:t>The arbitral tribunal shall consist of three arbitrators. The members of the arbitral tribunal shall be appointed in accordance with the Rules, save that the president of the arbitral tribunal shall be nominated by the two co-arbitrators. If no such nomination is made within the time limit set out in the Rules, the president shall be appointed in accordance with the Rules.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09"/>
        <w:gridCol w:w="9626"/>
      </w:tblGrid>
      <w:tr>
        <w:trPr/>
        <w:tc>
          <w:tcPr>
            <w:tcW w:w="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626" w:type="dxa"/>
            <w:tcBorders/>
            <w:vAlign w:val="center"/>
          </w:tcPr>
          <w:p>
            <w:pPr>
              <w:pStyle w:val="TableContents"/>
              <w:bidi w:val="0"/>
              <w:spacing w:before="0" w:after="283"/>
              <w:jc w:val="both"/>
              <w:rPr/>
            </w:pPr>
            <w:r>
              <w:rPr/>
              <w:t>The seat, or legal place of arbitration, shall be London.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13"/>
        <w:gridCol w:w="9728"/>
      </w:tblGrid>
      <w:tr>
        <w:trPr/>
        <w:tc>
          <w:tcPr>
            <w:tcW w:w="6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(f)</w:t>
            </w:r>
          </w:p>
        </w:tc>
        <w:tc>
          <w:tcPr>
            <w:tcW w:w="9728" w:type="dxa"/>
            <w:tcBorders/>
            <w:vAlign w:val="center"/>
          </w:tcPr>
          <w:p>
            <w:pPr>
              <w:pStyle w:val="TableContents"/>
              <w:bidi w:val="0"/>
              <w:spacing w:before="0" w:after="283"/>
              <w:jc w:val="both"/>
              <w:rPr/>
            </w:pPr>
            <w:r>
              <w:rPr/>
              <w:t>The language of the arbitration proceedings shall be English.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1941"/>
        <w:gridCol w:w="8097"/>
      </w:tblGrid>
      <w:tr>
        <w:trPr/>
        <w:tc>
          <w:tcPr>
            <w:tcW w:w="167"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pPr>
            <w:r>
              <w:rPr/>
              <w:t>20.2</w:t>
            </w:r>
          </w:p>
        </w:tc>
        <w:tc>
          <w:tcPr>
            <w:tcW w:w="8097" w:type="dxa"/>
            <w:tcBorders/>
            <w:vAlign w:val="center"/>
          </w:tcPr>
          <w:p>
            <w:pPr>
              <w:pStyle w:val="TableContents"/>
              <w:bidi w:val="0"/>
              <w:spacing w:before="0" w:after="283"/>
              <w:jc w:val="both"/>
              <w:rPr>
                <w:b/>
              </w:rPr>
            </w:pPr>
            <w:r>
              <w:rPr>
                <w:b/>
              </w:rPr>
              <w:t>Service of process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2"/>
        <w:gridCol w:w="9862"/>
      </w:tblGrid>
      <w:tr>
        <w:trPr/>
        <w:tc>
          <w:tcPr>
            <w:tcW w:w="4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(a)</w:t>
            </w:r>
          </w:p>
        </w:tc>
        <w:tc>
          <w:tcPr>
            <w:tcW w:w="9862" w:type="dxa"/>
            <w:tcBorders/>
            <w:vAlign w:val="center"/>
          </w:tcPr>
          <w:p>
            <w:pPr>
              <w:pStyle w:val="TableContents"/>
              <w:bidi w:val="0"/>
              <w:spacing w:before="0" w:after="283"/>
              <w:jc w:val="both"/>
              <w:rPr/>
            </w:pPr>
            <w:r>
              <w:rPr/>
              <w:t>Without prejudice to any other mode of service allowed under any relevant law, the Guarantor: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72" w:type="dxa"/>
            <w:tcBorders/>
            <w:vAlign w:val="center"/>
          </w:tcPr>
          <w:p>
            <w:pPr>
              <w:pStyle w:val="TableContents"/>
              <w:bidi w:val="0"/>
              <w:spacing w:before="0" w:after="283"/>
              <w:jc w:val="both"/>
              <w:rPr/>
            </w:pPr>
            <w:r>
              <w:rPr/>
              <w:t>irrevocably appoints Geely UK Limited as its agent under this Deed for service of process in relation to any proceedings before the English courts in connection with this Deed;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10" w:type="dxa"/>
            <w:tcBorders/>
            <w:vAlign w:val="center"/>
          </w:tcPr>
          <w:p>
            <w:pPr>
              <w:pStyle w:val="TableContents"/>
              <w:bidi w:val="0"/>
              <w:spacing w:before="0" w:after="283"/>
              <w:jc w:val="both"/>
              <w:rPr/>
            </w:pPr>
            <w:r>
              <w:rPr/>
              <w:t>agrees that failure by a process agent to notify the Guarantor of the process will not invalidate the proceedings concerned or render service of those proceedings ineffective.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If any person appointed as process agent under this Clause 20.2 is unable for any reason so to act, the Guarantor must immediately (and in any event within ten days of the event taking place) appoint another agent on terms acceptable to the Beneficiary. Failing this, the Beneficiary may appoint another process agent for this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759"/>
        <w:gridCol w:w="8295"/>
      </w:tblGrid>
      <w:tr>
        <w:trPr/>
        <w:tc>
          <w:tcPr>
            <w:tcW w:w="15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pPr>
            <w:r>
              <w:rPr/>
              <w:t>20.3</w:t>
            </w:r>
          </w:p>
        </w:tc>
        <w:tc>
          <w:tcPr>
            <w:tcW w:w="8295" w:type="dxa"/>
            <w:tcBorders/>
            <w:vAlign w:val="center"/>
          </w:tcPr>
          <w:p>
            <w:pPr>
              <w:pStyle w:val="TableContents"/>
              <w:bidi w:val="0"/>
              <w:spacing w:before="0" w:after="283"/>
              <w:jc w:val="both"/>
              <w:rPr>
                <w:b/>
              </w:rPr>
            </w:pPr>
            <w:r>
              <w:rPr>
                <w:b/>
              </w:rPr>
              <w:t>Waiver of immunity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irrevocably and unconditionally: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waives all rights of immunity to which it or its assets may be entitled (irrespective of their use or intended 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727"/>
        <w:gridCol w:w="9383"/>
      </w:tblGrid>
      <w:tr>
        <w:trPr/>
        <w:tc>
          <w:tcPr>
            <w:tcW w:w="9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pPr>
            <w:r>
              <w:rPr/>
              <w:t>(b)</w:t>
            </w:r>
          </w:p>
        </w:tc>
        <w:tc>
          <w:tcPr>
            <w:tcW w:w="9383" w:type="dxa"/>
            <w:tcBorders/>
            <w:vAlign w:val="center"/>
          </w:tcPr>
          <w:p>
            <w:pPr>
              <w:pStyle w:val="TableContents"/>
              <w:bidi w:val="0"/>
              <w:spacing w:before="0" w:after="283"/>
              <w:jc w:val="both"/>
              <w:rPr/>
            </w:pPr>
            <w:r>
              <w:rPr/>
              <w:t>agrees not to claim any immunity from: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41" w:type="dxa"/>
            <w:tcBorders/>
            <w:vAlign w:val="center"/>
          </w:tcPr>
          <w:p>
            <w:pPr>
              <w:pStyle w:val="TableContents"/>
              <w:bidi w:val="0"/>
              <w:spacing w:before="0" w:after="283"/>
              <w:jc w:val="both"/>
              <w:rPr/>
            </w:pPr>
            <w:r>
              <w:rPr/>
              <w:t>arbitration proceedings brought by the Beneficiary as contemplated in this Clause 20 in relation to a Dispute;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23" w:type="dxa"/>
            <w:tcBorders/>
            <w:vAlign w:val="center"/>
          </w:tcPr>
          <w:p>
            <w:pPr>
              <w:pStyle w:val="TableContents"/>
              <w:bidi w:val="0"/>
              <w:spacing w:before="0" w:after="283"/>
              <w:jc w:val="both"/>
              <w:rPr/>
            </w:pPr>
            <w:r>
              <w:rPr/>
              <w:t>the English courts and the courts of any other jurisdiction in relation to the recognition or enforcement of (A) any judgment or order of the English courts given in support of any arbitration in relation to a Dispute; and (B) any arbitral award;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5"/>
        <w:gridCol w:w="9853"/>
      </w:tblGrid>
      <w:tr>
        <w:trPr/>
        <w:tc>
          <w:tcPr>
            <w:tcW w:w="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53" w:type="dxa"/>
            <w:tcBorders/>
            <w:vAlign w:val="center"/>
          </w:tcPr>
          <w:p>
            <w:pPr>
              <w:pStyle w:val="TableContents"/>
              <w:bidi w:val="0"/>
              <w:spacing w:before="0" w:after="283"/>
              <w:jc w:val="both"/>
              <w:rPr/>
            </w:pPr>
            <w:r>
              <w:rPr/>
              <w:t>the English courts and the courts of any other jurisdiction in relation to the execution, attachment or other legal process in any jurisdiction against it or its assets in relation to a Dispute,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case, to ensure that no such claim is made on its behalf;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submits to the jurisdiction of the English courts and the courts of any other jurisdiction in relation to the recognition or enforcement in relation to the recognition of any judgment or order of the English courts given in support of any arbitration in relation to a Dispute;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283"/>
              <w:jc w:val="both"/>
              <w:rPr/>
            </w:pPr>
            <w:r>
              <w:rPr/>
              <w:t>consents generally to the enforcement in any jurisdiction of any judgment or order in support of arbitration or any award made or given in connection with this Clause 20 in relation to a Dispute and the giving of any relief in any jurisdiction, whether before or after a final arbitral award is rendered, including, without limitation: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39" w:type="dxa"/>
            <w:tcBorders/>
            <w:vAlign w:val="center"/>
          </w:tcPr>
          <w:p>
            <w:pPr>
              <w:pStyle w:val="TableContents"/>
              <w:bidi w:val="0"/>
              <w:spacing w:before="0" w:after="283"/>
              <w:jc w:val="both"/>
              <w:rPr/>
            </w:pPr>
            <w:r>
              <w:rPr/>
              <w:t>relief by way of interim or final injunction or order for specific performance or recovery of any assets;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77" w:type="dxa"/>
            <w:tcBorders/>
            <w:vAlign w:val="center"/>
          </w:tcPr>
          <w:p>
            <w:pPr>
              <w:pStyle w:val="TableContents"/>
              <w:bidi w:val="0"/>
              <w:spacing w:before="0" w:after="283"/>
              <w:jc w:val="both"/>
              <w:rPr/>
            </w:pPr>
            <w:r>
              <w:rPr/>
              <w:t>execution, attachment or other legal process against any assets (irrespective of their use or intended 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DEED HAS BEEN ENTERED INTO AND EXECUTED AS A DEED BY THE GUARANTOR WITH THE INTENTION THAT IT BE DELIVERED ON THE DATE STATED AT THE BEGINNING OF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5045"/>
        <w:gridCol w:w="80"/>
        <w:gridCol w:w="75"/>
      </w:tblGrid>
      <w:tr>
        <w:trPr/>
        <w:tc>
          <w:tcPr>
            <w:tcW w:w="5045" w:type="dxa"/>
            <w:tcBorders/>
            <w:vAlign w:val="center"/>
          </w:tcPr>
          <w:p>
            <w:pPr>
              <w:pStyle w:val="TableContents"/>
              <w:bidi w:val="0"/>
              <w:spacing w:before="0" w:after="283"/>
              <w:jc w:val="left"/>
              <w:rPr>
                <w:sz w:val="20"/>
              </w:rPr>
            </w:pPr>
            <w:r>
              <w:rPr>
                <w:rFonts w:ascii="Times New Roman;Times;Serif" w:hAnsi="Times New Roman;Times;Serif"/>
                <w:b/>
                <w:sz w:val="20"/>
              </w:rPr>
              <w:t xml:space="preserve">EXECUTED </w:t>
            </w:r>
            <w:r>
              <w:rPr>
                <w:sz w:val="20"/>
              </w:rPr>
              <w:t xml:space="preserve">as a </w:t>
            </w:r>
            <w:r>
              <w:rPr>
                <w:b/>
                <w:sz w:val="20"/>
              </w:rPr>
              <w:t xml:space="preserve">DEED </w:t>
            </w:r>
            <w:r>
              <w:rPr>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GEELY SWEDEN HOLDINGS AB</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under the authority of that company in the presence of:</w:t>
            </w:r>
          </w:p>
        </w:tc>
        <w:tc>
          <w:tcPr>
            <w:tcW w:w="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520" w:type="dxa"/>
        <w:jc w:val="left"/>
        <w:tblInd w:w="0" w:type="dxa"/>
        <w:tblLayout w:type="fixed"/>
        <w:tblCellMar>
          <w:top w:w="0" w:type="dxa"/>
          <w:left w:w="0" w:type="dxa"/>
          <w:bottom w:w="0" w:type="dxa"/>
          <w:right w:w="0" w:type="dxa"/>
        </w:tblCellMar>
      </w:tblPr>
      <w:tblGrid>
        <w:gridCol w:w="920"/>
        <w:gridCol w:w="1385"/>
        <w:gridCol w:w="80"/>
        <w:gridCol w:w="60"/>
        <w:gridCol w:w="75"/>
      </w:tblGrid>
      <w:tr>
        <w:trPr/>
        <w:tc>
          <w:tcPr>
            <w:tcW w:w="920" w:type="dxa"/>
            <w:tcBorders/>
            <w:vAlign w:val="center"/>
          </w:tcPr>
          <w:p>
            <w:pPr>
              <w:pStyle w:val="TableContents"/>
              <w:bidi w:val="0"/>
              <w:spacing w:before="0" w:after="283"/>
              <w:jc w:val="left"/>
              <w:rPr/>
            </w:pPr>
            <w:r>
              <w:rPr/>
              <w:t>Witness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Signature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Title/occupation</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Deed of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4" w:type="dxa"/>
        <w:jc w:val="left"/>
        <w:tblInd w:w="0" w:type="dxa"/>
        <w:tblLayout w:type="fixed"/>
        <w:tblCellMar>
          <w:top w:w="0" w:type="dxa"/>
          <w:left w:w="0" w:type="dxa"/>
          <w:bottom w:w="0" w:type="dxa"/>
          <w:right w:w="0" w:type="dxa"/>
        </w:tblCellMar>
      </w:tblPr>
      <w:tblGrid>
        <w:gridCol w:w="459"/>
        <w:gridCol w:w="100"/>
        <w:gridCol w:w="75"/>
      </w:tblGrid>
      <w:tr>
        <w:trPr/>
        <w:tc>
          <w:tcPr>
            <w:tcW w:w="4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Deed of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media/image1.jpeg"/><Relationship Id="rId52" Type="http://schemas.openxmlformats.org/officeDocument/2006/relationships/image" Target="media/image2.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30415</Words>
  <Characters>156539</Characters>
  <CharactersWithSpaces>187827</CharactersWithSpaces>
  <Paragraphs>3444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