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208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0000FF"/>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0628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21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left="580"/>
        <w:spacing w:after="0" w:line="262" w:lineRule="auto"/>
        <w:rPr>
          <w:sz w:val="20"/>
          <w:szCs w:val="20"/>
          <w:color w:val="auto"/>
        </w:rPr>
      </w:pPr>
      <w:r>
        <w:rPr>
          <w:rFonts w:ascii="Times New Roman" w:cs="Times New Roman" w:eastAsia="Times New Roman" w:hAnsi="Times New Roman"/>
          <w:sz w:val="22"/>
          <w:szCs w:val="22"/>
          <w:b w:val="1"/>
          <w:bCs w:val="1"/>
          <w:color w:val="0000FF"/>
        </w:rPr>
        <w:t>Class A American Depositary Shares ("ADSs"), each ADS representing 30 Class A Ordinary Shares, par value $0.01 each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0628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15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710628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0000FF"/>
        </w:rPr>
        <w:t>02/05/2026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0628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42545"/>
                    </a:xfrm>
                    <a:prstGeom prst="rect">
                      <a:avLst/>
                    </a:prstGeom>
                    <a:noFill/>
                  </pic:spPr>
                </pic:pic>
              </a:graphicData>
            </a:graphic>
          </wp:anchor>
        </w:drawing>
      </w:r>
    </w:p>
    <w:p>
      <w:pPr>
        <w:spacing w:after="0" w:line="21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Sumitomo Mitsui Banking Corporation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jc w:val="center"/>
        <w:ind w:right="8040"/>
        <w:spacing w:after="0"/>
        <w:rPr>
          <w:sz w:val="20"/>
          <w:szCs w:val="20"/>
          <w:color w:val="auto"/>
        </w:rPr>
      </w:pPr>
      <w:r>
        <w:rPr>
          <w:rFonts w:ascii="Times New Roman" w:cs="Times New Roman" w:eastAsia="Times New Roman" w:hAnsi="Times New Roman"/>
          <w:sz w:val="22"/>
          <w:szCs w:val="22"/>
          <w:color w:val="auto"/>
        </w:rPr>
        <w:t>JAPAN</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940"/>
          </w:cols>
          <w:pgMar w:left="360" w:top="866" w:right="599"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10,341,261.00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10,341,261.00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10,341,261.00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BK, FI</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sectPr>
      </w:pPr>
    </w:p>
    <w:p>
      <w:pPr>
        <w:spacing w:after="0" w:line="7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Note to Rows 6 and 8: Each Class A ADS represents thirty (30) Class A Ordinary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Shares, par value $0.01 each. Sumitomo Mitsui Banking Corporation ("SMBC") is the beneficial owner of 10,341,261 Class A ADSs, representing 310,237,830 Class A Ordinary Shares, of the Issuer. SMBC is a direct, wholly-owned subsidiary of Sumitomo Mitsui Financial Group, Inc. ("SMFG"). Accordingly, as the parent company of SMBC, SMFG may be deemed to share voting and dispositive power over the Class A ADSs of the Issuer of which SMBC is the beneficial owner. Note to Row 11: Based on (i) 4,315,957,440 Class A Shares in the form of 143,865,248 Class A ADSs and (ii) 29,892,570 Class B Shares in the form of 996,419 Class B ADSs outstanding on April 17, 2026, as disclosed by the Issuer in Item 7 of its Annual Report on Form 20-F for the year ended December 31, 2025. Each Class B Share is convertible into one Class A Share at any time at the option of the holder of such Class B Share. Assumes the conversion of the Class B Shares referred to above into Class A Shares.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Sumitomo Mitsui Financial Group,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JAPAN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3"/>
                <w:szCs w:val="23"/>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9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10,341,261.00</w:t>
            </w: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1"/>
                <w:szCs w:val="11"/>
                <w:color w:val="auto"/>
              </w:rPr>
            </w:pPr>
          </w:p>
        </w:tc>
        <w:tc>
          <w:tcPr>
            <w:tcW w:w="2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0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2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0" w:gutter="0" w:footer="0" w:header="0"/>
          <w:type w:val="continuous"/>
        </w:sectPr>
      </w:pPr>
    </w:p>
    <w:bookmarkStart w:id="2" w:name="page3"/>
    <w:bookmarkEnd w:id="2"/>
    <w:p>
      <w:pPr>
        <w:ind w:left="1440"/>
        <w:spacing w:after="0"/>
        <w:rPr>
          <w:sz w:val="20"/>
          <w:szCs w:val="20"/>
          <w:color w:val="auto"/>
        </w:rPr>
      </w:pPr>
      <w:r>
        <w:rPr>
          <w:rFonts w:ascii="Times New Roman" w:cs="Times New Roman" w:eastAsia="Times New Roman" w:hAnsi="Times New Roman"/>
          <w:sz w:val="22"/>
          <w:szCs w:val="22"/>
          <w:color w:val="auto"/>
        </w:rPr>
        <w:t>10,341,261.00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10,341,261.00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 FI</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Note to Rows 6 and 8: Each Class A ADS represents thirty (30) Class A Ordinary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par value $0.01 each. SMBC is the beneficial owner of 10,341,261 Class A ADSs, representing 310,237,830 Class A Ordinary Shares, of the Issuer. SMBC is a direct, wholly-owned subsidiary of SMFG. Accordingly, as the parent company of SMBC, SMFG may be deemed to share voting and dispositive power over the Class A ADSs of the Issuer of which SMBC is the beneficial owner. Note to Row 11: Based on (i) 4,315,957,440 Class A Shares in the form of 143,865,248 Class A ADSs and (ii) 29,892,570 Class B Shares in the form of 996,419 Class B ADSs outstanding on April 17, 2026, as disclosed by the Issuer in Item 7 of its Annual Report on Form 20-F for the year ended December 31, 2025. Each Class B Share is convertible into one Class A Share at any time at the option of the holder of such Class B Share. Assumes the conversion of the Class B Shares referred to above into Class A Shares.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60"/>
          </w:cols>
          <w:pgMar w:left="320" w:top="355" w:right="41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Polestar Automotive Holding UK PLC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Assar Gabrielssons Vag 9 Gothenburg, Sweden, 405 31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Sumitomo Mitsui Banking Corporation ("SMBC") Sumitomo Mitsui Financial Group, Inc. ("SMFG")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of SMBC and SMFG is 1-2, Marunouchi 1-Chome, Chiyoda-Ku, Tokyo 100-0005</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place of organization of SMBC and SMFG is Japan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2"/>
          <w:szCs w:val="22"/>
          <w:color w:val="auto"/>
        </w:rPr>
        <w:t>Class A American Depositary Shares ("ADSs"), each ADS representing 30 Class A Ordinary Shares, par value $0.01 each</w:t>
      </w: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00"/>
          </w:cols>
          <w:pgMar w:left="320" w:top="355" w:right="419" w:bottom="0" w:gutter="0" w:footer="0" w:header="0"/>
          <w:type w:val="continuous"/>
        </w:sectPr>
      </w:pPr>
    </w:p>
    <w:bookmarkStart w:id="3" w:name="page4"/>
    <w:bookmarkEnd w:id="3"/>
    <w:p>
      <w:pPr>
        <w:ind w:left="920" w:right="680" w:hanging="912"/>
        <w:spacing w:after="0" w:line="258"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Bank</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10,341,261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7.1 %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10,341,261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10,341,261</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1"/>
          <w:szCs w:val="21"/>
          <w:color w:val="auto"/>
        </w:rPr>
        <w:t>SMBC is a direct, wholly-owned subsidiary of SMFG and is the beneficial owner of the Class A ADSs of the Issuer reported herein. Accordingly, SMFG may be deemed to share voting and dispositive power over the Class A ADSs of the Issuer of which SMBC is the beneficial owner. SMBC is classified under Item 3 as a non-U.S. institution (bank).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35"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a bank is substantially comparable to the regulatory scheme applicable to the functionally equivalent U.S. institution. I also undertake to furnish to the Commission staff, upon request, information that would otherwise be disclosed in a Schedule 13D.</w:t>
      </w: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38" w:orient="portrait"/>
          <w:cols w:equalWidth="0" w:num="1">
            <w:col w:w="11140"/>
          </w:cols>
          <w:pgMar w:left="360" w:top="126" w:right="399" w:bottom="0" w:gutter="0" w:footer="0" w:header="0"/>
          <w:type w:val="continuous"/>
        </w:sectPr>
      </w:pPr>
    </w:p>
    <w:bookmarkStart w:id="4" w:name="page5"/>
    <w:bookmarkEnd w:id="4"/>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Sumitomo Mitsui Banking Corporation</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[Hideyuki Omokawa]</w:t>
      </w:r>
    </w:p>
    <w:p>
      <w:pPr>
        <w:spacing w:after="0" w:line="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 xml:space="preserve">Name/Title: </w:t>
      </w:r>
      <w:r>
        <w:rPr>
          <w:rFonts w:ascii="Times New Roman" w:cs="Times New Roman" w:eastAsia="Times New Roman" w:hAnsi="Times New Roman"/>
          <w:sz w:val="33"/>
          <w:szCs w:val="33"/>
          <w:color w:val="auto"/>
          <w:vertAlign w:val="superscript"/>
        </w:rPr>
        <w:t>[Hideyuki</w:t>
      </w:r>
      <w:r>
        <w:rPr>
          <w:rFonts w:ascii="Times New Roman" w:cs="Times New Roman" w:eastAsia="Times New Roman" w:hAnsi="Times New Roman"/>
          <w:sz w:val="33"/>
          <w:szCs w:val="33"/>
          <w:color w:val="auto"/>
          <w:vertAlign w:val="subscript"/>
        </w:rPr>
        <w:t>Officer]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3"/>
          <w:szCs w:val="33"/>
          <w:color w:val="auto"/>
          <w:vertAlign w:val="superscript"/>
        </w:rPr>
        <w:t>Omokawa, Managing Executive</w:t>
      </w:r>
    </w:p>
    <w:p>
      <w:pPr>
        <w:spacing w:after="0" w:line="199"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2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Sumitomo Mitsui Financial Group, Inc.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[Hideyuki Omokawa]</w:t>
      </w:r>
    </w:p>
    <w:p>
      <w:pPr>
        <w:spacing w:after="0" w:line="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 xml:space="preserve">Name/Title: </w:t>
      </w:r>
      <w:r>
        <w:rPr>
          <w:rFonts w:ascii="Times New Roman" w:cs="Times New Roman" w:eastAsia="Times New Roman" w:hAnsi="Times New Roman"/>
          <w:sz w:val="33"/>
          <w:szCs w:val="33"/>
          <w:color w:val="auto"/>
          <w:vertAlign w:val="superscript"/>
        </w:rPr>
        <w:t>[Hideyuki</w:t>
      </w:r>
      <w:r>
        <w:rPr>
          <w:rFonts w:ascii="Times New Roman" w:cs="Times New Roman" w:eastAsia="Times New Roman" w:hAnsi="Times New Roman"/>
          <w:sz w:val="33"/>
          <w:szCs w:val="33"/>
          <w:color w:val="auto"/>
          <w:vertAlign w:val="subscript"/>
        </w:rPr>
        <w:t>Officer]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3"/>
          <w:szCs w:val="33"/>
          <w:color w:val="auto"/>
          <w:vertAlign w:val="superscript"/>
        </w:rPr>
        <w:t>Omokawa, Managing Executive</w:t>
      </w:r>
    </w:p>
    <w:p>
      <w:pPr>
        <w:spacing w:after="0" w:line="199"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1)"/>
      <w:numFmt w:val="lowerLetter"/>
      <w:start w:val="9"/>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2026-05-15T05:43:44Z</dcterms:created>
  <dcterms:modified xsi:type="dcterms:W3CDTF">2026-05-15T05:43:44Z</dcterms:modified>
</cp:coreProperties>
</file>