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November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40"/>
        <w:spacing w:after="0" w:line="207" w:lineRule="exact"/>
        <w:tabs>
          <w:tab w:leader="none" w:pos="59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720725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62" w:right="1440"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On November 14, 2025, Polestar Automotive Holding UK PLC issued a press release announcing its plan to implement a ratio change of its Class A, Class B, Class C-1 and Class C-2 American Depositary Shares to the respective Class A, Class B, Class C-1 and Class C-2 ordinary shares. A copy of the press release is attached hereto as Exhibit 99.1.</w:t>
      </w:r>
    </w:p>
    <w:p>
      <w:pPr>
        <w:spacing w:after="0" w:line="17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80" w:type="dxa"/>
            <w:vAlign w:val="bottom"/>
            <w:gridSpan w:val="2"/>
          </w:tcPr>
          <w:p>
            <w:pPr>
              <w:ind w:left="35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2"/>
          </w:tcPr>
          <w:p>
            <w:pPr>
              <w:ind w:left="408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91"/>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of Polestar Automotive Holding UK PLC, dated November 14, 2025.</w:t>
            </w:r>
          </w:p>
        </w:tc>
      </w:tr>
      <w:tr>
        <w:trPr>
          <w:trHeight w:val="723"/>
        </w:trPr>
        <w:tc>
          <w:tcPr>
            <w:tcW w:w="320" w:type="dxa"/>
            <w:vAlign w:val="bottom"/>
            <w:tcBorders>
              <w:top w:val="single" w:sz="8" w:color="0000EE"/>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20" w:type="dxa"/>
            <w:vAlign w:val="bottom"/>
            <w:tcBorders>
              <w:top w:val="single" w:sz="8" w:color="0000EE"/>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2025</w:t>
            </w:r>
          </w:p>
        </w:tc>
        <w:tc>
          <w:tcPr>
            <w:tcW w:w="24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Lohscheller</w:t>
            </w:r>
          </w:p>
        </w:tc>
      </w:tr>
      <w:tr>
        <w:trPr>
          <w:trHeight w:val="191"/>
        </w:trPr>
        <w:tc>
          <w:tcPr>
            <w:tcW w:w="3760" w:type="dxa"/>
            <w:vAlign w:val="bottom"/>
          </w:tcPr>
          <w:p>
            <w:pPr>
              <w:spacing w:after="0"/>
              <w:rPr>
                <w:sz w:val="16"/>
                <w:szCs w:val="16"/>
                <w:color w:val="auto"/>
              </w:rPr>
            </w:pPr>
          </w:p>
        </w:tc>
        <w:tc>
          <w:tcPr>
            <w:tcW w:w="2440" w:type="dxa"/>
            <w:vAlign w:val="bottom"/>
          </w:tcPr>
          <w:p>
            <w:pPr>
              <w:ind w:left="18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Lohscheller</w:t>
            </w:r>
          </w:p>
        </w:tc>
      </w:tr>
      <w:tr>
        <w:trPr>
          <w:trHeight w:val="234"/>
        </w:trPr>
        <w:tc>
          <w:tcPr>
            <w:tcW w:w="3760" w:type="dxa"/>
            <w:vAlign w:val="bottom"/>
          </w:tcPr>
          <w:p>
            <w:pPr>
              <w:spacing w:after="0"/>
              <w:rPr>
                <w:sz w:val="20"/>
                <w:szCs w:val="20"/>
                <w:color w:val="auto"/>
              </w:rPr>
            </w:pPr>
          </w:p>
        </w:tc>
        <w:tc>
          <w:tcPr>
            <w:tcW w:w="24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2025</w:t>
            </w:r>
          </w:p>
        </w:tc>
        <w:tc>
          <w:tcPr>
            <w:tcW w:w="24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Jean-François Mady</w:t>
            </w:r>
          </w:p>
        </w:tc>
      </w:tr>
      <w:tr>
        <w:trPr>
          <w:trHeight w:val="191"/>
        </w:trPr>
        <w:tc>
          <w:tcPr>
            <w:tcW w:w="3760" w:type="dxa"/>
            <w:vAlign w:val="bottom"/>
          </w:tcPr>
          <w:p>
            <w:pPr>
              <w:spacing w:after="0"/>
              <w:rPr>
                <w:sz w:val="16"/>
                <w:szCs w:val="16"/>
                <w:color w:val="auto"/>
              </w:rPr>
            </w:pPr>
          </w:p>
        </w:tc>
        <w:tc>
          <w:tcPr>
            <w:tcW w:w="2440" w:type="dxa"/>
            <w:vAlign w:val="bottom"/>
          </w:tcPr>
          <w:p>
            <w:pPr>
              <w:ind w:left="18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Jean-François Mady</w:t>
            </w:r>
          </w:p>
        </w:tc>
      </w:tr>
      <w:tr>
        <w:trPr>
          <w:trHeight w:val="234"/>
        </w:trPr>
        <w:tc>
          <w:tcPr>
            <w:tcW w:w="3760" w:type="dxa"/>
            <w:vAlign w:val="bottom"/>
          </w:tcPr>
          <w:p>
            <w:pPr>
              <w:spacing w:after="0"/>
              <w:rPr>
                <w:sz w:val="20"/>
                <w:szCs w:val="20"/>
                <w:color w:val="auto"/>
              </w:rPr>
            </w:pPr>
          </w:p>
        </w:tc>
        <w:tc>
          <w:tcPr>
            <w:tcW w:w="24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7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259840" cy="3346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5984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Announces Plan to Implement ADS Ratio Change From 1:1 to 1:30 Ordinary Shares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GOTHENBURG, SWEDEN – 14 November 2025. </w:t>
      </w:r>
      <w:r>
        <w:rPr>
          <w:rFonts w:ascii="Times New Roman" w:cs="Times New Roman" w:eastAsia="Times New Roman" w:hAnsi="Times New Roman"/>
          <w:sz w:val="18"/>
          <w:szCs w:val="18"/>
          <w:color w:val="auto"/>
        </w:rPr>
        <w:t>Polestar (Nasdaq: PSNY) (the “Company”) today announces that it plans to change the ratio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A, Class B, Class C-1 and Class C-2 American Depositary Shares (collectively, the “ADSs”) to the respective Class A, Class B, Class C-1 and Class C-2 ordinary shares (the “ADS Ratio”) from the current ADS Ratio of one (1) ADS to one (1) ordinary share, to a new ADS Ratio of one (1) ADS to thirty (30) ordinary shares (the “ADS Ratio Change”). The Company anticipates that the ADS Ratio Change will be effective prior to the end of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will be no change to the Company’s Class A, Class B, Class-1 or Class C-2 ordinary shares.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effective date of the ADS Ratio Change, the Company’s Class A ADSs will continue to be traded on the Nasdaq Global Market under the symbol “PSNY” and the Company’s Class C-1 ADSs will continue to be traded on Nasdaq under the symbol “PSNYW”. The Company will file post-effective amendments to its registration statements on Form F-6 with the United States Securities and Exchange Commission to reflect the ADS Ratio Change.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 new fractional ADSs will be issued in connection with the ADS Ratio Change. Instead, fractional entitlements to new ADSs will be aggregated and sold by the depositary bank for the Company’s ADS program, Citibank N.A. (the “Depositary Bank”) and the net cash proceeds from the sale of the fractional ADS entitlements (after deduction of fees, taxes and expenses) will be distributed to the applicable ADS holders by the Depositary Bank. Aside from ADS holders who will receive cash following the sale of their fractional entitlements, the ADS Ratio Change will not impact any ADS holder’s percentage ownership of the Company or voting power.</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ADS Ratio Change, the ADS price is expected to increase proportionally, although the Company can give no assurance that the ADS price after the ADS Ratio Change will be equal to or greater than the ADS price on a proportionate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 Gavrilova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anna.gavrilova@polestar.com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Theo Kjellberg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theo.kjellberg@polestar.com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259840" cy="3346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59840" cy="3346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About Polestar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Polestar (Nasdaq: PSNY) is the Swedish electric performance car brand with a focus on uncompromised design and innovation, and the ambition to accelerate the change towards a sustainable future. Headquartered in Gothenburg, Sweden, its cars are available in 28 markets globally across North America, Europe, and Asia Pacific.</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Polestar has four models in its line-up: Polestar 2, Polestar 3, Polestar 4, and Polestar 5. Planned models include Polestar 7 compact SUV (to be introduced in 2028) and the Polestar 6 roadster. With its vehicles currently manufactured on two continents, North America and Asia, Polestar is diversifying its manufacturing footprint further, with production of Polestar 7 planned in Europe.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Polestar has an unwavering commitment to sustainability and has set an ambitious roadmap to reach its climate targets: halve greenhouse gas emissions by 2030 per-vehicle-sold and become climate-neutral across its value chain by 2040. Polestar’s comprehensive sustainability strategy covers the four areas of Climate, Transparency, Circularity, and Inclusion.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including the number of vehicle deliveries and gross margin. For example, statements regarding the ADR Ratio Change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259840" cy="3346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259840" cy="334645"/>
                    </a:xfrm>
                    <a:prstGeom prst="rect">
                      <a:avLst/>
                    </a:prstGeom>
                    <a:noFill/>
                  </pic:spPr>
                </pic:pic>
              </a:graphicData>
            </a:graphic>
          </wp:anchor>
        </w:drawing>
      </w:r>
    </w:p>
    <w:p>
      <w:pPr>
        <w:jc w:val="both"/>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w:t>
      </w:r>
    </w:p>
    <w:p>
      <w:pPr>
        <w:jc w:val="both"/>
        <w:ind w:firstLine="8"/>
        <w:spacing w:after="0" w:line="250" w:lineRule="auto"/>
        <w:tabs>
          <w:tab w:leader="none" w:pos="26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enter into or maintain agreements or partnerships with its strategic partners, including Volvo Cars and Geely, original equipment manufacturers, vendors and technology providers; (2) Polestar’s ability to maintain relationships with its existing suppliers, source new suppliers for its critical components and enter into longer term supply contracts and complete building out its supply chain; (3) Polestar’s ability to raise additional funding;</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2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successfully execute cost-cutting activities and strategic efficiency initiatives; (5) Polestar’s estimates of expenses, profitability, gross margin, cash flow, and cash reserves; (6) Polestar’s ability to continue to meet stock exchange listing standards; (7) changes in domestic and foreign business, market, financial, political and legal conditions; (8) demand for Polestar’s vehicles or car sale volumes, revenue and margin development based on pricing, variant and market mix, cost reduction efficiencies, logistics and growing aftersales; (9) delays in the expected timelines for the development, design, manufacture, launch and financing of Polestar’s vehicles and Polestar’s reliance on a limited number of vehicle models to generate revenues;</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3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disruption of supply or shortage of materials, in particular for lithium-ion cells or semiconductors; (11) risks related to product recalls, regulatory fines and/or an unexpectedly high volume of warranty claims; (12)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volumes; (13) the ability of Polestar to grow and manage growth profitably, maintain relationships with customers and suppliers and retain its management and key employees; (14) risks related to future market adoption of Polestar’s offerings; (15) risks related to Polestar’s current distribution model and the evolution of its distribution model in the future; (16) the effects of competition and the high barriers to entry in the automotive industry and the pace and depth of electric vehicle adoption generally on Polestar’s future business; (17) changes in regulatory requirements (including environmental laws and regulations and regulations related to connected vehicles), governmental incentives, tariffs and fuel and energy prices; (18) Polestar’s reliance on the development of vehicle charging networks to provide charging solutions for its vehicles and its strategic partners for servicing its vehicles and their integrated software; (19) Polestar’s ability to establish its brand and capture additional market share, and the risks associated with negative press or reputational harm, including from electric vehicle fires; (20) the outcome of any potential litigation, including litigation involving Polestar and Gores Guggenheim, Inc., government and regulatory proceedings, including the NHTSA investigation into the Polestar 2 rear view camera, tax audits, investigations and inquiries; (21) Polestar’s ability to continuously and rapidly innovate, develop and market new products; (22) the impact of the ongoing conflict between Ukraine and Russia and in Israel, the Gaza Strip and the Red Sea; and</w:t>
      </w:r>
    </w:p>
    <w:p>
      <w:pPr>
        <w:spacing w:after="0" w:line="5" w:lineRule="exact"/>
        <w:rPr>
          <w:rFonts w:ascii="Times New Roman" w:cs="Times New Roman" w:eastAsia="Times New Roman" w:hAnsi="Times New Roman"/>
          <w:sz w:val="18"/>
          <w:szCs w:val="18"/>
          <w:color w:val="auto"/>
        </w:rPr>
      </w:pPr>
    </w:p>
    <w:p>
      <w:pPr>
        <w:jc w:val="both"/>
        <w:ind w:firstLine="8"/>
        <w:spacing w:after="0" w:line="251" w:lineRule="auto"/>
        <w:tabs>
          <w:tab w:leader="none" w:pos="34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conflict between Ukraine and Russia and in Israel, the Gaza Strip and the Red Sea; and (24)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 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4"/>
    </w:lvl>
  </w:abstractNum>
  <w:abstractNum w:abstractNumId="2">
    <w:nsid w:val="2AE8944A"/>
    <w:multiLevelType w:val="hybridMultilevel"/>
    <w:lvl w:ilvl="0">
      <w:lvlJc w:val="left"/>
      <w:lvlText w:val="(%1)"/>
      <w:numFmt w:val="decimal"/>
      <w:start w:val="10"/>
    </w:lvl>
  </w:abstractNum>
  <w:abstractNum w:abstractNumId="3">
    <w:nsid w:val="625558EC"/>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2025-11-14T07:11:37Z</dcterms:created>
  <dcterms:modified xsi:type="dcterms:W3CDTF">2025-11-14T07:11:37Z</dcterms:modified>
</cp:coreProperties>
</file>