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03"/>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ind w:right="-103"/>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03"/>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149860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97" w:lineRule="exact"/>
        <w:rPr>
          <w:sz w:val="24"/>
          <w:szCs w:val="24"/>
          <w:color w:val="auto"/>
        </w:rPr>
      </w:pPr>
    </w:p>
    <w:p>
      <w:pPr>
        <w:jc w:val="center"/>
        <w:ind w:right="-103"/>
        <w:spacing w:after="0"/>
        <w:rPr>
          <w:sz w:val="20"/>
          <w:szCs w:val="20"/>
          <w:color w:val="auto"/>
        </w:rPr>
      </w:pPr>
      <w:r>
        <w:rPr>
          <w:rFonts w:ascii="Arial" w:cs="Arial" w:eastAsia="Arial" w:hAnsi="Arial"/>
          <w:sz w:val="32"/>
          <w:szCs w:val="32"/>
          <w:b w:val="1"/>
          <w:bCs w:val="1"/>
          <w:color w:val="auto"/>
        </w:rPr>
        <w:t>FORM 8-A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169545</wp:posOffset>
            </wp:positionV>
            <wp:extent cx="14744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341" w:lineRule="exact"/>
        <w:rPr>
          <w:sz w:val="24"/>
          <w:szCs w:val="24"/>
          <w:color w:val="auto"/>
        </w:rPr>
      </w:pPr>
    </w:p>
    <w:p>
      <w:pPr>
        <w:jc w:val="center"/>
        <w:ind w:left="540" w:right="2260"/>
        <w:spacing w:after="0" w:line="243" w:lineRule="auto"/>
        <w:rPr>
          <w:sz w:val="20"/>
          <w:szCs w:val="20"/>
          <w:color w:val="auto"/>
        </w:rPr>
      </w:pPr>
      <w:r>
        <w:rPr>
          <w:rFonts w:ascii="Arial" w:cs="Arial" w:eastAsia="Arial" w:hAnsi="Arial"/>
          <w:sz w:val="22"/>
          <w:szCs w:val="22"/>
          <w:b w:val="1"/>
          <w:bCs w:val="1"/>
          <w:color w:val="auto"/>
        </w:rPr>
        <w:t>FOR REGISTRATION OF CERTAIN CLASSES OF SECURITIES PURSUANT TO SECTION 12(b) OR (g) OF 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138430</wp:posOffset>
            </wp:positionV>
            <wp:extent cx="14744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76" w:lineRule="exact"/>
        <w:rPr>
          <w:sz w:val="24"/>
          <w:szCs w:val="24"/>
          <w:color w:val="auto"/>
        </w:rPr>
      </w:pPr>
    </w:p>
    <w:p>
      <w:pPr>
        <w:jc w:val="center"/>
        <w:ind w:right="-103"/>
        <w:spacing w:after="0"/>
        <w:rPr>
          <w:sz w:val="20"/>
          <w:szCs w:val="20"/>
          <w:color w:val="auto"/>
        </w:rPr>
      </w:pPr>
      <w:r>
        <w:rPr>
          <w:rFonts w:ascii="Arial" w:cs="Arial" w:eastAsia="Arial" w:hAnsi="Arial"/>
          <w:sz w:val="43"/>
          <w:szCs w:val="43"/>
          <w:b w:val="1"/>
          <w:bCs w:val="1"/>
          <w:color w:val="auto"/>
        </w:rPr>
        <w:t>Polestar Automotive Holding UK PLC</w:t>
      </w:r>
    </w:p>
    <w:p>
      <w:pPr>
        <w:spacing w:after="0" w:line="50" w:lineRule="exact"/>
        <w:rPr>
          <w:sz w:val="24"/>
          <w:szCs w:val="24"/>
          <w:color w:val="auto"/>
        </w:rPr>
      </w:pPr>
    </w:p>
    <w:p>
      <w:pPr>
        <w:jc w:val="center"/>
        <w:ind w:right="-103"/>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158750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74" w:lineRule="exact"/>
        <w:rPr>
          <w:sz w:val="24"/>
          <w:szCs w:val="24"/>
          <w:color w:val="auto"/>
        </w:rPr>
      </w:pPr>
    </w:p>
    <w:tbl>
      <w:tblPr>
        <w:tblLayout w:type="fixed"/>
        <w:tblInd w:w="924" w:type="dxa"/>
        <w:tblCellMar>
          <w:top w:w="0" w:type="dxa"/>
          <w:left w:w="0" w:type="dxa"/>
          <w:bottom w:w="0" w:type="dxa"/>
          <w:right w:w="0" w:type="dxa"/>
        </w:tblCellMar>
      </w:tblPr>
      <w:tr>
        <w:trPr>
          <w:trHeight w:val="212"/>
        </w:trPr>
        <w:tc>
          <w:tcPr>
            <w:tcW w:w="5020" w:type="dxa"/>
            <w:vAlign w:val="bottom"/>
          </w:tcPr>
          <w:p>
            <w:pPr>
              <w:jc w:val="center"/>
              <w:ind w:right="1217"/>
              <w:spacing w:after="0"/>
              <w:rPr>
                <w:sz w:val="20"/>
                <w:szCs w:val="20"/>
                <w:color w:val="auto"/>
              </w:rPr>
            </w:pPr>
            <w:r>
              <w:rPr>
                <w:rFonts w:ascii="Arial" w:cs="Arial" w:eastAsia="Arial" w:hAnsi="Arial"/>
                <w:sz w:val="18"/>
                <w:szCs w:val="18"/>
                <w:b w:val="1"/>
                <w:bCs w:val="1"/>
                <w:color w:val="auto"/>
                <w:w w:val="89"/>
              </w:rPr>
              <w:t>England and Wales</w:t>
            </w:r>
          </w:p>
        </w:tc>
        <w:tc>
          <w:tcPr>
            <w:tcW w:w="3500" w:type="dxa"/>
            <w:vAlign w:val="bottom"/>
          </w:tcPr>
          <w:p>
            <w:pPr>
              <w:jc w:val="center"/>
              <w:ind w:left="1219"/>
              <w:spacing w:after="0"/>
              <w:rPr>
                <w:sz w:val="20"/>
                <w:szCs w:val="20"/>
                <w:color w:val="auto"/>
              </w:rPr>
            </w:pPr>
            <w:r>
              <w:rPr>
                <w:rFonts w:ascii="Arial" w:cs="Arial" w:eastAsia="Arial" w:hAnsi="Arial"/>
                <w:sz w:val="18"/>
                <w:szCs w:val="18"/>
                <w:b w:val="1"/>
                <w:bCs w:val="1"/>
                <w:color w:val="auto"/>
                <w:w w:val="92"/>
              </w:rPr>
              <w:t>Not Applicable</w:t>
            </w:r>
          </w:p>
        </w:tc>
      </w:tr>
      <w:tr>
        <w:trPr>
          <w:trHeight w:val="186"/>
        </w:trPr>
        <w:tc>
          <w:tcPr>
            <w:tcW w:w="5020" w:type="dxa"/>
            <w:vAlign w:val="bottom"/>
          </w:tcPr>
          <w:p>
            <w:pPr>
              <w:jc w:val="center"/>
              <w:ind w:right="1217"/>
              <w:spacing w:after="0"/>
              <w:rPr>
                <w:sz w:val="20"/>
                <w:szCs w:val="20"/>
                <w:color w:val="auto"/>
              </w:rPr>
            </w:pPr>
            <w:r>
              <w:rPr>
                <w:rFonts w:ascii="Arial" w:cs="Arial" w:eastAsia="Arial" w:hAnsi="Arial"/>
                <w:sz w:val="14"/>
                <w:szCs w:val="14"/>
                <w:b w:val="1"/>
                <w:bCs w:val="1"/>
                <w:color w:val="auto"/>
                <w:w w:val="93"/>
              </w:rPr>
              <w:t>(State or other jurisdiction of Incorporation or organization)</w:t>
            </w:r>
          </w:p>
        </w:tc>
        <w:tc>
          <w:tcPr>
            <w:tcW w:w="3500" w:type="dxa"/>
            <w:vAlign w:val="bottom"/>
          </w:tcPr>
          <w:p>
            <w:pPr>
              <w:jc w:val="center"/>
              <w:ind w:left="1219"/>
              <w:spacing w:after="0"/>
              <w:rPr>
                <w:sz w:val="20"/>
                <w:szCs w:val="20"/>
                <w:color w:val="auto"/>
              </w:rPr>
            </w:pPr>
            <w:r>
              <w:rPr>
                <w:rFonts w:ascii="Arial" w:cs="Arial" w:eastAsia="Arial" w:hAnsi="Arial"/>
                <w:sz w:val="14"/>
                <w:szCs w:val="14"/>
                <w:b w:val="1"/>
                <w:bCs w:val="1"/>
                <w:color w:val="auto"/>
                <w:w w:val="95"/>
              </w:rPr>
              <w:t>(I.R.S. Employer Identification No.)</w:t>
            </w:r>
          </w:p>
        </w:tc>
      </w:tr>
      <w:tr>
        <w:trPr>
          <w:trHeight w:val="304"/>
        </w:trPr>
        <w:tc>
          <w:tcPr>
            <w:tcW w:w="5020" w:type="dxa"/>
            <w:vAlign w:val="bottom"/>
          </w:tcPr>
          <w:p>
            <w:pPr>
              <w:jc w:val="center"/>
              <w:ind w:right="1157"/>
              <w:spacing w:after="0"/>
              <w:rPr>
                <w:sz w:val="20"/>
                <w:szCs w:val="20"/>
                <w:color w:val="auto"/>
              </w:rPr>
            </w:pPr>
            <w:r>
              <w:rPr>
                <w:rFonts w:ascii="Arial" w:cs="Arial" w:eastAsia="Arial" w:hAnsi="Arial"/>
                <w:sz w:val="18"/>
                <w:szCs w:val="18"/>
                <w:b w:val="1"/>
                <w:bCs w:val="1"/>
                <w:color w:val="auto"/>
                <w:w w:val="89"/>
              </w:rPr>
              <w:t>Assar Gabrielssons Väg 9</w:t>
            </w:r>
          </w:p>
        </w:tc>
        <w:tc>
          <w:tcPr>
            <w:tcW w:w="3500" w:type="dxa"/>
            <w:vAlign w:val="bottom"/>
          </w:tcPr>
          <w:p>
            <w:pPr>
              <w:spacing w:after="0"/>
              <w:rPr>
                <w:sz w:val="24"/>
                <w:szCs w:val="24"/>
                <w:color w:val="auto"/>
              </w:rPr>
            </w:pPr>
          </w:p>
        </w:tc>
      </w:tr>
      <w:tr>
        <w:trPr>
          <w:trHeight w:val="212"/>
        </w:trPr>
        <w:tc>
          <w:tcPr>
            <w:tcW w:w="5020" w:type="dxa"/>
            <w:vAlign w:val="bottom"/>
          </w:tcPr>
          <w:p>
            <w:pPr>
              <w:jc w:val="center"/>
              <w:ind w:right="1157"/>
              <w:spacing w:after="0"/>
              <w:rPr>
                <w:sz w:val="20"/>
                <w:szCs w:val="20"/>
                <w:color w:val="auto"/>
              </w:rPr>
            </w:pPr>
            <w:r>
              <w:rPr>
                <w:rFonts w:ascii="Arial" w:cs="Arial" w:eastAsia="Arial" w:hAnsi="Arial"/>
                <w:sz w:val="18"/>
                <w:szCs w:val="18"/>
                <w:b w:val="1"/>
                <w:bCs w:val="1"/>
                <w:color w:val="auto"/>
                <w:w w:val="89"/>
              </w:rPr>
              <w:t>Göteborg, Sweden</w:t>
            </w:r>
          </w:p>
        </w:tc>
        <w:tc>
          <w:tcPr>
            <w:tcW w:w="3500" w:type="dxa"/>
            <w:vAlign w:val="bottom"/>
          </w:tcPr>
          <w:p>
            <w:pPr>
              <w:jc w:val="right"/>
              <w:ind w:right="759"/>
              <w:spacing w:after="0"/>
              <w:rPr>
                <w:sz w:val="20"/>
                <w:szCs w:val="20"/>
                <w:color w:val="auto"/>
              </w:rPr>
            </w:pPr>
            <w:r>
              <w:rPr>
                <w:rFonts w:ascii="Arial" w:cs="Arial" w:eastAsia="Arial" w:hAnsi="Arial"/>
                <w:sz w:val="18"/>
                <w:szCs w:val="18"/>
                <w:b w:val="1"/>
                <w:bCs w:val="1"/>
                <w:color w:val="auto"/>
              </w:rPr>
              <w:t>40531</w:t>
            </w:r>
          </w:p>
        </w:tc>
      </w:tr>
      <w:tr>
        <w:trPr>
          <w:trHeight w:val="186"/>
        </w:trPr>
        <w:tc>
          <w:tcPr>
            <w:tcW w:w="5020" w:type="dxa"/>
            <w:vAlign w:val="bottom"/>
          </w:tcPr>
          <w:p>
            <w:pPr>
              <w:jc w:val="center"/>
              <w:ind w:right="1157"/>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3500" w:type="dxa"/>
            <w:vAlign w:val="bottom"/>
          </w:tcPr>
          <w:p>
            <w:pPr>
              <w:jc w:val="center"/>
              <w:ind w:left="1279"/>
              <w:spacing w:after="0"/>
              <w:rPr>
                <w:sz w:val="20"/>
                <w:szCs w:val="20"/>
                <w:color w:val="auto"/>
              </w:rPr>
            </w:pPr>
            <w:r>
              <w:rPr>
                <w:rFonts w:ascii="Arial" w:cs="Arial" w:eastAsia="Arial" w:hAnsi="Arial"/>
                <w:sz w:val="14"/>
                <w:szCs w:val="14"/>
                <w:b w:val="1"/>
                <w:bCs w:val="1"/>
                <w:color w:val="auto"/>
                <w:w w:val="95"/>
              </w:rPr>
              <w:t>(Zip Code)</w:t>
            </w:r>
          </w:p>
        </w:tc>
      </w:tr>
    </w:tbl>
    <w:p>
      <w:pPr>
        <w:spacing w:after="0" w:line="75" w:lineRule="exact"/>
        <w:rPr>
          <w:sz w:val="24"/>
          <w:szCs w:val="24"/>
          <w:color w:val="auto"/>
        </w:rPr>
      </w:pPr>
    </w:p>
    <w:p>
      <w:pPr>
        <w:ind w:left="664"/>
        <w:spacing w:after="0"/>
        <w:rPr>
          <w:sz w:val="20"/>
          <w:szCs w:val="20"/>
          <w:color w:val="auto"/>
        </w:rPr>
      </w:pPr>
      <w:r>
        <w:rPr>
          <w:rFonts w:ascii="Arial" w:cs="Arial" w:eastAsia="Arial" w:hAnsi="Arial"/>
          <w:sz w:val="16"/>
          <w:szCs w:val="16"/>
          <w:b w:val="1"/>
          <w:bCs w:val="1"/>
          <w:color w:val="auto"/>
        </w:rPr>
        <w:t>Securities to be registered pursuant to Section 12(b) of the Securities Exchange Act of 1934, as amended (the “Exchange Act”):</w:t>
      </w:r>
    </w:p>
    <w:p>
      <w:pPr>
        <w:spacing w:after="0" w:line="137" w:lineRule="exact"/>
        <w:rPr>
          <w:sz w:val="24"/>
          <w:szCs w:val="24"/>
          <w:color w:val="auto"/>
        </w:rPr>
      </w:pPr>
    </w:p>
    <w:tbl>
      <w:tblPr>
        <w:tblLayout w:type="fixed"/>
        <w:tblInd w:w="824" w:type="dxa"/>
        <w:tblCellMar>
          <w:top w:w="0" w:type="dxa"/>
          <w:left w:w="0" w:type="dxa"/>
          <w:bottom w:w="0" w:type="dxa"/>
          <w:right w:w="0" w:type="dxa"/>
        </w:tblCellMar>
      </w:tblPr>
      <w:tr>
        <w:trPr>
          <w:trHeight w:val="161"/>
        </w:trPr>
        <w:tc>
          <w:tcPr>
            <w:tcW w:w="1400" w:type="dxa"/>
            <w:vAlign w:val="bottom"/>
          </w:tcPr>
          <w:p>
            <w:pPr>
              <w:spacing w:after="0"/>
              <w:rPr>
                <w:sz w:val="14"/>
                <w:szCs w:val="14"/>
                <w:color w:val="auto"/>
              </w:rPr>
            </w:pPr>
          </w:p>
        </w:tc>
        <w:tc>
          <w:tcPr>
            <w:tcW w:w="3660" w:type="dxa"/>
            <w:vAlign w:val="bottom"/>
            <w:gridSpan w:val="2"/>
          </w:tcPr>
          <w:p>
            <w:pPr>
              <w:jc w:val="center"/>
              <w:ind w:right="2540"/>
              <w:spacing w:after="0"/>
              <w:rPr>
                <w:sz w:val="20"/>
                <w:szCs w:val="20"/>
                <w:color w:val="auto"/>
              </w:rPr>
            </w:pPr>
            <w:r>
              <w:rPr>
                <w:rFonts w:ascii="Arial" w:cs="Arial" w:eastAsia="Arial" w:hAnsi="Arial"/>
                <w:sz w:val="14"/>
                <w:szCs w:val="14"/>
                <w:b w:val="1"/>
                <w:bCs w:val="1"/>
                <w:color w:val="auto"/>
                <w:w w:val="89"/>
              </w:rPr>
              <w:t>Title of each class</w:t>
            </w:r>
          </w:p>
        </w:tc>
        <w:tc>
          <w:tcPr>
            <w:tcW w:w="3760" w:type="dxa"/>
            <w:vAlign w:val="bottom"/>
            <w:gridSpan w:val="3"/>
          </w:tcPr>
          <w:p>
            <w:pPr>
              <w:jc w:val="center"/>
              <w:ind w:left="1074"/>
              <w:spacing w:after="0"/>
              <w:rPr>
                <w:sz w:val="20"/>
                <w:szCs w:val="20"/>
                <w:color w:val="auto"/>
              </w:rPr>
            </w:pPr>
            <w:r>
              <w:rPr>
                <w:rFonts w:ascii="Arial" w:cs="Arial" w:eastAsia="Arial" w:hAnsi="Arial"/>
                <w:sz w:val="14"/>
                <w:szCs w:val="14"/>
                <w:b w:val="1"/>
                <w:bCs w:val="1"/>
                <w:color w:val="auto"/>
                <w:w w:val="91"/>
              </w:rPr>
              <w:t>Name of each exchange on which</w:t>
            </w:r>
          </w:p>
        </w:tc>
      </w:tr>
      <w:tr>
        <w:trPr>
          <w:trHeight w:val="171"/>
        </w:trPr>
        <w:tc>
          <w:tcPr>
            <w:tcW w:w="1400" w:type="dxa"/>
            <w:vAlign w:val="bottom"/>
          </w:tcPr>
          <w:p>
            <w:pPr>
              <w:spacing w:after="0"/>
              <w:rPr>
                <w:sz w:val="14"/>
                <w:szCs w:val="14"/>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to be so registered</w:t>
            </w:r>
          </w:p>
        </w:tc>
        <w:tc>
          <w:tcPr>
            <w:tcW w:w="254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7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each class is to be registered</w:t>
            </w:r>
          </w:p>
        </w:tc>
        <w:tc>
          <w:tcPr>
            <w:tcW w:w="440" w:type="dxa"/>
            <w:vAlign w:val="bottom"/>
          </w:tcPr>
          <w:p>
            <w:pPr>
              <w:spacing w:after="0"/>
              <w:rPr>
                <w:sz w:val="14"/>
                <w:szCs w:val="14"/>
                <w:color w:val="auto"/>
              </w:rPr>
            </w:pPr>
          </w:p>
        </w:tc>
      </w:tr>
      <w:tr>
        <w:trPr>
          <w:trHeight w:val="191"/>
        </w:trPr>
        <w:tc>
          <w:tcPr>
            <w:tcW w:w="5060" w:type="dxa"/>
            <w:vAlign w:val="bottom"/>
            <w:gridSpan w:val="3"/>
          </w:tcPr>
          <w:p>
            <w:pPr>
              <w:jc w:val="center"/>
              <w:ind w:right="1160"/>
              <w:spacing w:after="0" w:line="191" w:lineRule="exact"/>
              <w:rPr>
                <w:sz w:val="20"/>
                <w:szCs w:val="20"/>
                <w:color w:val="auto"/>
              </w:rPr>
            </w:pPr>
            <w:r>
              <w:rPr>
                <w:rFonts w:ascii="Arial" w:cs="Arial" w:eastAsia="Arial" w:hAnsi="Arial"/>
                <w:sz w:val="18"/>
                <w:szCs w:val="18"/>
                <w:b w:val="1"/>
                <w:bCs w:val="1"/>
                <w:color w:val="auto"/>
                <w:w w:val="89"/>
              </w:rPr>
              <w:t>Class A American Depositary Shares</w:t>
            </w:r>
          </w:p>
        </w:tc>
        <w:tc>
          <w:tcPr>
            <w:tcW w:w="3760" w:type="dxa"/>
            <w:vAlign w:val="bottom"/>
            <w:gridSpan w:val="3"/>
          </w:tcPr>
          <w:p>
            <w:pPr>
              <w:jc w:val="center"/>
              <w:ind w:left="1074"/>
              <w:spacing w:after="0" w:line="191" w:lineRule="exact"/>
              <w:rPr>
                <w:sz w:val="20"/>
                <w:szCs w:val="20"/>
                <w:color w:val="auto"/>
              </w:rPr>
            </w:pPr>
            <w:r>
              <w:rPr>
                <w:rFonts w:ascii="Arial" w:cs="Arial" w:eastAsia="Arial" w:hAnsi="Arial"/>
                <w:sz w:val="18"/>
                <w:szCs w:val="18"/>
                <w:b w:val="1"/>
                <w:bCs w:val="1"/>
                <w:color w:val="auto"/>
                <w:w w:val="94"/>
              </w:rPr>
              <w:t>The Nasdaq Stock Market LLC</w:t>
            </w:r>
          </w:p>
        </w:tc>
      </w:tr>
      <w:tr>
        <w:trPr>
          <w:trHeight w:val="216"/>
        </w:trPr>
        <w:tc>
          <w:tcPr>
            <w:tcW w:w="5060" w:type="dxa"/>
            <w:vAlign w:val="bottom"/>
            <w:gridSpan w:val="3"/>
          </w:tcPr>
          <w:p>
            <w:pPr>
              <w:jc w:val="center"/>
              <w:ind w:right="1160"/>
              <w:spacing w:after="0"/>
              <w:rPr>
                <w:sz w:val="20"/>
                <w:szCs w:val="20"/>
                <w:color w:val="auto"/>
              </w:rPr>
            </w:pPr>
            <w:r>
              <w:rPr>
                <w:rFonts w:ascii="Arial" w:cs="Arial" w:eastAsia="Arial" w:hAnsi="Arial"/>
                <w:sz w:val="18"/>
                <w:szCs w:val="18"/>
                <w:b w:val="1"/>
                <w:bCs w:val="1"/>
                <w:color w:val="auto"/>
                <w:w w:val="90"/>
              </w:rPr>
              <w:t>Class A Ordinary Shares, par value $0.01 each*</w:t>
            </w:r>
          </w:p>
        </w:tc>
        <w:tc>
          <w:tcPr>
            <w:tcW w:w="3760" w:type="dxa"/>
            <w:vAlign w:val="bottom"/>
            <w:gridSpan w:val="3"/>
          </w:tcPr>
          <w:p>
            <w:pPr>
              <w:jc w:val="center"/>
              <w:ind w:left="1074"/>
              <w:spacing w:after="0"/>
              <w:rPr>
                <w:sz w:val="20"/>
                <w:szCs w:val="20"/>
                <w:color w:val="auto"/>
              </w:rPr>
            </w:pPr>
            <w:r>
              <w:rPr>
                <w:rFonts w:ascii="Arial" w:cs="Arial" w:eastAsia="Arial" w:hAnsi="Arial"/>
                <w:sz w:val="18"/>
                <w:szCs w:val="18"/>
                <w:b w:val="1"/>
                <w:bCs w:val="1"/>
                <w:color w:val="auto"/>
                <w:w w:val="94"/>
              </w:rPr>
              <w:t>The Nasdaq Stock Market LLC*</w:t>
            </w:r>
          </w:p>
        </w:tc>
      </w:tr>
      <w:tr>
        <w:trPr>
          <w:trHeight w:val="216"/>
        </w:trPr>
        <w:tc>
          <w:tcPr>
            <w:tcW w:w="5060" w:type="dxa"/>
            <w:vAlign w:val="bottom"/>
            <w:gridSpan w:val="3"/>
          </w:tcPr>
          <w:p>
            <w:pPr>
              <w:jc w:val="center"/>
              <w:ind w:right="1160"/>
              <w:spacing w:after="0"/>
              <w:rPr>
                <w:sz w:val="20"/>
                <w:szCs w:val="20"/>
                <w:color w:val="auto"/>
              </w:rPr>
            </w:pPr>
            <w:r>
              <w:rPr>
                <w:rFonts w:ascii="Arial" w:cs="Arial" w:eastAsia="Arial" w:hAnsi="Arial"/>
                <w:sz w:val="18"/>
                <w:szCs w:val="18"/>
                <w:b w:val="1"/>
                <w:bCs w:val="1"/>
                <w:color w:val="auto"/>
                <w:w w:val="89"/>
              </w:rPr>
              <w:t>Class C-1 American Depositary Shares</w:t>
            </w:r>
          </w:p>
        </w:tc>
        <w:tc>
          <w:tcPr>
            <w:tcW w:w="3760" w:type="dxa"/>
            <w:vAlign w:val="bottom"/>
            <w:gridSpan w:val="3"/>
          </w:tcPr>
          <w:p>
            <w:pPr>
              <w:jc w:val="center"/>
              <w:ind w:left="1074"/>
              <w:spacing w:after="0"/>
              <w:rPr>
                <w:sz w:val="20"/>
                <w:szCs w:val="20"/>
                <w:color w:val="auto"/>
              </w:rPr>
            </w:pPr>
            <w:r>
              <w:rPr>
                <w:rFonts w:ascii="Arial" w:cs="Arial" w:eastAsia="Arial" w:hAnsi="Arial"/>
                <w:sz w:val="18"/>
                <w:szCs w:val="18"/>
                <w:b w:val="1"/>
                <w:bCs w:val="1"/>
                <w:color w:val="auto"/>
                <w:w w:val="94"/>
              </w:rPr>
              <w:t>The Nasdaq Stock Market LLC</w:t>
            </w:r>
          </w:p>
        </w:tc>
      </w:tr>
      <w:tr>
        <w:trPr>
          <w:trHeight w:val="234"/>
        </w:trPr>
        <w:tc>
          <w:tcPr>
            <w:tcW w:w="5060" w:type="dxa"/>
            <w:vAlign w:val="bottom"/>
            <w:gridSpan w:val="3"/>
          </w:tcPr>
          <w:p>
            <w:pPr>
              <w:jc w:val="center"/>
              <w:ind w:right="1140"/>
              <w:spacing w:after="0"/>
              <w:rPr>
                <w:sz w:val="20"/>
                <w:szCs w:val="20"/>
                <w:color w:val="auto"/>
              </w:rPr>
            </w:pPr>
            <w:r>
              <w:rPr>
                <w:rFonts w:ascii="Arial" w:cs="Arial" w:eastAsia="Arial" w:hAnsi="Arial"/>
                <w:sz w:val="18"/>
                <w:szCs w:val="18"/>
                <w:b w:val="1"/>
                <w:bCs w:val="1"/>
                <w:color w:val="auto"/>
                <w:w w:val="91"/>
              </w:rPr>
              <w:t>Class C-1 Ordinary Shares, par value $0.10 each**</w:t>
            </w:r>
          </w:p>
        </w:tc>
        <w:tc>
          <w:tcPr>
            <w:tcW w:w="3760" w:type="dxa"/>
            <w:vAlign w:val="bottom"/>
            <w:gridSpan w:val="3"/>
          </w:tcPr>
          <w:p>
            <w:pPr>
              <w:jc w:val="center"/>
              <w:ind w:left="1054"/>
              <w:spacing w:after="0"/>
              <w:rPr>
                <w:sz w:val="20"/>
                <w:szCs w:val="20"/>
                <w:color w:val="auto"/>
              </w:rPr>
            </w:pPr>
            <w:r>
              <w:rPr>
                <w:rFonts w:ascii="Arial" w:cs="Arial" w:eastAsia="Arial" w:hAnsi="Arial"/>
                <w:sz w:val="18"/>
                <w:szCs w:val="18"/>
                <w:b w:val="1"/>
                <w:bCs w:val="1"/>
                <w:color w:val="auto"/>
                <w:w w:val="95"/>
              </w:rPr>
              <w:t>The Nasdaq Stock Market LLC**</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154305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30" w:lineRule="exact"/>
        <w:rPr>
          <w:sz w:val="24"/>
          <w:szCs w:val="24"/>
          <w:color w:val="auto"/>
        </w:rPr>
      </w:pPr>
    </w:p>
    <w:p>
      <w:pPr>
        <w:ind w:left="4" w:right="620"/>
        <w:spacing w:after="0" w:line="233" w:lineRule="exact"/>
        <w:rPr>
          <w:sz w:val="20"/>
          <w:szCs w:val="20"/>
          <w:color w:val="auto"/>
        </w:rPr>
      </w:pPr>
      <w:r>
        <w:rPr>
          <w:rFonts w:ascii="Arial" w:cs="Arial" w:eastAsia="Arial" w:hAnsi="Arial"/>
          <w:sz w:val="18"/>
          <w:szCs w:val="18"/>
          <w:color w:val="auto"/>
        </w:rPr>
        <w:t xml:space="preserve">If this form relates to the registration of a class of securities pursuant to Section 12(b) of the Exchange Act and is effective pursuant to General Instruction A.(c) or (e), check the following box. </w:t>
      </w:r>
      <w:r>
        <w:rPr>
          <w:rFonts w:ascii="MS PGothic" w:cs="MS PGothic" w:eastAsia="MS PGothic" w:hAnsi="MS PGothic"/>
          <w:sz w:val="18"/>
          <w:szCs w:val="18"/>
          <w:color w:val="auto"/>
        </w:rPr>
        <w:t>☒</w:t>
      </w:r>
    </w:p>
    <w:p>
      <w:pPr>
        <w:spacing w:after="0" w:line="74" w:lineRule="exact"/>
        <w:rPr>
          <w:sz w:val="24"/>
          <w:szCs w:val="24"/>
          <w:color w:val="auto"/>
        </w:rPr>
      </w:pPr>
    </w:p>
    <w:p>
      <w:pPr>
        <w:ind w:left="4" w:right="620"/>
        <w:spacing w:after="0" w:line="233" w:lineRule="exact"/>
        <w:rPr>
          <w:sz w:val="20"/>
          <w:szCs w:val="20"/>
          <w:color w:val="auto"/>
        </w:rPr>
      </w:pPr>
      <w:r>
        <w:rPr>
          <w:rFonts w:ascii="Arial" w:cs="Arial" w:eastAsia="Arial" w:hAnsi="Arial"/>
          <w:sz w:val="18"/>
          <w:szCs w:val="18"/>
          <w:color w:val="auto"/>
        </w:rPr>
        <w:t xml:space="preserve">If this form relates to the registration of a class of securities pursuant to Section 12(g) of the Exchange Act and is effective pursuant to General Instruction A.(d) or (e), check the following box. </w:t>
      </w:r>
      <w:r>
        <w:rPr>
          <w:rFonts w:ascii="MS PGothic" w:cs="MS PGothic" w:eastAsia="MS PGothic" w:hAnsi="MS PGothic"/>
          <w:sz w:val="18"/>
          <w:szCs w:val="18"/>
          <w:color w:val="auto"/>
        </w:rPr>
        <w:t>☐</w:t>
      </w:r>
    </w:p>
    <w:p>
      <w:pPr>
        <w:spacing w:after="0" w:line="42" w:lineRule="exact"/>
        <w:rPr>
          <w:sz w:val="24"/>
          <w:szCs w:val="24"/>
          <w:color w:val="auto"/>
        </w:rPr>
      </w:pPr>
    </w:p>
    <w:p>
      <w:pPr>
        <w:ind w:left="4"/>
        <w:spacing w:after="0" w:line="207" w:lineRule="exact"/>
        <w:rPr>
          <w:sz w:val="20"/>
          <w:szCs w:val="20"/>
          <w:color w:val="auto"/>
        </w:rPr>
      </w:pPr>
      <w:r>
        <w:rPr>
          <w:rFonts w:ascii="Arial" w:cs="Arial" w:eastAsia="Arial" w:hAnsi="Arial"/>
          <w:sz w:val="18"/>
          <w:szCs w:val="18"/>
          <w:color w:val="auto"/>
        </w:rPr>
        <w:t xml:space="preserve">If this form relates to the registration of a class of securities concurrently with a Regulation A offering, check the following box. </w:t>
      </w:r>
      <w:r>
        <w:rPr>
          <w:rFonts w:ascii="MS PGothic" w:cs="MS PGothic" w:eastAsia="MS PGothic" w:hAnsi="MS PGothic"/>
          <w:sz w:val="18"/>
          <w:szCs w:val="18"/>
          <w:color w:val="auto"/>
        </w:rPr>
        <w:t>☐</w:t>
      </w:r>
    </w:p>
    <w:p>
      <w:pPr>
        <w:spacing w:after="0" w:line="146" w:lineRule="exact"/>
        <w:rPr>
          <w:sz w:val="24"/>
          <w:szCs w:val="24"/>
          <w:color w:val="auto"/>
        </w:rPr>
      </w:pPr>
    </w:p>
    <w:p>
      <w:pPr>
        <w:ind w:left="164"/>
        <w:spacing w:after="0"/>
        <w:rPr>
          <w:sz w:val="20"/>
          <w:szCs w:val="20"/>
          <w:color w:val="auto"/>
        </w:rPr>
      </w:pPr>
      <w:r>
        <w:rPr>
          <w:rFonts w:ascii="Arial" w:cs="Arial" w:eastAsia="Arial" w:hAnsi="Arial"/>
          <w:sz w:val="16"/>
          <w:szCs w:val="16"/>
          <w:b w:val="1"/>
          <w:bCs w:val="1"/>
          <w:color w:val="auto"/>
        </w:rPr>
        <w:t>Securities Act of 1933, as amended (the “Securities Act) registration statement or Regulation A offering statement file number to which this</w:t>
      </w:r>
    </w:p>
    <w:p>
      <w:pPr>
        <w:spacing w:after="0" w:line="50" w:lineRule="exact"/>
        <w:rPr>
          <w:sz w:val="24"/>
          <w:szCs w:val="24"/>
          <w:color w:val="auto"/>
        </w:rPr>
      </w:pPr>
    </w:p>
    <w:p>
      <w:pPr>
        <w:jc w:val="center"/>
        <w:ind w:right="-103"/>
        <w:spacing w:after="0"/>
        <w:rPr>
          <w:sz w:val="20"/>
          <w:szCs w:val="20"/>
          <w:color w:val="auto"/>
        </w:rPr>
      </w:pPr>
      <w:r>
        <w:rPr>
          <w:rFonts w:ascii="Arial" w:cs="Arial" w:eastAsia="Arial" w:hAnsi="Arial"/>
          <w:sz w:val="18"/>
          <w:szCs w:val="18"/>
          <w:b w:val="1"/>
          <w:bCs w:val="1"/>
          <w:color w:val="auto"/>
        </w:rPr>
        <w:t>form relates:</w:t>
      </w:r>
    </w:p>
    <w:p>
      <w:pPr>
        <w:spacing w:after="0" w:line="9" w:lineRule="exact"/>
        <w:rPr>
          <w:sz w:val="24"/>
          <w:szCs w:val="24"/>
          <w:color w:val="auto"/>
        </w:rPr>
      </w:pPr>
    </w:p>
    <w:p>
      <w:pPr>
        <w:jc w:val="center"/>
        <w:ind w:right="-103"/>
        <w:spacing w:after="0"/>
        <w:rPr>
          <w:sz w:val="20"/>
          <w:szCs w:val="20"/>
          <w:color w:val="auto"/>
        </w:rPr>
      </w:pPr>
      <w:r>
        <w:rPr>
          <w:rFonts w:ascii="Arial" w:cs="Arial" w:eastAsia="Arial" w:hAnsi="Arial"/>
          <w:sz w:val="18"/>
          <w:szCs w:val="18"/>
          <w:b w:val="1"/>
          <w:bCs w:val="1"/>
          <w:color w:val="auto"/>
        </w:rPr>
        <w:t>333-260992</w:t>
      </w:r>
    </w:p>
    <w:p>
      <w:pPr>
        <w:spacing w:after="0" w:line="99" w:lineRule="exact"/>
        <w:rPr>
          <w:sz w:val="24"/>
          <w:szCs w:val="24"/>
          <w:color w:val="auto"/>
        </w:rPr>
      </w:pPr>
    </w:p>
    <w:p>
      <w:pPr>
        <w:jc w:val="center"/>
        <w:ind w:right="-103"/>
        <w:spacing w:after="0"/>
        <w:rPr>
          <w:sz w:val="20"/>
          <w:szCs w:val="20"/>
          <w:color w:val="auto"/>
        </w:rPr>
      </w:pPr>
      <w:r>
        <w:rPr>
          <w:rFonts w:ascii="Arial" w:cs="Arial" w:eastAsia="Arial" w:hAnsi="Arial"/>
          <w:sz w:val="18"/>
          <w:szCs w:val="18"/>
          <w:b w:val="1"/>
          <w:bCs w:val="1"/>
          <w:color w:val="auto"/>
        </w:rPr>
        <w:t>Securities to be registered pursuant to Section 12(g) of the Exchange Act:</w:t>
      </w:r>
    </w:p>
    <w:p>
      <w:pPr>
        <w:spacing w:after="0" w:line="27" w:lineRule="exact"/>
        <w:rPr>
          <w:sz w:val="24"/>
          <w:szCs w:val="24"/>
          <w:color w:val="auto"/>
        </w:rPr>
      </w:pPr>
    </w:p>
    <w:p>
      <w:pPr>
        <w:jc w:val="center"/>
        <w:ind w:right="-103"/>
        <w:spacing w:after="0"/>
        <w:rPr>
          <w:sz w:val="20"/>
          <w:szCs w:val="20"/>
          <w:color w:val="auto"/>
        </w:rPr>
      </w:pPr>
      <w:r>
        <w:rPr>
          <w:rFonts w:ascii="Arial" w:cs="Arial" w:eastAsia="Arial" w:hAnsi="Arial"/>
          <w:sz w:val="18"/>
          <w:szCs w:val="18"/>
          <w:b w:val="1"/>
          <w:bCs w:val="1"/>
          <w:color w:val="auto"/>
        </w:rPr>
        <w:t>None.</w:t>
      </w:r>
    </w:p>
    <w:p>
      <w:pPr>
        <w:spacing w:after="0" w:line="116" w:lineRule="exact"/>
        <w:rPr>
          <w:sz w:val="24"/>
          <w:szCs w:val="24"/>
          <w:color w:val="auto"/>
        </w:rPr>
      </w:pPr>
    </w:p>
    <w:p>
      <w:pPr>
        <w:ind w:left="424" w:hanging="424"/>
        <w:spacing w:after="0"/>
        <w:tabs>
          <w:tab w:leader="none" w:pos="424" w:val="left"/>
        </w:tabs>
        <w:numPr>
          <w:ilvl w:val="0"/>
          <w:numId w:val="1"/>
        </w:numPr>
        <w:rPr>
          <w:rFonts w:ascii="Arial" w:cs="Arial" w:eastAsia="Arial" w:hAnsi="Arial"/>
          <w:sz w:val="17"/>
          <w:szCs w:val="17"/>
          <w:color w:val="auto"/>
        </w:rPr>
      </w:pPr>
      <w:r>
        <w:rPr>
          <w:rFonts w:ascii="Arial" w:cs="Arial" w:eastAsia="Arial" w:hAnsi="Arial"/>
          <w:sz w:val="17"/>
          <w:szCs w:val="17"/>
          <w:color w:val="auto"/>
        </w:rPr>
        <w:t>Not for trading, but only in connection with the listing of the Class A American Depositary Shares on The Nasdaq Stock Market LLC. The</w:t>
      </w:r>
    </w:p>
    <w:p>
      <w:pPr>
        <w:spacing w:after="0" w:line="34" w:lineRule="exact"/>
        <w:rPr>
          <w:rFonts w:ascii="Arial" w:cs="Arial" w:eastAsia="Arial" w:hAnsi="Arial"/>
          <w:sz w:val="17"/>
          <w:szCs w:val="17"/>
          <w:color w:val="auto"/>
        </w:rPr>
      </w:pPr>
    </w:p>
    <w:p>
      <w:pPr>
        <w:ind w:left="424"/>
        <w:spacing w:after="0" w:line="323" w:lineRule="auto"/>
        <w:rPr>
          <w:rFonts w:ascii="Arial" w:cs="Arial" w:eastAsia="Arial" w:hAnsi="Arial"/>
          <w:sz w:val="17"/>
          <w:szCs w:val="17"/>
          <w:color w:val="auto"/>
        </w:rPr>
      </w:pPr>
      <w:r>
        <w:rPr>
          <w:rFonts w:ascii="Arial" w:cs="Arial" w:eastAsia="Arial" w:hAnsi="Arial"/>
          <w:sz w:val="16"/>
          <w:szCs w:val="16"/>
          <w:color w:val="auto"/>
        </w:rPr>
        <w:t>Class A American Depositary Shares each represent one Class A Ordinary Share and are registered under the Securities Act of 1933 pursuant to a separate Registration Statement on Form F-6. Accordingly, the Class A American Depositary Shares are exempt from the operation of</w:t>
      </w:r>
    </w:p>
    <w:p>
      <w:pPr>
        <w:spacing w:after="0" w:line="138" w:lineRule="exact"/>
        <w:rPr>
          <w:sz w:val="24"/>
          <w:szCs w:val="24"/>
          <w:color w:val="auto"/>
        </w:rPr>
      </w:pPr>
    </w:p>
    <w:p>
      <w:pPr>
        <w:ind w:left="424" w:right="340" w:hanging="424"/>
        <w:spacing w:after="0" w:line="259" w:lineRule="auto"/>
        <w:tabs>
          <w:tab w:leader="none" w:pos="424" w:val="left"/>
        </w:tabs>
        <w:numPr>
          <w:ilvl w:val="0"/>
          <w:numId w:val="2"/>
        </w:numPr>
        <w:rPr>
          <w:rFonts w:ascii="Arial" w:cs="Arial" w:eastAsia="Arial" w:hAnsi="Arial"/>
          <w:sz w:val="18"/>
          <w:szCs w:val="18"/>
          <w:color w:val="auto"/>
        </w:rPr>
      </w:pPr>
      <w:r>
        <w:rPr>
          <w:rFonts w:ascii="Arial" w:cs="Arial" w:eastAsia="Arial" w:hAnsi="Arial"/>
          <w:sz w:val="18"/>
          <w:szCs w:val="18"/>
          <w:color w:val="auto"/>
        </w:rPr>
        <w:t>Not for trading, but only in connection with the listing of the Class C-1 American Depositary Shares on The Nasdaq Stock Market LLC. The Class C-1 American Depositary Shares each represent one Class C Ordinary Share and are registered under the Securities Act pursuant to a separate Registration Statement on Form F-6. Accordingly, the Class C-1 American Depositary Shares are exempt from the operation of Section 12(a) of the Exchange Act pursuant to Rule 12a-8 thereunder.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161925</wp:posOffset>
            </wp:positionV>
            <wp:extent cx="69951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204470</wp:posOffset>
            </wp:positionV>
            <wp:extent cx="69951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0904"/>
          </w:cols>
          <w:pgMar w:left="436" w:top="368" w:right="559" w:bottom="1440" w:gutter="0" w:footer="0" w:header="0"/>
        </w:sectPr>
      </w:pPr>
    </w:p>
    <w:bookmarkStart w:id="1" w:name="page2"/>
    <w:bookmarkEnd w:id="1"/>
    <w:p>
      <w:pPr>
        <w:ind w:left="29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INFORMATION REQUIRED IN REGISTRATION STATEMENT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Description of Registrant’s Securities to be Registered.</w:t>
      </w:r>
    </w:p>
    <w:p>
      <w:pPr>
        <w:spacing w:after="0" w:line="121" w:lineRule="exact"/>
        <w:rPr>
          <w:sz w:val="20"/>
          <w:szCs w:val="20"/>
          <w:color w:val="auto"/>
        </w:rPr>
      </w:pPr>
    </w:p>
    <w:p>
      <w:pPr>
        <w:ind w:firstLine="440"/>
        <w:spacing w:after="0" w:line="287" w:lineRule="auto"/>
        <w:rPr>
          <w:sz w:val="20"/>
          <w:szCs w:val="20"/>
          <w:color w:val="auto"/>
        </w:rPr>
      </w:pPr>
      <w:r>
        <w:rPr>
          <w:rFonts w:ascii="Arial" w:cs="Arial" w:eastAsia="Arial" w:hAnsi="Arial"/>
          <w:sz w:val="16"/>
          <w:szCs w:val="16"/>
          <w:color w:val="auto"/>
        </w:rPr>
        <w:t>Polestar Automotive Holding UK PLC (the “Company”) hereby incorporates by reference (a) the description of its (i) Class A ordinary shares, par value $0.01 each (the “Class A Shares”) and (ii) Class C-1 ordinary shares, par value $0.10 each (the “Class C-1 Shares), contained under the heading “Description of ListCo’s Securities,” (b) the description of its (i) Class A American Depositary Shares, each representing one Class A Share (the “Class A ADSs”), and (ii) Class C-1 American Depositary Shares, each representing one Class C-1 Share (the “Class C-1 ADSs”), contained under the heading “Description of the Post-Combination Company’s American Depositary Securities,” and (c) the information set forth under the heading “Material U.S. Federal Income Tax Considerations” and “Material United Kingdom Tax Considerations,” in each case, in the Company’s Registration Statement on Form F-4 (File No. 333-260992), as originally filed with the Securities and Exchange Commission (the “Commission”) on November 12, 2021, as amended and supplemented from time to time (the “Registration Statement”), in the final prospectus filed pursuant to Rule 424(b)(3) under the Securities Act of 1933, as amended (the “Securities Act”) on May 25, 2022 (the “Final Prospectus”) and in any prospectus that constitutes part of the Registration Statement or supplements the Final Prospectus to be filed separately by the Company with the Commission pursuant to Rule 424(b) under the Securities Act, which information shall also be deemed to be incorporated herein by reference.</w:t>
      </w:r>
    </w:p>
    <w:p>
      <w:pPr>
        <w:spacing w:after="0" w:line="172" w:lineRule="exact"/>
        <w:rPr>
          <w:sz w:val="20"/>
          <w:szCs w:val="20"/>
          <w:color w:val="auto"/>
        </w:rPr>
      </w:pPr>
    </w:p>
    <w:p>
      <w:pPr>
        <w:ind w:right="100" w:firstLine="440"/>
        <w:spacing w:after="0" w:line="277" w:lineRule="auto"/>
        <w:rPr>
          <w:sz w:val="20"/>
          <w:szCs w:val="20"/>
          <w:color w:val="auto"/>
        </w:rPr>
      </w:pPr>
      <w:r>
        <w:rPr>
          <w:rFonts w:ascii="Arial" w:cs="Arial" w:eastAsia="Arial" w:hAnsi="Arial"/>
          <w:sz w:val="18"/>
          <w:szCs w:val="18"/>
          <w:color w:val="auto"/>
        </w:rPr>
        <w:t>The Class A ADSs and Class C-1 ADSs to be registered hereunder have been approved for listing on The Nasdaq Stock Market LLC (“Nasdaq”) under the symbols “PSNY” and “PSNYW”, respectively.</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Exhibits.</w:t>
      </w:r>
    </w:p>
    <w:p>
      <w:pPr>
        <w:spacing w:after="0" w:line="121" w:lineRule="exact"/>
        <w:rPr>
          <w:sz w:val="20"/>
          <w:szCs w:val="20"/>
          <w:color w:val="auto"/>
        </w:rPr>
      </w:pPr>
    </w:p>
    <w:p>
      <w:pPr>
        <w:ind w:right="140" w:firstLine="440"/>
        <w:spacing w:after="0" w:line="263" w:lineRule="auto"/>
        <w:rPr>
          <w:sz w:val="20"/>
          <w:szCs w:val="20"/>
          <w:color w:val="auto"/>
        </w:rPr>
      </w:pPr>
      <w:r>
        <w:rPr>
          <w:rFonts w:ascii="Arial" w:cs="Arial" w:eastAsia="Arial" w:hAnsi="Arial"/>
          <w:sz w:val="18"/>
          <w:szCs w:val="18"/>
          <w:color w:val="auto"/>
        </w:rPr>
        <w:t>Under the Instructions as to Exhibits for Form 8-A, no exhibits are required to be filed herewith or incorporated by reference herein because no other securities of the registrant are registered on Nasdaq, and the securities registered hereby are not being registered pursuant to Section 12 (g) of the Securities Exchange Act of 1934, as amended.</w:t>
      </w:r>
    </w:p>
    <w:p>
      <w:pPr>
        <w:sectPr>
          <w:pgSz w:w="11900" w:h="16838" w:orient="portrait"/>
          <w:cols w:equalWidth="0" w:num="1">
            <w:col w:w="10980"/>
          </w:cols>
          <w:pgMar w:left="440" w:top="270" w:right="47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SIGNATURE</w:t>
      </w:r>
    </w:p>
    <w:p>
      <w:pPr>
        <w:spacing w:after="0" w:line="229" w:lineRule="exact"/>
        <w:rPr>
          <w:sz w:val="20"/>
          <w:szCs w:val="20"/>
          <w:color w:val="auto"/>
        </w:rPr>
      </w:pPr>
    </w:p>
    <w:p>
      <w:pPr>
        <w:ind w:right="120" w:firstLine="440"/>
        <w:spacing w:after="0" w:line="277" w:lineRule="auto"/>
        <w:rPr>
          <w:sz w:val="20"/>
          <w:szCs w:val="20"/>
          <w:color w:val="auto"/>
        </w:rPr>
      </w:pPr>
      <w:r>
        <w:rPr>
          <w:rFonts w:ascii="Arial" w:cs="Arial" w:eastAsia="Arial" w:hAnsi="Arial"/>
          <w:sz w:val="18"/>
          <w:szCs w:val="18"/>
          <w:color w:val="auto"/>
        </w:rPr>
        <w:t>Pursuant to the requirements of Section 12 of the Securities Exchange Act of 1934, the registrant has duly caused this registration statement to be signed on its behalf by the undersigned, thereto duly authorized.</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480" w:type="dxa"/>
            <w:vAlign w:val="bottom"/>
          </w:tcPr>
          <w:p>
            <w:pPr>
              <w:spacing w:after="0"/>
              <w:rPr>
                <w:sz w:val="20"/>
                <w:szCs w:val="20"/>
                <w:color w:val="auto"/>
              </w:rPr>
            </w:pPr>
          </w:p>
        </w:tc>
        <w:tc>
          <w:tcPr>
            <w:tcW w:w="7540" w:type="dxa"/>
            <w:vAlign w:val="bottom"/>
            <w:gridSpan w:val="2"/>
          </w:tcPr>
          <w:p>
            <w:pPr>
              <w:ind w:left="2040"/>
              <w:spacing w:after="0"/>
              <w:rPr>
                <w:sz w:val="20"/>
                <w:szCs w:val="20"/>
                <w:color w:val="auto"/>
              </w:rPr>
            </w:pPr>
            <w:r>
              <w:rPr>
                <w:rFonts w:ascii="Arial" w:cs="Arial" w:eastAsia="Arial" w:hAnsi="Arial"/>
                <w:sz w:val="18"/>
                <w:szCs w:val="18"/>
                <w:color w:val="auto"/>
              </w:rPr>
              <w:t>POLESTAR AUTOMOTIVE HOLDING UK PLC</w:t>
            </w:r>
          </w:p>
        </w:tc>
      </w:tr>
      <w:tr>
        <w:trPr>
          <w:trHeight w:val="432"/>
        </w:trPr>
        <w:tc>
          <w:tcPr>
            <w:tcW w:w="3480" w:type="dxa"/>
            <w:vAlign w:val="bottom"/>
          </w:tcPr>
          <w:p>
            <w:pPr>
              <w:spacing w:after="0"/>
              <w:rPr>
                <w:sz w:val="20"/>
                <w:szCs w:val="20"/>
                <w:color w:val="auto"/>
              </w:rPr>
            </w:pPr>
            <w:r>
              <w:rPr>
                <w:rFonts w:ascii="Arial" w:cs="Arial" w:eastAsia="Arial" w:hAnsi="Arial"/>
                <w:sz w:val="18"/>
                <w:szCs w:val="18"/>
                <w:color w:val="auto"/>
              </w:rPr>
              <w:t>Date: June 22, 2022</w:t>
            </w:r>
          </w:p>
        </w:tc>
        <w:tc>
          <w:tcPr>
            <w:tcW w:w="2680" w:type="dxa"/>
            <w:vAlign w:val="bottom"/>
          </w:tcPr>
          <w:p>
            <w:pPr>
              <w:ind w:left="2040"/>
              <w:spacing w:after="0"/>
              <w:rPr>
                <w:sz w:val="20"/>
                <w:szCs w:val="20"/>
                <w:color w:val="auto"/>
              </w:rPr>
            </w:pPr>
            <w:r>
              <w:rPr>
                <w:rFonts w:ascii="Arial" w:cs="Arial" w:eastAsia="Arial" w:hAnsi="Arial"/>
                <w:sz w:val="18"/>
                <w:szCs w:val="18"/>
                <w:color w:val="auto"/>
              </w:rPr>
              <w:t>By:</w:t>
            </w:r>
          </w:p>
        </w:tc>
        <w:tc>
          <w:tcPr>
            <w:tcW w:w="48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Thomas Ingenlath</w:t>
            </w:r>
          </w:p>
        </w:tc>
      </w:tr>
      <w:tr>
        <w:trPr>
          <w:trHeight w:val="209"/>
        </w:trPr>
        <w:tc>
          <w:tcPr>
            <w:tcW w:w="3480" w:type="dxa"/>
            <w:vAlign w:val="bottom"/>
          </w:tcPr>
          <w:p>
            <w:pPr>
              <w:spacing w:after="0"/>
              <w:rPr>
                <w:sz w:val="18"/>
                <w:szCs w:val="18"/>
                <w:color w:val="auto"/>
              </w:rPr>
            </w:pPr>
          </w:p>
        </w:tc>
        <w:tc>
          <w:tcPr>
            <w:tcW w:w="2680" w:type="dxa"/>
            <w:vAlign w:val="bottom"/>
          </w:tcPr>
          <w:p>
            <w:pPr>
              <w:ind w:left="2040"/>
              <w:spacing w:after="0"/>
              <w:rPr>
                <w:sz w:val="20"/>
                <w:szCs w:val="20"/>
                <w:color w:val="auto"/>
              </w:rPr>
            </w:pPr>
            <w:r>
              <w:rPr>
                <w:rFonts w:ascii="Arial" w:cs="Arial" w:eastAsia="Arial" w:hAnsi="Arial"/>
                <w:sz w:val="18"/>
                <w:szCs w:val="18"/>
                <w:color w:val="auto"/>
              </w:rPr>
              <w:t>Name:</w:t>
            </w:r>
          </w:p>
        </w:tc>
        <w:tc>
          <w:tcPr>
            <w:tcW w:w="4860" w:type="dxa"/>
            <w:vAlign w:val="bottom"/>
          </w:tcPr>
          <w:p>
            <w:pPr>
              <w:spacing w:after="0"/>
              <w:rPr>
                <w:sz w:val="20"/>
                <w:szCs w:val="20"/>
                <w:color w:val="auto"/>
              </w:rPr>
            </w:pPr>
            <w:r>
              <w:rPr>
                <w:rFonts w:ascii="Arial" w:cs="Arial" w:eastAsia="Arial" w:hAnsi="Arial"/>
                <w:sz w:val="18"/>
                <w:szCs w:val="18"/>
                <w:color w:val="auto"/>
              </w:rPr>
              <w:t>Thomas Ingenlath</w:t>
            </w:r>
          </w:p>
        </w:tc>
      </w:tr>
      <w:tr>
        <w:trPr>
          <w:trHeight w:val="230"/>
        </w:trPr>
        <w:tc>
          <w:tcPr>
            <w:tcW w:w="3480" w:type="dxa"/>
            <w:vAlign w:val="bottom"/>
          </w:tcPr>
          <w:p>
            <w:pPr>
              <w:spacing w:after="0"/>
              <w:rPr>
                <w:sz w:val="20"/>
                <w:szCs w:val="20"/>
                <w:color w:val="auto"/>
              </w:rPr>
            </w:pPr>
          </w:p>
        </w:tc>
        <w:tc>
          <w:tcPr>
            <w:tcW w:w="2680" w:type="dxa"/>
            <w:vAlign w:val="bottom"/>
          </w:tcPr>
          <w:p>
            <w:pPr>
              <w:ind w:left="2040"/>
              <w:spacing w:after="0"/>
              <w:rPr>
                <w:sz w:val="20"/>
                <w:szCs w:val="20"/>
                <w:color w:val="auto"/>
              </w:rPr>
            </w:pPr>
            <w:r>
              <w:rPr>
                <w:rFonts w:ascii="Arial" w:cs="Arial" w:eastAsia="Arial" w:hAnsi="Arial"/>
                <w:sz w:val="18"/>
                <w:szCs w:val="18"/>
                <w:color w:val="auto"/>
              </w:rPr>
              <w:t>Title:</w:t>
            </w:r>
          </w:p>
        </w:tc>
        <w:tc>
          <w:tcPr>
            <w:tcW w:w="4860" w:type="dxa"/>
            <w:vAlign w:val="bottom"/>
          </w:tcPr>
          <w:p>
            <w:pPr>
              <w:spacing w:after="0"/>
              <w:rPr>
                <w:sz w:val="20"/>
                <w:szCs w:val="20"/>
                <w:color w:val="auto"/>
              </w:rPr>
            </w:pPr>
            <w:r>
              <w:rPr>
                <w:rFonts w:ascii="Arial" w:cs="Arial" w:eastAsia="Arial" w:hAnsi="Arial"/>
                <w:sz w:val="18"/>
                <w:szCs w:val="18"/>
                <w:color w:val="auto"/>
              </w:rPr>
              <w:t>Chief Executive Officer</w:t>
            </w:r>
          </w:p>
        </w:tc>
      </w:tr>
      <w:tr>
        <w:trPr>
          <w:trHeight w:val="432"/>
        </w:trPr>
        <w:tc>
          <w:tcPr>
            <w:tcW w:w="3480" w:type="dxa"/>
            <w:vAlign w:val="bottom"/>
          </w:tcPr>
          <w:p>
            <w:pPr>
              <w:spacing w:after="0"/>
              <w:rPr>
                <w:sz w:val="24"/>
                <w:szCs w:val="24"/>
                <w:color w:val="auto"/>
              </w:rPr>
            </w:pPr>
          </w:p>
        </w:tc>
        <w:tc>
          <w:tcPr>
            <w:tcW w:w="2680" w:type="dxa"/>
            <w:vAlign w:val="bottom"/>
          </w:tcPr>
          <w:p>
            <w:pPr>
              <w:ind w:left="2040"/>
              <w:spacing w:after="0"/>
              <w:rPr>
                <w:sz w:val="20"/>
                <w:szCs w:val="20"/>
                <w:color w:val="auto"/>
              </w:rPr>
            </w:pPr>
            <w:r>
              <w:rPr>
                <w:rFonts w:ascii="Arial" w:cs="Arial" w:eastAsia="Arial" w:hAnsi="Arial"/>
                <w:sz w:val="18"/>
                <w:szCs w:val="18"/>
                <w:color w:val="auto"/>
              </w:rPr>
              <w:t>By:</w:t>
            </w:r>
          </w:p>
        </w:tc>
        <w:tc>
          <w:tcPr>
            <w:tcW w:w="48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Johan Malmqvist</w:t>
            </w:r>
          </w:p>
        </w:tc>
      </w:tr>
      <w:tr>
        <w:trPr>
          <w:trHeight w:val="209"/>
        </w:trPr>
        <w:tc>
          <w:tcPr>
            <w:tcW w:w="3480" w:type="dxa"/>
            <w:vAlign w:val="bottom"/>
          </w:tcPr>
          <w:p>
            <w:pPr>
              <w:spacing w:after="0"/>
              <w:rPr>
                <w:sz w:val="18"/>
                <w:szCs w:val="18"/>
                <w:color w:val="auto"/>
              </w:rPr>
            </w:pPr>
          </w:p>
        </w:tc>
        <w:tc>
          <w:tcPr>
            <w:tcW w:w="2680" w:type="dxa"/>
            <w:vAlign w:val="bottom"/>
          </w:tcPr>
          <w:p>
            <w:pPr>
              <w:ind w:left="2040"/>
              <w:spacing w:after="0"/>
              <w:rPr>
                <w:sz w:val="20"/>
                <w:szCs w:val="20"/>
                <w:color w:val="auto"/>
              </w:rPr>
            </w:pPr>
            <w:r>
              <w:rPr>
                <w:rFonts w:ascii="Arial" w:cs="Arial" w:eastAsia="Arial" w:hAnsi="Arial"/>
                <w:sz w:val="18"/>
                <w:szCs w:val="18"/>
                <w:color w:val="auto"/>
              </w:rPr>
              <w:t>Name:</w:t>
            </w:r>
          </w:p>
        </w:tc>
        <w:tc>
          <w:tcPr>
            <w:tcW w:w="4860" w:type="dxa"/>
            <w:vAlign w:val="bottom"/>
          </w:tcPr>
          <w:p>
            <w:pPr>
              <w:spacing w:after="0"/>
              <w:rPr>
                <w:sz w:val="20"/>
                <w:szCs w:val="20"/>
                <w:color w:val="auto"/>
              </w:rPr>
            </w:pPr>
            <w:r>
              <w:rPr>
                <w:rFonts w:ascii="Arial" w:cs="Arial" w:eastAsia="Arial" w:hAnsi="Arial"/>
                <w:sz w:val="18"/>
                <w:szCs w:val="18"/>
                <w:color w:val="auto"/>
              </w:rPr>
              <w:t>Johan Malmqvist</w:t>
            </w:r>
          </w:p>
        </w:tc>
      </w:tr>
      <w:tr>
        <w:trPr>
          <w:trHeight w:val="230"/>
        </w:trPr>
        <w:tc>
          <w:tcPr>
            <w:tcW w:w="3480" w:type="dxa"/>
            <w:vAlign w:val="bottom"/>
          </w:tcPr>
          <w:p>
            <w:pPr>
              <w:spacing w:after="0"/>
              <w:rPr>
                <w:sz w:val="20"/>
                <w:szCs w:val="20"/>
                <w:color w:val="auto"/>
              </w:rPr>
            </w:pPr>
          </w:p>
        </w:tc>
        <w:tc>
          <w:tcPr>
            <w:tcW w:w="2680" w:type="dxa"/>
            <w:vAlign w:val="bottom"/>
          </w:tcPr>
          <w:p>
            <w:pPr>
              <w:ind w:left="2040"/>
              <w:spacing w:after="0"/>
              <w:rPr>
                <w:sz w:val="20"/>
                <w:szCs w:val="20"/>
                <w:color w:val="auto"/>
              </w:rPr>
            </w:pPr>
            <w:r>
              <w:rPr>
                <w:rFonts w:ascii="Arial" w:cs="Arial" w:eastAsia="Arial" w:hAnsi="Arial"/>
                <w:sz w:val="18"/>
                <w:szCs w:val="18"/>
                <w:color w:val="auto"/>
              </w:rPr>
              <w:t>Title:</w:t>
            </w:r>
          </w:p>
        </w:tc>
        <w:tc>
          <w:tcPr>
            <w:tcW w:w="4860" w:type="dxa"/>
            <w:vAlign w:val="bottom"/>
          </w:tcPr>
          <w:p>
            <w:pPr>
              <w:spacing w:after="0"/>
              <w:rPr>
                <w:sz w:val="20"/>
                <w:szCs w:val="20"/>
                <w:color w:val="auto"/>
              </w:rPr>
            </w:pPr>
            <w:r>
              <w:rPr>
                <w:rFonts w:ascii="Arial" w:cs="Arial" w:eastAsia="Arial" w:hAnsi="Arial"/>
                <w:sz w:val="18"/>
                <w:szCs w:val="18"/>
                <w:color w:val="auto"/>
              </w:rPr>
              <w:t>Chief Financial Officer</w:t>
            </w:r>
          </w:p>
        </w:tc>
      </w:tr>
    </w:tbl>
    <w:p>
      <w:pPr>
        <w:spacing w:after="0" w:line="1" w:lineRule="exact"/>
        <w:rPr>
          <w:sz w:val="20"/>
          <w:szCs w:val="20"/>
          <w:color w:val="auto"/>
        </w:rPr>
      </w:pPr>
    </w:p>
    <w:sectPr>
      <w:pgSz w:w="11900" w:h="16838" w:orient="portrait"/>
      <w:cols w:equalWidth="0" w:num="1">
        <w:col w:w="11020"/>
      </w:cols>
      <w:pgMar w:left="440" w:top="270"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2022-06-23T05:13:41Z</dcterms:created>
  <dcterms:modified xsi:type="dcterms:W3CDTF">2022-06-23T05:13:41Z</dcterms:modified>
</cp:coreProperties>
</file>