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April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On April 11, 2024, Polestar Automotive Holding UK PLC (“Polestar”) issued a press release announcing its preliminary estimates for global volumes for the first quarter of 2024. A copy of the press release is attached hereto as Exhibit 99.1.</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Polestar expects to release its unaudited financial and operational results for the first quarter 2024 on Thursday, May 23, 2024, with a live audio webcast scheduled to start at 8:00 am ET (2:00 pm CEST). From Thursday, May 9, 2024, verified shareholders will be able to ask questions through the Say Technologies platform, accessible via the Polestar Investor Relations website.</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40"/>
          </w:cols>
          <w:pgMar w:left="440" w:top="266" w:right="5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564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640" w:type="dxa"/>
            <w:vAlign w:val="bottom"/>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6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April 11, 2024.</w:t>
            </w:r>
          </w:p>
        </w:tc>
      </w:tr>
    </w:tbl>
    <w:p>
      <w:pPr>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 xml:space="preserve">    </w:t>
            </w:r>
          </w:p>
        </w:tc>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11, 2024</w:t>
            </w: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205"/>
        </w:trPr>
        <w:tc>
          <w:tcPr>
            <w:tcW w:w="5340" w:type="dxa"/>
            <w:vAlign w:val="bottom"/>
          </w:tcPr>
          <w:p>
            <w:pPr>
              <w:spacing w:after="0"/>
              <w:rPr>
                <w:sz w:val="17"/>
                <w:szCs w:val="17"/>
                <w:color w:val="auto"/>
              </w:rPr>
            </w:pPr>
          </w:p>
        </w:tc>
        <w:tc>
          <w:tcPr>
            <w:tcW w:w="8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534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534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5340" w:type="dxa"/>
            <w:vAlign w:val="bottom"/>
          </w:tcPr>
          <w:p>
            <w:pPr>
              <w:spacing w:after="0"/>
              <w:rPr>
                <w:sz w:val="17"/>
                <w:szCs w:val="17"/>
                <w:color w:val="auto"/>
              </w:rPr>
            </w:pPr>
          </w:p>
        </w:tc>
        <w:tc>
          <w:tcPr>
            <w:tcW w:w="82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5340" w:type="dxa"/>
            <w:vAlign w:val="bottom"/>
          </w:tcPr>
          <w:p>
            <w:pPr>
              <w:spacing w:after="0"/>
              <w:rPr>
                <w:sz w:val="20"/>
                <w:szCs w:val="20"/>
                <w:color w:val="auto"/>
              </w:rPr>
            </w:pPr>
          </w:p>
        </w:tc>
        <w:tc>
          <w:tcPr>
            <w:tcW w:w="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8839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83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global volumes for the first quarter; growing line-up of luxury SUV’s to drive revenue and margin progression</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7,200 cars delivered, of which 1,200 Polestar 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Polestar 3 and Polestar 4 receive very positive media reviews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line-up of luxury SUVs to drive expected revenue and margin progression during second half of the year, supporting 2025 targets</w:t>
      </w:r>
    </w:p>
    <w:p>
      <w:pPr>
        <w:spacing w:after="0" w:line="22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11 April 2024. </w:t>
      </w:r>
      <w:r>
        <w:rPr>
          <w:rFonts w:ascii="Times New Roman" w:cs="Times New Roman" w:eastAsia="Times New Roman" w:hAnsi="Times New Roman"/>
          <w:sz w:val="18"/>
          <w:szCs w:val="18"/>
          <w:color w:val="auto"/>
        </w:rPr>
        <w:t>Polestar (Nasdaq: PSNY) delivered approximately 7,200 cars in the first quarter, including 1,200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Polestar 4 in China.</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Thomas Ingenlath, Polestar CEO, comments: “2024 is a transitional year, as we move from being a one-car brand during the first half of the year, to ramping up deliveries of our two luxury SUVs during the second half. The very positive reviews resulting from the global media test drives of Polestar 3 and Polestar 4 show the progress that our brand is making and confirm our dynamic, global strategy. These two cars will provide the basis for a strong revenue and margin progression during the second half of the year, supporting our 2025 targets.”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quarter saw three future-oriented strategic developments.</w:t>
      </w:r>
    </w:p>
    <w:p>
      <w:pPr>
        <w:spacing w:after="0" w:line="22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Polestar successfully secured USD 950 million in new, external funding from a consortium of international banks in February, providing the funds needed to complete the next phase of its development.</w:t>
      </w:r>
    </w:p>
    <w:p>
      <w:pPr>
        <w:spacing w:after="0" w:line="162"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Polestar’s ownership structure has been clarified, with Geely Holdings becoming a major new shareholder, with approximately 24% and Volvo Cars retaining a strategic 18% stake. Furthermore, the Company will welcome new shareholders and see its free float increase to approximately 18%.</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Polestar 3 has started production in China, with additional production starting in the USA in the summer of 2024. With Polestar 4 production expanding to South Korea during the second half of 2025, Polestar is making significant progress in diversifying its manufacturing footprint, in order to improve profitability of its key markets, including the US.</w:t>
      </w:r>
    </w:p>
    <w:p>
      <w:pPr>
        <w:spacing w:after="0" w:line="176" w:lineRule="exact"/>
        <w:rPr>
          <w:sz w:val="20"/>
          <w:szCs w:val="20"/>
          <w:color w:val="auto"/>
        </w:rPr>
      </w:pPr>
    </w:p>
    <w:p>
      <w:pPr>
        <w:jc w:val="both"/>
        <w:ind w:right="220"/>
        <w:spacing w:after="0" w:line="289" w:lineRule="auto"/>
        <w:rPr>
          <w:sz w:val="20"/>
          <w:szCs w:val="20"/>
          <w:color w:val="auto"/>
        </w:rPr>
      </w:pPr>
      <w:r>
        <w:rPr>
          <w:rFonts w:ascii="Times New Roman" w:cs="Times New Roman" w:eastAsia="Times New Roman" w:hAnsi="Times New Roman"/>
          <w:sz w:val="17"/>
          <w:szCs w:val="17"/>
          <w:color w:val="auto"/>
        </w:rPr>
        <w:t>Polestar expects to post its preliminary unaudited financial and operational results for the first quarter 2024 on Thursday, 23 May 2024, before market open in New York. A live audio webcast is scheduled to start at 08:00 US Eastern Time (14:00 Central European Time). From Thursday, 9 May 2024, verified shareholders will be able to ask questions through the Say Technologies platform, accessible via the Polestar Investor Relations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91465"/>
                    </a:xfrm>
                    <a:prstGeom prst="rect">
                      <a:avLst/>
                    </a:prstGeom>
                    <a:noFill/>
                  </pic:spPr>
                </pic:pic>
              </a:graphicData>
            </a:graphic>
          </wp:anchor>
        </w:drawing>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PR theo.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kjellberg@polestar.com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3"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soon. </w:t>
      </w:r>
    </w:p>
    <w:p>
      <w:pPr>
        <w:spacing w:after="0" w:line="173"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w:t>
      </w:r>
    </w:p>
    <w:p>
      <w:pPr>
        <w:sectPr>
          <w:pgSz w:w="11900" w:h="16838" w:orient="portrait"/>
          <w:cols w:equalWidth="0" w:num="1">
            <w:col w:w="10980"/>
          </w:cols>
          <w:pgMar w:left="440" w:top="1116" w:right="479" w:bottom="1440" w:gutter="0" w:footer="0" w:header="0"/>
        </w:sectPr>
      </w:pPr>
    </w:p>
    <w:bookmarkStart w:id="6" w:name="page7"/>
    <w:bookmarkEnd w:id="6"/>
    <w:p>
      <w:pPr>
        <w:ind w:left="4" w:right="60"/>
        <w:spacing w:after="0" w:line="25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337185</wp:posOffset>
            </wp:positionV>
            <wp:extent cx="108839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88390" cy="291465"/>
                    </a:xfrm>
                    <a:prstGeom prst="rect">
                      <a:avLst/>
                    </a:prstGeom>
                    <a:noFill/>
                  </pic:spPr>
                </pic:pic>
              </a:graphicData>
            </a:graphic>
          </wp:anchor>
        </w:drawing>
        <w:t>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w:t>
      </w:r>
    </w:p>
    <w:p>
      <w:pPr>
        <w:spacing w:after="0" w:line="2" w:lineRule="exact"/>
        <w:rPr>
          <w:sz w:val="20"/>
          <w:szCs w:val="20"/>
          <w:color w:val="auto"/>
        </w:rPr>
      </w:pPr>
    </w:p>
    <w:p>
      <w:pPr>
        <w:ind w:left="4" w:right="80" w:hanging="4"/>
        <w:spacing w:after="0" w:line="265" w:lineRule="auto"/>
        <w:tabs>
          <w:tab w:leader="none" w:pos="259" w:val="left"/>
        </w:tabs>
        <w:numPr>
          <w:ilvl w:val="0"/>
          <w:numId w:val="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(65) delays in the design, development, manufacture, launch and financing of Polestar’s vehicles and other product offerings, and Polestar’s reliance on a limited number of vehicle models to generate revenues;</w:t>
      </w:r>
    </w:p>
    <w:p>
      <w:pPr>
        <w:spacing w:after="0" w:line="1" w:lineRule="exact"/>
        <w:rPr>
          <w:rFonts w:ascii="Times New Roman" w:cs="Times New Roman" w:eastAsia="Times New Roman" w:hAnsi="Times New Roman"/>
          <w:sz w:val="17"/>
          <w:szCs w:val="17"/>
          <w:i w:val="1"/>
          <w:iCs w:val="1"/>
          <w:color w:val="auto"/>
        </w:rPr>
      </w:pPr>
    </w:p>
    <w:p>
      <w:pPr>
        <w:ind w:left="4" w:hanging="4"/>
        <w:spacing w:after="0" w:line="251" w:lineRule="auto"/>
        <w:tabs>
          <w:tab w:leader="none" w:pos="349"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(20) Polestar’s ability to forecast demand for its vehicles; (21) Polestar’s ability to raise additional funding; (22) Polestar’s ability to successfully execute cost-cutting activities and strategic efficiency initiatives;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0984"/>
      </w:cols>
      <w:pgMar w:left="436" w:top="1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1)"/>
      <w:numFmt w:val="decimal"/>
      <w:start w:val="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2024-04-11T06:10:18Z</dcterms:created>
  <dcterms:modified xsi:type="dcterms:W3CDTF">2024-04-11T06:10:18Z</dcterms:modified>
</cp:coreProperties>
</file>