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GORES GUGGENHEIM,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001-40265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85-4385646</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6260 Lookout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Boulder, CO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80301</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209-3010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1940" w:firstLine="428"/>
        <w:spacing w:after="0" w:line="417"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GGPIU</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Holder Meeting Record Date</w:t>
      </w:r>
    </w:p>
    <w:p>
      <w:pPr>
        <w:spacing w:after="0" w:line="117" w:lineRule="exact"/>
        <w:rPr>
          <w:sz w:val="20"/>
          <w:szCs w:val="20"/>
          <w:color w:val="auto"/>
        </w:rPr>
      </w:pPr>
    </w:p>
    <w:p>
      <w:pPr>
        <w:ind w:right="280" w:firstLine="991"/>
        <w:spacing w:after="0" w:line="254" w:lineRule="auto"/>
        <w:rPr>
          <w:sz w:val="20"/>
          <w:szCs w:val="20"/>
          <w:color w:val="auto"/>
        </w:rPr>
      </w:pPr>
      <w:r>
        <w:rPr>
          <w:rFonts w:ascii="Arial" w:cs="Arial" w:eastAsia="Arial" w:hAnsi="Arial"/>
          <w:sz w:val="18"/>
          <w:szCs w:val="18"/>
          <w:color w:val="auto"/>
        </w:rPr>
        <w:t>As previously disclosed, on September 27, 2021, Gores Guggenheim,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Business Combination Agreement (as amended by that certain amendment dated December 17, 2021 and that certain amendment dated March 24, 2022,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 Agreement</w:t>
      </w:r>
      <w:r>
        <w:rPr>
          <w:rFonts w:ascii="Arial" w:cs="Arial" w:eastAsia="Arial" w:hAnsi="Arial"/>
          <w:sz w:val="18"/>
          <w:szCs w:val="18"/>
          <w:color w:val="auto"/>
        </w:rPr>
        <w:t>”), by and among the Company, Polestar Automotive Holding Limited, a Hong Kong incorporated company,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w:t>
      </w:r>
      <w:r>
        <w:rPr>
          <w:rFonts w:ascii="Arial" w:cs="Arial" w:eastAsia="Arial" w:hAnsi="Arial"/>
          <w:sz w:val="18"/>
          <w:szCs w:val="18"/>
          <w:u w:val="single" w:color="auto"/>
          <w:color w:val="auto"/>
        </w:rPr>
        <w:t>ListCo</w:t>
      </w:r>
      <w:r>
        <w:rPr>
          <w:rFonts w:ascii="Arial" w:cs="Arial" w:eastAsia="Arial" w:hAnsi="Arial"/>
          <w:sz w:val="18"/>
          <w:szCs w:val="18"/>
          <w:color w:val="auto"/>
        </w:rPr>
        <w:t>”), and PAH UK Merger Sub Inc., a Delaware corporation and a direct wholly owned subsidiary of ListCo.</w:t>
      </w:r>
    </w:p>
    <w:p>
      <w:pPr>
        <w:spacing w:after="0" w:line="19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Business Combination Agreement contemplates that the Company will hold a meeting (the “</w:t>
      </w:r>
      <w:r>
        <w:rPr>
          <w:rFonts w:ascii="Arial" w:cs="Arial" w:eastAsia="Arial" w:hAnsi="Arial"/>
          <w:sz w:val="16"/>
          <w:szCs w:val="16"/>
          <w:u w:val="single" w:color="auto"/>
          <w:color w:val="auto"/>
        </w:rPr>
        <w:t>Warrant Holder Meeting</w:t>
      </w:r>
      <w:r>
        <w:rPr>
          <w:rFonts w:ascii="Arial" w:cs="Arial" w:eastAsia="Arial" w:hAnsi="Arial"/>
          <w:sz w:val="16"/>
          <w:szCs w:val="16"/>
          <w:color w:val="auto"/>
        </w:rPr>
        <w:t>”) of the holders of the public warrants of the Company (the “</w:t>
      </w:r>
      <w:r>
        <w:rPr>
          <w:rFonts w:ascii="Arial" w:cs="Arial" w:eastAsia="Arial" w:hAnsi="Arial"/>
          <w:sz w:val="16"/>
          <w:szCs w:val="16"/>
          <w:u w:val="single" w:color="auto"/>
          <w:color w:val="auto"/>
        </w:rPr>
        <w:t>Public Warrants</w:t>
      </w:r>
      <w:r>
        <w:rPr>
          <w:rFonts w:ascii="Arial" w:cs="Arial" w:eastAsia="Arial" w:hAnsi="Arial"/>
          <w:sz w:val="16"/>
          <w:szCs w:val="16"/>
          <w:color w:val="auto"/>
        </w:rPr>
        <w:t>”) for the purpose of soliciting the consent of such holders required by that certain Warrant Agreement, dated as of March 22, 2021 (as amended by that certain amendment dated April 7, 2022,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the Company and Computershare Inc. and Computershare Trust Company, N.A (collectively,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to, upon consummation of the mergers contemplated by the Business Combination Agreement, convert each outstanding (i) Public Warrant into one American depository share of ListCo duly and validly issued against the deposit of an underlying class C-1 preferred share in the share capital of ListCo deposited with a bank (the “</w:t>
      </w:r>
      <w:r>
        <w:rPr>
          <w:rFonts w:ascii="Arial" w:cs="Arial" w:eastAsia="Arial" w:hAnsi="Arial"/>
          <w:sz w:val="16"/>
          <w:szCs w:val="16"/>
          <w:u w:val="single" w:color="auto"/>
          <w:color w:val="auto"/>
        </w:rPr>
        <w:t>Depositary Bank</w:t>
      </w:r>
      <w:r>
        <w:rPr>
          <w:rFonts w:ascii="Arial" w:cs="Arial" w:eastAsia="Arial" w:hAnsi="Arial"/>
          <w:sz w:val="16"/>
          <w:szCs w:val="16"/>
          <w:color w:val="auto"/>
        </w:rPr>
        <w:t>”) and (ii) private placement warrant of the Company into one American depository share of ListCo duly and validly issued against the deposit of an underlying class C-2 preferred share in the share capital of ListCo deposited with the Depositary Bank.</w:t>
      </w:r>
    </w:p>
    <w:p>
      <w:pPr>
        <w:spacing w:after="0" w:line="165" w:lineRule="exact"/>
        <w:rPr>
          <w:sz w:val="20"/>
          <w:szCs w:val="20"/>
          <w:color w:val="auto"/>
        </w:rPr>
      </w:pPr>
    </w:p>
    <w:p>
      <w:pPr>
        <w:jc w:val="both"/>
        <w:ind w:right="440" w:firstLine="991"/>
        <w:spacing w:after="0" w:line="263" w:lineRule="auto"/>
        <w:rPr>
          <w:sz w:val="20"/>
          <w:szCs w:val="20"/>
          <w:color w:val="auto"/>
        </w:rPr>
      </w:pPr>
      <w:r>
        <w:rPr>
          <w:rFonts w:ascii="Arial" w:cs="Arial" w:eastAsia="Arial" w:hAnsi="Arial"/>
          <w:sz w:val="18"/>
          <w:szCs w:val="18"/>
          <w:color w:val="auto"/>
        </w:rPr>
        <w:t>The Warrant Agreement provides that the Company may set a record date in respect of the Warrant Holder Meeting to determine the holders of Public Warrants entitled to vote at the Warrant Holder Meeting. The Company has set April 20, 2022 as the record date for the Warrant Holder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right="160" w:firstLine="991"/>
        <w:spacing w:after="0" w:line="287"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 consummation of the Business Combination; (g) the ability to recognize the anticipated benefits of the Business</w:t>
      </w:r>
    </w:p>
    <w:p>
      <w:pPr>
        <w:sectPr>
          <w:pgSz w:w="11900" w:h="16838" w:orient="portrait"/>
          <w:cols w:equalWidth="0" w:num="1">
            <w:col w:w="10960"/>
          </w:cols>
          <w:pgMar w:left="440" w:top="270" w:right="499" w:bottom="1440" w:gutter="0" w:footer="0" w:header="0"/>
        </w:sectPr>
      </w:pPr>
    </w:p>
    <w:bookmarkStart w:id="2" w:name="page3"/>
    <w:bookmarkEnd w:id="2"/>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w:t>
      </w:r>
    </w:p>
    <w:p>
      <w:pPr>
        <w:ind w:left="4" w:right="20" w:hanging="4"/>
        <w:spacing w:after="0" w:line="281"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w:t>
      </w:r>
    </w:p>
    <w:p>
      <w:pPr>
        <w:spacing w:after="0" w:line="1" w:lineRule="exact"/>
        <w:rPr>
          <w:rFonts w:ascii="Arial" w:cs="Arial" w:eastAsia="Arial" w:hAnsi="Arial"/>
          <w:sz w:val="16"/>
          <w:szCs w:val="16"/>
          <w:color w:val="auto"/>
        </w:rPr>
      </w:pPr>
    </w:p>
    <w:p>
      <w:pPr>
        <w:ind w:left="4" w:hanging="4"/>
        <w:spacing w:after="0" w:line="281" w:lineRule="auto"/>
        <w:tabs>
          <w:tab w:leader="none" w:pos="21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Polestar’s ability to maintain agreements or partnerships with its strategic partners 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1" w:lineRule="exact"/>
        <w:rPr>
          <w:rFonts w:ascii="Arial" w:cs="Arial" w:eastAsia="Arial" w:hAnsi="Arial"/>
          <w:sz w:val="16"/>
          <w:szCs w:val="16"/>
          <w:color w:val="auto"/>
        </w:rPr>
      </w:pPr>
    </w:p>
    <w:p>
      <w:pPr>
        <w:ind w:left="4" w:right="340" w:hanging="4"/>
        <w:spacing w:after="0" w:line="28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spacing w:after="0" w:line="2" w:lineRule="exact"/>
        <w:rPr>
          <w:rFonts w:ascii="Arial" w:cs="Arial" w:eastAsia="Arial" w:hAnsi="Arial"/>
          <w:sz w:val="16"/>
          <w:szCs w:val="16"/>
          <w:color w:val="auto"/>
        </w:rPr>
      </w:pPr>
    </w:p>
    <w:p>
      <w:pPr>
        <w:ind w:left="4" w:right="60" w:hanging="4"/>
        <w:spacing w:after="0" w:line="28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spacing w:after="0" w:line="3" w:lineRule="exact"/>
        <w:rPr>
          <w:rFonts w:ascii="Arial" w:cs="Arial" w:eastAsia="Arial" w:hAnsi="Arial"/>
          <w:sz w:val="16"/>
          <w:szCs w:val="16"/>
          <w:color w:val="auto"/>
        </w:rPr>
      </w:pPr>
    </w:p>
    <w:p>
      <w:pPr>
        <w:ind w:left="4" w:right="40" w:hanging="4"/>
        <w:spacing w:after="0" w:line="286"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and the Definitive Proxy Statement (each,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In connection with the proposed Business Combination, (a) ListCo has filed with the SEC a registration statement on Form F-4 containing a preliminary proxy statement of the Company and a preliminary prospectus (the “</w:t>
      </w:r>
      <w:r>
        <w:rPr>
          <w:rFonts w:ascii="Arial" w:cs="Arial" w:eastAsia="Arial" w:hAnsi="Arial"/>
          <w:sz w:val="17"/>
          <w:szCs w:val="17"/>
          <w:u w:val="single" w:color="auto"/>
          <w:color w:val="auto"/>
        </w:rPr>
        <w:t>Registration/Proxy Statement</w:t>
      </w:r>
      <w:r>
        <w:rPr>
          <w:rFonts w:ascii="Arial" w:cs="Arial" w:eastAsia="Arial" w:hAnsi="Arial"/>
          <w:sz w:val="17"/>
          <w:szCs w:val="17"/>
          <w:color w:val="auto"/>
        </w:rPr>
        <w:t>”) and (b) the Company will file a definitive proxy statement relating to the proposed Business Combination (the “</w:t>
      </w:r>
      <w:r>
        <w:rPr>
          <w:rFonts w:ascii="Arial" w:cs="Arial" w:eastAsia="Arial" w:hAnsi="Arial"/>
          <w:sz w:val="17"/>
          <w:szCs w:val="17"/>
          <w:u w:val="single" w:color="auto"/>
          <w:color w:val="auto"/>
        </w:rPr>
        <w:t>Definitive Proxy Statement</w:t>
      </w:r>
      <w:r>
        <w:rPr>
          <w:rFonts w:ascii="Arial" w:cs="Arial" w:eastAsia="Arial" w:hAnsi="Arial"/>
          <w:sz w:val="17"/>
          <w:szCs w:val="17"/>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 of the Company as of a record date to be established for voting on the proposed Business Combination. Stockholders</w:t>
      </w:r>
    </w:p>
    <w:p>
      <w:pPr>
        <w:sectPr>
          <w:pgSz w:w="11900" w:h="16838" w:orient="portrait"/>
          <w:cols w:equalWidth="0" w:num="1">
            <w:col w:w="11024"/>
          </w:cols>
          <w:pgMar w:left="436" w:top="274" w:right="439" w:bottom="1440" w:gutter="0" w:footer="0" w:header="0"/>
        </w:sectPr>
      </w:pPr>
    </w:p>
    <w:bookmarkStart w:id="3" w:name="page4"/>
    <w:bookmarkEnd w:id="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0"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9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ectPr>
          <w:pgSz w:w="11900" w:h="16838" w:orient="portrait"/>
          <w:cols w:equalWidth="0" w:num="1">
            <w:col w:w="10900"/>
          </w:cols>
          <w:pgMar w:left="440" w:top="274"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Gores Guggenheim,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April 15, 2022</w:t>
            </w: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McBride</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Andrew McBride</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9"/>
    </w:lvl>
  </w:abstractNum>
  <w:abstractNum w:abstractNumId="4">
    <w:nsid w:val="2EB141F2"/>
    <w:multiLevelType w:val="hybridMultilevel"/>
    <w:lvl w:ilvl="0">
      <w:lvlJc w:val="left"/>
      <w:lvlText w:val="(%1)"/>
      <w:numFmt w:val="lowerLetter"/>
      <w:start w:val="12"/>
    </w:lvl>
  </w:abstractNum>
  <w:abstractNum w:abstractNumId="5">
    <w:nsid w:val="41B71EFB"/>
    <w:multiLevelType w:val="hybridMultilevel"/>
    <w:lvl w:ilvl="0">
      <w:lvlJc w:val="left"/>
      <w:lvlText w:val="(%1)"/>
      <w:numFmt w:val="lowerLetter"/>
      <w:start w:val="14"/>
    </w:lvl>
  </w:abstractNum>
  <w:abstractNum w:abstractNumId="6">
    <w:nsid w:val="79E2A9E3"/>
    <w:multiLevelType w:val="hybridMultilevel"/>
    <w:lvl w:ilvl="0">
      <w:lvlJc w:val="left"/>
      <w:lvlText w:val="(%1)"/>
      <w:numFmt w:val="lowerLetter"/>
      <w:start w:val="17"/>
    </w:lvl>
  </w:abstractNum>
  <w:abstractNum w:abstractNumId="7">
    <w:nsid w:val="7545E146"/>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2022-04-18T05:31:32Z</dcterms:created>
  <dcterms:modified xsi:type="dcterms:W3CDTF">2022-04-18T05:31:32Z</dcterms:modified>
</cp:coreProperties>
</file>