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14, 2025</w:t>
            </w:r>
          </w:p>
        </w:tc>
        <w:tc>
          <w:tcPr>
            <w:tcW w:w="29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Registration No. 333 – 288991</w:t>
            </w:r>
          </w:p>
        </w:tc>
      </w:tr>
      <w:tr>
        <w:trPr>
          <w:trHeight w:val="290"/>
        </w:trPr>
        <w:tc>
          <w:tcPr>
            <w:tcW w:w="8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0"/>
        </w:trPr>
        <w:tc>
          <w:tcPr>
            <w:tcW w:w="826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6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26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MacArthur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No.: (949)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0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color w:val="auto"/>
              </w:rPr>
              <w:t>Copies to:</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0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David A. Brown, Esq.</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6"/>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Bhanu Mathur, Esq.</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6"/>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Alston &amp; Bird LLP</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3800" w:type="dxa"/>
            <w:vAlign w:val="bottom"/>
            <w:gridSpan w:val="6"/>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950 F St. NW</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New York, NY 10036</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Tel. No.: (202) 239-3300</w:t>
            </w:r>
          </w:p>
        </w:tc>
        <w:tc>
          <w:tcPr>
            <w:tcW w:w="3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_________________________________</w:t>
            </w: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Tel. No.: (212) 336-2000</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60" w:type="dxa"/>
            <w:vAlign w:val="bottom"/>
            <w:gridSpan w:val="3"/>
            <w:vMerge w:val="continue"/>
          </w:tcPr>
          <w:p>
            <w:pPr>
              <w:spacing w:after="0"/>
              <w:rPr>
                <w:sz w:val="22"/>
                <w:szCs w:val="22"/>
                <w:color w:val="auto"/>
              </w:rPr>
            </w:pPr>
          </w:p>
        </w:tc>
        <w:tc>
          <w:tcPr>
            <w:tcW w:w="1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0" w:type="dxa"/>
            <w:vAlign w:val="bottom"/>
          </w:tcPr>
          <w:p>
            <w:pPr>
              <w:spacing w:after="0"/>
              <w:rPr>
                <w:sz w:val="24"/>
                <w:szCs w:val="24"/>
                <w:color w:val="auto"/>
              </w:rPr>
            </w:pPr>
          </w:p>
        </w:tc>
        <w:tc>
          <w:tcPr>
            <w:tcW w:w="4080" w:type="dxa"/>
            <w:vAlign w:val="bottom"/>
            <w:gridSpan w:val="3"/>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62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40" w:type="dxa"/>
            <w:vAlign w:val="bottom"/>
            <w:tcBorders>
              <w:right w:val="single" w:sz="8" w:color="auto"/>
            </w:tcBorders>
            <w:gridSpan w:val="5"/>
          </w:tcPr>
          <w:p>
            <w:pPr>
              <w:ind w:left="102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60" w:type="dxa"/>
            <w:vAlign w:val="bottom"/>
          </w:tcPr>
          <w:p>
            <w:pPr>
              <w:spacing w:after="0"/>
              <w:rPr>
                <w:sz w:val="16"/>
                <w:szCs w:val="16"/>
                <w:color w:val="auto"/>
              </w:rPr>
            </w:pPr>
          </w:p>
        </w:tc>
        <w:tc>
          <w:tcPr>
            <w:tcW w:w="1360" w:type="dxa"/>
            <w:vAlign w:val="bottom"/>
          </w:tcPr>
          <w:p>
            <w:pPr>
              <w:jc w:val="center"/>
              <w:ind w:left="107"/>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3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60" w:type="dxa"/>
            <w:vAlign w:val="bottom"/>
          </w:tcPr>
          <w:p>
            <w:pPr>
              <w:spacing w:after="0"/>
              <w:rPr>
                <w:sz w:val="16"/>
                <w:szCs w:val="16"/>
                <w:color w:val="auto"/>
              </w:rPr>
            </w:pPr>
          </w:p>
        </w:tc>
        <w:tc>
          <w:tcPr>
            <w:tcW w:w="16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60" w:type="dxa"/>
            <w:vAlign w:val="bottom"/>
          </w:tcPr>
          <w:p>
            <w:pPr>
              <w:spacing w:after="0"/>
              <w:rPr>
                <w:sz w:val="18"/>
                <w:szCs w:val="18"/>
                <w:color w:val="auto"/>
              </w:rPr>
            </w:pPr>
          </w:p>
        </w:tc>
        <w:tc>
          <w:tcPr>
            <w:tcW w:w="1360" w:type="dxa"/>
            <w:vAlign w:val="bottom"/>
          </w:tcPr>
          <w:p>
            <w:pPr>
              <w:jc w:val="center"/>
              <w:ind w:left="107"/>
              <w:spacing w:after="0"/>
              <w:rPr>
                <w:sz w:val="20"/>
                <w:szCs w:val="20"/>
                <w:color w:val="auto"/>
              </w:rPr>
            </w:pPr>
            <w:r>
              <w:rPr>
                <w:rFonts w:ascii="Times New Roman" w:cs="Times New Roman" w:eastAsia="Times New Roman" w:hAnsi="Times New Roman"/>
                <w:sz w:val="18"/>
                <w:szCs w:val="18"/>
                <w:color w:val="auto"/>
                <w:w w:val="98"/>
              </w:rPr>
              <w:t>Registered</w:t>
            </w:r>
          </w:p>
        </w:tc>
        <w:tc>
          <w:tcPr>
            <w:tcW w:w="3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Price Per</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26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(the  “ADS(s))”,</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each ADS representing the right to receive thirty</w:t>
            </w:r>
          </w:p>
        </w:tc>
        <w:tc>
          <w:tcPr>
            <w:tcW w:w="160" w:type="dxa"/>
            <w:vAlign w:val="bottom"/>
          </w:tcPr>
          <w:p>
            <w:pPr>
              <w:spacing w:after="0"/>
              <w:rPr>
                <w:sz w:val="18"/>
                <w:szCs w:val="18"/>
                <w:color w:val="auto"/>
              </w:rPr>
            </w:pPr>
          </w:p>
        </w:tc>
        <w:tc>
          <w:tcPr>
            <w:tcW w:w="1360" w:type="dxa"/>
            <w:vAlign w:val="bottom"/>
            <w:vMerge w:val="restart"/>
          </w:tcPr>
          <w:p>
            <w:pPr>
              <w:jc w:val="center"/>
              <w:ind w:left="107"/>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6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6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(30)  Class  A  ordinary  shares  of  Polestar</w:t>
            </w:r>
          </w:p>
        </w:tc>
        <w:tc>
          <w:tcPr>
            <w:tcW w:w="1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40" w:type="dxa"/>
            <w:vAlign w:val="bottom"/>
            <w:tcBorders>
              <w:right w:val="single" w:sz="8" w:color="auto"/>
            </w:tcBorders>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Automotive Holding UK PLC (the “Company”)</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27" w:lineRule="exact"/>
        <w:rPr>
          <w:sz w:val="24"/>
          <w:szCs w:val="24"/>
          <w:color w:val="auto"/>
        </w:rPr>
      </w:pPr>
    </w:p>
    <w:p>
      <w:pPr>
        <w:ind w:left="580" w:right="720" w:hanging="572"/>
        <w:spacing w:after="0" w:line="260"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907" w:orient="portrait"/>
          <w:cols w:equalWidth="0" w:num="1">
            <w:col w:w="11240"/>
          </w:cols>
          <w:pgMar w:left="320" w:top="468" w:right="339" w:bottom="0" w:gutter="0" w:footer="0" w:header="0"/>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Registrant hereby amends this Post-Effective Amendment No. 1 to Registration Statement on such date or dates as may be necessary to delay its effective date until the Registrant shall file a further amendment which specifically states that this Post- Effective Amendment No. 1 to Registration Statement shall thereafter become effective in accordance with Section 8(a) of the Securities Act of 1933, as amended, or until this Post- Effective Amendment No. 1 to Registration Statement shall become effective on such date as the United States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350520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00" w:top="563" w:right="39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Registration Statement on Form F-6 may be executed in any number of counterparts, each of which shall be deemed an original, and all of such counterparts together shall constitute one and the same instrument.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0760"/>
          </w:cols>
          <w:pgMar w:left="320" w:top="792" w:right="81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56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4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7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(17).</w:t>
      </w:r>
    </w:p>
    <w:p>
      <w:pPr>
        <w:spacing w:after="0" w:line="207"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620" w:space="580"/>
            <w:col w:w="4560"/>
          </w:cols>
          <w:pgMar w:left="320" w:top="792" w:right="819" w:bottom="1440" w:gutter="0" w:footer="0" w:header="0"/>
          <w:type w:val="continuous"/>
        </w:sectPr>
      </w:pPr>
    </w:p>
    <w:p>
      <w:pPr>
        <w:spacing w:after="0" w:line="8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included as Exhibit A to the Form of Amendment No. 1 to the Deposit Agreement filed as Exhibit (a)(i) to this Post-Effective Amendment No. 1 to the Registration Statement on Form F-6 and is incorporated herein by reference.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120" w:hanging="559"/>
        <w:spacing w:after="0" w:line="266"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Form of Amendment No. 1 to Deposit Agreement, by and among Polestar Automotive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 Filed herewith as Exhibit (a)(i).</w:t>
      </w:r>
    </w:p>
    <w:p>
      <w:pPr>
        <w:spacing w:after="0" w:line="176" w:lineRule="exact"/>
        <w:rPr>
          <w:sz w:val="20"/>
          <w:szCs w:val="20"/>
          <w:color w:val="auto"/>
        </w:rPr>
      </w:pPr>
    </w:p>
    <w:p>
      <w:pPr>
        <w:jc w:val="both"/>
        <w:ind w:left="1120" w:hanging="559"/>
        <w:spacing w:after="0" w:line="22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Deposit Agreement, dated as of June 23, 2022, by and among the Company, the Depositary,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Exhibit (a) to Registration Statement on Form F-6 (Reg. No. 333-267086) with the Commission on August 26, 2022 and incorporated herein by reference.</w:t>
      </w:r>
    </w:p>
    <w:p>
      <w:pPr>
        <w:spacing w:after="0" w:line="204" w:lineRule="exact"/>
        <w:rPr>
          <w:rFonts w:ascii="Times New Roman" w:cs="Times New Roman" w:eastAsia="Times New Roman" w:hAnsi="Times New Roman"/>
          <w:sz w:val="18"/>
          <w:szCs w:val="18"/>
          <w:color w:val="auto"/>
        </w:rPr>
      </w:pPr>
    </w:p>
    <w:p>
      <w:pPr>
        <w:jc w:val="both"/>
        <w:ind w:left="1120" w:hanging="559"/>
        <w:spacing w:after="0" w:line="203" w:lineRule="auto"/>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Class A Restricted ADS Letter Agreement, dated as of June 23, 2022, by and between the Company and the Depositary.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Exhibit (b) to Registration Statement on Form F-6 (Reg. No. 333-267086) with the Commission on August 26, 2022 and incorporated herein by reference.</w:t>
      </w:r>
    </w:p>
    <w:p>
      <w:pPr>
        <w:spacing w:after="0" w:line="200" w:lineRule="exact"/>
        <w:rPr>
          <w:rFonts w:ascii="Times New Roman" w:cs="Times New Roman" w:eastAsia="Times New Roman" w:hAnsi="Times New Roman"/>
          <w:sz w:val="36"/>
          <w:szCs w:val="36"/>
          <w:color w:val="auto"/>
          <w:vertAlign w:val="superscript"/>
        </w:rPr>
      </w:pPr>
    </w:p>
    <w:p>
      <w:pPr>
        <w:ind w:left="1120" w:right="20" w:hanging="559"/>
        <w:spacing w:after="0" w:line="29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120" w:hanging="559"/>
        <w:spacing w:after="0" w:line="229" w:lineRule="auto"/>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1120" w:hanging="559"/>
        <w:spacing w:after="0" w:line="188" w:lineRule="auto"/>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120" w:hanging="559"/>
        <w:spacing w:after="0" w:line="261"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jc w:val="both"/>
        <w:ind w:left="1120" w:hanging="559"/>
        <w:spacing w:after="0" w:line="261"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ADSs thirty (30) days before any change in the fee schedule.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dated as of June 23, 2022, by and among Polestar Automotive Holding UK PLC, Citibank, N.A., as depositary, and all Holders and Beneficial Owners of American Depositary Shares issued thereunder,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New York, State of New York, on the 14th day of November, 2025.</w:t>
      </w:r>
    </w:p>
    <w:p>
      <w:pPr>
        <w:spacing w:after="0" w:line="1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American Depositary Shares registered hereunder are to be</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issued, each American Depositary Share representing the right</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to receive the specified number of Class A ordinary shares of</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DeLuca</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DeLuca</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Post-Effective Amendment No. 1 to Registration Statement on Form F-6 to be signed on its behalf by the undersigned, thereunto duly authorized, in Gothenburg, Sweden, on November 14, 2025.</w:t>
      </w:r>
    </w:p>
    <w:p>
      <w:pPr>
        <w:spacing w:after="0" w:line="17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Michael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Lohscheller and Jean-François Mady,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Registration Statement on Form F-6 has been signed by the following persons in the following capacities on November 14, 2025.</w:t>
      </w:r>
    </w:p>
    <w:p>
      <w:pPr>
        <w:sectPr>
          <w:pgSz w:w="11900" w:h="16838" w:orient="portrait"/>
          <w:cols w:equalWidth="0" w:num="1">
            <w:col w:w="11240"/>
          </w:cols>
          <w:pgMar w:left="320" w:top="792"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Lohscheller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Jean-François Mady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Lisa Thomson Klang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Thomson Klang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Winfried Vahland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Winfried Vahland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Cynthia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Dubin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Francesca Gamboni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Francesca Gamboni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 Christine Gorjanc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Gorjanc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Dr. Karl-Thomas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Karl-Thomas Neumann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Xiaojie (Laura)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Xiaojie (Laura) Shen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Quan (Joe)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 (Joe) Zhang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&amp;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34" w:lineRule="exact"/>
        <w:rPr>
          <w:sz w:val="20"/>
          <w:szCs w:val="20"/>
          <w:color w:val="auto"/>
        </w:rPr>
      </w:pPr>
    </w:p>
    <w:p>
      <w:pPr>
        <w:sectPr>
          <w:pgSz w:w="11900" w:h="16838" w:orient="portrait"/>
          <w:cols w:equalWidth="0" w:num="2">
            <w:col w:w="4340" w:space="720"/>
            <w:col w:w="6180"/>
          </w:cols>
          <w:pgMar w:left="320" w:top="792" w:right="3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has duly caused this Post-Effective Amendment No. 1 to Registration Statement on Form F-6 to be signed by the following duly authorized representative in the United States: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69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tc>
      </w:tr>
      <w:tr>
        <w:trPr>
          <w:trHeight w:val="432"/>
        </w:trPr>
        <w:tc>
          <w:tcPr>
            <w:tcW w:w="4260" w:type="dxa"/>
            <w:vAlign w:val="bottom"/>
          </w:tcPr>
          <w:p>
            <w:pPr>
              <w:spacing w:after="0"/>
              <w:rPr>
                <w:sz w:val="24"/>
                <w:szCs w:val="24"/>
                <w:color w:val="auto"/>
              </w:rPr>
            </w:pPr>
          </w:p>
        </w:tc>
        <w:tc>
          <w:tcPr>
            <w:tcW w:w="30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Dicken</w:t>
            </w:r>
          </w:p>
        </w:tc>
      </w:tr>
      <w:tr>
        <w:trPr>
          <w:trHeight w:val="191"/>
        </w:trPr>
        <w:tc>
          <w:tcPr>
            <w:tcW w:w="4260" w:type="dxa"/>
            <w:vAlign w:val="bottom"/>
          </w:tcPr>
          <w:p>
            <w:pPr>
              <w:spacing w:after="0"/>
              <w:rPr>
                <w:sz w:val="16"/>
                <w:szCs w:val="16"/>
                <w:color w:val="auto"/>
              </w:rPr>
            </w:pPr>
          </w:p>
        </w:tc>
        <w:tc>
          <w:tcPr>
            <w:tcW w:w="3060" w:type="dxa"/>
            <w:vAlign w:val="bottom"/>
          </w:tcPr>
          <w:p>
            <w:pPr>
              <w:ind w:left="24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Dicken</w:t>
            </w:r>
          </w:p>
        </w:tc>
      </w:tr>
      <w:tr>
        <w:trPr>
          <w:trHeight w:val="234"/>
        </w:trPr>
        <w:tc>
          <w:tcPr>
            <w:tcW w:w="4260" w:type="dxa"/>
            <w:vAlign w:val="bottom"/>
          </w:tcPr>
          <w:p>
            <w:pPr>
              <w:spacing w:after="0"/>
              <w:rPr>
                <w:sz w:val="20"/>
                <w:szCs w:val="20"/>
                <w:color w:val="auto"/>
              </w:rPr>
            </w:pPr>
          </w:p>
        </w:tc>
        <w:tc>
          <w:tcPr>
            <w:tcW w:w="30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30"/>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84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2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Numbered Page</w:t>
            </w: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8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Amendment to No. 1 to 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648"/>
        </w:trPr>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left="2120" w:right="2139"/>
        <w:spacing w:after="0" w:line="255" w:lineRule="auto"/>
        <w:rPr>
          <w:sz w:val="20"/>
          <w:szCs w:val="20"/>
          <w:color w:val="auto"/>
        </w:rPr>
      </w:pPr>
      <w:r>
        <w:rPr>
          <w:rFonts w:ascii="Times New Roman" w:cs="Times New Roman" w:eastAsia="Times New Roman" w:hAnsi="Times New Roman"/>
          <w:sz w:val="18"/>
          <w:szCs w:val="18"/>
          <w:color w:val="auto"/>
        </w:rPr>
        <w:t>THE HOLDERS AND BENEFICIAL OWNERS OF AMERICAN DEPOSITARY SHARES ISSUED AND OUTSTANDING UNDER THE TERMS OF THE DEPOSIT AGREEMENT, DATED AS OF JUNE 23, 2022</w:t>
      </w:r>
    </w:p>
    <w:p>
      <w:pPr>
        <w:spacing w:after="0" w:line="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9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1.1 Definitions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 Effective Date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DEPOSIT AGREEMENT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2.1 Deposit Agreement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2.2 Amendments Binding on all Holders and Beneficial Owners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THE FORM OF ADR</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3.1 ADR Amendments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3.2 Change of Ratio</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4.1 Representations and Warranties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w:t>
            </w: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5.1 New ADRs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5.2 Notice of Amendment to Holders of ADSs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5.3 Indemnification</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5.4 Ratification</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5.5 Governing Law.</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5.6 Counterparts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 FORM OF ADR</w:t>
            </w:r>
          </w:p>
        </w:tc>
        <w:tc>
          <w:tcPr>
            <w:tcW w:w="2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 DEPOSITARY NOTICE TO ADS HOLDERS</w:t>
            </w:r>
          </w:p>
        </w:tc>
        <w:tc>
          <w:tcPr>
            <w:tcW w:w="23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DEPOSIT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AMENDMENT NO. 1 TO DEPOSIT AGREEMENT, dated as of [ ● ]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by and among Polestar Automotive Holding UK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and outstanding as of the date hereof pursuant to the Deposit Agreement, dated as of June 23, 2022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 THAT:</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Depositary entered into the Deposit Agreement for the creation of ADSs (as defined in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representing the Shares (as defined in the Deposit Agreement and hereinafter used as so defined)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and</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 change the ADS-to-Share ratio from (i) the existing ratio of one (1) ADS to one (1) Share to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new ratio of one (1) ADS to thirty (30) Shares, (b)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in each case pursuant to Section 6.1 of the Deposit Agreement, to reflect such change, and (c) give notice thereof to all Holders (as defined in the Deposit Agreement) of ADSs.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the Depositary hereby agree to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No. 1, all capitalized terms used, but not defined, herein shall have the meanings ascribed to such terms in the Deposit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set forth above and as of which this Amendment No. 1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Deposit Agreement to the term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as of the Effective Date, refer to the Deposit Agreement, dated as of June 23, 2022, as amended by this Amendment No. 1, and as further amended and supplemented after the Effective Date.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xml:space="preserve">. From and after the Effective Date, the amendments to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effected hereby shall be binding on all Holders and Beneficial Owners of ADSs issued and outstanding as of the Effective Date and on all Holders and Beneficial Owners of ADSs issued after the Effective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phrase in the top, right-hand corner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phrase in its entirety and inserting the following in its stead:</w:t>
      </w:r>
    </w:p>
    <w:p>
      <w:pPr>
        <w:spacing w:after="0" w:line="176"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“American Depositary Shares (each American Depositary Share representing the right to receive thirty (30) fully paid Class A ordinary shares)”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1304"/>
        <w:spacing w:after="0" w:line="266" w:lineRule="auto"/>
        <w:tabs>
          <w:tab w:leader="none" w:pos="15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sentence of the introductory paragraph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“As of the date of issuance of this ADR, each ADS represents the right to receive thirty (30) Shares deposited under the Deposit Agreement (as hereinafter defined) with the Custodian, which at the date of issuance of this ADR is Citibank, N.A. (London) (the “Custodian”).”</w:t>
      </w:r>
    </w:p>
    <w:p>
      <w:pPr>
        <w:spacing w:after="0" w:line="176" w:lineRule="exact"/>
        <w:rPr>
          <w:sz w:val="20"/>
          <w:szCs w:val="20"/>
          <w:color w:val="auto"/>
        </w:rPr>
      </w:pPr>
    </w:p>
    <w:p>
      <w:pPr>
        <w:ind w:right="200" w:firstLine="1304"/>
        <w:spacing w:after="0" w:line="266" w:lineRule="auto"/>
        <w:tabs>
          <w:tab w:leader="none" w:pos="15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paragraph (1)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Deposit Agreement, dated as of June 23, 2022, and as amended by Amendment No. 1 to Deposit Agreement, dated as of [ ● ] (as amended and supplemented from time to time, the “Deposit Agreement”), by and among the Company, the Depositary, and all Holders and Beneficial Owners from time to time of ADSs issued thereunder.”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Change of Ratio</w:t>
      </w:r>
      <w:r>
        <w:rPr>
          <w:rFonts w:ascii="Times New Roman" w:cs="Times New Roman" w:eastAsia="Times New Roman" w:hAnsi="Times New Roman"/>
          <w:sz w:val="18"/>
          <w:szCs w:val="18"/>
          <w:color w:val="auto"/>
        </w:rPr>
        <w:t xml:space="preserve">. All other references to the ADS(s)-to-Share(s) ratio made in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outstanding, as of the Effective Date, under the terms of the Deposit Agreement shall, as of the Effective Date, refer to the ADS(s)-to-Share(s) ratio of “one (1) ADS to thirty (30) Shares.”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the Holders and Beneficial Owners, that:</w:t>
      </w:r>
    </w:p>
    <w:p>
      <w:pPr>
        <w:spacing w:after="0" w:line="162" w:lineRule="exact"/>
        <w:rPr>
          <w:sz w:val="20"/>
          <w:szCs w:val="20"/>
          <w:color w:val="auto"/>
        </w:rPr>
      </w:pPr>
    </w:p>
    <w:p>
      <w:pPr>
        <w:jc w:val="both"/>
        <w:ind w:firstLine="1304"/>
        <w:spacing w:after="0" w:line="258" w:lineRule="auto"/>
        <w:tabs>
          <w:tab w:leader="none" w:pos="16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No. 1 or the Deposit Agreement as amended hereby, or any other document furnished hereunder or thereunder, none of such agreements need to be filed or recorded with any court or other authority in England and Wales, nor does any stamp or similar tax need be paid in England and Wales on or in respect of such agreements; and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No. 1 is true, accurate,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to reflect the changes to the form of ADR effected by this Amendment No. 1. All ADRs issued hereunder after the Effective Date,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ADRs issued prior or subsequent to the date hereof, which do not reflect the changes to the form of ADR effected hereby, must be returned to the Depositary for exchange. The Depositary is authorized and directed to take any and all actions deemed necessary to effect the foregoing.</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of the terms of this Amendment No. 1, (ii) of the Effective Date of this Amendment No. 1, (iii) that the Holder of ADRs, if any, must surrender their ADRs in exchange for new ADRs reflecting the changes effected by this Amendment No. 1, as provided in Section 5.1 hereof, and (iv) that copies of this Amendment No. 1 may be retrieved from the Commission’s website at https://www.sec.gov and may be obtained from the Depositary and the Company upon request. The notice to Holders of ADSs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Depositary agrees to indemnify and hold harmless the Company and any of its directors, employees, officers, agents and Affiliates against any direct liability which may arise out of acts performed or omitted by the Depositary under the terms hereof due to the negligence or bad faith of the Depositary. The Company agrees to indemnify and hold harmless the Depositary, the Custodian and any of their respective directors, employees, officers, agents and Affiliates for any direct liability it or they may incur as a result of the terms of this Amendment No. 1 and the transactions contemplated herein, provided that the Company shall not indemnify the Depositary, the Custodian and any of their respective directors, employees, officers, agents and Affiliates against any liability or expense arising out of information relating to the Depositary or the Custodian, as the case may be, furnished in writing by the Depositary or the Custodian, as applicable, to the Company expressly for use in any registration statement, prospectus or any other offering documents in connection with the transactions contemplated herein.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Deposit Agreement as originally executed shall remain in full force and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1 shall be governed by and construed in accordance with the laws of the State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1 may be executed in any number of counterparts, each of which shall be deemed an original, and all of such counterparts together shall be deemed an original, and all such counterparts together shall constitute one and the same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the Depositary have caused this Amendment No. 1 to be executed by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set forth above.</w:t>
      </w:r>
    </w:p>
    <w:p>
      <w:pPr>
        <w:spacing w:after="0" w:line="1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Amendment No. 1 to Class A Deposit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00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10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NUMBER: _______</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0000" w:type="dxa"/>
            <w:vAlign w:val="bottom"/>
            <w:vMerge w:val="restart"/>
          </w:tcPr>
          <w:p>
            <w:pPr>
              <w:ind w:left="664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10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00" w:type="dxa"/>
            <w:vAlign w:val="bottom"/>
          </w:tcPr>
          <w:p>
            <w:pPr>
              <w:ind w:left="6640"/>
              <w:spacing w:after="0"/>
              <w:rPr>
                <w:sz w:val="20"/>
                <w:szCs w:val="20"/>
                <w:color w:val="auto"/>
              </w:rPr>
            </w:pPr>
            <w:r>
              <w:rPr>
                <w:rFonts w:ascii="Times New Roman" w:cs="Times New Roman" w:eastAsia="Times New Roman" w:hAnsi="Times New Roman"/>
                <w:sz w:val="18"/>
                <w:szCs w:val="18"/>
                <w:color w:val="auto"/>
              </w:rPr>
              <w:t>Depositary Share representing the right to</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00" w:type="dxa"/>
            <w:vAlign w:val="bottom"/>
          </w:tcPr>
          <w:p>
            <w:pPr>
              <w:ind w:left="6640"/>
              <w:spacing w:after="0"/>
              <w:rPr>
                <w:sz w:val="20"/>
                <w:szCs w:val="20"/>
                <w:color w:val="auto"/>
              </w:rPr>
            </w:pPr>
            <w:r>
              <w:rPr>
                <w:rFonts w:ascii="Times New Roman" w:cs="Times New Roman" w:eastAsia="Times New Roman" w:hAnsi="Times New Roman"/>
                <w:sz w:val="18"/>
                <w:szCs w:val="18"/>
                <w:color w:val="auto"/>
              </w:rPr>
              <w:t>receive thirty (30) fully paid Class A ordinary</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00" w:type="dxa"/>
            <w:vAlign w:val="bottom"/>
          </w:tcPr>
          <w:p>
            <w:pPr>
              <w:ind w:left="664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DEPOSITED CLASS A ORDINARY SHARES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Polestar Automotive Holding UK PLC</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(Incorporated under the laws of England and Wales)</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0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“Depositary”), hereby certifies that _____________is the owner of ______________ American Depositary Shares (hereinafter “ADS”) representing</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deposited Class A ordinary shares, including evidence of rights to receive such Class A ordinary shares (the “Shares”), of Polestar Automotive Holding UK PLC, a public limited company incorporated under the laws of England and Wales (the “Company”). As of the date of issuance of this ADR, each ADS represents the right to receive thirty (30) 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56"/>
        <w:spacing w:after="0" w:line="253" w:lineRule="auto"/>
        <w:tabs>
          <w:tab w:leader="none" w:pos="9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June 23, 2022, and as amended by Amendment No. 1 to Deposit Agreement, dated as of [●]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656"/>
        <w:spacing w:after="0" w:line="254" w:lineRule="auto"/>
        <w:tabs>
          <w:tab w:leader="none" w:pos="9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jc w:val="both"/>
        <w:ind w:firstLine="656"/>
        <w:spacing w:after="0" w:line="254"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3" w:lineRule="exact"/>
        <w:rPr>
          <w:sz w:val="20"/>
          <w:szCs w:val="20"/>
          <w:color w:val="auto"/>
        </w:rPr>
      </w:pPr>
    </w:p>
    <w:p>
      <w:pPr>
        <w:jc w:val="both"/>
        <w:ind w:firstLine="656"/>
        <w:spacing w:after="0" w:line="256" w:lineRule="auto"/>
        <w:tabs>
          <w:tab w:leader="none" w:pos="96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656"/>
        <w:spacing w:after="0" w:line="253" w:lineRule="auto"/>
        <w:tabs>
          <w:tab w:leader="none" w:pos="948"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78"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paragraph</w:t>
      </w:r>
    </w:p>
    <w:p>
      <w:pPr>
        <w:jc w:val="both"/>
        <w:ind w:firstLine="8"/>
        <w:spacing w:after="0" w:line="251" w:lineRule="auto"/>
        <w:tabs>
          <w:tab w:leader="none" w:pos="3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388" w:hanging="388"/>
        <w:spacing w:after="0"/>
        <w:tabs>
          <w:tab w:leader="none" w:pos="38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jc w:val="both"/>
        <w:ind w:left="1628" w:hanging="656"/>
        <w:spacing w:after="0" w:line="267" w:lineRule="auto"/>
        <w:tabs>
          <w:tab w:leader="none" w:pos="16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color w:val="auto"/>
        </w:rPr>
      </w:pPr>
    </w:p>
    <w:p>
      <w:pPr>
        <w:jc w:val="both"/>
        <w:ind w:left="1628" w:hanging="656"/>
        <w:spacing w:after="0" w:line="267" w:lineRule="auto"/>
        <w:tabs>
          <w:tab w:leader="none" w:pos="16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1628" w:hanging="656"/>
        <w:spacing w:after="0" w:line="282" w:lineRule="auto"/>
        <w:tabs>
          <w:tab w:leader="none" w:pos="16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628" w:hanging="656"/>
        <w:spacing w:after="0" w:line="266" w:lineRule="auto"/>
        <w:tabs>
          <w:tab w:leader="none" w:pos="16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ind w:left="1628" w:hanging="656"/>
        <w:spacing w:after="0" w:line="282" w:lineRule="auto"/>
        <w:tabs>
          <w:tab w:leader="none" w:pos="16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color w:val="auto"/>
        </w:rPr>
      </w:pPr>
    </w:p>
    <w:p>
      <w:pPr>
        <w:ind w:left="1628" w:hanging="656"/>
        <w:spacing w:after="0" w:line="282" w:lineRule="auto"/>
        <w:tabs>
          <w:tab w:leader="none" w:pos="16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260" w:lineRule="exact"/>
        <w:rPr>
          <w:sz w:val="20"/>
          <w:szCs w:val="20"/>
          <w:color w:val="auto"/>
        </w:rPr>
      </w:pPr>
    </w:p>
    <w:p>
      <w:pPr>
        <w:jc w:val="center"/>
        <w:ind w:right="372"/>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92" w:right="339" w:bottom="1440" w:gutter="0" w:footer="0" w:header="0"/>
        </w:sectPr>
      </w:pPr>
    </w:p>
    <w:bookmarkStart w:id="30" w:name="page31"/>
    <w:bookmarkEnd w:id="30"/>
    <w:p>
      <w:pPr>
        <w:jc w:val="both"/>
        <w:ind w:left="1960" w:hanging="656"/>
        <w:spacing w:after="0" w:line="266" w:lineRule="auto"/>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registration of the transfer of registered ownership of ADSs, upon a transfer of ADSs into DTC and vice versa, or for any other reason);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ind w:left="1960" w:hanging="656"/>
        <w:spacing w:after="0" w:line="282" w:lineRule="auto"/>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ADSs and the ADRs.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07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jc w:val="both"/>
        <w:ind w:firstLine="656"/>
        <w:spacing w:after="0" w:line="252" w:lineRule="auto"/>
        <w:tabs>
          <w:tab w:leader="none" w:pos="105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at the time thereof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1304"/>
        <w:spacing w:after="0" w:line="253"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firstLine="1304"/>
        <w:spacing w:after="0" w:line="252" w:lineRule="auto"/>
        <w:tabs>
          <w:tab w:leader="none" w:pos="15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in 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any Holder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1304"/>
        <w:spacing w:after="0" w:line="254"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jc w:val="both"/>
        <w:ind w:firstLine="8"/>
        <w:spacing w:after="0" w:line="253" w:lineRule="auto"/>
        <w:tabs>
          <w:tab w:leader="none" w:pos="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332"/>
        <w:spacing w:after="0" w:line="259" w:lineRule="auto"/>
        <w:tabs>
          <w:tab w:leader="none" w:pos="727"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 shall give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w:t>
      </w:r>
    </w:p>
    <w:p>
      <w:pPr>
        <w:jc w:val="both"/>
        <w:ind w:firstLine="8"/>
        <w:spacing w:after="0" w:line="251" w:lineRule="auto"/>
        <w:tabs>
          <w:tab w:leader="none" w:pos="2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documentation given by the Company to the Depositary within the terms of Section 5.7 of the Deposit Agreement,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56"/>
        <w:spacing w:after="0" w:line="253" w:lineRule="auto"/>
        <w:tabs>
          <w:tab w:leader="none" w:pos="107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firstLine="656"/>
        <w:spacing w:after="0" w:line="254" w:lineRule="auto"/>
        <w:tabs>
          <w:tab w:leader="none" w:pos="105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 Deposited Securities represented by ADSs for which no timely voting instructions are received by the Depositary from the Holder shall not be voted (except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2" w:lineRule="auto"/>
        <w:tabs>
          <w:tab w:leader="none" w:pos="109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56"/>
        <w:spacing w:after="0" w:line="252" w:lineRule="auto"/>
        <w:tabs>
          <w:tab w:leader="none" w:pos="103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revolutions, rebellions,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ind w:firstLine="656"/>
        <w:spacing w:after="0" w:line="256" w:lineRule="auto"/>
        <w:tabs>
          <w:tab w:leader="none" w:pos="107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56"/>
        <w:spacing w:after="0" w:line="252" w:lineRule="auto"/>
        <w:tabs>
          <w:tab w:leader="none" w:pos="111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firstLine="656"/>
        <w:spacing w:after="0" w:line="252" w:lineRule="auto"/>
        <w:tabs>
          <w:tab w:leader="none" w:pos="11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ind w:firstLine="656"/>
        <w:spacing w:after="0" w:line="263" w:lineRule="auto"/>
        <w:tabs>
          <w:tab w:leader="none" w:pos="1065"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0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ind w:firstLine="656"/>
        <w:spacing w:after="0" w:line="268" w:lineRule="auto"/>
        <w:tabs>
          <w:tab w:leader="none" w:pos="109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9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or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both"/>
        <w:ind w:firstLine="656"/>
        <w:spacing w:after="0" w:line="257" w:lineRule="auto"/>
        <w:tabs>
          <w:tab w:leader="none" w:pos="105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NOTICE: The signature of the Holder to this assignment must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enlargement or any change whatsoever.</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5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57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5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Depositary Notice</w:t>
      </w:r>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DEPOSITARY NOTICE OF ADS RATIO CHANGE / REVERSE SPLIT ON POLESTAR ADSs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Holders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Polestar Automotive Holding UK PLC</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3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0" w:type="dxa"/>
            <w:vAlign w:val="bottom"/>
            <w:tcBorders>
              <w:top w:val="single" w:sz="8" w:color="auto"/>
            </w:tcBorders>
          </w:tcPr>
          <w:p>
            <w:pPr>
              <w:spacing w:after="0"/>
              <w:rPr>
                <w:sz w:val="20"/>
                <w:szCs w:val="20"/>
                <w:color w:val="auto"/>
              </w:rPr>
            </w:pPr>
          </w:p>
        </w:tc>
        <w:tc>
          <w:tcPr>
            <w:tcW w:w="5920" w:type="dxa"/>
            <w:vAlign w:val="bottom"/>
            <w:tcBorders>
              <w:top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Polestar Automotive Holding UK PLC, a public limited company incorporated</w:t>
            </w:r>
          </w:p>
        </w:tc>
      </w:tr>
      <w:tr>
        <w:trPr>
          <w:trHeight w:val="234"/>
        </w:trPr>
        <w:tc>
          <w:tcPr>
            <w:tcW w:w="530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under the laws of England and Wales, and its successors.</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Depositary:</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Citibank, N.A.</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Custodian:</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Citibank, N.A. - London.</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18"/>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Existing ADS-to-Share Ratio:</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Each ADS represents the right to receive one (1) fully paid Class A ordinary</w:t>
            </w:r>
          </w:p>
        </w:tc>
      </w:tr>
      <w:tr>
        <w:trPr>
          <w:trHeight w:val="194"/>
        </w:trPr>
        <w:tc>
          <w:tcPr>
            <w:tcW w:w="5300" w:type="dxa"/>
            <w:vAlign w:val="bottom"/>
            <w:tcBorders>
              <w:left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share of the Company (the “Share(s)”).</w:t>
            </w:r>
          </w:p>
        </w:tc>
      </w:tr>
      <w:tr>
        <w:trPr>
          <w:trHeight w:val="48"/>
        </w:trPr>
        <w:tc>
          <w:tcPr>
            <w:tcW w:w="5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18"/>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ADS-to-Share Ratio:</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Each ADS will represent the right to receive thirty (30) fully paid Class A</w:t>
            </w:r>
          </w:p>
        </w:tc>
      </w:tr>
      <w:tr>
        <w:trPr>
          <w:trHeight w:val="234"/>
        </w:trPr>
        <w:tc>
          <w:tcPr>
            <w:tcW w:w="530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Shares.</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96"/>
        </w:trPr>
        <w:tc>
          <w:tcPr>
            <w:tcW w:w="530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Deposit Agreement:</w:t>
            </w:r>
          </w:p>
        </w:tc>
        <w:tc>
          <w:tcPr>
            <w:tcW w:w="20" w:type="dxa"/>
            <w:vAlign w:val="bottom"/>
          </w:tcPr>
          <w:p>
            <w:pPr>
              <w:spacing w:after="0"/>
              <w:rPr>
                <w:sz w:val="17"/>
                <w:szCs w:val="17"/>
                <w:color w:val="auto"/>
              </w:rPr>
            </w:pPr>
          </w:p>
        </w:tc>
        <w:tc>
          <w:tcPr>
            <w:tcW w:w="592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Class  A  Deposit  Agreement,  dated  as  of  June  23,  2022  (the  “Deposit</w:t>
            </w:r>
          </w:p>
        </w:tc>
      </w:tr>
      <w:tr>
        <w:trPr>
          <w:trHeight w:val="20"/>
        </w:trPr>
        <w:tc>
          <w:tcPr>
            <w:tcW w:w="5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96"/>
        </w:trPr>
        <w:tc>
          <w:tcPr>
            <w:tcW w:w="5300" w:type="dxa"/>
            <w:vAlign w:val="bottom"/>
            <w:tcBorders>
              <w:left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Agreement”), by and among the Company, the Depositary, and the Holders and</w:t>
            </w:r>
          </w:p>
        </w:tc>
      </w:tr>
      <w:tr>
        <w:trPr>
          <w:trHeight w:val="20"/>
        </w:trPr>
        <w:tc>
          <w:tcPr>
            <w:tcW w:w="53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right w:val="single" w:sz="8" w:color="auto"/>
            </w:tcBorders>
            <w:gridSpan w:val="3"/>
          </w:tcPr>
          <w:p>
            <w:pPr>
              <w:spacing w:after="0" w:line="20" w:lineRule="exact"/>
              <w:rPr>
                <w:sz w:val="1"/>
                <w:szCs w:val="1"/>
                <w:color w:val="auto"/>
              </w:rPr>
            </w:pPr>
          </w:p>
        </w:tc>
      </w:tr>
      <w:tr>
        <w:trPr>
          <w:trHeight w:val="218"/>
        </w:trPr>
        <w:tc>
          <w:tcPr>
            <w:tcW w:w="5300" w:type="dxa"/>
            <w:vAlign w:val="bottom"/>
            <w:tcBorders>
              <w:left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Beneficial Owners of ADSs issued thereunder, as proposed to be amended by</w:t>
            </w:r>
          </w:p>
        </w:tc>
      </w:tr>
      <w:tr>
        <w:trPr>
          <w:trHeight w:val="194"/>
        </w:trPr>
        <w:tc>
          <w:tcPr>
            <w:tcW w:w="5300" w:type="dxa"/>
            <w:vAlign w:val="bottom"/>
            <w:tcBorders>
              <w:left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Amendment No. 1 to Class A Deposit Agreement (“Amendment No. 1”).</w:t>
            </w:r>
          </w:p>
        </w:tc>
      </w:tr>
      <w:tr>
        <w:trPr>
          <w:trHeight w:val="48"/>
        </w:trPr>
        <w:tc>
          <w:tcPr>
            <w:tcW w:w="53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ADS Symbol:</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PSNY.*</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Existing ADS CUSIP No.:</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731105201.*</w:t>
            </w: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ADS CUSIP No.:</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731105409.*</w:t>
            </w: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Existing ADS ISIN:</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US7311052010.*</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ADS ISIN:</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US7311054099.*</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18"/>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ADS Books Closure period for ADS Issuances and ADS Cancellations:</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December 2, 2025 (5:00 p.m. New York City time) until December 9, 2025 (5:00</w:t>
            </w:r>
          </w:p>
        </w:tc>
      </w:tr>
      <w:tr>
        <w:trPr>
          <w:trHeight w:val="234"/>
        </w:trPr>
        <w:tc>
          <w:tcPr>
            <w:tcW w:w="5300" w:type="dxa"/>
            <w:vAlign w:val="bottom"/>
            <w:tcBorders>
              <w:left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p.m. New York City time).</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December 9, 2025.</w:t>
            </w:r>
          </w:p>
        </w:tc>
      </w:tr>
      <w:tr>
        <w:trPr>
          <w:trHeight w:val="27"/>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*ADS Symbol, ADS ISINs and ADS CUSIP Nos. are provided as a convenience only and without any liability for accuracy.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Depositary have agreed to change the Existing ADS-to-Share Ratio as of the Effective Date (the “</w:t>
      </w:r>
      <w:r>
        <w:rPr>
          <w:rFonts w:ascii="Times New Roman" w:cs="Times New Roman" w:eastAsia="Times New Roman" w:hAnsi="Times New Roman"/>
          <w:sz w:val="18"/>
          <w:szCs w:val="18"/>
          <w:u w:val="single" w:color="auto"/>
          <w:color w:val="auto"/>
        </w:rPr>
        <w:t>ADS Ratio Change</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Existing ADS-to-Share Ratio: One (1) ADS to one (1) Share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ADS-to-Share Ratio: One (1) ADS to thirty (30) Shares</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Following the Effective Date for the ADS Ratio Change, each ADS will represent the right to receive thirty (30) Shares. Holders of existing ADSs as of the Effective Date will be required to surrender their existing ADSs in exchange for new ADSs and will receive one (1) new ADS for every thirty (30) existing ADSs surrendered to the Depositary.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ADS Ratio Change, the CUSIP number for the ADSs will change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Existing ADS CUSIP: 731105201</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ADS CUSIP: 731105409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The Depository Trust Company (“DTC”)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do not need to take any action for existing ADSs held in DTC and by one of its participants (e.g., bank, broker, or other nominee). After of the ADS Ratio Change, the new ADSs (CUSIP No.:    ) will be credited to DTC in exchange for existing ADSs for distribution to DTC participants and their client accounts. DTC participants and their clients are not required to take any affirmative actions to exchange existing ADSs for new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uncertificated form (other than in DTC)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do not need to take any action for existing ADSs held via the Direct Registration System (the “</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You will receive a statement from the Depositary specifying the applicable number of ADSs, after the ADS Ratio Change, that have been registered in your name.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whole ADSs will be distributed. No fractional ADSs will be issued. Cash in lieu of fractional entitlements to ADSs will be distributed at a rate based upon the net proceeds received by the Depositary for the sale of the aggregate of the fractional ADS entitlements.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has filed (x) a form of Amendment No. 1 and (y) a form of ADR that reflects the new ADS-to-Share ratio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cover of Post-Effective Amendment No. 1 to Registration Statement on Form F-6. A copy of the filing is available from the SEC’s website at www.sec.gov under Registration Number 333-288991.</w:t>
      </w:r>
    </w:p>
    <w:p>
      <w:pPr>
        <w:spacing w:after="0" w:line="17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All information with respect to the ADS Ratio Change has been provided to the Depositary by the Company. Holders and Beneficial Owners of ADSs should not rely on the Depositary as the sole source of information and are hereby instructed to consult their broker, financial intermediary, or legal or financial advisor for advice concerning their particular circumstances. The Depositary makes no recommendations and gives no investment, legal or tax advice as to the foregoing matters.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Deposit Agreement and of Amendment No. 1 will be available at the principal offices of the Depositary at 388 Greenwich Street, New York, NY 10013 and can be retrieved from the SEC’s website at www.sec.gov under Registration Number 333-288991.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about the above amendment and exchange, please call Citibank ADR Shareholder Services at 1-877-248-4237.</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8"/>
          <w:szCs w:val="18"/>
          <w:color w:val="auto"/>
        </w:rPr>
        <w:t>Citibank, N.A. as Depositary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lowerRoman"/>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2"/>
    </w:lvl>
  </w:abstractNum>
  <w:abstractNum w:abstractNumId="9">
    <w:nsid w:val="2CA88611"/>
    <w:multiLevelType w:val="hybridMultilevel"/>
    <w:lvl w:ilvl="0">
      <w:lvlJc w:val="left"/>
      <w:lvlText w:val="(%1)"/>
      <w:numFmt w:val="lowerLetter"/>
      <w:start w:val="3"/>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lowerRoman"/>
      <w:start w:val="1"/>
    </w:lvl>
    <w:lvl w:ilvl="1">
      <w:lvlJc w:val="left"/>
      <w:lvlText w:val="(%2)"/>
      <w:numFmt w:val="decimal"/>
      <w:start w:val="2"/>
    </w:lvl>
  </w:abstractNum>
  <w:abstractNum w:abstractNumId="13">
    <w:nsid w:val="8138641"/>
    <w:multiLevelType w:val="hybridMultilevel"/>
    <w:lvl w:ilvl="0">
      <w:lvlJc w:val="left"/>
      <w:lvlText w:val="(%1)"/>
      <w:numFmt w:val="lowerRoman"/>
      <w:start w:val="4"/>
    </w:lvl>
    <w:lvl w:ilvl="1">
      <w:lvlJc w:val="left"/>
      <w:lvlText w:val="%2"/>
      <w:numFmt w:val="decimal"/>
      <w:start w:val="1"/>
    </w:lvl>
  </w:abstractNum>
  <w:abstractNum w:abstractNumId="14">
    <w:nsid w:val="1E7FF521"/>
    <w:multiLevelType w:val="hybridMultilevel"/>
    <w:lvl w:ilvl="0">
      <w:lvlJc w:val="left"/>
      <w:lvlText w:val="(%1)"/>
      <w:numFmt w:val="decimal"/>
      <w:start w:val="3"/>
    </w:lvl>
  </w:abstractNum>
  <w:abstractNum w:abstractNumId="15">
    <w:nsid w:val="7C3DBD3D"/>
    <w:multiLevelType w:val="hybridMultilevel"/>
    <w:lvl w:ilvl="0">
      <w:lvlJc w:val="left"/>
      <w:lvlText w:val="(%1)"/>
      <w:numFmt w:val="lowerRoman"/>
      <w:start w:val="2"/>
    </w:lvl>
    <w:lvl w:ilvl="1">
      <w:lvlJc w:val="left"/>
      <w:lvlText w:val="(%2)"/>
      <w:numFmt w:val="decimal"/>
      <w:start w:val="4"/>
    </w:lvl>
  </w:abstractNum>
  <w:abstractNum w:abstractNumId="16">
    <w:nsid w:val="737B8DDC"/>
    <w:multiLevelType w:val="hybridMultilevel"/>
    <w:lvl w:ilvl="0">
      <w:lvlJc w:val="left"/>
      <w:lvlText w:val="(%1)"/>
      <w:numFmt w:val="decimal"/>
      <w:start w:val="5"/>
    </w:lvl>
  </w:abstractNum>
  <w:abstractNum w:abstractNumId="17">
    <w:nsid w:val="6CEAF087"/>
    <w:multiLevelType w:val="hybridMultilevel"/>
    <w:lvl w:ilvl="0">
      <w:lvlJc w:val="left"/>
      <w:lvlText w:val="(%1)"/>
      <w:numFmt w:val="decimal"/>
      <w:start w:val="7"/>
    </w:lvl>
  </w:abstractNum>
  <w:abstractNum w:abstractNumId="18">
    <w:nsid w:val="22221A70"/>
    <w:multiLevelType w:val="hybridMultilevel"/>
    <w:lvl w:ilvl="0">
      <w:lvlJc w:val="left"/>
      <w:lvlText w:val="%1"/>
      <w:numFmt w:val="decimal"/>
      <w:start w:val="1"/>
    </w:lvl>
    <w:lvl w:ilvl="1">
      <w:lvlJc w:val="left"/>
      <w:lvlText w:val="(%2)"/>
      <w:numFmt w:val="decimal"/>
      <w:start w:val="8"/>
    </w:lvl>
  </w:abstractNum>
  <w:abstractNum w:abstractNumId="19">
    <w:nsid w:val="4516DDE9"/>
    <w:multiLevelType w:val="hybridMultilevel"/>
    <w:lvl w:ilvl="0">
      <w:lvlJc w:val="left"/>
      <w:lvlText w:val="(%1)"/>
      <w:numFmt w:val="decimal"/>
      <w:start w:val="25"/>
    </w:lvl>
    <w:lvl w:ilvl="1">
      <w:lvlJc w:val="left"/>
      <w:lvlText w:val="%2"/>
      <w:numFmt w:val="decimal"/>
      <w:start w:val="1"/>
    </w:lvl>
  </w:abstractNum>
  <w:abstractNum w:abstractNumId="20">
    <w:nsid w:val="3006C83E"/>
    <w:multiLevelType w:val="hybridMultilevel"/>
    <w:lvl w:ilvl="0">
      <w:lvlJc w:val="left"/>
      <w:lvlText w:val="(%1)"/>
      <w:numFmt w:val="decimal"/>
      <w:start w:val="11"/>
    </w:lvl>
    <w:lvl w:ilvl="1">
      <w:lvlJc w:val="left"/>
      <w:lvlText w:val="(%2)"/>
      <w:numFmt w:val="lowerRoman"/>
      <w:start w:val="1"/>
    </w:lvl>
  </w:abstractNum>
  <w:abstractNum w:abstractNumId="21">
    <w:nsid w:val="614FD4A1"/>
    <w:multiLevelType w:val="hybridMultilevel"/>
    <w:lvl w:ilvl="0">
      <w:lvlJc w:val="left"/>
      <w:lvlText w:val="(%1)"/>
      <w:numFmt w:val="lowerRoman"/>
      <w:start w:val="7"/>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7"/>
    </w:lvl>
  </w:abstractNum>
  <w:abstractNum w:abstractNumId="24">
    <w:nsid w:val="440BADFC"/>
    <w:multiLevelType w:val="hybridMultilevel"/>
    <w:lvl w:ilvl="0">
      <w:lvlJc w:val="left"/>
      <w:lvlText w:val="(%1)"/>
      <w:numFmt w:val="decimal"/>
      <w:start w:val="12"/>
    </w:lvl>
  </w:abstractNum>
  <w:abstractNum w:abstractNumId="25">
    <w:nsid w:val="5072367"/>
    <w:multiLevelType w:val="hybridMultilevel"/>
    <w:lvl w:ilvl="0">
      <w:lvlJc w:val="left"/>
      <w:lvlText w:val="(%1)"/>
      <w:numFmt w:val="decimal"/>
      <w:start w:val="15"/>
    </w:lvl>
  </w:abstractNum>
  <w:abstractNum w:abstractNumId="26">
    <w:nsid w:val="3804823E"/>
    <w:multiLevelType w:val="hybridMultilevel"/>
    <w:lvl w:ilvl="0">
      <w:lvlJc w:val="left"/>
      <w:lvlText w:val="(%1)"/>
      <w:numFmt w:val="lowerLetter"/>
      <w:start w:val="2"/>
    </w:lvl>
  </w:abstractNum>
  <w:abstractNum w:abstractNumId="27">
    <w:nsid w:val="77465F01"/>
    <w:multiLevelType w:val="hybridMultilevel"/>
    <w:lvl w:ilvl="0">
      <w:lvlJc w:val="left"/>
      <w:lvlText w:val="(%1)"/>
      <w:numFmt w:val="lowerLetter"/>
      <w:start w:val="3"/>
    </w:lvl>
  </w:abstractNum>
  <w:abstractNum w:abstractNumId="28">
    <w:nsid w:val="7724C67E"/>
    <w:multiLevelType w:val="hybridMultilevel"/>
    <w:lvl w:ilvl="0">
      <w:lvlJc w:val="left"/>
      <w:lvlText w:val="(%1)"/>
      <w:numFmt w:val="lowerLetter"/>
      <w:start w:val="5"/>
    </w:lvl>
  </w:abstractNum>
  <w:abstractNum w:abstractNumId="29">
    <w:nsid w:val="5C482A97"/>
    <w:multiLevelType w:val="hybridMultilevel"/>
    <w:lvl w:ilvl="0">
      <w:lvlJc w:val="left"/>
      <w:lvlText w:val="(%1)"/>
      <w:numFmt w:val="lowerRoman"/>
      <w:start w:val="2"/>
    </w:lvl>
  </w:abstractNum>
  <w:abstractNum w:abstractNumId="30">
    <w:nsid w:val="2463B9EA"/>
    <w:multiLevelType w:val="hybridMultilevel"/>
    <w:lvl w:ilvl="0">
      <w:lvlJc w:val="left"/>
      <w:lvlText w:val="%1"/>
      <w:numFmt w:val="lowerRoman"/>
      <w:start w:val="1"/>
    </w:lvl>
    <w:lvl w:ilvl="1">
      <w:lvlJc w:val="left"/>
      <w:lvlText w:val="(%2)"/>
      <w:numFmt w:val="decimal"/>
      <w:start w:val="16"/>
    </w:lvl>
  </w:abstractNum>
  <w:abstractNum w:abstractNumId="31">
    <w:nsid w:val="5E884ADC"/>
    <w:multiLevelType w:val="hybridMultilevel"/>
    <w:lvl w:ilvl="0">
      <w:lvlJc w:val="left"/>
      <w:lvlText w:val="(%1)"/>
      <w:numFmt w:val="lowerRoman"/>
      <w:start w:val="2"/>
    </w:lvl>
    <w:lvl w:ilvl="1">
      <w:lvlJc w:val="left"/>
      <w:lvlText w:val="%2"/>
      <w:numFmt w:val="decimal"/>
      <w:start w:val="1"/>
    </w:lvl>
  </w:abstractNum>
  <w:abstractNum w:abstractNumId="32">
    <w:nsid w:val="51EAD36B"/>
    <w:multiLevelType w:val="hybridMultilevel"/>
    <w:lvl w:ilvl="0">
      <w:lvlJc w:val="left"/>
      <w:lvlText w:val="(%1)"/>
      <w:numFmt w:val="decimal"/>
      <w:start w:val="17"/>
    </w:lvl>
  </w:abstractNum>
  <w:abstractNum w:abstractNumId="33">
    <w:nsid w:val="2D517796"/>
    <w:multiLevelType w:val="hybridMultilevel"/>
    <w:lvl w:ilvl="0">
      <w:lvlJc w:val="left"/>
      <w:lvlText w:val="(%1)"/>
      <w:numFmt w:val="decimal"/>
      <w:start w:val="18"/>
    </w:lvl>
  </w:abstractNum>
  <w:abstractNum w:abstractNumId="34">
    <w:nsid w:val="580BD78F"/>
    <w:multiLevelType w:val="hybridMultilevel"/>
    <w:lvl w:ilvl="0">
      <w:lvlJc w:val="left"/>
      <w:lvlText w:val="(%1)"/>
      <w:numFmt w:val="decimal"/>
      <w:start w:val="19"/>
    </w:lvl>
  </w:abstractNum>
  <w:abstractNum w:abstractNumId="35">
    <w:nsid w:val="153EA438"/>
    <w:multiLevelType w:val="hybridMultilevel"/>
    <w:lvl w:ilvl="0">
      <w:lvlJc w:val="left"/>
      <w:lvlText w:val="(%1)"/>
      <w:numFmt w:val="decimal"/>
      <w:start w:val="20"/>
    </w:lvl>
  </w:abstractNum>
  <w:abstractNum w:abstractNumId="36">
    <w:nsid w:val="3855585C"/>
    <w:multiLevelType w:val="hybridMultilevel"/>
    <w:lvl w:ilvl="0">
      <w:lvlJc w:val="left"/>
      <w:lvlText w:val="(%1)"/>
      <w:numFmt w:val="decimal"/>
      <w:start w:val="21"/>
    </w:lvl>
  </w:abstractNum>
  <w:abstractNum w:abstractNumId="37">
    <w:nsid w:val="70A64E2A"/>
    <w:multiLevelType w:val="hybridMultilevel"/>
    <w:lvl w:ilvl="0">
      <w:lvlJc w:val="left"/>
      <w:lvlText w:val="(%1)"/>
      <w:numFmt w:val="decimal"/>
      <w:start w:val="22"/>
    </w:lvl>
  </w:abstractNum>
  <w:abstractNum w:abstractNumId="38">
    <w:nsid w:val="6A2342EC"/>
    <w:multiLevelType w:val="hybridMultilevel"/>
    <w:lvl w:ilvl="0">
      <w:lvlJc w:val="left"/>
      <w:lvlText w:val="(%1)"/>
      <w:numFmt w:val="decimal"/>
      <w:start w:val="23"/>
    </w:lvl>
  </w:abstractNum>
  <w:abstractNum w:abstractNumId="39">
    <w:nsid w:val="2A487CB0"/>
    <w:multiLevelType w:val="hybridMultilevel"/>
    <w:lvl w:ilvl="0">
      <w:lvlJc w:val="left"/>
      <w:lvlText w:val="%1"/>
      <w:numFmt w:val="lowerRoman"/>
      <w:start w:val="1"/>
    </w:lvl>
    <w:lvl w:ilvl="1">
      <w:lvlJc w:val="left"/>
      <w:lvlText w:val="(%2)"/>
      <w:numFmt w:val="decimal"/>
      <w:start w:val="24"/>
    </w:lvl>
  </w:abstractNum>
  <w:abstractNum w:abstractNumId="40">
    <w:nsid w:val="1D4ED43B"/>
    <w:multiLevelType w:val="hybridMultilevel"/>
    <w:lvl w:ilvl="0">
      <w:lvlJc w:val="left"/>
      <w:lvlText w:val="(%1)"/>
      <w:numFmt w:val="lowerRoman"/>
      <w:start w:val="1"/>
    </w:lvl>
    <w:lvl w:ilvl="1">
      <w:lvlJc w:val="left"/>
      <w:lvlText w:val="%2"/>
      <w:numFmt w:val="decimal"/>
      <w:start w:val="1"/>
    </w:lvl>
  </w:abstractNum>
  <w:abstractNum w:abstractNumId="41">
    <w:nsid w:val="725A06FB"/>
    <w:multiLevelType w:val="hybridMultilevel"/>
    <w:lvl w:ilvl="0">
      <w:lvlJc w:val="left"/>
      <w:lvlText w:val="(%1)"/>
      <w:numFmt w:val="decimal"/>
      <w:start w:val="25"/>
    </w:lvl>
  </w:abstractNum>
  <w:abstractNum w:abstractNumId="42">
    <w:nsid w:val="2CD89A32"/>
    <w:multiLevelType w:val="hybridMultilevel"/>
    <w:lvl w:ilvl="0">
      <w:lvlJc w:val="left"/>
      <w:lvlText w:val="(%1)"/>
      <w:numFmt w:val="lowerLetter"/>
      <w:start w:val="2"/>
    </w:lvl>
  </w:abstractNum>
  <w:abstractNum w:abstractNumId="43">
    <w:nsid w:val="57E4CCAF"/>
    <w:multiLevelType w:val="hybridMultilevel"/>
    <w:lvl w:ilvl="0">
      <w:lvlJc w:val="left"/>
      <w:lvlText w:val="%1"/>
      <w:numFmt w:val="lowerRoman"/>
      <w:start w:val="1"/>
    </w:lvl>
    <w:lvl w:ilvl="1">
      <w:lvlJc w:val="left"/>
      <w:lvlText w:val="(%2)"/>
      <w:numFmt w:val="decimal"/>
      <w:start w:val="26"/>
    </w:lvl>
  </w:abstractNum>
  <w:abstractNum w:abstractNumId="44">
    <w:nsid w:val="7A6D8D3C"/>
    <w:multiLevelType w:val="hybridMultilevel"/>
    <w:lvl w:ilvl="0">
      <w:lvlJc w:val="left"/>
      <w:lvlText w:val="(%1)"/>
      <w:numFmt w:val="lowerRoman"/>
      <w:start w:val="4"/>
    </w:lvl>
    <w:lvl w:ilvl="1">
      <w:lvlJc w:val="left"/>
      <w:lvlText w:val="%2"/>
      <w:numFmt w:val="decimal"/>
      <w:start w:val="1"/>
    </w:lvl>
  </w:abstractNum>
  <w:abstractNum w:abstractNumId="45">
    <w:nsid w:val="4B588F54"/>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2025-11-14T15:56:45Z</dcterms:created>
  <dcterms:modified xsi:type="dcterms:W3CDTF">2025-11-14T15:56:45Z</dcterms:modified>
</cp:coreProperties>
</file>